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6F" w:rsidRDefault="00343E6F" w:rsidP="000D521E">
      <w:pPr>
        <w:pStyle w:val="Title"/>
        <w:spacing w:before="3000"/>
      </w:pPr>
      <w:bookmarkStart w:id="0" w:name="_GoBack"/>
      <w:r w:rsidRPr="00343E6F">
        <w:t>Chichester District Council Tenancy Strategy 2020-25</w:t>
      </w:r>
    </w:p>
    <w:bookmarkEnd w:id="0"/>
    <w:p w:rsidR="00343E6F" w:rsidRPr="006A659A" w:rsidRDefault="00343E6F" w:rsidP="00343E6F"/>
    <w:p w:rsidR="00343E6F" w:rsidRDefault="00343E6F" w:rsidP="001F42CF">
      <w:pPr>
        <w:jc w:val="center"/>
      </w:pPr>
      <w:r w:rsidRPr="00A46C47">
        <w:rPr>
          <w:noProof/>
          <w:lang w:eastAsia="en-GB"/>
        </w:rPr>
        <w:drawing>
          <wp:inline distT="0" distB="0" distL="0" distR="0" wp14:anchorId="72AB7FD2" wp14:editId="38539041">
            <wp:extent cx="2009775" cy="2009775"/>
            <wp:effectExtent l="0" t="0" r="9525" b="9525"/>
            <wp:docPr id="3" name="irc_mi" descr="Image result for chichester district council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chester district council log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r>
        <w:br w:type="page"/>
      </w:r>
    </w:p>
    <w:p w:rsidR="00343E6F" w:rsidRPr="000E4084" w:rsidRDefault="00343E6F" w:rsidP="00343E6F">
      <w:pPr>
        <w:pStyle w:val="Heading1"/>
      </w:pPr>
      <w:r w:rsidRPr="000E4084">
        <w:lastRenderedPageBreak/>
        <w:t>Executive Summary</w:t>
      </w:r>
    </w:p>
    <w:p w:rsidR="00343E6F" w:rsidRDefault="00343E6F" w:rsidP="00343E6F">
      <w:r w:rsidRPr="001B417B">
        <w:t>The Review highlights the growing need to place homeless households in emergency accommodation which is either non-self-contained or outside of the district.  In 2018 the number of placements of this type was twice what it was five years ago.   This is by no means unique to Chichester and reflects a trend across West Sussex and the south of increasing demand for temporary accommodation.</w:t>
      </w:r>
    </w:p>
    <w:p w:rsidR="00343E6F" w:rsidRPr="00343E6F" w:rsidRDefault="00343E6F" w:rsidP="00343E6F">
      <w:pPr>
        <w:rPr>
          <w:rStyle w:val="fontstyle01"/>
          <w:rFonts w:ascii="Calibri" w:hAnsi="Calibri" w:cs="Calibri"/>
          <w:color w:val="auto"/>
        </w:rPr>
      </w:pPr>
      <w:r w:rsidRPr="00343E6F">
        <w:rPr>
          <w:rStyle w:val="fontstyle01"/>
          <w:rFonts w:ascii="Calibri" w:hAnsi="Calibri" w:cs="Calibri"/>
          <w:color w:val="auto"/>
        </w:rPr>
        <w:t>The Localism Act 2011 requires every local housing authority to publish a Tenancy Strategy. The Strategy must set out, in high level terms, the matters to which all registered providers of social housing for its district should have regard in formulating their own tenancy policies relating to:-</w:t>
      </w:r>
    </w:p>
    <w:p w:rsidR="00343E6F" w:rsidRPr="00C73372" w:rsidRDefault="00343E6F" w:rsidP="00343E6F">
      <w:pPr>
        <w:pStyle w:val="ListParagraph"/>
        <w:numPr>
          <w:ilvl w:val="0"/>
          <w:numId w:val="17"/>
        </w:numPr>
      </w:pPr>
      <w:r w:rsidRPr="00343E6F">
        <w:rPr>
          <w:rStyle w:val="fontstyle01"/>
          <w:rFonts w:ascii="Calibri" w:hAnsi="Calibri" w:cs="Calibri"/>
        </w:rPr>
        <w:t>The kinds of tenancies they grant</w:t>
      </w:r>
    </w:p>
    <w:p w:rsidR="00343E6F" w:rsidRPr="00C73372" w:rsidRDefault="00343E6F" w:rsidP="00343E6F">
      <w:pPr>
        <w:pStyle w:val="ListParagraph"/>
        <w:numPr>
          <w:ilvl w:val="0"/>
          <w:numId w:val="17"/>
        </w:numPr>
      </w:pPr>
      <w:r w:rsidRPr="00C73372">
        <w:t>T</w:t>
      </w:r>
      <w:r w:rsidRPr="00343E6F">
        <w:rPr>
          <w:rStyle w:val="fontstyle01"/>
          <w:rFonts w:ascii="Calibri" w:hAnsi="Calibri" w:cs="Calibri"/>
        </w:rPr>
        <w:t>he circumstances in which they will grant a tenancy of a particular kind;</w:t>
      </w:r>
    </w:p>
    <w:p w:rsidR="00343E6F" w:rsidRPr="00343E6F" w:rsidRDefault="00343E6F" w:rsidP="00343E6F">
      <w:pPr>
        <w:pStyle w:val="ListParagraph"/>
        <w:numPr>
          <w:ilvl w:val="0"/>
          <w:numId w:val="17"/>
        </w:numPr>
        <w:rPr>
          <w:rStyle w:val="fontstyle01"/>
          <w:rFonts w:ascii="Calibri" w:hAnsi="Calibri" w:cs="Calibri"/>
        </w:rPr>
      </w:pPr>
      <w:r w:rsidRPr="00343E6F">
        <w:rPr>
          <w:rStyle w:val="fontstyle21"/>
          <w:rFonts w:ascii="Calibri" w:hAnsi="Calibri"/>
        </w:rPr>
        <w:t>T</w:t>
      </w:r>
      <w:r w:rsidRPr="00343E6F">
        <w:rPr>
          <w:rStyle w:val="fontstyle01"/>
          <w:rFonts w:ascii="Calibri" w:hAnsi="Calibri" w:cs="Calibri"/>
        </w:rPr>
        <w:t>he lengths of the terms, where fixed tenancies are offered</w:t>
      </w:r>
    </w:p>
    <w:p w:rsidR="00343E6F" w:rsidRPr="00343E6F" w:rsidRDefault="00343E6F" w:rsidP="00343E6F">
      <w:pPr>
        <w:pStyle w:val="ListParagraph"/>
        <w:numPr>
          <w:ilvl w:val="0"/>
          <w:numId w:val="17"/>
        </w:numPr>
        <w:rPr>
          <w:rStyle w:val="fontstyle01"/>
          <w:rFonts w:ascii="Calibri" w:hAnsi="Calibri" w:cs="Calibri"/>
        </w:rPr>
      </w:pPr>
      <w:r w:rsidRPr="00343E6F">
        <w:rPr>
          <w:rStyle w:val="fontstyle01"/>
          <w:rFonts w:ascii="Calibri" w:hAnsi="Calibri" w:cs="Calibri"/>
        </w:rPr>
        <w:t>The circumstances in which they will grant a further tenancy on the coming to an end of an existing tenancy.</w:t>
      </w:r>
    </w:p>
    <w:p w:rsidR="00343E6F" w:rsidRDefault="00343E6F" w:rsidP="00343E6F">
      <w:r w:rsidRPr="00C73372">
        <w:t>The concept of “flexible tenancies” was introduced into the social housing sector by the Localism Act 2011.  The Act gives providers of social housing the option to offer flexible tenancies to new social tenants. A flexible tenancy is a secure tenancy of a fixed term (not less than two years), rather than a “lifetime” tenancy, where the tenant may remain in the property for life, even if their circumstances change and they no longer need it.</w:t>
      </w:r>
    </w:p>
    <w:p w:rsidR="00343E6F" w:rsidRPr="00C73372" w:rsidRDefault="00343E6F" w:rsidP="00343E6F">
      <w:r w:rsidRPr="00C73372">
        <w:t>A key theme of the District Council’s wider Housing Strategy is to ensure that ‘local housing is well used’, to this end the Council recognises that the use of flexible tenancies can help make optimal use of the District’s affordable housing. Social housing is a scarce resource and flexible tenancies could be one way of ensuring that homes are available to those households with the greatest level of housing need. This is because a flexible tenancy will have a fixed end date at which point the tenants circumstances can be reviewed to ensure they still require social housing. Fixed term tenancies and the review process forms part of an overall package of options that local authorities and housing providers have available to them to manage housing need as part of an overall approach.</w:t>
      </w:r>
    </w:p>
    <w:p w:rsidR="00343E6F" w:rsidRPr="00C73372" w:rsidRDefault="00343E6F" w:rsidP="00343E6F">
      <w:pPr>
        <w:rPr>
          <w:rStyle w:val="fontstyle01"/>
          <w:rFonts w:ascii="Calibri" w:hAnsi="Calibri" w:cs="Calibri"/>
        </w:rPr>
      </w:pPr>
      <w:r w:rsidRPr="00C73372">
        <w:t>Ch</w:t>
      </w:r>
      <w:r w:rsidRPr="00C73372">
        <w:rPr>
          <w:rStyle w:val="fontstyle01"/>
          <w:rFonts w:ascii="Calibri" w:hAnsi="Calibri" w:cs="Calibri"/>
        </w:rPr>
        <w:t>ichester’s Tenancy Strategy fulfils this statutory requirement by providing direction and guidance to Registered Providers (RPs) who own and manage stock with the District. It sets out the</w:t>
      </w:r>
      <w:r w:rsidRPr="00C73372">
        <w:t xml:space="preserve"> </w:t>
      </w:r>
      <w:r w:rsidRPr="00C73372">
        <w:rPr>
          <w:rStyle w:val="fontstyle01"/>
          <w:rFonts w:ascii="Calibri" w:hAnsi="Calibri" w:cs="Calibri"/>
        </w:rPr>
        <w:t>council’s expectations with regard to life time and fixed te</w:t>
      </w:r>
      <w:r>
        <w:rPr>
          <w:rStyle w:val="fontstyle01"/>
          <w:rFonts w:ascii="Calibri" w:hAnsi="Calibri" w:cs="Calibri"/>
        </w:rPr>
        <w:t xml:space="preserve">rm tenancies and </w:t>
      </w:r>
      <w:r w:rsidRPr="00C73372">
        <w:rPr>
          <w:rStyle w:val="fontstyle01"/>
          <w:rFonts w:ascii="Calibri" w:hAnsi="Calibri" w:cs="Calibri"/>
        </w:rPr>
        <w:t>informs residents what they might expect when they move into or between social housing properties in relati</w:t>
      </w:r>
      <w:r>
        <w:rPr>
          <w:rStyle w:val="fontstyle01"/>
          <w:rFonts w:ascii="Calibri" w:hAnsi="Calibri" w:cs="Calibri"/>
        </w:rPr>
        <w:t>on to their period of tenure. Furthermore, it</w:t>
      </w:r>
      <w:r w:rsidRPr="00C73372">
        <w:rPr>
          <w:rStyle w:val="fontstyle01"/>
          <w:rFonts w:ascii="Calibri" w:hAnsi="Calibri" w:cs="Calibri"/>
        </w:rPr>
        <w:t xml:space="preserve"> sets out the criteria to which Registered Providers should pay particular regard in relation to the way tenancies are granted.</w:t>
      </w:r>
    </w:p>
    <w:p w:rsidR="00CC0DFC" w:rsidRDefault="00343E6F" w:rsidP="00343E6F">
      <w:pPr>
        <w:rPr>
          <w:rStyle w:val="fontstyle01"/>
          <w:rFonts w:ascii="Calibri" w:hAnsi="Calibri" w:cs="Calibri"/>
        </w:rPr>
      </w:pPr>
      <w:r w:rsidRPr="00C73372">
        <w:rPr>
          <w:rStyle w:val="fontstyle01"/>
          <w:rFonts w:ascii="Calibri" w:hAnsi="Calibri" w:cs="Calibri"/>
        </w:rPr>
        <w:t>The council recognises that it has no regulatory powers to direct Registered Providers in their decisions about the tenancy terms (lengths) they may offer. However, the Council expects that Registered Providers in the District will have regard to this Tenancy Strategy in their decision making process, both at the point a property is let and when the tenancy is reviewed.</w:t>
      </w:r>
    </w:p>
    <w:p w:rsidR="00CC0DFC" w:rsidRDefault="00CC0DFC" w:rsidP="00CC0DFC">
      <w:pPr>
        <w:rPr>
          <w:rStyle w:val="fontstyle01"/>
          <w:rFonts w:ascii="Calibri" w:hAnsi="Calibri" w:cs="Calibri"/>
        </w:rPr>
      </w:pPr>
      <w:r>
        <w:rPr>
          <w:rStyle w:val="fontstyle01"/>
          <w:rFonts w:ascii="Calibri" w:hAnsi="Calibri" w:cs="Calibri"/>
        </w:rPr>
        <w:br w:type="page"/>
      </w:r>
    </w:p>
    <w:p w:rsidR="00494702" w:rsidRDefault="00494702" w:rsidP="00343E6F">
      <w:pPr>
        <w:rPr>
          <w:rStyle w:val="Heading1Char"/>
        </w:rPr>
      </w:pPr>
      <w:r w:rsidRPr="00343E6F">
        <w:rPr>
          <w:rStyle w:val="Heading1Char"/>
        </w:rPr>
        <w:lastRenderedPageBreak/>
        <w:t>Key Principles of the Tenancy Strategy</w:t>
      </w:r>
    </w:p>
    <w:p w:rsidR="00CC0DFC" w:rsidRPr="00C73372" w:rsidRDefault="00CC0DFC" w:rsidP="00CC0DFC">
      <w:pPr>
        <w:rPr>
          <w:rStyle w:val="fontstyle01"/>
          <w:rFonts w:ascii="Calibri" w:hAnsi="Calibri" w:cs="Calibri"/>
        </w:rPr>
      </w:pPr>
      <w:r>
        <w:rPr>
          <w:rStyle w:val="fontstyle01"/>
          <w:rFonts w:ascii="Calibri" w:hAnsi="Calibri" w:cs="Calibri"/>
        </w:rPr>
        <w:t xml:space="preserve">The key principle </w:t>
      </w:r>
      <w:r w:rsidRPr="00C73372">
        <w:rPr>
          <w:rStyle w:val="fontstyle01"/>
          <w:rFonts w:ascii="Calibri" w:hAnsi="Calibri" w:cs="Calibri"/>
        </w:rPr>
        <w:t xml:space="preserve">of the strategy is to promote the fair and efficient use of the District’s affordable housing stock. </w:t>
      </w:r>
      <w:r>
        <w:rPr>
          <w:rStyle w:val="fontstyle01"/>
          <w:rFonts w:ascii="Calibri" w:hAnsi="Calibri" w:cs="Calibri"/>
        </w:rPr>
        <w:t xml:space="preserve"> In doing so, </w:t>
      </w:r>
      <w:r w:rsidRPr="00C73372">
        <w:rPr>
          <w:rStyle w:val="fontstyle01"/>
          <w:rFonts w:ascii="Calibri" w:hAnsi="Calibri" w:cs="Calibri"/>
        </w:rPr>
        <w:t>it recognises that there is a balance to be struck in providing tenancy terms of sufficient length that households may enjoy some stability and quality of life, against the potential benefit of carrying out periodic reviews to re-assesses and re-confirm residents’ requirement for a specific type of home. It is recognised that Registered Providers will apply their own policies to the issue of fixed term tenancies and tenancy reviews.  In doing so the Council expects Registered Providers to have regard to the following principles which are designed to ensure that the use of fixed tenancies and tenancy reviews promotes effective use of the housing stock whilst at the same time protecting the interests of households with a long term need for affordable housing.</w:t>
      </w:r>
    </w:p>
    <w:p w:rsidR="00CE3506" w:rsidRPr="00CC0DFC" w:rsidRDefault="00E41500" w:rsidP="00CC0DFC">
      <w:pPr>
        <w:pStyle w:val="Heading2"/>
        <w:rPr>
          <w:rStyle w:val="fontstyle01"/>
          <w:rFonts w:asciiTheme="majorHAnsi" w:hAnsiTheme="majorHAnsi" w:cstheme="majorBidi"/>
          <w:color w:val="17365D" w:themeColor="text2" w:themeShade="BF"/>
          <w:sz w:val="28"/>
          <w:szCs w:val="28"/>
        </w:rPr>
      </w:pPr>
      <w:r w:rsidRPr="00CC0DFC">
        <w:rPr>
          <w:rStyle w:val="fontstyle01"/>
          <w:rFonts w:asciiTheme="majorHAnsi" w:hAnsiTheme="majorHAnsi" w:cstheme="majorBidi"/>
          <w:color w:val="17365D" w:themeColor="text2" w:themeShade="BF"/>
          <w:sz w:val="28"/>
          <w:szCs w:val="28"/>
        </w:rPr>
        <w:t>Housing Affordability</w:t>
      </w:r>
    </w:p>
    <w:p w:rsidR="00CE3506" w:rsidRPr="00C73372" w:rsidRDefault="00CE3506" w:rsidP="00343E6F">
      <w:pPr>
        <w:rPr>
          <w:rStyle w:val="fontstyle01"/>
          <w:rFonts w:ascii="Calibri" w:hAnsi="Calibri" w:cs="Calibri"/>
          <w:b/>
          <w:bCs/>
        </w:rPr>
      </w:pPr>
      <w:r w:rsidRPr="00C73372">
        <w:rPr>
          <w:rStyle w:val="fontstyle01"/>
          <w:rFonts w:ascii="Calibri" w:hAnsi="Calibri" w:cs="Calibri"/>
          <w:bCs/>
        </w:rPr>
        <w:t xml:space="preserve">Registered Providers should have regard to the cost of market housing in Chichester when undertaking tenancy reviews and forming a view as to whether a fixed term tenancy for an affordable tenancy should be renewed. As a guideline it is suggested that the combined rent and service charge should not amount to more than 25% of gross income. Guidance on costs for home ownership and private renting are shown in Appendix 1.  </w:t>
      </w:r>
    </w:p>
    <w:p w:rsidR="00CE3506" w:rsidRPr="00A90109" w:rsidRDefault="00E41500" w:rsidP="00CC0DFC">
      <w:pPr>
        <w:pStyle w:val="Heading2"/>
        <w:rPr>
          <w:rStyle w:val="fontstyle01"/>
          <w:rFonts w:asciiTheme="majorHAnsi" w:hAnsiTheme="majorHAnsi" w:cstheme="majorBidi"/>
          <w:color w:val="17365D" w:themeColor="text2" w:themeShade="BF"/>
          <w:sz w:val="28"/>
          <w:szCs w:val="28"/>
        </w:rPr>
      </w:pPr>
      <w:r w:rsidRPr="00A90109">
        <w:rPr>
          <w:rStyle w:val="fontstyle01"/>
          <w:rFonts w:asciiTheme="majorHAnsi" w:hAnsiTheme="majorHAnsi" w:cstheme="majorBidi"/>
          <w:color w:val="17365D" w:themeColor="text2" w:themeShade="BF"/>
          <w:sz w:val="28"/>
          <w:szCs w:val="28"/>
        </w:rPr>
        <w:t xml:space="preserve">Homelessness prevention </w:t>
      </w:r>
    </w:p>
    <w:p w:rsidR="00A90109" w:rsidRDefault="00D20A96" w:rsidP="00343E6F">
      <w:pPr>
        <w:rPr>
          <w:rStyle w:val="fontstyle01"/>
          <w:rFonts w:ascii="Calibri" w:hAnsi="Calibri" w:cs="Calibri"/>
        </w:rPr>
      </w:pPr>
      <w:r w:rsidRPr="00A90109">
        <w:rPr>
          <w:rStyle w:val="fontstyle01"/>
          <w:rFonts w:ascii="Calibri" w:hAnsi="Calibri" w:cs="Calibri"/>
        </w:rPr>
        <w:t>Registered Providers should consider the</w:t>
      </w:r>
      <w:r w:rsidR="00D31DC0" w:rsidRPr="00A90109">
        <w:rPr>
          <w:rStyle w:val="fontstyle01"/>
          <w:rFonts w:ascii="Calibri" w:hAnsi="Calibri" w:cs="Calibri"/>
        </w:rPr>
        <w:t xml:space="preserve"> </w:t>
      </w:r>
      <w:r w:rsidRPr="00A90109">
        <w:rPr>
          <w:rStyle w:val="fontstyle01"/>
          <w:rFonts w:ascii="Calibri" w:hAnsi="Calibri" w:cs="Calibri"/>
        </w:rPr>
        <w:t>implications and consequences of their decision with regard to potential homelessness that</w:t>
      </w:r>
      <w:r w:rsidR="00D31DC0" w:rsidRPr="00A90109">
        <w:rPr>
          <w:rStyle w:val="fontstyle01"/>
          <w:rFonts w:ascii="Calibri" w:hAnsi="Calibri" w:cs="Calibri"/>
        </w:rPr>
        <w:t xml:space="preserve"> </w:t>
      </w:r>
      <w:r w:rsidRPr="00A90109">
        <w:rPr>
          <w:rStyle w:val="fontstyle01"/>
          <w:rFonts w:ascii="Calibri" w:hAnsi="Calibri" w:cs="Calibri"/>
        </w:rPr>
        <w:t>may result</w:t>
      </w:r>
      <w:r w:rsidR="00CA0B6B" w:rsidRPr="00A90109">
        <w:rPr>
          <w:rStyle w:val="fontstyle01"/>
          <w:rFonts w:ascii="Calibri" w:hAnsi="Calibri" w:cs="Calibri"/>
        </w:rPr>
        <w:t xml:space="preserve"> from the ending of a fixed term tenancy</w:t>
      </w:r>
      <w:r w:rsidRPr="00A90109">
        <w:rPr>
          <w:rStyle w:val="fontstyle01"/>
          <w:rFonts w:ascii="Calibri" w:hAnsi="Calibri" w:cs="Calibri"/>
        </w:rPr>
        <w:t>. On review, before making a final decision, RPs should explore with the tenant</w:t>
      </w:r>
      <w:r w:rsidR="00D31DC0" w:rsidRPr="00A90109">
        <w:rPr>
          <w:rStyle w:val="fontstyle01"/>
          <w:rFonts w:ascii="Calibri" w:hAnsi="Calibri" w:cs="Calibri"/>
        </w:rPr>
        <w:t xml:space="preserve"> </w:t>
      </w:r>
      <w:r w:rsidRPr="00A90109">
        <w:rPr>
          <w:rStyle w:val="fontstyle01"/>
          <w:rFonts w:ascii="Calibri" w:hAnsi="Calibri" w:cs="Calibri"/>
        </w:rPr>
        <w:t>possible housing alternatives so that homelessness is avoided. This may include:</w:t>
      </w:r>
    </w:p>
    <w:p w:rsidR="00A90109" w:rsidRDefault="00D20A96" w:rsidP="00343E6F">
      <w:pPr>
        <w:pStyle w:val="ListParagraph"/>
        <w:numPr>
          <w:ilvl w:val="0"/>
          <w:numId w:val="16"/>
        </w:numPr>
        <w:rPr>
          <w:rStyle w:val="fontstyle01"/>
          <w:rFonts w:ascii="Calibri" w:hAnsi="Calibri" w:cs="Calibri"/>
        </w:rPr>
      </w:pPr>
      <w:r w:rsidRPr="00A90109">
        <w:rPr>
          <w:rStyle w:val="fontstyle01"/>
          <w:rFonts w:ascii="Calibri" w:hAnsi="Calibri" w:cs="Calibri"/>
        </w:rPr>
        <w:t>Transferring to alternative more suitable accommo</w:t>
      </w:r>
      <w:r w:rsidR="00D31DC0" w:rsidRPr="00A90109">
        <w:rPr>
          <w:rStyle w:val="fontstyle01"/>
          <w:rFonts w:ascii="Calibri" w:hAnsi="Calibri" w:cs="Calibri"/>
        </w:rPr>
        <w:t>dation, for example, downsizing</w:t>
      </w:r>
    </w:p>
    <w:p w:rsidR="00CA0B6B" w:rsidRDefault="00D20A96" w:rsidP="00343E6F">
      <w:pPr>
        <w:pStyle w:val="ListParagraph"/>
        <w:numPr>
          <w:ilvl w:val="0"/>
          <w:numId w:val="16"/>
        </w:numPr>
        <w:rPr>
          <w:rStyle w:val="fontstyle01"/>
          <w:rFonts w:ascii="Calibri" w:hAnsi="Calibri" w:cs="Calibri"/>
        </w:rPr>
      </w:pPr>
      <w:r w:rsidRPr="00A90109">
        <w:rPr>
          <w:rStyle w:val="fontstyle01"/>
          <w:rFonts w:ascii="Calibri" w:hAnsi="Calibri" w:cs="Calibri"/>
        </w:rPr>
        <w:t>Varying the rent level w</w:t>
      </w:r>
      <w:r w:rsidR="00CA0B6B" w:rsidRPr="00A90109">
        <w:rPr>
          <w:rStyle w:val="fontstyle01"/>
          <w:rFonts w:ascii="Calibri" w:hAnsi="Calibri" w:cs="Calibri"/>
        </w:rPr>
        <w:t>h</w:t>
      </w:r>
      <w:r w:rsidRPr="00A90109">
        <w:rPr>
          <w:rStyle w:val="fontstyle01"/>
          <w:rFonts w:ascii="Calibri" w:hAnsi="Calibri" w:cs="Calibri"/>
        </w:rPr>
        <w:t>ere the tenant`s income has increased (but their income is</w:t>
      </w:r>
      <w:r w:rsidR="00D31DC0" w:rsidRPr="00A90109">
        <w:rPr>
          <w:rStyle w:val="fontstyle01"/>
          <w:rFonts w:ascii="Calibri" w:hAnsi="Calibri" w:cs="Calibri"/>
        </w:rPr>
        <w:t xml:space="preserve"> </w:t>
      </w:r>
      <w:r w:rsidRPr="00A90109">
        <w:rPr>
          <w:rStyle w:val="fontstyle01"/>
          <w:rFonts w:ascii="Calibri" w:hAnsi="Calibri" w:cs="Calibri"/>
        </w:rPr>
        <w:t>still not high enough to secure market housing).</w:t>
      </w:r>
    </w:p>
    <w:p w:rsidR="00A90109" w:rsidRPr="00A90109" w:rsidRDefault="00A90109" w:rsidP="00343E6F">
      <w:pPr>
        <w:pStyle w:val="ListParagraph"/>
        <w:rPr>
          <w:rStyle w:val="fontstyle01"/>
          <w:rFonts w:ascii="Calibri" w:hAnsi="Calibri" w:cs="Calibri"/>
        </w:rPr>
      </w:pPr>
    </w:p>
    <w:p w:rsidR="00FF5264" w:rsidRPr="00A90109" w:rsidRDefault="00CA0B6B" w:rsidP="00CC0DFC">
      <w:pPr>
        <w:pStyle w:val="Heading2"/>
        <w:rPr>
          <w:rStyle w:val="fontstyle01"/>
          <w:rFonts w:asciiTheme="majorHAnsi" w:hAnsiTheme="majorHAnsi" w:cstheme="majorBidi"/>
          <w:color w:val="17365D" w:themeColor="text2" w:themeShade="BF"/>
          <w:sz w:val="28"/>
          <w:szCs w:val="28"/>
        </w:rPr>
      </w:pPr>
      <w:r w:rsidRPr="00A90109">
        <w:rPr>
          <w:rStyle w:val="fontstyle01"/>
          <w:rFonts w:asciiTheme="majorHAnsi" w:hAnsiTheme="majorHAnsi" w:cstheme="majorBidi"/>
          <w:color w:val="17365D" w:themeColor="text2" w:themeShade="BF"/>
          <w:sz w:val="28"/>
          <w:szCs w:val="28"/>
        </w:rPr>
        <w:t>Vulnerable groups</w:t>
      </w:r>
    </w:p>
    <w:p w:rsidR="00CA0B6B" w:rsidRPr="00A90109" w:rsidRDefault="00D20A96" w:rsidP="00343E6F">
      <w:pPr>
        <w:rPr>
          <w:rStyle w:val="fontstyle01"/>
          <w:rFonts w:asciiTheme="minorHAnsi" w:hAnsiTheme="minorHAnsi" w:cstheme="minorHAnsi"/>
        </w:rPr>
      </w:pPr>
      <w:r w:rsidRPr="00A90109">
        <w:rPr>
          <w:rStyle w:val="fontstyle01"/>
          <w:rFonts w:asciiTheme="minorHAnsi" w:hAnsiTheme="minorHAnsi" w:cstheme="minorHAnsi"/>
        </w:rPr>
        <w:t xml:space="preserve">In some circumstances, fixed term tenancies </w:t>
      </w:r>
      <w:r w:rsidR="00CA0B6B" w:rsidRPr="00A90109">
        <w:rPr>
          <w:rStyle w:val="fontstyle01"/>
          <w:rFonts w:asciiTheme="minorHAnsi" w:hAnsiTheme="minorHAnsi" w:cstheme="minorHAnsi"/>
        </w:rPr>
        <w:t>may not be</w:t>
      </w:r>
      <w:r w:rsidRPr="00A90109">
        <w:rPr>
          <w:rStyle w:val="fontstyle01"/>
          <w:rFonts w:asciiTheme="minorHAnsi" w:hAnsiTheme="minorHAnsi" w:cstheme="minorHAnsi"/>
        </w:rPr>
        <w:t xml:space="preserve"> appropriate</w:t>
      </w:r>
      <w:r w:rsidR="00CA0B6B" w:rsidRPr="00A90109">
        <w:rPr>
          <w:rStyle w:val="fontstyle01"/>
          <w:rFonts w:asciiTheme="minorHAnsi" w:hAnsiTheme="minorHAnsi" w:cstheme="minorHAnsi"/>
        </w:rPr>
        <w:t xml:space="preserve"> and</w:t>
      </w:r>
      <w:r w:rsidRPr="00A90109">
        <w:rPr>
          <w:rStyle w:val="fontstyle01"/>
          <w:rFonts w:asciiTheme="minorHAnsi" w:hAnsiTheme="minorHAnsi" w:cstheme="minorHAnsi"/>
        </w:rPr>
        <w:t xml:space="preserve"> lifetime tenanc</w:t>
      </w:r>
      <w:r w:rsidR="00CA0B6B" w:rsidRPr="00A90109">
        <w:rPr>
          <w:rStyle w:val="fontstyle01"/>
          <w:rFonts w:asciiTheme="minorHAnsi" w:hAnsiTheme="minorHAnsi" w:cstheme="minorHAnsi"/>
        </w:rPr>
        <w:t xml:space="preserve">ies </w:t>
      </w:r>
      <w:r w:rsidRPr="00A90109">
        <w:rPr>
          <w:rStyle w:val="fontstyle01"/>
          <w:rFonts w:asciiTheme="minorHAnsi" w:hAnsiTheme="minorHAnsi" w:cstheme="minorHAnsi"/>
        </w:rPr>
        <w:t xml:space="preserve">should be awarded. </w:t>
      </w:r>
      <w:r w:rsidR="00CA0B6B" w:rsidRPr="00A90109">
        <w:rPr>
          <w:rStyle w:val="fontstyle01"/>
          <w:rFonts w:asciiTheme="minorHAnsi" w:hAnsiTheme="minorHAnsi" w:cstheme="minorHAnsi"/>
        </w:rPr>
        <w:t xml:space="preserve">This might include long term accommodation which is </w:t>
      </w:r>
      <w:r w:rsidRPr="00A90109">
        <w:rPr>
          <w:rStyle w:val="fontstyle01"/>
          <w:rFonts w:asciiTheme="minorHAnsi" w:hAnsiTheme="minorHAnsi" w:cstheme="minorHAnsi"/>
        </w:rPr>
        <w:t xml:space="preserve">specifically suited to meet the needs of </w:t>
      </w:r>
      <w:r w:rsidR="00CA0B6B" w:rsidRPr="00A90109">
        <w:rPr>
          <w:rStyle w:val="fontstyle01"/>
          <w:rFonts w:asciiTheme="minorHAnsi" w:hAnsiTheme="minorHAnsi" w:cstheme="minorHAnsi"/>
        </w:rPr>
        <w:t xml:space="preserve">vulnerable </w:t>
      </w:r>
      <w:r w:rsidRPr="00A90109">
        <w:rPr>
          <w:rStyle w:val="fontstyle01"/>
          <w:rFonts w:asciiTheme="minorHAnsi" w:hAnsiTheme="minorHAnsi" w:cstheme="minorHAnsi"/>
        </w:rPr>
        <w:t>groups</w:t>
      </w:r>
      <w:r w:rsidR="00700516" w:rsidRPr="00A90109">
        <w:rPr>
          <w:rStyle w:val="fontstyle01"/>
          <w:rFonts w:asciiTheme="minorHAnsi" w:hAnsiTheme="minorHAnsi" w:cstheme="minorHAnsi"/>
        </w:rPr>
        <w:t xml:space="preserve"> been provided. </w:t>
      </w:r>
      <w:r w:rsidR="00CA0B6B" w:rsidRPr="00A90109">
        <w:rPr>
          <w:rStyle w:val="fontstyle01"/>
          <w:rFonts w:asciiTheme="minorHAnsi" w:hAnsiTheme="minorHAnsi" w:cstheme="minorHAnsi"/>
        </w:rPr>
        <w:t xml:space="preserve">This could include extra care housing, and retirement schemes. </w:t>
      </w:r>
    </w:p>
    <w:p w:rsidR="00CA0B6B" w:rsidRPr="00A90109" w:rsidRDefault="00CA0B6B" w:rsidP="00CC0DFC">
      <w:pPr>
        <w:pStyle w:val="Heading2"/>
        <w:rPr>
          <w:rStyle w:val="fontstyle01"/>
          <w:rFonts w:asciiTheme="majorHAnsi" w:hAnsiTheme="majorHAnsi" w:cstheme="majorBidi"/>
          <w:color w:val="17365D" w:themeColor="text2" w:themeShade="BF"/>
          <w:sz w:val="28"/>
          <w:szCs w:val="28"/>
        </w:rPr>
      </w:pPr>
      <w:r w:rsidRPr="00A90109">
        <w:rPr>
          <w:rStyle w:val="fontstyle01"/>
          <w:rFonts w:asciiTheme="majorHAnsi" w:hAnsiTheme="majorHAnsi" w:cstheme="majorBidi"/>
          <w:color w:val="17365D" w:themeColor="text2" w:themeShade="BF"/>
          <w:sz w:val="28"/>
          <w:szCs w:val="28"/>
        </w:rPr>
        <w:t>Homes that have been adapted</w:t>
      </w:r>
    </w:p>
    <w:p w:rsidR="001C3936" w:rsidRPr="00A90109" w:rsidRDefault="00D20A96" w:rsidP="00343E6F">
      <w:pPr>
        <w:rPr>
          <w:rStyle w:val="fontstyle01"/>
          <w:rFonts w:asciiTheme="minorHAnsi" w:hAnsiTheme="minorHAnsi" w:cstheme="minorHAnsi"/>
        </w:rPr>
      </w:pPr>
      <w:r w:rsidRPr="00A90109">
        <w:rPr>
          <w:rStyle w:val="fontstyle01"/>
          <w:rFonts w:asciiTheme="minorHAnsi" w:hAnsiTheme="minorHAnsi" w:cstheme="minorHAnsi"/>
        </w:rPr>
        <w:t>Where significant adaptation</w:t>
      </w:r>
      <w:r w:rsidR="00700516" w:rsidRPr="00A90109">
        <w:rPr>
          <w:rStyle w:val="fontstyle01"/>
          <w:rFonts w:asciiTheme="minorHAnsi" w:hAnsiTheme="minorHAnsi" w:cstheme="minorHAnsi"/>
        </w:rPr>
        <w:t xml:space="preserve">s </w:t>
      </w:r>
      <w:r w:rsidRPr="00A90109">
        <w:rPr>
          <w:rStyle w:val="fontstyle01"/>
          <w:rFonts w:asciiTheme="minorHAnsi" w:hAnsiTheme="minorHAnsi" w:cstheme="minorHAnsi"/>
        </w:rPr>
        <w:t xml:space="preserve">to a property </w:t>
      </w:r>
      <w:r w:rsidR="00700516" w:rsidRPr="00A90109">
        <w:rPr>
          <w:rStyle w:val="fontstyle01"/>
          <w:rFonts w:asciiTheme="minorHAnsi" w:hAnsiTheme="minorHAnsi" w:cstheme="minorHAnsi"/>
        </w:rPr>
        <w:t xml:space="preserve">have been provided </w:t>
      </w:r>
      <w:r w:rsidRPr="00A90109">
        <w:rPr>
          <w:rStyle w:val="fontstyle01"/>
          <w:rFonts w:asciiTheme="minorHAnsi" w:hAnsiTheme="minorHAnsi" w:cstheme="minorHAnsi"/>
        </w:rPr>
        <w:t>(for example a through floor</w:t>
      </w:r>
      <w:r w:rsidR="00700516" w:rsidRPr="00A90109">
        <w:rPr>
          <w:rStyle w:val="fontstyle01"/>
          <w:rFonts w:asciiTheme="minorHAnsi" w:hAnsiTheme="minorHAnsi" w:cstheme="minorHAnsi"/>
        </w:rPr>
        <w:t xml:space="preserve"> </w:t>
      </w:r>
      <w:r w:rsidRPr="00A90109">
        <w:rPr>
          <w:rStyle w:val="fontstyle01"/>
          <w:rFonts w:asciiTheme="minorHAnsi" w:hAnsiTheme="minorHAnsi" w:cstheme="minorHAnsi"/>
        </w:rPr>
        <w:t xml:space="preserve">lift, level access shower, extension or stair lift) to meet the needs of </w:t>
      </w:r>
      <w:r w:rsidR="00700516" w:rsidRPr="00A90109">
        <w:rPr>
          <w:rStyle w:val="fontstyle01"/>
          <w:rFonts w:asciiTheme="minorHAnsi" w:hAnsiTheme="minorHAnsi" w:cstheme="minorHAnsi"/>
        </w:rPr>
        <w:t>a member of the tenant’s household</w:t>
      </w:r>
      <w:r w:rsidR="00AB6DDC" w:rsidRPr="00A90109">
        <w:rPr>
          <w:rStyle w:val="fontstyle01"/>
          <w:rFonts w:asciiTheme="minorHAnsi" w:hAnsiTheme="minorHAnsi" w:cstheme="minorHAnsi"/>
        </w:rPr>
        <w:t>, it</w:t>
      </w:r>
      <w:r w:rsidRPr="00A90109">
        <w:rPr>
          <w:rStyle w:val="fontstyle01"/>
          <w:rFonts w:asciiTheme="minorHAnsi" w:hAnsiTheme="minorHAnsi" w:cstheme="minorHAnsi"/>
        </w:rPr>
        <w:t xml:space="preserve"> is expected that the household</w:t>
      </w:r>
      <w:r w:rsidR="00700516" w:rsidRPr="00A90109">
        <w:rPr>
          <w:rStyle w:val="fontstyle01"/>
          <w:rFonts w:asciiTheme="minorHAnsi" w:hAnsiTheme="minorHAnsi" w:cstheme="minorHAnsi"/>
        </w:rPr>
        <w:t xml:space="preserve"> </w:t>
      </w:r>
      <w:r w:rsidRPr="00A90109">
        <w:rPr>
          <w:rStyle w:val="fontstyle01"/>
          <w:rFonts w:asciiTheme="minorHAnsi" w:hAnsiTheme="minorHAnsi" w:cstheme="minorHAnsi"/>
        </w:rPr>
        <w:t xml:space="preserve">may continue to live in that property for as long as </w:t>
      </w:r>
      <w:r w:rsidR="00700516" w:rsidRPr="00A90109">
        <w:rPr>
          <w:rStyle w:val="fontstyle01"/>
          <w:rFonts w:asciiTheme="minorHAnsi" w:hAnsiTheme="minorHAnsi" w:cstheme="minorHAnsi"/>
        </w:rPr>
        <w:t>the</w:t>
      </w:r>
      <w:r w:rsidRPr="00A90109">
        <w:rPr>
          <w:rStyle w:val="fontstyle01"/>
          <w:rFonts w:asciiTheme="minorHAnsi" w:hAnsiTheme="minorHAnsi" w:cstheme="minorHAnsi"/>
        </w:rPr>
        <w:t xml:space="preserve"> disabled household member</w:t>
      </w:r>
      <w:r w:rsidR="00700516" w:rsidRPr="00A90109">
        <w:rPr>
          <w:rStyle w:val="fontstyle01"/>
          <w:rFonts w:asciiTheme="minorHAnsi" w:hAnsiTheme="minorHAnsi" w:cstheme="minorHAnsi"/>
        </w:rPr>
        <w:t xml:space="preserve"> </w:t>
      </w:r>
      <w:r w:rsidRPr="00A90109">
        <w:rPr>
          <w:rStyle w:val="fontstyle01"/>
          <w:rFonts w:asciiTheme="minorHAnsi" w:hAnsiTheme="minorHAnsi" w:cstheme="minorHAnsi"/>
        </w:rPr>
        <w:t xml:space="preserve">who requires that adaptation </w:t>
      </w:r>
      <w:r w:rsidR="00700516" w:rsidRPr="00A90109">
        <w:rPr>
          <w:rStyle w:val="fontstyle01"/>
          <w:rFonts w:asciiTheme="minorHAnsi" w:hAnsiTheme="minorHAnsi" w:cstheme="minorHAnsi"/>
        </w:rPr>
        <w:t xml:space="preserve">continues to reside </w:t>
      </w:r>
      <w:r w:rsidRPr="00A90109">
        <w:rPr>
          <w:rStyle w:val="fontstyle01"/>
          <w:rFonts w:asciiTheme="minorHAnsi" w:hAnsiTheme="minorHAnsi" w:cstheme="minorHAnsi"/>
        </w:rPr>
        <w:t xml:space="preserve">in the property. </w:t>
      </w:r>
    </w:p>
    <w:p w:rsidR="001C3936" w:rsidRPr="00A90109" w:rsidRDefault="001C3936" w:rsidP="00CC0DFC">
      <w:pPr>
        <w:pStyle w:val="Heading2"/>
        <w:rPr>
          <w:rStyle w:val="fontstyle01"/>
          <w:rFonts w:asciiTheme="majorHAnsi" w:hAnsiTheme="majorHAnsi" w:cstheme="majorBidi"/>
          <w:color w:val="17365D" w:themeColor="text2" w:themeShade="BF"/>
          <w:sz w:val="28"/>
          <w:szCs w:val="28"/>
        </w:rPr>
      </w:pPr>
      <w:r w:rsidRPr="00A90109">
        <w:rPr>
          <w:rStyle w:val="fontstyle01"/>
          <w:rFonts w:asciiTheme="majorHAnsi" w:hAnsiTheme="majorHAnsi" w:cstheme="majorBidi"/>
          <w:color w:val="17365D" w:themeColor="text2" w:themeShade="BF"/>
          <w:sz w:val="28"/>
          <w:szCs w:val="28"/>
        </w:rPr>
        <w:lastRenderedPageBreak/>
        <w:t>Transfers and Mutual Exchanges</w:t>
      </w:r>
    </w:p>
    <w:p w:rsidR="001C3936" w:rsidRPr="00A90109" w:rsidRDefault="00D20A96" w:rsidP="00343E6F">
      <w:pPr>
        <w:rPr>
          <w:rStyle w:val="fontstyle01"/>
          <w:rFonts w:asciiTheme="minorHAnsi" w:hAnsiTheme="minorHAnsi" w:cstheme="minorHAnsi"/>
        </w:rPr>
      </w:pPr>
      <w:r w:rsidRPr="009721D1">
        <w:rPr>
          <w:rStyle w:val="fontstyle01"/>
          <w:rFonts w:asciiTheme="minorHAnsi" w:hAnsiTheme="minorHAnsi" w:cstheme="minorHAnsi"/>
        </w:rPr>
        <w:t>Where an existing tenant holds a lifetime tenancy and they transfer from one property in the</w:t>
      </w:r>
      <w:r w:rsidR="005A2962" w:rsidRPr="009721D1">
        <w:rPr>
          <w:rStyle w:val="fontstyle01"/>
          <w:rFonts w:asciiTheme="minorHAnsi" w:hAnsiTheme="minorHAnsi" w:cstheme="minorHAnsi"/>
        </w:rPr>
        <w:t xml:space="preserve"> District</w:t>
      </w:r>
      <w:r w:rsidRPr="009721D1">
        <w:rPr>
          <w:rStyle w:val="fontstyle01"/>
          <w:rFonts w:asciiTheme="minorHAnsi" w:hAnsiTheme="minorHAnsi" w:cstheme="minorHAnsi"/>
        </w:rPr>
        <w:t xml:space="preserve"> to another also in the </w:t>
      </w:r>
      <w:r w:rsidR="00DD136D" w:rsidRPr="009721D1">
        <w:rPr>
          <w:rStyle w:val="fontstyle01"/>
          <w:rFonts w:asciiTheme="minorHAnsi" w:hAnsiTheme="minorHAnsi" w:cstheme="minorHAnsi"/>
        </w:rPr>
        <w:t>District</w:t>
      </w:r>
      <w:r w:rsidRPr="009721D1">
        <w:rPr>
          <w:rStyle w:val="fontstyle01"/>
          <w:rFonts w:asciiTheme="minorHAnsi" w:hAnsiTheme="minorHAnsi" w:cstheme="minorHAnsi"/>
        </w:rPr>
        <w:t xml:space="preserve"> it is expected that their lifetime tenancy will transfer</w:t>
      </w:r>
      <w:r w:rsidR="005A2962" w:rsidRPr="009721D1">
        <w:rPr>
          <w:rStyle w:val="fontstyle01"/>
          <w:rFonts w:asciiTheme="minorHAnsi" w:hAnsiTheme="minorHAnsi" w:cstheme="minorHAnsi"/>
        </w:rPr>
        <w:t xml:space="preserve"> </w:t>
      </w:r>
      <w:r w:rsidRPr="009721D1">
        <w:rPr>
          <w:rStyle w:val="fontstyle01"/>
          <w:rFonts w:asciiTheme="minorHAnsi" w:hAnsiTheme="minorHAnsi" w:cstheme="minorHAnsi"/>
        </w:rPr>
        <w:t>with them. This</w:t>
      </w:r>
      <w:r w:rsidRPr="00A90109">
        <w:rPr>
          <w:rStyle w:val="fontstyle01"/>
          <w:rFonts w:asciiTheme="minorHAnsi" w:hAnsiTheme="minorHAnsi" w:cstheme="minorHAnsi"/>
        </w:rPr>
        <w:t xml:space="preserve"> applies </w:t>
      </w:r>
      <w:r w:rsidR="001C3936" w:rsidRPr="00A90109">
        <w:rPr>
          <w:rStyle w:val="fontstyle01"/>
          <w:rFonts w:asciiTheme="minorHAnsi" w:hAnsiTheme="minorHAnsi" w:cstheme="minorHAnsi"/>
        </w:rPr>
        <w:t>to</w:t>
      </w:r>
      <w:r w:rsidRPr="00A90109">
        <w:rPr>
          <w:rStyle w:val="fontstyle01"/>
          <w:rFonts w:asciiTheme="minorHAnsi" w:hAnsiTheme="minorHAnsi" w:cstheme="minorHAnsi"/>
        </w:rPr>
        <w:t xml:space="preserve"> tenants transferring from one RP to another and transferring with</w:t>
      </w:r>
      <w:r w:rsidR="005A2962" w:rsidRPr="00A90109">
        <w:rPr>
          <w:rStyle w:val="fontstyle01"/>
          <w:rFonts w:asciiTheme="minorHAnsi" w:hAnsiTheme="minorHAnsi" w:cstheme="minorHAnsi"/>
        </w:rPr>
        <w:t xml:space="preserve"> </w:t>
      </w:r>
      <w:r w:rsidRPr="00A90109">
        <w:rPr>
          <w:rStyle w:val="fontstyle01"/>
          <w:rFonts w:asciiTheme="minorHAnsi" w:hAnsiTheme="minorHAnsi" w:cstheme="minorHAnsi"/>
        </w:rPr>
        <w:t xml:space="preserve">the same RP. This is to maintain turnover of stock in the </w:t>
      </w:r>
      <w:r w:rsidR="00DD136D" w:rsidRPr="00A90109">
        <w:rPr>
          <w:rStyle w:val="fontstyle01"/>
          <w:rFonts w:asciiTheme="minorHAnsi" w:hAnsiTheme="minorHAnsi" w:cstheme="minorHAnsi"/>
        </w:rPr>
        <w:t xml:space="preserve">District </w:t>
      </w:r>
      <w:r w:rsidR="005A2962" w:rsidRPr="00A90109">
        <w:rPr>
          <w:rStyle w:val="fontstyle01"/>
          <w:rFonts w:asciiTheme="minorHAnsi" w:hAnsiTheme="minorHAnsi" w:cstheme="minorHAnsi"/>
        </w:rPr>
        <w:t xml:space="preserve">and </w:t>
      </w:r>
      <w:r w:rsidR="001C3936" w:rsidRPr="00A90109">
        <w:rPr>
          <w:rStyle w:val="fontstyle01"/>
          <w:rFonts w:asciiTheme="minorHAnsi" w:hAnsiTheme="minorHAnsi" w:cstheme="minorHAnsi"/>
        </w:rPr>
        <w:t>to encourage</w:t>
      </w:r>
      <w:r w:rsidRPr="00A90109">
        <w:rPr>
          <w:rStyle w:val="fontstyle01"/>
          <w:rFonts w:asciiTheme="minorHAnsi" w:hAnsiTheme="minorHAnsi" w:cstheme="minorHAnsi"/>
        </w:rPr>
        <w:t xml:space="preserve"> </w:t>
      </w:r>
      <w:r w:rsidR="005A2962" w:rsidRPr="00A90109">
        <w:rPr>
          <w:rStyle w:val="fontstyle01"/>
          <w:rFonts w:asciiTheme="minorHAnsi" w:hAnsiTheme="minorHAnsi" w:cstheme="minorHAnsi"/>
        </w:rPr>
        <w:t>residents to ‘</w:t>
      </w:r>
      <w:r w:rsidRPr="00A90109">
        <w:rPr>
          <w:rStyle w:val="fontstyle01"/>
          <w:rFonts w:asciiTheme="minorHAnsi" w:hAnsiTheme="minorHAnsi" w:cstheme="minorHAnsi"/>
        </w:rPr>
        <w:t>downsiz</w:t>
      </w:r>
      <w:r w:rsidR="005A2962" w:rsidRPr="00A90109">
        <w:rPr>
          <w:rStyle w:val="fontstyle01"/>
          <w:rFonts w:asciiTheme="minorHAnsi" w:hAnsiTheme="minorHAnsi" w:cstheme="minorHAnsi"/>
        </w:rPr>
        <w:t>e’</w:t>
      </w:r>
      <w:r w:rsidRPr="00A90109">
        <w:rPr>
          <w:rStyle w:val="fontstyle01"/>
          <w:rFonts w:asciiTheme="minorHAnsi" w:hAnsiTheme="minorHAnsi" w:cstheme="minorHAnsi"/>
        </w:rPr>
        <w:t xml:space="preserve"> without</w:t>
      </w:r>
      <w:r w:rsidR="00DD136D" w:rsidRPr="00A90109">
        <w:rPr>
          <w:rStyle w:val="fontstyle01"/>
          <w:rFonts w:asciiTheme="minorHAnsi" w:hAnsiTheme="minorHAnsi" w:cstheme="minorHAnsi"/>
        </w:rPr>
        <w:t xml:space="preserve"> </w:t>
      </w:r>
      <w:r w:rsidRPr="00A90109">
        <w:rPr>
          <w:rStyle w:val="fontstyle01"/>
          <w:rFonts w:asciiTheme="minorHAnsi" w:hAnsiTheme="minorHAnsi" w:cstheme="minorHAnsi"/>
        </w:rPr>
        <w:t>compromising their security of tenure.</w:t>
      </w:r>
      <w:r w:rsidR="001C3936" w:rsidRPr="00A90109">
        <w:t xml:space="preserve"> </w:t>
      </w:r>
      <w:r w:rsidRPr="00A90109">
        <w:rPr>
          <w:rStyle w:val="fontstyle01"/>
          <w:rFonts w:asciiTheme="minorHAnsi" w:hAnsiTheme="minorHAnsi" w:cstheme="minorHAnsi"/>
        </w:rPr>
        <w:t xml:space="preserve">A tenant already covered by a lifetime tenancy who has to </w:t>
      </w:r>
      <w:r w:rsidR="001C3936" w:rsidRPr="00A90109">
        <w:rPr>
          <w:rStyle w:val="fontstyle01"/>
          <w:rFonts w:asciiTheme="minorHAnsi" w:hAnsiTheme="minorHAnsi" w:cstheme="minorHAnsi"/>
        </w:rPr>
        <w:t>move</w:t>
      </w:r>
      <w:r w:rsidRPr="00A90109">
        <w:rPr>
          <w:rStyle w:val="fontstyle01"/>
          <w:rFonts w:asciiTheme="minorHAnsi" w:hAnsiTheme="minorHAnsi" w:cstheme="minorHAnsi"/>
        </w:rPr>
        <w:t xml:space="preserve"> due to a regeneration</w:t>
      </w:r>
      <w:r w:rsidR="005A2962" w:rsidRPr="00A90109">
        <w:rPr>
          <w:rStyle w:val="fontstyle01"/>
          <w:rFonts w:asciiTheme="minorHAnsi" w:hAnsiTheme="minorHAnsi" w:cstheme="minorHAnsi"/>
        </w:rPr>
        <w:t xml:space="preserve"> </w:t>
      </w:r>
      <w:r w:rsidRPr="00A90109">
        <w:rPr>
          <w:rStyle w:val="fontstyle01"/>
          <w:rFonts w:asciiTheme="minorHAnsi" w:hAnsiTheme="minorHAnsi" w:cstheme="minorHAnsi"/>
        </w:rPr>
        <w:t>scheme would be expected to retain their lifetime tenancy throughout the life of the</w:t>
      </w:r>
      <w:r w:rsidR="005A2962" w:rsidRPr="00A90109">
        <w:rPr>
          <w:rStyle w:val="fontstyle01"/>
          <w:rFonts w:asciiTheme="minorHAnsi" w:hAnsiTheme="minorHAnsi" w:cstheme="minorHAnsi"/>
        </w:rPr>
        <w:t xml:space="preserve"> </w:t>
      </w:r>
      <w:r w:rsidRPr="00A90109">
        <w:rPr>
          <w:rStyle w:val="fontstyle01"/>
          <w:rFonts w:asciiTheme="minorHAnsi" w:hAnsiTheme="minorHAnsi" w:cstheme="minorHAnsi"/>
        </w:rPr>
        <w:t>regeneration programme.</w:t>
      </w:r>
    </w:p>
    <w:p w:rsidR="001C3936" w:rsidRPr="00A90109" w:rsidRDefault="00A90109" w:rsidP="00CC0DFC">
      <w:pPr>
        <w:pStyle w:val="Heading2"/>
        <w:rPr>
          <w:rStyle w:val="fontstyle01"/>
          <w:rFonts w:asciiTheme="majorHAnsi" w:hAnsiTheme="majorHAnsi" w:cstheme="majorBidi"/>
          <w:color w:val="17365D" w:themeColor="text2" w:themeShade="BF"/>
          <w:sz w:val="28"/>
          <w:szCs w:val="28"/>
        </w:rPr>
      </w:pPr>
      <w:r w:rsidRPr="00A90109">
        <w:rPr>
          <w:rStyle w:val="fontstyle01"/>
          <w:rFonts w:asciiTheme="majorHAnsi" w:hAnsiTheme="majorHAnsi" w:cstheme="majorBidi"/>
          <w:color w:val="17365D" w:themeColor="text2" w:themeShade="BF"/>
          <w:sz w:val="28"/>
          <w:szCs w:val="28"/>
        </w:rPr>
        <w:t>Rural Housing</w:t>
      </w:r>
    </w:p>
    <w:p w:rsidR="001C3936" w:rsidRPr="00A90109" w:rsidRDefault="00D20A96" w:rsidP="00343E6F">
      <w:pPr>
        <w:rPr>
          <w:rStyle w:val="fontstyle01"/>
          <w:rFonts w:asciiTheme="minorHAnsi" w:hAnsiTheme="minorHAnsi" w:cstheme="minorHAnsi"/>
        </w:rPr>
      </w:pPr>
      <w:r w:rsidRPr="00A90109">
        <w:rPr>
          <w:rStyle w:val="fontstyle01"/>
          <w:rFonts w:asciiTheme="minorHAnsi" w:hAnsiTheme="minorHAnsi" w:cstheme="minorHAnsi"/>
        </w:rPr>
        <w:t>Rural exception scheme properties may require “local connection” eligibility to be</w:t>
      </w:r>
      <w:r w:rsidRPr="00A90109">
        <w:br/>
      </w:r>
      <w:r w:rsidRPr="00A90109">
        <w:rPr>
          <w:rStyle w:val="fontstyle01"/>
          <w:rFonts w:asciiTheme="minorHAnsi" w:hAnsiTheme="minorHAnsi" w:cstheme="minorHAnsi"/>
        </w:rPr>
        <w:t>demonstrated. This will carry significant weight and the council should be consulted in each</w:t>
      </w:r>
      <w:r w:rsidR="005A2962" w:rsidRPr="00A90109">
        <w:rPr>
          <w:rStyle w:val="fontstyle01"/>
          <w:rFonts w:asciiTheme="minorHAnsi" w:hAnsiTheme="minorHAnsi" w:cstheme="minorHAnsi"/>
        </w:rPr>
        <w:t xml:space="preserve"> </w:t>
      </w:r>
      <w:r w:rsidRPr="00A90109">
        <w:rPr>
          <w:rStyle w:val="fontstyle01"/>
          <w:rFonts w:asciiTheme="minorHAnsi" w:hAnsiTheme="minorHAnsi" w:cstheme="minorHAnsi"/>
        </w:rPr>
        <w:t>individual case with reference to the existing tenant`s ability to find suitable accommodation</w:t>
      </w:r>
      <w:r w:rsidR="005A2962" w:rsidRPr="00A90109">
        <w:rPr>
          <w:rStyle w:val="fontstyle01"/>
          <w:rFonts w:asciiTheme="minorHAnsi" w:hAnsiTheme="minorHAnsi" w:cstheme="minorHAnsi"/>
        </w:rPr>
        <w:t xml:space="preserve"> </w:t>
      </w:r>
      <w:r w:rsidRPr="00A90109">
        <w:rPr>
          <w:rStyle w:val="fontstyle01"/>
          <w:rFonts w:asciiTheme="minorHAnsi" w:hAnsiTheme="minorHAnsi" w:cstheme="minorHAnsi"/>
        </w:rPr>
        <w:t>elsewhere and the nominations that may be considered for that property if the existing</w:t>
      </w:r>
      <w:r w:rsidR="005A2962" w:rsidRPr="00A90109">
        <w:rPr>
          <w:rStyle w:val="fontstyle01"/>
          <w:rFonts w:asciiTheme="minorHAnsi" w:hAnsiTheme="minorHAnsi" w:cstheme="minorHAnsi"/>
        </w:rPr>
        <w:t xml:space="preserve"> </w:t>
      </w:r>
      <w:r w:rsidRPr="00A90109">
        <w:rPr>
          <w:rStyle w:val="fontstyle01"/>
          <w:rFonts w:asciiTheme="minorHAnsi" w:hAnsiTheme="minorHAnsi" w:cstheme="minorHAnsi"/>
        </w:rPr>
        <w:t>tenants move out.</w:t>
      </w:r>
      <w:r w:rsidR="00DD136D" w:rsidRPr="00A90109">
        <w:rPr>
          <w:rStyle w:val="fontstyle01"/>
          <w:rFonts w:asciiTheme="minorHAnsi" w:hAnsiTheme="minorHAnsi" w:cstheme="minorHAnsi"/>
        </w:rPr>
        <w:t xml:space="preserve"> </w:t>
      </w:r>
      <w:r w:rsidRPr="00A90109">
        <w:rPr>
          <w:rStyle w:val="fontstyle01"/>
          <w:rFonts w:asciiTheme="minorHAnsi" w:hAnsiTheme="minorHAnsi" w:cstheme="minorHAnsi"/>
        </w:rPr>
        <w:t>Consideration should also be given to the scarcity of housing in some rural areas. Any</w:t>
      </w:r>
      <w:r w:rsidR="00DD136D" w:rsidRPr="00A90109">
        <w:rPr>
          <w:rStyle w:val="fontstyle01"/>
          <w:rFonts w:asciiTheme="minorHAnsi" w:hAnsiTheme="minorHAnsi" w:cstheme="minorHAnsi"/>
        </w:rPr>
        <w:t xml:space="preserve"> </w:t>
      </w:r>
      <w:r w:rsidRPr="00A90109">
        <w:rPr>
          <w:rStyle w:val="fontstyle01"/>
          <w:rFonts w:asciiTheme="minorHAnsi" w:hAnsiTheme="minorHAnsi" w:cstheme="minorHAnsi"/>
        </w:rPr>
        <w:t>decision to renew, or not to renew, a tenancy will require a balance between the housing</w:t>
      </w:r>
      <w:r w:rsidR="00DD136D" w:rsidRPr="00A90109">
        <w:rPr>
          <w:rStyle w:val="fontstyle01"/>
          <w:rFonts w:asciiTheme="minorHAnsi" w:hAnsiTheme="minorHAnsi" w:cstheme="minorHAnsi"/>
        </w:rPr>
        <w:t xml:space="preserve"> </w:t>
      </w:r>
      <w:r w:rsidRPr="00A90109">
        <w:rPr>
          <w:rStyle w:val="fontstyle01"/>
          <w:rFonts w:asciiTheme="minorHAnsi" w:hAnsiTheme="minorHAnsi" w:cstheme="minorHAnsi"/>
        </w:rPr>
        <w:t>needs of those on the Housing Register and the likelihood of the existing tenant to secure</w:t>
      </w:r>
      <w:r w:rsidR="00DD136D" w:rsidRPr="00A90109">
        <w:rPr>
          <w:rStyle w:val="fontstyle01"/>
          <w:rFonts w:asciiTheme="minorHAnsi" w:hAnsiTheme="minorHAnsi" w:cstheme="minorHAnsi"/>
        </w:rPr>
        <w:t xml:space="preserve"> </w:t>
      </w:r>
      <w:r w:rsidRPr="00A90109">
        <w:rPr>
          <w:rStyle w:val="fontstyle01"/>
          <w:rFonts w:asciiTheme="minorHAnsi" w:hAnsiTheme="minorHAnsi" w:cstheme="minorHAnsi"/>
        </w:rPr>
        <w:t>other accommodation that meets their needs.</w:t>
      </w:r>
    </w:p>
    <w:p w:rsidR="001C3936" w:rsidRPr="00A90109" w:rsidRDefault="001C3936" w:rsidP="00CC0DFC">
      <w:pPr>
        <w:pStyle w:val="Heading2"/>
        <w:rPr>
          <w:rStyle w:val="fontstyle01"/>
          <w:rFonts w:asciiTheme="majorHAnsi" w:hAnsiTheme="majorHAnsi" w:cstheme="majorBidi"/>
          <w:color w:val="17365D" w:themeColor="text2" w:themeShade="BF"/>
          <w:sz w:val="28"/>
          <w:szCs w:val="28"/>
        </w:rPr>
      </w:pPr>
      <w:r w:rsidRPr="00A90109">
        <w:rPr>
          <w:rStyle w:val="fontstyle01"/>
          <w:rFonts w:asciiTheme="majorHAnsi" w:hAnsiTheme="majorHAnsi" w:cstheme="majorBidi"/>
          <w:color w:val="17365D" w:themeColor="text2" w:themeShade="BF"/>
          <w:sz w:val="28"/>
          <w:szCs w:val="28"/>
        </w:rPr>
        <w:t>Council Funding</w:t>
      </w:r>
    </w:p>
    <w:p w:rsidR="00DD136D" w:rsidRPr="00A90109" w:rsidRDefault="00DD136D" w:rsidP="00343E6F">
      <w:pPr>
        <w:rPr>
          <w:rStyle w:val="fontstyle01"/>
          <w:rFonts w:asciiTheme="minorHAnsi" w:hAnsiTheme="minorHAnsi" w:cstheme="minorHAnsi"/>
        </w:rPr>
      </w:pPr>
      <w:r w:rsidRPr="00A90109">
        <w:rPr>
          <w:rStyle w:val="fontstyle01"/>
          <w:rFonts w:asciiTheme="minorHAnsi" w:hAnsiTheme="minorHAnsi" w:cstheme="minorHAnsi"/>
        </w:rPr>
        <w:t>Chichester District</w:t>
      </w:r>
      <w:r w:rsidR="00D20A96" w:rsidRPr="00A90109">
        <w:rPr>
          <w:rStyle w:val="fontstyle01"/>
          <w:rFonts w:asciiTheme="minorHAnsi" w:hAnsiTheme="minorHAnsi" w:cstheme="minorHAnsi"/>
        </w:rPr>
        <w:t xml:space="preserve"> Council may use its own resources (land or investment</w:t>
      </w:r>
      <w:r w:rsidR="00D20A96" w:rsidRPr="00A90109">
        <w:br/>
      </w:r>
      <w:r w:rsidR="00D20A96" w:rsidRPr="00A90109">
        <w:rPr>
          <w:rStyle w:val="fontstyle01"/>
          <w:rFonts w:asciiTheme="minorHAnsi" w:hAnsiTheme="minorHAnsi" w:cstheme="minorHAnsi"/>
        </w:rPr>
        <w:t xml:space="preserve">funding) to support a development. </w:t>
      </w:r>
      <w:r w:rsidRPr="00A90109">
        <w:rPr>
          <w:rStyle w:val="fontstyle01"/>
          <w:rFonts w:asciiTheme="minorHAnsi" w:hAnsiTheme="minorHAnsi" w:cstheme="minorHAnsi"/>
        </w:rPr>
        <w:t>The C</w:t>
      </w:r>
      <w:r w:rsidR="00D20A96" w:rsidRPr="00A90109">
        <w:rPr>
          <w:rStyle w:val="fontstyle01"/>
          <w:rFonts w:asciiTheme="minorHAnsi" w:hAnsiTheme="minorHAnsi" w:cstheme="minorHAnsi"/>
        </w:rPr>
        <w:t>ouncil may, in these circumstances determine the</w:t>
      </w:r>
      <w:r w:rsidR="005A2962" w:rsidRPr="00A90109">
        <w:rPr>
          <w:rStyle w:val="fontstyle01"/>
          <w:rFonts w:asciiTheme="minorHAnsi" w:hAnsiTheme="minorHAnsi" w:cstheme="minorHAnsi"/>
        </w:rPr>
        <w:t xml:space="preserve"> </w:t>
      </w:r>
      <w:r w:rsidR="00D20A96" w:rsidRPr="00A90109">
        <w:rPr>
          <w:rStyle w:val="fontstyle01"/>
          <w:rFonts w:asciiTheme="minorHAnsi" w:hAnsiTheme="minorHAnsi" w:cstheme="minorHAnsi"/>
        </w:rPr>
        <w:t>mix and distribution of flexible and lifetime tenancies and how they should be applied as part</w:t>
      </w:r>
      <w:r w:rsidR="005A2962" w:rsidRPr="00A90109">
        <w:rPr>
          <w:rStyle w:val="fontstyle01"/>
          <w:rFonts w:asciiTheme="minorHAnsi" w:hAnsiTheme="minorHAnsi" w:cstheme="minorHAnsi"/>
        </w:rPr>
        <w:t xml:space="preserve"> </w:t>
      </w:r>
      <w:r w:rsidR="00D20A96" w:rsidRPr="00A90109">
        <w:rPr>
          <w:rStyle w:val="fontstyle01"/>
          <w:rFonts w:asciiTheme="minorHAnsi" w:hAnsiTheme="minorHAnsi" w:cstheme="minorHAnsi"/>
        </w:rPr>
        <w:t>of the lettings approach on that site. This is to ensure that council resources are used to</w:t>
      </w:r>
      <w:r w:rsidR="005A2962" w:rsidRPr="00A90109">
        <w:rPr>
          <w:rStyle w:val="fontstyle01"/>
          <w:rFonts w:asciiTheme="minorHAnsi" w:hAnsiTheme="minorHAnsi" w:cstheme="minorHAnsi"/>
        </w:rPr>
        <w:t xml:space="preserve"> </w:t>
      </w:r>
      <w:r w:rsidR="00D20A96" w:rsidRPr="00A90109">
        <w:rPr>
          <w:rStyle w:val="fontstyle01"/>
          <w:rFonts w:asciiTheme="minorHAnsi" w:hAnsiTheme="minorHAnsi" w:cstheme="minorHAnsi"/>
        </w:rPr>
        <w:t>best and sustainable effect in the delivery of affordable housing and support of households</w:t>
      </w:r>
      <w:r w:rsidR="005A2962" w:rsidRPr="00A90109">
        <w:rPr>
          <w:rStyle w:val="fontstyle01"/>
          <w:rFonts w:asciiTheme="minorHAnsi" w:hAnsiTheme="minorHAnsi" w:cstheme="minorHAnsi"/>
        </w:rPr>
        <w:t xml:space="preserve"> </w:t>
      </w:r>
      <w:r w:rsidR="00D20A96" w:rsidRPr="00A90109">
        <w:rPr>
          <w:rStyle w:val="fontstyle01"/>
          <w:rFonts w:asciiTheme="minorHAnsi" w:hAnsiTheme="minorHAnsi" w:cstheme="minorHAnsi"/>
        </w:rPr>
        <w:t>in housing need.</w:t>
      </w:r>
    </w:p>
    <w:p w:rsidR="001C3936" w:rsidRPr="009721D1" w:rsidRDefault="001C3936" w:rsidP="00CC0DFC">
      <w:pPr>
        <w:pStyle w:val="Heading2"/>
        <w:rPr>
          <w:rStyle w:val="fontstyle01"/>
          <w:rFonts w:asciiTheme="majorHAnsi" w:hAnsiTheme="majorHAnsi" w:cstheme="majorBidi"/>
          <w:color w:val="17365D" w:themeColor="text2" w:themeShade="BF"/>
          <w:sz w:val="28"/>
          <w:szCs w:val="28"/>
        </w:rPr>
      </w:pPr>
      <w:r w:rsidRPr="009721D1">
        <w:rPr>
          <w:rStyle w:val="fontstyle01"/>
          <w:rFonts w:asciiTheme="majorHAnsi" w:hAnsiTheme="majorHAnsi" w:cstheme="majorBidi"/>
          <w:color w:val="17365D" w:themeColor="text2" w:themeShade="BF"/>
          <w:sz w:val="28"/>
          <w:szCs w:val="28"/>
        </w:rPr>
        <w:t>Tenancy terms</w:t>
      </w:r>
    </w:p>
    <w:p w:rsidR="00BD0745" w:rsidRPr="00106A0F" w:rsidRDefault="00D20A96" w:rsidP="00343E6F">
      <w:pPr>
        <w:rPr>
          <w:rStyle w:val="fontstyle01"/>
          <w:rFonts w:ascii="Calibri" w:hAnsi="Calibri" w:cs="Calibri"/>
        </w:rPr>
      </w:pPr>
      <w:r w:rsidRPr="009721D1">
        <w:rPr>
          <w:rStyle w:val="fontstyle01"/>
          <w:rFonts w:ascii="Calibri" w:hAnsi="Calibri" w:cs="Calibri"/>
        </w:rPr>
        <w:t>While the Localism Act 2011 allows fixed term tenancies to be offered for a two year term,</w:t>
      </w:r>
      <w:r w:rsidR="005A2962" w:rsidRPr="009721D1">
        <w:rPr>
          <w:rStyle w:val="fontstyle01"/>
          <w:rFonts w:ascii="Calibri" w:hAnsi="Calibri" w:cs="Calibri"/>
        </w:rPr>
        <w:t xml:space="preserve"> the C</w:t>
      </w:r>
      <w:r w:rsidRPr="009721D1">
        <w:rPr>
          <w:rStyle w:val="fontstyle01"/>
          <w:rFonts w:ascii="Calibri" w:hAnsi="Calibri" w:cs="Calibri"/>
        </w:rPr>
        <w:t>ouncil would expect that fixed term tenancies should be a minimum of five years to give</w:t>
      </w:r>
      <w:r w:rsidR="005A2962" w:rsidRPr="009721D1">
        <w:rPr>
          <w:rStyle w:val="fontstyle01"/>
          <w:rFonts w:ascii="Calibri" w:hAnsi="Calibri" w:cs="Calibri"/>
        </w:rPr>
        <w:t xml:space="preserve"> </w:t>
      </w:r>
      <w:r w:rsidRPr="009721D1">
        <w:rPr>
          <w:rStyle w:val="fontstyle01"/>
          <w:rFonts w:ascii="Calibri" w:hAnsi="Calibri" w:cs="Calibri"/>
        </w:rPr>
        <w:t>some stability to households in need and for the communities in which they live. This does</w:t>
      </w:r>
      <w:r w:rsidR="005A2962" w:rsidRPr="009721D1">
        <w:rPr>
          <w:rStyle w:val="fontstyle01"/>
          <w:rFonts w:ascii="Calibri" w:hAnsi="Calibri" w:cs="Calibri"/>
        </w:rPr>
        <w:t xml:space="preserve"> </w:t>
      </w:r>
      <w:r w:rsidRPr="009721D1">
        <w:rPr>
          <w:rStyle w:val="fontstyle01"/>
          <w:rFonts w:ascii="Calibri" w:hAnsi="Calibri" w:cs="Calibri"/>
        </w:rPr>
        <w:t>not include time for probationary or starter tenancies, the terms for which would be in</w:t>
      </w:r>
      <w:r w:rsidR="005A2962" w:rsidRPr="009721D1">
        <w:rPr>
          <w:rStyle w:val="fontstyle01"/>
          <w:rFonts w:ascii="Calibri" w:hAnsi="Calibri" w:cs="Calibri"/>
        </w:rPr>
        <w:t xml:space="preserve"> </w:t>
      </w:r>
      <w:r w:rsidRPr="009721D1">
        <w:rPr>
          <w:rStyle w:val="fontstyle01"/>
          <w:rFonts w:ascii="Calibri" w:hAnsi="Calibri" w:cs="Calibri"/>
        </w:rPr>
        <w:t>addition to the five years minimum term. A term of five years allows a balance to be struck</w:t>
      </w:r>
      <w:r w:rsidR="00130E2E" w:rsidRPr="009721D1">
        <w:t xml:space="preserve"> </w:t>
      </w:r>
      <w:r w:rsidRPr="009721D1">
        <w:rPr>
          <w:rStyle w:val="fontstyle01"/>
          <w:rFonts w:ascii="Calibri" w:hAnsi="Calibri" w:cs="Calibri"/>
        </w:rPr>
        <w:t>between providing security and stability for tenants.</w:t>
      </w:r>
    </w:p>
    <w:p w:rsidR="001C3936" w:rsidRPr="009721D1" w:rsidRDefault="001C3936" w:rsidP="00CC0DFC">
      <w:pPr>
        <w:pStyle w:val="Heading2"/>
      </w:pPr>
      <w:r w:rsidRPr="009721D1">
        <w:rPr>
          <w:rStyle w:val="fontstyle01"/>
          <w:rFonts w:asciiTheme="majorHAnsi" w:hAnsiTheme="majorHAnsi" w:cstheme="majorBidi"/>
          <w:color w:val="17365D" w:themeColor="text2" w:themeShade="BF"/>
          <w:sz w:val="28"/>
          <w:szCs w:val="28"/>
        </w:rPr>
        <w:t>Under Occupation</w:t>
      </w:r>
    </w:p>
    <w:p w:rsidR="00CC0DFC" w:rsidRDefault="00D20A96" w:rsidP="00343E6F">
      <w:pPr>
        <w:rPr>
          <w:rStyle w:val="fontstyle01"/>
          <w:rFonts w:ascii="Verdana" w:hAnsi="Verdana"/>
        </w:rPr>
      </w:pPr>
      <w:r w:rsidRPr="009721D1">
        <w:rPr>
          <w:rStyle w:val="fontstyle01"/>
          <w:rFonts w:ascii="Calibri" w:hAnsi="Calibri" w:cs="Calibri"/>
        </w:rPr>
        <w:t>Where a household under occupies by 2 bedrooms or more then this would be a material</w:t>
      </w:r>
      <w:r w:rsidR="005A2962" w:rsidRPr="009721D1">
        <w:rPr>
          <w:rStyle w:val="fontstyle01"/>
          <w:rFonts w:ascii="Calibri" w:hAnsi="Calibri" w:cs="Calibri"/>
        </w:rPr>
        <w:t xml:space="preserve"> </w:t>
      </w:r>
      <w:r w:rsidRPr="009721D1">
        <w:rPr>
          <w:rStyle w:val="fontstyle01"/>
          <w:rFonts w:ascii="Calibri" w:hAnsi="Calibri" w:cs="Calibri"/>
        </w:rPr>
        <w:t>factor in considering not to renew a fixed term tenancy as the household would be deemed</w:t>
      </w:r>
      <w:r w:rsidR="005A2962" w:rsidRPr="009721D1">
        <w:rPr>
          <w:rStyle w:val="fontstyle01"/>
          <w:rFonts w:ascii="Calibri" w:hAnsi="Calibri" w:cs="Calibri"/>
        </w:rPr>
        <w:t xml:space="preserve"> </w:t>
      </w:r>
      <w:r w:rsidRPr="009721D1">
        <w:rPr>
          <w:rStyle w:val="fontstyle01"/>
          <w:rFonts w:ascii="Calibri" w:hAnsi="Calibri" w:cs="Calibri"/>
        </w:rPr>
        <w:t>to be in a property too large for their needs. This</w:t>
      </w:r>
      <w:r w:rsidR="00BD0745" w:rsidRPr="009721D1">
        <w:rPr>
          <w:rStyle w:val="fontstyle01"/>
          <w:rFonts w:ascii="Calibri" w:hAnsi="Calibri" w:cs="Calibri"/>
        </w:rPr>
        <w:t xml:space="preserve"> </w:t>
      </w:r>
      <w:r w:rsidRPr="009721D1">
        <w:rPr>
          <w:rStyle w:val="fontstyle01"/>
          <w:rFonts w:ascii="Calibri" w:hAnsi="Calibri" w:cs="Calibri"/>
        </w:rPr>
        <w:t>would free up property for families in</w:t>
      </w:r>
      <w:r w:rsidR="005A2962" w:rsidRPr="009721D1">
        <w:rPr>
          <w:rStyle w:val="fontstyle01"/>
          <w:rFonts w:ascii="Calibri" w:hAnsi="Calibri" w:cs="Calibri"/>
        </w:rPr>
        <w:t xml:space="preserve"> </w:t>
      </w:r>
      <w:r w:rsidRPr="009721D1">
        <w:rPr>
          <w:rStyle w:val="fontstyle01"/>
          <w:rFonts w:ascii="Calibri" w:hAnsi="Calibri" w:cs="Calibri"/>
        </w:rPr>
        <w:t>housing need in overcrowded or unsuitable conditions who</w:t>
      </w:r>
      <w:r w:rsidRPr="00D81A28">
        <w:rPr>
          <w:rStyle w:val="fontstyle01"/>
          <w:rFonts w:ascii="Calibri" w:hAnsi="Calibri" w:cs="Calibri"/>
        </w:rPr>
        <w:t xml:space="preserve"> require a larger property. This</w:t>
      </w:r>
      <w:r w:rsidR="005A2962" w:rsidRPr="00D81A28">
        <w:rPr>
          <w:rStyle w:val="fontstyle01"/>
          <w:rFonts w:ascii="Calibri" w:hAnsi="Calibri" w:cs="Calibri"/>
        </w:rPr>
        <w:t xml:space="preserve"> </w:t>
      </w:r>
      <w:r w:rsidRPr="00D81A28">
        <w:rPr>
          <w:rStyle w:val="fontstyle01"/>
          <w:rFonts w:ascii="Calibri" w:hAnsi="Calibri" w:cs="Calibri"/>
        </w:rPr>
        <w:t>also helps to improve the supply of family homes for which turnover and re-let rates are</w:t>
      </w:r>
      <w:r w:rsidR="001C3936" w:rsidRPr="00D81A28">
        <w:rPr>
          <w:rStyle w:val="fontstyle01"/>
          <w:rFonts w:ascii="Calibri" w:hAnsi="Calibri" w:cs="Calibri"/>
        </w:rPr>
        <w:t xml:space="preserve"> </w:t>
      </w:r>
      <w:r w:rsidRPr="00D81A28">
        <w:rPr>
          <w:rStyle w:val="fontstyle01"/>
          <w:rFonts w:ascii="Calibri" w:hAnsi="Calibri" w:cs="Calibri"/>
        </w:rPr>
        <w:t>traditionally low.</w:t>
      </w:r>
      <w:r w:rsidRPr="001C3936">
        <w:rPr>
          <w:rStyle w:val="fontstyle01"/>
          <w:rFonts w:ascii="Verdana" w:hAnsi="Verdana"/>
        </w:rPr>
        <w:t xml:space="preserve"> </w:t>
      </w:r>
    </w:p>
    <w:p w:rsidR="00D81A28" w:rsidRDefault="001C3936" w:rsidP="00CC0DFC">
      <w:pPr>
        <w:pStyle w:val="Heading2"/>
        <w:rPr>
          <w:rStyle w:val="fontstyle01"/>
          <w:rFonts w:ascii="Verdana" w:hAnsi="Verdana"/>
        </w:rPr>
      </w:pPr>
      <w:r w:rsidRPr="00CC0DFC">
        <w:rPr>
          <w:rStyle w:val="Heading2Char"/>
        </w:rPr>
        <w:lastRenderedPageBreak/>
        <w:t>Creating Sustainable and Balanced Communities</w:t>
      </w:r>
      <w:r w:rsidR="00D20A96" w:rsidRPr="001C3936">
        <w:rPr>
          <w:rStyle w:val="fontstyle01"/>
          <w:rFonts w:ascii="Verdana" w:hAnsi="Verdana"/>
        </w:rPr>
        <w:br/>
      </w:r>
    </w:p>
    <w:p w:rsidR="00D81A28" w:rsidRDefault="00D20A96" w:rsidP="00343E6F">
      <w:pPr>
        <w:rPr>
          <w:rFonts w:ascii="Verdana" w:hAnsi="Verdana" w:cs="Arial"/>
        </w:rPr>
      </w:pPr>
      <w:r w:rsidRPr="00D81A28">
        <w:rPr>
          <w:rStyle w:val="fontstyle01"/>
          <w:rFonts w:ascii="Calibri" w:hAnsi="Calibri" w:cs="Calibri"/>
        </w:rPr>
        <w:t>Registered Providers should have regard for the principle of sustainable communities, that</w:t>
      </w:r>
      <w:r w:rsidR="005A2962" w:rsidRPr="00D81A28">
        <w:rPr>
          <w:rStyle w:val="fontstyle01"/>
          <w:rFonts w:ascii="Calibri" w:hAnsi="Calibri" w:cs="Calibri"/>
        </w:rPr>
        <w:t xml:space="preserve"> </w:t>
      </w:r>
      <w:r w:rsidRPr="00D81A28">
        <w:rPr>
          <w:rStyle w:val="fontstyle01"/>
          <w:rFonts w:ascii="Calibri" w:hAnsi="Calibri" w:cs="Calibri"/>
        </w:rPr>
        <w:t>is, the importance of encouraging stable and settled neighbourhoods. This is particularly</w:t>
      </w:r>
      <w:r w:rsidR="005A2962" w:rsidRPr="00D81A28">
        <w:rPr>
          <w:rStyle w:val="fontstyle01"/>
          <w:rFonts w:ascii="Calibri" w:hAnsi="Calibri" w:cs="Calibri"/>
        </w:rPr>
        <w:t xml:space="preserve"> </w:t>
      </w:r>
      <w:r w:rsidRPr="00D81A28">
        <w:rPr>
          <w:rStyle w:val="fontstyle01"/>
          <w:rFonts w:ascii="Calibri" w:hAnsi="Calibri" w:cs="Calibri"/>
        </w:rPr>
        <w:t xml:space="preserve">important </w:t>
      </w:r>
      <w:r w:rsidR="00DD136D" w:rsidRPr="00D81A28">
        <w:rPr>
          <w:rStyle w:val="fontstyle01"/>
          <w:rFonts w:ascii="Calibri" w:hAnsi="Calibri" w:cs="Calibri"/>
        </w:rPr>
        <w:t xml:space="preserve">in areas of the District where </w:t>
      </w:r>
      <w:r w:rsidRPr="00D81A28">
        <w:rPr>
          <w:rStyle w:val="fontstyle01"/>
          <w:rFonts w:ascii="Calibri" w:hAnsi="Calibri" w:cs="Calibri"/>
        </w:rPr>
        <w:t xml:space="preserve">there </w:t>
      </w:r>
      <w:r w:rsidR="00DD136D" w:rsidRPr="00D81A28">
        <w:rPr>
          <w:rStyle w:val="fontstyle01"/>
          <w:rFonts w:ascii="Calibri" w:hAnsi="Calibri" w:cs="Calibri"/>
        </w:rPr>
        <w:t xml:space="preserve">is a high </w:t>
      </w:r>
      <w:r w:rsidRPr="00D81A28">
        <w:rPr>
          <w:rStyle w:val="fontstyle01"/>
          <w:rFonts w:ascii="Calibri" w:hAnsi="Calibri" w:cs="Calibri"/>
        </w:rPr>
        <w:t>may be a high</w:t>
      </w:r>
      <w:r w:rsidR="00DD136D" w:rsidRPr="00D81A28">
        <w:rPr>
          <w:rStyle w:val="fontstyle01"/>
          <w:rFonts w:ascii="Calibri" w:hAnsi="Calibri" w:cs="Calibri"/>
        </w:rPr>
        <w:t>er</w:t>
      </w:r>
      <w:r w:rsidRPr="00D81A28">
        <w:rPr>
          <w:rStyle w:val="fontstyle01"/>
          <w:rFonts w:ascii="Calibri" w:hAnsi="Calibri" w:cs="Calibri"/>
        </w:rPr>
        <w:t xml:space="preserve"> level of</w:t>
      </w:r>
      <w:r w:rsidR="005A2962" w:rsidRPr="00D81A28">
        <w:rPr>
          <w:rStyle w:val="fontstyle01"/>
          <w:rFonts w:ascii="Calibri" w:hAnsi="Calibri" w:cs="Calibri"/>
        </w:rPr>
        <w:t xml:space="preserve"> </w:t>
      </w:r>
      <w:r w:rsidRPr="00D81A28">
        <w:rPr>
          <w:rStyle w:val="fontstyle01"/>
          <w:rFonts w:ascii="Calibri" w:hAnsi="Calibri" w:cs="Calibri"/>
        </w:rPr>
        <w:t xml:space="preserve">household/population turnover or </w:t>
      </w:r>
      <w:r w:rsidR="00DD136D" w:rsidRPr="00D81A28">
        <w:rPr>
          <w:rStyle w:val="fontstyle01"/>
          <w:rFonts w:ascii="Calibri" w:hAnsi="Calibri" w:cs="Calibri"/>
        </w:rPr>
        <w:t>social deprivation</w:t>
      </w:r>
      <w:r w:rsidRPr="00D81A28">
        <w:rPr>
          <w:rStyle w:val="fontstyle01"/>
          <w:rFonts w:ascii="Calibri" w:hAnsi="Calibri" w:cs="Calibri"/>
        </w:rPr>
        <w:t>.</w:t>
      </w:r>
    </w:p>
    <w:p w:rsidR="00D81A28" w:rsidRDefault="000317E6" w:rsidP="00CC0DFC">
      <w:pPr>
        <w:pStyle w:val="Heading2"/>
        <w:rPr>
          <w:rStyle w:val="fontstyle01"/>
          <w:rFonts w:ascii="Verdana" w:hAnsi="Verdana"/>
        </w:rPr>
      </w:pPr>
      <w:r w:rsidRPr="00D81A28">
        <w:rPr>
          <w:rStyle w:val="TitleChar"/>
          <w:sz w:val="28"/>
          <w:szCs w:val="28"/>
        </w:rPr>
        <w:t>Principles for Tenancy Reviews</w:t>
      </w:r>
      <w:r w:rsidRPr="001C3936">
        <w:rPr>
          <w:rStyle w:val="fontstyle31"/>
          <w:rFonts w:ascii="Verdana" w:hAnsi="Verdana"/>
          <w:b w:val="0"/>
          <w:color w:val="005695"/>
          <w:sz w:val="28"/>
          <w:szCs w:val="28"/>
        </w:rPr>
        <w:t xml:space="preserve"> </w:t>
      </w:r>
      <w:r w:rsidR="00D20A96" w:rsidRPr="001C3936">
        <w:rPr>
          <w:rFonts w:ascii="Verdana" w:hAnsi="Verdana" w:cs="Arial"/>
          <w:b/>
          <w:bCs/>
          <w:color w:val="005695"/>
          <w:sz w:val="32"/>
          <w:szCs w:val="32"/>
        </w:rPr>
        <w:br/>
      </w:r>
    </w:p>
    <w:p w:rsidR="00D81A28" w:rsidRDefault="00D20A96" w:rsidP="00343E6F">
      <w:pPr>
        <w:rPr>
          <w:rStyle w:val="fontstyle01"/>
          <w:rFonts w:asciiTheme="minorHAnsi" w:hAnsiTheme="minorHAnsi" w:cstheme="minorHAnsi"/>
        </w:rPr>
      </w:pPr>
      <w:r w:rsidRPr="00D81A28">
        <w:rPr>
          <w:rStyle w:val="fontstyle01"/>
          <w:rFonts w:asciiTheme="minorHAnsi" w:hAnsiTheme="minorHAnsi" w:cstheme="minorHAnsi"/>
        </w:rPr>
        <w:t xml:space="preserve">The </w:t>
      </w:r>
      <w:r w:rsidR="001C3936" w:rsidRPr="00D81A28">
        <w:rPr>
          <w:rStyle w:val="fontstyle01"/>
          <w:rFonts w:asciiTheme="minorHAnsi" w:hAnsiTheme="minorHAnsi" w:cstheme="minorHAnsi"/>
        </w:rPr>
        <w:t xml:space="preserve">approach to the </w:t>
      </w:r>
      <w:r w:rsidRPr="00D81A28">
        <w:rPr>
          <w:rStyle w:val="fontstyle01"/>
          <w:rFonts w:asciiTheme="minorHAnsi" w:hAnsiTheme="minorHAnsi" w:cstheme="minorHAnsi"/>
        </w:rPr>
        <w:t xml:space="preserve">renewal of </w:t>
      </w:r>
      <w:r w:rsidR="00806EA6" w:rsidRPr="00D81A28">
        <w:rPr>
          <w:rStyle w:val="fontstyle01"/>
          <w:rFonts w:asciiTheme="minorHAnsi" w:hAnsiTheme="minorHAnsi" w:cstheme="minorHAnsi"/>
        </w:rPr>
        <w:t xml:space="preserve">a </w:t>
      </w:r>
      <w:r w:rsidRPr="00D81A28">
        <w:rPr>
          <w:rStyle w:val="fontstyle01"/>
          <w:rFonts w:asciiTheme="minorHAnsi" w:hAnsiTheme="minorHAnsi" w:cstheme="minorHAnsi"/>
        </w:rPr>
        <w:t>tenancy at the end of the fixed term should solely be</w:t>
      </w:r>
      <w:r w:rsidR="005A2962" w:rsidRPr="00D81A28">
        <w:rPr>
          <w:rStyle w:val="fontstyle01"/>
          <w:rFonts w:asciiTheme="minorHAnsi" w:hAnsiTheme="minorHAnsi" w:cstheme="minorHAnsi"/>
        </w:rPr>
        <w:t xml:space="preserve"> </w:t>
      </w:r>
      <w:r w:rsidRPr="00D81A28">
        <w:rPr>
          <w:rStyle w:val="fontstyle01"/>
          <w:rFonts w:asciiTheme="minorHAnsi" w:hAnsiTheme="minorHAnsi" w:cstheme="minorHAnsi"/>
        </w:rPr>
        <w:t>based on the housing need of the current tenants and an affordability assessment taking</w:t>
      </w:r>
      <w:r w:rsidR="005A2962" w:rsidRPr="00D81A28">
        <w:rPr>
          <w:rStyle w:val="fontstyle01"/>
          <w:rFonts w:asciiTheme="minorHAnsi" w:hAnsiTheme="minorHAnsi" w:cstheme="minorHAnsi"/>
        </w:rPr>
        <w:t xml:space="preserve"> </w:t>
      </w:r>
      <w:r w:rsidRPr="00D81A28">
        <w:rPr>
          <w:rStyle w:val="fontstyle01"/>
          <w:rFonts w:asciiTheme="minorHAnsi" w:hAnsiTheme="minorHAnsi" w:cstheme="minorHAnsi"/>
        </w:rPr>
        <w:t xml:space="preserve">account of the financial circumstances of the household </w:t>
      </w:r>
      <w:r w:rsidR="001C3936" w:rsidRPr="00D81A28">
        <w:rPr>
          <w:rStyle w:val="fontstyle01"/>
          <w:rFonts w:asciiTheme="minorHAnsi" w:hAnsiTheme="minorHAnsi" w:cstheme="minorHAnsi"/>
        </w:rPr>
        <w:t xml:space="preserve">and </w:t>
      </w:r>
      <w:r w:rsidRPr="00D81A28">
        <w:rPr>
          <w:rStyle w:val="fontstyle01"/>
          <w:rFonts w:asciiTheme="minorHAnsi" w:hAnsiTheme="minorHAnsi" w:cstheme="minorHAnsi"/>
        </w:rPr>
        <w:t xml:space="preserve">whether they are able to afford </w:t>
      </w:r>
      <w:r w:rsidR="00DD136D" w:rsidRPr="00D81A28">
        <w:rPr>
          <w:rStyle w:val="fontstyle01"/>
          <w:rFonts w:asciiTheme="minorHAnsi" w:hAnsiTheme="minorHAnsi" w:cstheme="minorHAnsi"/>
        </w:rPr>
        <w:t xml:space="preserve">to rent or buy a home in the private market. </w:t>
      </w:r>
    </w:p>
    <w:p w:rsidR="00624F78" w:rsidRPr="00CC0DFC" w:rsidRDefault="00EC1DFB" w:rsidP="00CC0DFC">
      <w:pPr>
        <w:rPr>
          <w:rStyle w:val="fontstyle01"/>
          <w:rFonts w:asciiTheme="minorHAnsi" w:hAnsiTheme="minorHAnsi" w:cstheme="minorHAnsi"/>
        </w:rPr>
      </w:pPr>
      <w:r w:rsidRPr="00D81A28">
        <w:rPr>
          <w:rStyle w:val="fontstyle01"/>
          <w:rFonts w:asciiTheme="minorHAnsi" w:hAnsiTheme="minorHAnsi" w:cstheme="minorHAnsi"/>
        </w:rPr>
        <w:t>The review assessment should assess whe</w:t>
      </w:r>
      <w:r w:rsidR="00D20A96" w:rsidRPr="00D81A28">
        <w:rPr>
          <w:rStyle w:val="fontstyle01"/>
          <w:rFonts w:asciiTheme="minorHAnsi" w:hAnsiTheme="minorHAnsi" w:cstheme="minorHAnsi"/>
        </w:rPr>
        <w:t>ther the household still requires a property of</w:t>
      </w:r>
      <w:r w:rsidR="005A2962" w:rsidRPr="00D81A28">
        <w:rPr>
          <w:rStyle w:val="fontstyle01"/>
          <w:rFonts w:asciiTheme="minorHAnsi" w:hAnsiTheme="minorHAnsi" w:cstheme="minorHAnsi"/>
        </w:rPr>
        <w:t xml:space="preserve"> </w:t>
      </w:r>
      <w:r w:rsidR="00D20A96" w:rsidRPr="00D81A28">
        <w:rPr>
          <w:rStyle w:val="fontstyle01"/>
          <w:rFonts w:asciiTheme="minorHAnsi" w:hAnsiTheme="minorHAnsi" w:cstheme="minorHAnsi"/>
        </w:rPr>
        <w:t>the same type and size, in the same location, at a lower than market cost, and that the</w:t>
      </w:r>
      <w:r w:rsidR="005A2962" w:rsidRPr="00D81A28">
        <w:rPr>
          <w:rStyle w:val="fontstyle01"/>
          <w:rFonts w:asciiTheme="minorHAnsi" w:hAnsiTheme="minorHAnsi" w:cstheme="minorHAnsi"/>
        </w:rPr>
        <w:t xml:space="preserve"> </w:t>
      </w:r>
      <w:r w:rsidR="00D20A96" w:rsidRPr="00D81A28">
        <w:rPr>
          <w:rStyle w:val="fontstyle01"/>
          <w:rFonts w:asciiTheme="minorHAnsi" w:hAnsiTheme="minorHAnsi" w:cstheme="minorHAnsi"/>
        </w:rPr>
        <w:t>current property remains suitable given these factors. An assessment of affordability should</w:t>
      </w:r>
      <w:r w:rsidR="005A2962" w:rsidRPr="00D81A28">
        <w:rPr>
          <w:rStyle w:val="fontstyle01"/>
          <w:rFonts w:asciiTheme="minorHAnsi" w:hAnsiTheme="minorHAnsi" w:cstheme="minorHAnsi"/>
        </w:rPr>
        <w:t xml:space="preserve"> </w:t>
      </w:r>
      <w:r w:rsidR="00D20A96" w:rsidRPr="00D81A28">
        <w:rPr>
          <w:rStyle w:val="fontstyle01"/>
          <w:rFonts w:asciiTheme="minorHAnsi" w:hAnsiTheme="minorHAnsi" w:cstheme="minorHAnsi"/>
        </w:rPr>
        <w:t>also take into account how much the rent may increase for that particular property over the</w:t>
      </w:r>
      <w:r w:rsidR="005A2962" w:rsidRPr="00D81A28">
        <w:rPr>
          <w:rStyle w:val="fontstyle01"/>
          <w:rFonts w:asciiTheme="minorHAnsi" w:hAnsiTheme="minorHAnsi" w:cstheme="minorHAnsi"/>
        </w:rPr>
        <w:t xml:space="preserve"> n</w:t>
      </w:r>
      <w:r w:rsidR="00D20A96" w:rsidRPr="00D81A28">
        <w:rPr>
          <w:rStyle w:val="fontstyle01"/>
          <w:rFonts w:asciiTheme="minorHAnsi" w:hAnsiTheme="minorHAnsi" w:cstheme="minorHAnsi"/>
        </w:rPr>
        <w:t>ext five year term of the tenancy and whether likely increases in the rent may render it</w:t>
      </w:r>
      <w:r w:rsidR="005A2962" w:rsidRPr="00D81A28">
        <w:rPr>
          <w:rStyle w:val="fontstyle01"/>
          <w:rFonts w:asciiTheme="minorHAnsi" w:hAnsiTheme="minorHAnsi" w:cstheme="minorHAnsi"/>
        </w:rPr>
        <w:t xml:space="preserve"> </w:t>
      </w:r>
      <w:r w:rsidR="00D20A96" w:rsidRPr="00D81A28">
        <w:rPr>
          <w:rStyle w:val="fontstyle01"/>
          <w:rFonts w:asciiTheme="minorHAnsi" w:hAnsiTheme="minorHAnsi" w:cstheme="minorHAnsi"/>
        </w:rPr>
        <w:t xml:space="preserve">unaffordable. Where there is evidence </w:t>
      </w:r>
      <w:r w:rsidRPr="00D81A28">
        <w:rPr>
          <w:rStyle w:val="fontstyle01"/>
          <w:rFonts w:asciiTheme="minorHAnsi" w:hAnsiTheme="minorHAnsi" w:cstheme="minorHAnsi"/>
        </w:rPr>
        <w:t>to support</w:t>
      </w:r>
      <w:r w:rsidR="00D20A96" w:rsidRPr="00D81A28">
        <w:rPr>
          <w:rStyle w:val="fontstyle01"/>
          <w:rFonts w:asciiTheme="minorHAnsi" w:hAnsiTheme="minorHAnsi" w:cstheme="minorHAnsi"/>
        </w:rPr>
        <w:t xml:space="preserve"> a continuing need or an affordability</w:t>
      </w:r>
      <w:r w:rsidR="005A2962" w:rsidRPr="00D81A28">
        <w:rPr>
          <w:rStyle w:val="fontstyle01"/>
          <w:rFonts w:asciiTheme="minorHAnsi" w:hAnsiTheme="minorHAnsi" w:cstheme="minorHAnsi"/>
        </w:rPr>
        <w:t xml:space="preserve"> </w:t>
      </w:r>
      <w:r w:rsidR="00D20A96" w:rsidRPr="00D81A28">
        <w:rPr>
          <w:rStyle w:val="fontstyle01"/>
          <w:rFonts w:asciiTheme="minorHAnsi" w:hAnsiTheme="minorHAnsi" w:cstheme="minorHAnsi"/>
        </w:rPr>
        <w:t>issue, the council expects that the tenancy will be renewed.</w:t>
      </w:r>
    </w:p>
    <w:p w:rsidR="00806EA6" w:rsidRPr="00624F78" w:rsidRDefault="00806EA6" w:rsidP="00CC0DFC">
      <w:pPr>
        <w:pStyle w:val="Heading1"/>
        <w:rPr>
          <w:rStyle w:val="fontstyle01"/>
          <w:rFonts w:asciiTheme="majorHAnsi" w:hAnsiTheme="majorHAnsi" w:cstheme="majorBidi"/>
          <w:color w:val="17365D" w:themeColor="text2" w:themeShade="BF"/>
          <w:sz w:val="40"/>
          <w:szCs w:val="40"/>
        </w:rPr>
      </w:pPr>
      <w:r w:rsidRPr="00624F78">
        <w:rPr>
          <w:rStyle w:val="fontstyle01"/>
          <w:rFonts w:asciiTheme="majorHAnsi" w:hAnsiTheme="majorHAnsi" w:cstheme="majorBidi"/>
          <w:color w:val="17365D" w:themeColor="text2" w:themeShade="BF"/>
          <w:sz w:val="40"/>
          <w:szCs w:val="40"/>
        </w:rPr>
        <w:t xml:space="preserve">The review assessment </w:t>
      </w:r>
    </w:p>
    <w:p w:rsidR="00CC0DFC" w:rsidRDefault="00EC1DFB" w:rsidP="00CC0DFC">
      <w:pPr>
        <w:contextualSpacing/>
        <w:rPr>
          <w:rStyle w:val="fontstyle01"/>
          <w:rFonts w:asciiTheme="minorHAnsi" w:hAnsiTheme="minorHAnsi" w:cstheme="minorHAnsi"/>
        </w:rPr>
      </w:pPr>
      <w:r w:rsidRPr="00CC0DFC">
        <w:rPr>
          <w:rStyle w:val="fontstyle01"/>
          <w:rFonts w:asciiTheme="minorHAnsi" w:hAnsiTheme="minorHAnsi" w:cstheme="minorHAnsi"/>
        </w:rPr>
        <w:t xml:space="preserve">The District Council expects that in most cases </w:t>
      </w:r>
      <w:r w:rsidR="001C3936" w:rsidRPr="00CC0DFC">
        <w:rPr>
          <w:rStyle w:val="fontstyle01"/>
          <w:rFonts w:asciiTheme="minorHAnsi" w:hAnsiTheme="minorHAnsi" w:cstheme="minorHAnsi"/>
        </w:rPr>
        <w:t xml:space="preserve">fixed term </w:t>
      </w:r>
      <w:r w:rsidRPr="00CC0DFC">
        <w:rPr>
          <w:rStyle w:val="fontstyle01"/>
          <w:rFonts w:asciiTheme="minorHAnsi" w:hAnsiTheme="minorHAnsi" w:cstheme="minorHAnsi"/>
        </w:rPr>
        <w:t xml:space="preserve">tenancies </w:t>
      </w:r>
      <w:r w:rsidR="001C3936" w:rsidRPr="00CC0DFC">
        <w:rPr>
          <w:rStyle w:val="fontstyle01"/>
          <w:rFonts w:asciiTheme="minorHAnsi" w:hAnsiTheme="minorHAnsi" w:cstheme="minorHAnsi"/>
        </w:rPr>
        <w:t xml:space="preserve">will be renewed. The exception to this will be when there is </w:t>
      </w:r>
      <w:r w:rsidR="005A2962" w:rsidRPr="00CC0DFC">
        <w:rPr>
          <w:rStyle w:val="fontstyle01"/>
          <w:rFonts w:asciiTheme="minorHAnsi" w:hAnsiTheme="minorHAnsi" w:cstheme="minorHAnsi"/>
        </w:rPr>
        <w:t>here is evidence</w:t>
      </w:r>
      <w:r w:rsidR="004F4D58" w:rsidRPr="00CC0DFC">
        <w:rPr>
          <w:rStyle w:val="fontstyle01"/>
          <w:rFonts w:asciiTheme="minorHAnsi" w:hAnsiTheme="minorHAnsi" w:cstheme="minorHAnsi"/>
        </w:rPr>
        <w:t xml:space="preserve"> that</w:t>
      </w:r>
      <w:r w:rsidR="00D20A96" w:rsidRPr="00CC0DFC">
        <w:rPr>
          <w:rStyle w:val="fontstyle01"/>
          <w:rFonts w:asciiTheme="minorHAnsi" w:hAnsiTheme="minorHAnsi" w:cstheme="minorHAnsi"/>
        </w:rPr>
        <w:t>:</w:t>
      </w:r>
    </w:p>
    <w:p w:rsidR="00CC0DFC" w:rsidRPr="00426D39" w:rsidRDefault="00F5401B" w:rsidP="00426D39">
      <w:pPr>
        <w:pStyle w:val="ListParagraph"/>
        <w:numPr>
          <w:ilvl w:val="0"/>
          <w:numId w:val="20"/>
        </w:numPr>
        <w:rPr>
          <w:rStyle w:val="fontstyle01"/>
          <w:rFonts w:asciiTheme="minorHAnsi" w:hAnsiTheme="minorHAnsi" w:cstheme="minorHAnsi"/>
        </w:rPr>
      </w:pPr>
      <w:r w:rsidRPr="00426D39">
        <w:rPr>
          <w:rStyle w:val="fontstyle01"/>
          <w:rFonts w:asciiTheme="minorHAnsi" w:hAnsiTheme="minorHAnsi" w:cstheme="minorHAnsi"/>
          <w:i/>
        </w:rPr>
        <w:t xml:space="preserve">On </w:t>
      </w:r>
      <w:r w:rsidR="00EC1DFB" w:rsidRPr="00426D39">
        <w:rPr>
          <w:rStyle w:val="fontstyle01"/>
          <w:rFonts w:asciiTheme="minorHAnsi" w:hAnsiTheme="minorHAnsi" w:cstheme="minorHAnsi"/>
          <w:i/>
        </w:rPr>
        <w:t>Housing Need grounds</w:t>
      </w:r>
      <w:r w:rsidR="00D20A96" w:rsidRPr="00426D39">
        <w:rPr>
          <w:rStyle w:val="fontstyle01"/>
          <w:rFonts w:asciiTheme="minorHAnsi" w:hAnsiTheme="minorHAnsi" w:cstheme="minorHAnsi"/>
        </w:rPr>
        <w:t xml:space="preserve"> </w:t>
      </w:r>
      <w:r w:rsidR="00EC1DFB" w:rsidRPr="00426D39">
        <w:rPr>
          <w:rStyle w:val="fontstyle01"/>
          <w:rFonts w:asciiTheme="minorHAnsi" w:hAnsiTheme="minorHAnsi" w:cstheme="minorHAnsi"/>
        </w:rPr>
        <w:t xml:space="preserve">– </w:t>
      </w:r>
      <w:r w:rsidR="005A2962" w:rsidRPr="00426D39">
        <w:rPr>
          <w:rStyle w:val="fontstyle01"/>
          <w:rFonts w:asciiTheme="minorHAnsi" w:hAnsiTheme="minorHAnsi" w:cstheme="minorHAnsi"/>
        </w:rPr>
        <w:t xml:space="preserve">that </w:t>
      </w:r>
      <w:r w:rsidR="001C3936" w:rsidRPr="00426D39">
        <w:rPr>
          <w:rStyle w:val="fontstyle01"/>
          <w:rFonts w:asciiTheme="minorHAnsi" w:hAnsiTheme="minorHAnsi" w:cstheme="minorHAnsi"/>
        </w:rPr>
        <w:t xml:space="preserve">taking into account </w:t>
      </w:r>
      <w:r w:rsidR="00EC1DFB" w:rsidRPr="00426D39">
        <w:rPr>
          <w:rStyle w:val="fontstyle01"/>
          <w:rFonts w:asciiTheme="minorHAnsi" w:hAnsiTheme="minorHAnsi" w:cstheme="minorHAnsi"/>
        </w:rPr>
        <w:t xml:space="preserve">the Council’s Allocations Scheme, </w:t>
      </w:r>
      <w:r w:rsidR="004F4D58" w:rsidRPr="00426D39">
        <w:rPr>
          <w:rStyle w:val="fontstyle01"/>
          <w:rFonts w:asciiTheme="minorHAnsi" w:hAnsiTheme="minorHAnsi" w:cstheme="minorHAnsi"/>
        </w:rPr>
        <w:t xml:space="preserve">a tenant’s need for </w:t>
      </w:r>
      <w:r w:rsidR="00EC1DFB" w:rsidRPr="00426D39">
        <w:rPr>
          <w:rStyle w:val="fontstyle01"/>
          <w:rFonts w:asciiTheme="minorHAnsi" w:hAnsiTheme="minorHAnsi" w:cstheme="minorHAnsi"/>
        </w:rPr>
        <w:t xml:space="preserve">property of </w:t>
      </w:r>
      <w:r w:rsidR="004F4D58" w:rsidRPr="00426D39">
        <w:rPr>
          <w:rStyle w:val="fontstyle01"/>
          <w:rFonts w:asciiTheme="minorHAnsi" w:hAnsiTheme="minorHAnsi" w:cstheme="minorHAnsi"/>
        </w:rPr>
        <w:t>specific</w:t>
      </w:r>
      <w:r w:rsidR="00EC1DFB" w:rsidRPr="00426D39">
        <w:rPr>
          <w:rStyle w:val="fontstyle01"/>
          <w:rFonts w:asciiTheme="minorHAnsi" w:hAnsiTheme="minorHAnsi" w:cstheme="minorHAnsi"/>
        </w:rPr>
        <w:t xml:space="preserve"> size</w:t>
      </w:r>
      <w:r w:rsidR="004F4D58" w:rsidRPr="00426D39">
        <w:rPr>
          <w:rStyle w:val="fontstyle01"/>
          <w:rFonts w:asciiTheme="minorHAnsi" w:hAnsiTheme="minorHAnsi" w:cstheme="minorHAnsi"/>
        </w:rPr>
        <w:t xml:space="preserve"> or </w:t>
      </w:r>
      <w:r w:rsidR="00EC1DFB" w:rsidRPr="00426D39">
        <w:rPr>
          <w:rStyle w:val="fontstyle01"/>
          <w:rFonts w:asciiTheme="minorHAnsi" w:hAnsiTheme="minorHAnsi" w:cstheme="minorHAnsi"/>
        </w:rPr>
        <w:t xml:space="preserve">type </w:t>
      </w:r>
      <w:r w:rsidR="005A2962" w:rsidRPr="00426D39">
        <w:rPr>
          <w:rStyle w:val="fontstyle01"/>
          <w:rFonts w:asciiTheme="minorHAnsi" w:hAnsiTheme="minorHAnsi" w:cstheme="minorHAnsi"/>
        </w:rPr>
        <w:t>no</w:t>
      </w:r>
      <w:r w:rsidR="00EC1DFB" w:rsidRPr="00426D39">
        <w:rPr>
          <w:rStyle w:val="fontstyle01"/>
          <w:rFonts w:asciiTheme="minorHAnsi" w:hAnsiTheme="minorHAnsi" w:cstheme="minorHAnsi"/>
        </w:rPr>
        <w:t xml:space="preserve"> longer exists</w:t>
      </w:r>
      <w:r w:rsidR="004F4D58" w:rsidRPr="00426D39">
        <w:rPr>
          <w:rStyle w:val="fontstyle01"/>
          <w:rFonts w:asciiTheme="minorHAnsi" w:hAnsiTheme="minorHAnsi" w:cstheme="minorHAnsi"/>
        </w:rPr>
        <w:t>.  I</w:t>
      </w:r>
      <w:r w:rsidR="000317E6" w:rsidRPr="00426D39">
        <w:rPr>
          <w:rStyle w:val="fontstyle01"/>
          <w:rFonts w:asciiTheme="minorHAnsi" w:hAnsiTheme="minorHAnsi" w:cstheme="minorHAnsi"/>
        </w:rPr>
        <w:t xml:space="preserve">n such circumstances the District Council may </w:t>
      </w:r>
      <w:r w:rsidR="00DE0D22" w:rsidRPr="00426D39">
        <w:rPr>
          <w:rStyle w:val="fontstyle01"/>
          <w:rFonts w:asciiTheme="minorHAnsi" w:hAnsiTheme="minorHAnsi" w:cstheme="minorHAnsi"/>
        </w:rPr>
        <w:t xml:space="preserve">exercise discretion to award Band A or B status under the Allocation scheme, thereby facilitating the tenant to bid for </w:t>
      </w:r>
      <w:r w:rsidR="004F4D58" w:rsidRPr="00426D39">
        <w:rPr>
          <w:rStyle w:val="fontstyle01"/>
          <w:rFonts w:asciiTheme="minorHAnsi" w:hAnsiTheme="minorHAnsi" w:cstheme="minorHAnsi"/>
        </w:rPr>
        <w:t xml:space="preserve">an </w:t>
      </w:r>
      <w:r w:rsidR="00DE0D22" w:rsidRPr="00426D39">
        <w:rPr>
          <w:rStyle w:val="fontstyle01"/>
          <w:rFonts w:asciiTheme="minorHAnsi" w:hAnsiTheme="minorHAnsi" w:cstheme="minorHAnsi"/>
        </w:rPr>
        <w:t xml:space="preserve">alternative </w:t>
      </w:r>
      <w:r w:rsidR="004F4D58" w:rsidRPr="00426D39">
        <w:rPr>
          <w:rStyle w:val="fontstyle01"/>
          <w:rFonts w:asciiTheme="minorHAnsi" w:hAnsiTheme="minorHAnsi" w:cstheme="minorHAnsi"/>
        </w:rPr>
        <w:t xml:space="preserve">property through </w:t>
      </w:r>
      <w:proofErr w:type="spellStart"/>
      <w:r w:rsidR="008E3A17" w:rsidRPr="00426D39">
        <w:rPr>
          <w:rStyle w:val="fontstyle01"/>
          <w:rFonts w:asciiTheme="minorHAnsi" w:hAnsiTheme="minorHAnsi" w:cstheme="minorHAnsi"/>
        </w:rPr>
        <w:t>Homemove</w:t>
      </w:r>
      <w:proofErr w:type="spellEnd"/>
      <w:r w:rsidR="00426D39">
        <w:rPr>
          <w:rStyle w:val="fontstyle01"/>
          <w:rFonts w:asciiTheme="minorHAnsi" w:hAnsiTheme="minorHAnsi" w:cstheme="minorHAnsi"/>
        </w:rPr>
        <w:t xml:space="preserve">; </w:t>
      </w:r>
    </w:p>
    <w:p w:rsidR="00426D39" w:rsidRDefault="00F5401B" w:rsidP="00CC0DFC">
      <w:pPr>
        <w:pStyle w:val="ListParagraph"/>
        <w:numPr>
          <w:ilvl w:val="0"/>
          <w:numId w:val="20"/>
        </w:numPr>
        <w:rPr>
          <w:rStyle w:val="fontstyle01"/>
          <w:rFonts w:asciiTheme="minorHAnsi" w:hAnsiTheme="minorHAnsi" w:cstheme="minorHAnsi"/>
        </w:rPr>
      </w:pPr>
      <w:r w:rsidRPr="00426D39">
        <w:rPr>
          <w:rStyle w:val="fontstyle01"/>
          <w:rFonts w:asciiTheme="minorHAnsi" w:hAnsiTheme="minorHAnsi" w:cstheme="minorHAnsi"/>
          <w:i/>
        </w:rPr>
        <w:t xml:space="preserve">On </w:t>
      </w:r>
      <w:r w:rsidR="00EC1DFB" w:rsidRPr="00426D39">
        <w:rPr>
          <w:rStyle w:val="fontstyle01"/>
          <w:rFonts w:asciiTheme="minorHAnsi" w:hAnsiTheme="minorHAnsi" w:cstheme="minorHAnsi"/>
          <w:i/>
        </w:rPr>
        <w:t>A</w:t>
      </w:r>
      <w:r w:rsidR="00D20A96" w:rsidRPr="00426D39">
        <w:rPr>
          <w:rStyle w:val="fontstyle01"/>
          <w:rFonts w:asciiTheme="minorHAnsi" w:hAnsiTheme="minorHAnsi" w:cstheme="minorHAnsi"/>
          <w:i/>
        </w:rPr>
        <w:t>ffordability grounds</w:t>
      </w:r>
      <w:r w:rsidR="00D20A96" w:rsidRPr="00426D39">
        <w:rPr>
          <w:rStyle w:val="fontstyle01"/>
          <w:rFonts w:asciiTheme="minorHAnsi" w:hAnsiTheme="minorHAnsi" w:cstheme="minorHAnsi"/>
        </w:rPr>
        <w:t>, the</w:t>
      </w:r>
      <w:r w:rsidR="00EC1DFB" w:rsidRPr="00426D39">
        <w:rPr>
          <w:rStyle w:val="fontstyle01"/>
          <w:rFonts w:asciiTheme="minorHAnsi" w:hAnsiTheme="minorHAnsi" w:cstheme="minorHAnsi"/>
        </w:rPr>
        <w:t xml:space="preserve"> household no longer requires</w:t>
      </w:r>
      <w:r w:rsidR="00D20A96" w:rsidRPr="00426D39">
        <w:rPr>
          <w:rStyle w:val="fontstyle01"/>
          <w:rFonts w:asciiTheme="minorHAnsi" w:hAnsiTheme="minorHAnsi" w:cstheme="minorHAnsi"/>
        </w:rPr>
        <w:t xml:space="preserve"> social housing</w:t>
      </w:r>
      <w:r w:rsidR="00D20A96" w:rsidRPr="00426D39">
        <w:rPr>
          <w:rStyle w:val="fontstyle01"/>
          <w:rFonts w:asciiTheme="minorHAnsi" w:hAnsiTheme="minorHAnsi" w:cstheme="minorHAnsi"/>
        </w:rPr>
        <w:br/>
      </w:r>
      <w:r w:rsidRPr="00426D39">
        <w:rPr>
          <w:rStyle w:val="fontstyle01"/>
          <w:rFonts w:asciiTheme="minorHAnsi" w:hAnsiTheme="minorHAnsi" w:cstheme="minorHAnsi"/>
        </w:rPr>
        <w:t>property at that rent level</w:t>
      </w:r>
      <w:r w:rsidR="00426D39" w:rsidRPr="00426D39">
        <w:rPr>
          <w:rStyle w:val="fontstyle01"/>
          <w:rFonts w:asciiTheme="minorHAnsi" w:hAnsiTheme="minorHAnsi" w:cstheme="minorHAnsi"/>
        </w:rPr>
        <w:t xml:space="preserve">; or </w:t>
      </w:r>
    </w:p>
    <w:p w:rsidR="00624F78" w:rsidRPr="00426D39" w:rsidRDefault="00F5401B" w:rsidP="00CC0DFC">
      <w:pPr>
        <w:pStyle w:val="ListParagraph"/>
        <w:numPr>
          <w:ilvl w:val="0"/>
          <w:numId w:val="20"/>
        </w:numPr>
        <w:rPr>
          <w:rStyle w:val="fontstyle01"/>
          <w:rFonts w:asciiTheme="minorHAnsi" w:hAnsiTheme="minorHAnsi" w:cstheme="minorHAnsi"/>
        </w:rPr>
      </w:pPr>
      <w:r w:rsidRPr="00426D39">
        <w:rPr>
          <w:rStyle w:val="fontstyle01"/>
          <w:rFonts w:asciiTheme="minorHAnsi" w:hAnsiTheme="minorHAnsi" w:cstheme="minorHAnsi"/>
          <w:i/>
        </w:rPr>
        <w:t>Suitable alternative accommodation</w:t>
      </w:r>
      <w:r w:rsidRPr="00426D39">
        <w:rPr>
          <w:rStyle w:val="fontstyle01"/>
          <w:rFonts w:asciiTheme="minorHAnsi" w:hAnsiTheme="minorHAnsi" w:cstheme="minorHAnsi"/>
        </w:rPr>
        <w:t xml:space="preserve"> options </w:t>
      </w:r>
      <w:r w:rsidR="004F4D58" w:rsidRPr="00426D39">
        <w:rPr>
          <w:rStyle w:val="fontstyle01"/>
          <w:rFonts w:asciiTheme="minorHAnsi" w:hAnsiTheme="minorHAnsi" w:cstheme="minorHAnsi"/>
        </w:rPr>
        <w:t xml:space="preserve">are </w:t>
      </w:r>
      <w:r w:rsidR="00E41500" w:rsidRPr="00426D39">
        <w:rPr>
          <w:rStyle w:val="fontstyle01"/>
          <w:rFonts w:asciiTheme="minorHAnsi" w:hAnsiTheme="minorHAnsi" w:cstheme="minorHAnsi"/>
        </w:rPr>
        <w:t>available which</w:t>
      </w:r>
      <w:r w:rsidRPr="00426D39">
        <w:rPr>
          <w:rStyle w:val="fontstyle01"/>
          <w:rFonts w:asciiTheme="minorHAnsi" w:hAnsiTheme="minorHAnsi" w:cstheme="minorHAnsi"/>
        </w:rPr>
        <w:t xml:space="preserve"> could reasonably meet the tenants’ needs</w:t>
      </w:r>
      <w:r w:rsidR="00D20A96" w:rsidRPr="00426D39">
        <w:rPr>
          <w:rStyle w:val="fontstyle01"/>
          <w:rFonts w:asciiTheme="minorHAnsi" w:hAnsiTheme="minorHAnsi" w:cstheme="minorHAnsi"/>
        </w:rPr>
        <w:t>.</w:t>
      </w:r>
    </w:p>
    <w:p w:rsidR="005A2962" w:rsidRPr="00624F78" w:rsidRDefault="008E3A17" w:rsidP="00CC0DFC">
      <w:pPr>
        <w:pStyle w:val="Heading1"/>
        <w:rPr>
          <w:rStyle w:val="fontstyle01"/>
          <w:rFonts w:asciiTheme="majorHAnsi" w:hAnsiTheme="majorHAnsi" w:cstheme="minorHAnsi"/>
        </w:rPr>
      </w:pPr>
      <w:r w:rsidRPr="00624F78">
        <w:rPr>
          <w:rStyle w:val="fontstyle31"/>
          <w:rFonts w:asciiTheme="majorHAnsi" w:hAnsiTheme="majorHAnsi" w:cstheme="majorBidi"/>
          <w:b w:val="0"/>
          <w:bCs w:val="0"/>
          <w:color w:val="17365D" w:themeColor="text2" w:themeShade="BF"/>
          <w:sz w:val="40"/>
          <w:szCs w:val="40"/>
        </w:rPr>
        <w:t>Guidance for Registered Providers</w:t>
      </w:r>
      <w:r w:rsidR="00D20A96" w:rsidRPr="00624F78">
        <w:rPr>
          <w:rStyle w:val="fontstyle01"/>
          <w:rFonts w:asciiTheme="majorHAnsi" w:hAnsiTheme="majorHAnsi" w:cstheme="majorBidi"/>
          <w:color w:val="17365D" w:themeColor="text2" w:themeShade="BF"/>
          <w:sz w:val="40"/>
          <w:szCs w:val="40"/>
        </w:rPr>
        <w:t>:</w:t>
      </w:r>
    </w:p>
    <w:p w:rsidR="004F4D58" w:rsidRPr="00624F78" w:rsidRDefault="004F4D58" w:rsidP="00343E6F">
      <w:r w:rsidRPr="00624F78">
        <w:t xml:space="preserve">Tenancy reviews should not involve a ‘desk top exercise’ but involve face to face interviews with tenants and adult members of the household in order to verify tenants’ circumstances as well as those of other members of the </w:t>
      </w:r>
      <w:r w:rsidRPr="007924BC">
        <w:t>hou</w:t>
      </w:r>
      <w:r w:rsidR="00E16BF6">
        <w:t>sehold</w:t>
      </w:r>
      <w:r w:rsidRPr="00624F78">
        <w:t xml:space="preserve">. </w:t>
      </w:r>
    </w:p>
    <w:p w:rsidR="00927108" w:rsidRPr="00624F78" w:rsidRDefault="005A2962" w:rsidP="00343E6F">
      <w:r w:rsidRPr="00624F78">
        <w:lastRenderedPageBreak/>
        <w:t xml:space="preserve">In relation to </w:t>
      </w:r>
      <w:r w:rsidR="00927108" w:rsidRPr="00624F78">
        <w:t>the design of their policy</w:t>
      </w:r>
      <w:r w:rsidR="008E3A17" w:rsidRPr="00624F78">
        <w:t>, Registered Providers should</w:t>
      </w:r>
      <w:r w:rsidR="004F4D58" w:rsidRPr="00624F78">
        <w:t xml:space="preserve"> set out</w:t>
      </w:r>
      <w:r w:rsidRPr="00624F78">
        <w:t>:</w:t>
      </w:r>
    </w:p>
    <w:p w:rsidR="00927108" w:rsidRPr="00624F78" w:rsidRDefault="004F4D58" w:rsidP="00343E6F">
      <w:pPr>
        <w:pStyle w:val="ListParagraph"/>
        <w:numPr>
          <w:ilvl w:val="0"/>
          <w:numId w:val="8"/>
        </w:numPr>
      </w:pPr>
      <w:r w:rsidRPr="00624F78">
        <w:t>T</w:t>
      </w:r>
      <w:r w:rsidR="00D20A96" w:rsidRPr="00624F78">
        <w:t>heir policy and rationale for applying fixed term tenancies,</w:t>
      </w:r>
      <w:r w:rsidR="00D20A96" w:rsidRPr="00624F78">
        <w:br/>
        <w:t>under what circumstances and for how long they would be granted, any exceptions</w:t>
      </w:r>
      <w:r w:rsidR="00927108" w:rsidRPr="00624F78">
        <w:t xml:space="preserve"> </w:t>
      </w:r>
      <w:r w:rsidR="00D20A96" w:rsidRPr="00624F78">
        <w:t>to this policy, where tenanci</w:t>
      </w:r>
      <w:r w:rsidR="00927108" w:rsidRPr="00624F78">
        <w:t>es would be granted as lifetime</w:t>
      </w:r>
    </w:p>
    <w:p w:rsidR="00927108" w:rsidRPr="00624F78" w:rsidRDefault="004F4D58" w:rsidP="00343E6F">
      <w:pPr>
        <w:pStyle w:val="ListParagraph"/>
        <w:numPr>
          <w:ilvl w:val="0"/>
          <w:numId w:val="8"/>
        </w:numPr>
      </w:pPr>
      <w:r w:rsidRPr="00624F78">
        <w:t>The</w:t>
      </w:r>
      <w:r w:rsidR="00D20A96" w:rsidRPr="00624F78">
        <w:t xml:space="preserve"> criteria that will be used at review to assess whether a tenant can</w:t>
      </w:r>
      <w:r w:rsidR="00927108" w:rsidRPr="00624F78">
        <w:t xml:space="preserve"> </w:t>
      </w:r>
      <w:r w:rsidR="00D20A96" w:rsidRPr="00624F78">
        <w:t>remain in the property at the end of the fixed term, whether the tenancy will be</w:t>
      </w:r>
      <w:r w:rsidR="00927108" w:rsidRPr="00624F78">
        <w:t xml:space="preserve"> </w:t>
      </w:r>
      <w:r w:rsidR="00D20A96" w:rsidRPr="00624F78">
        <w:t>renewed, or whethe</w:t>
      </w:r>
      <w:r w:rsidR="00927108" w:rsidRPr="00624F78">
        <w:t>r a tenancy will come to an end</w:t>
      </w:r>
    </w:p>
    <w:p w:rsidR="00927108" w:rsidRPr="00624F78" w:rsidRDefault="004F4D58" w:rsidP="00343E6F">
      <w:pPr>
        <w:pStyle w:val="ListParagraph"/>
        <w:numPr>
          <w:ilvl w:val="0"/>
          <w:numId w:val="8"/>
        </w:numPr>
      </w:pPr>
      <w:r w:rsidRPr="00624F78">
        <w:t>The</w:t>
      </w:r>
      <w:r w:rsidR="00D20A96" w:rsidRPr="00624F78">
        <w:t xml:space="preserve"> review process, timescales, </w:t>
      </w:r>
      <w:r w:rsidRPr="00624F78">
        <w:t>and</w:t>
      </w:r>
      <w:r w:rsidR="00D20A96" w:rsidRPr="00624F78">
        <w:t xml:space="preserve"> advice the tenant might expect to</w:t>
      </w:r>
      <w:r w:rsidR="00927108" w:rsidRPr="00624F78">
        <w:t xml:space="preserve"> </w:t>
      </w:r>
      <w:r w:rsidR="00D20A96" w:rsidRPr="00624F78">
        <w:t>receive, how the tenant is able to obtain advocacy, the agencies and partners that</w:t>
      </w:r>
      <w:r w:rsidR="00927108" w:rsidRPr="00624F78">
        <w:t xml:space="preserve"> </w:t>
      </w:r>
      <w:r w:rsidR="00D20A96" w:rsidRPr="00624F78">
        <w:t>can provide additional advice and how the tenant may contact them, and how to</w:t>
      </w:r>
      <w:r w:rsidR="00927108" w:rsidRPr="00624F78">
        <w:t xml:space="preserve"> appeal a decision</w:t>
      </w:r>
    </w:p>
    <w:p w:rsidR="000317E6" w:rsidRPr="00DA1319" w:rsidRDefault="000317E6" w:rsidP="00343E6F">
      <w:r w:rsidRPr="009721D1">
        <w:t>In relation to time scales, Registered Providers should</w:t>
      </w:r>
      <w:r w:rsidR="00130E2E" w:rsidRPr="009721D1">
        <w:t>:</w:t>
      </w:r>
    </w:p>
    <w:p w:rsidR="005A2962" w:rsidRPr="00DA1319" w:rsidRDefault="00D20A96" w:rsidP="00343E6F">
      <w:pPr>
        <w:pStyle w:val="ListParagraph"/>
        <w:numPr>
          <w:ilvl w:val="0"/>
          <w:numId w:val="9"/>
        </w:numPr>
        <w:rPr>
          <w:rStyle w:val="fontstyle01"/>
          <w:rFonts w:asciiTheme="minorHAnsi" w:hAnsiTheme="minorHAnsi" w:cstheme="minorHAnsi"/>
        </w:rPr>
      </w:pPr>
      <w:r w:rsidRPr="00DA1319">
        <w:rPr>
          <w:rStyle w:val="fontstyle01"/>
          <w:rFonts w:asciiTheme="minorHAnsi" w:hAnsiTheme="minorHAnsi" w:cstheme="minorHAnsi"/>
        </w:rPr>
        <w:t>Ensure that tenancy reviews are started no less than 9 months before the end of</w:t>
      </w:r>
      <w:r w:rsidR="005A2962" w:rsidRPr="00DA1319">
        <w:rPr>
          <w:rStyle w:val="fontstyle01"/>
          <w:rFonts w:asciiTheme="minorHAnsi" w:hAnsiTheme="minorHAnsi" w:cstheme="minorHAnsi"/>
        </w:rPr>
        <w:t xml:space="preserve"> </w:t>
      </w:r>
      <w:r w:rsidRPr="00DA1319">
        <w:rPr>
          <w:rStyle w:val="fontstyle01"/>
          <w:rFonts w:asciiTheme="minorHAnsi" w:hAnsiTheme="minorHAnsi" w:cstheme="minorHAnsi"/>
        </w:rPr>
        <w:t>the fixed term – ideally beginning 12 months before the end of the fixed term</w:t>
      </w:r>
    </w:p>
    <w:p w:rsidR="005A2962" w:rsidRPr="00DA1319" w:rsidRDefault="00D20A96" w:rsidP="00343E6F">
      <w:pPr>
        <w:pStyle w:val="ListParagraph"/>
        <w:numPr>
          <w:ilvl w:val="0"/>
          <w:numId w:val="7"/>
        </w:numPr>
        <w:rPr>
          <w:rStyle w:val="fontstyle01"/>
          <w:rFonts w:asciiTheme="minorHAnsi" w:hAnsiTheme="minorHAnsi" w:cstheme="minorHAnsi"/>
          <w:sz w:val="24"/>
          <w:szCs w:val="24"/>
        </w:rPr>
      </w:pPr>
      <w:r w:rsidRPr="00DA1319">
        <w:rPr>
          <w:rStyle w:val="fontstyle01"/>
          <w:rFonts w:asciiTheme="minorHAnsi" w:hAnsiTheme="minorHAnsi" w:cstheme="minorHAnsi"/>
        </w:rPr>
        <w:t xml:space="preserve">Work proactively with </w:t>
      </w:r>
      <w:r w:rsidR="00F5401B" w:rsidRPr="00DA1319">
        <w:rPr>
          <w:rStyle w:val="fontstyle01"/>
          <w:rFonts w:asciiTheme="minorHAnsi" w:hAnsiTheme="minorHAnsi" w:cstheme="minorHAnsi"/>
        </w:rPr>
        <w:t xml:space="preserve">Council’s Housing Options service, </w:t>
      </w:r>
      <w:r w:rsidRPr="00DA1319">
        <w:rPr>
          <w:rStyle w:val="fontstyle01"/>
          <w:rFonts w:asciiTheme="minorHAnsi" w:hAnsiTheme="minorHAnsi" w:cstheme="minorHAnsi"/>
        </w:rPr>
        <w:t xml:space="preserve"> advice agencies and partners to</w:t>
      </w:r>
      <w:r w:rsidR="005A2962" w:rsidRPr="00DA1319">
        <w:t xml:space="preserve"> </w:t>
      </w:r>
      <w:r w:rsidRPr="00DA1319">
        <w:rPr>
          <w:rStyle w:val="fontstyle01"/>
          <w:rFonts w:asciiTheme="minorHAnsi" w:hAnsiTheme="minorHAnsi" w:cstheme="minorHAnsi"/>
        </w:rPr>
        <w:t>explore all housing options, no later than 9 months</w:t>
      </w:r>
      <w:r w:rsidRPr="00DA1319">
        <w:br/>
      </w:r>
      <w:r w:rsidRPr="00DA1319">
        <w:rPr>
          <w:rStyle w:val="fontstyle01"/>
          <w:rFonts w:asciiTheme="minorHAnsi" w:hAnsiTheme="minorHAnsi" w:cstheme="minorHAnsi"/>
        </w:rPr>
        <w:t>b</w:t>
      </w:r>
      <w:r w:rsidR="005A2962" w:rsidRPr="00DA1319">
        <w:rPr>
          <w:rStyle w:val="fontstyle01"/>
          <w:rFonts w:asciiTheme="minorHAnsi" w:hAnsiTheme="minorHAnsi" w:cstheme="minorHAnsi"/>
        </w:rPr>
        <w:t>efore the end of the fixed term</w:t>
      </w:r>
    </w:p>
    <w:p w:rsidR="005A2962" w:rsidRPr="00DA1319" w:rsidRDefault="00D20A96" w:rsidP="00343E6F">
      <w:pPr>
        <w:pStyle w:val="ListParagraph"/>
        <w:numPr>
          <w:ilvl w:val="0"/>
          <w:numId w:val="7"/>
        </w:numPr>
        <w:rPr>
          <w:rStyle w:val="fontstyle01"/>
          <w:rFonts w:asciiTheme="minorHAnsi" w:hAnsiTheme="minorHAnsi" w:cstheme="minorHAnsi"/>
          <w:sz w:val="24"/>
          <w:szCs w:val="24"/>
        </w:rPr>
      </w:pPr>
      <w:r w:rsidRPr="00DA1319">
        <w:rPr>
          <w:rStyle w:val="fontstyle01"/>
          <w:rFonts w:asciiTheme="minorHAnsi" w:hAnsiTheme="minorHAnsi" w:cstheme="minorHAnsi"/>
        </w:rPr>
        <w:t>Ensure that the timetable for review and appeal is such that, following any appeal</w:t>
      </w:r>
      <w:r w:rsidR="005A2962" w:rsidRPr="00DA1319">
        <w:t xml:space="preserve"> </w:t>
      </w:r>
      <w:r w:rsidRPr="00DA1319">
        <w:rPr>
          <w:rStyle w:val="fontstyle01"/>
          <w:rFonts w:asciiTheme="minorHAnsi" w:hAnsiTheme="minorHAnsi" w:cstheme="minorHAnsi"/>
        </w:rPr>
        <w:t>that results in the tenancy ending, the tenant has 6 clear months from receiving the</w:t>
      </w:r>
      <w:r w:rsidR="005A2962" w:rsidRPr="00DA1319">
        <w:t xml:space="preserve"> </w:t>
      </w:r>
      <w:r w:rsidRPr="00DA1319">
        <w:rPr>
          <w:rStyle w:val="fontstyle01"/>
          <w:rFonts w:asciiTheme="minorHAnsi" w:hAnsiTheme="minorHAnsi" w:cstheme="minorHAnsi"/>
        </w:rPr>
        <w:t>appeal decision before the tenancy ends.</w:t>
      </w:r>
    </w:p>
    <w:p w:rsidR="005A2962" w:rsidRPr="00130E2E" w:rsidRDefault="00D20A96" w:rsidP="00343E6F">
      <w:pPr>
        <w:rPr>
          <w:rStyle w:val="fontstyle01"/>
          <w:rFonts w:asciiTheme="minorHAnsi" w:hAnsiTheme="minorHAnsi" w:cstheme="minorHAnsi"/>
        </w:rPr>
      </w:pPr>
      <w:r w:rsidRPr="00130E2E">
        <w:rPr>
          <w:rStyle w:val="fontstyle01"/>
          <w:rFonts w:asciiTheme="minorHAnsi" w:hAnsiTheme="minorHAnsi" w:cstheme="minorHAnsi"/>
        </w:rPr>
        <w:t xml:space="preserve">In relation to </w:t>
      </w:r>
      <w:r w:rsidR="0091643C" w:rsidRPr="00130E2E">
        <w:rPr>
          <w:rStyle w:val="fontstyle01"/>
          <w:rFonts w:asciiTheme="minorHAnsi" w:hAnsiTheme="minorHAnsi" w:cstheme="minorHAnsi"/>
        </w:rPr>
        <w:t xml:space="preserve">decision making, </w:t>
      </w:r>
      <w:r w:rsidR="008E3A17" w:rsidRPr="00130E2E">
        <w:rPr>
          <w:rStyle w:val="fontstyle01"/>
          <w:rFonts w:asciiTheme="minorHAnsi" w:hAnsiTheme="minorHAnsi" w:cstheme="minorHAnsi"/>
        </w:rPr>
        <w:t xml:space="preserve">Registered Providers should provide </w:t>
      </w:r>
      <w:r w:rsidR="0091643C" w:rsidRPr="00130E2E">
        <w:rPr>
          <w:rStyle w:val="fontstyle01"/>
          <w:rFonts w:asciiTheme="minorHAnsi" w:hAnsiTheme="minorHAnsi" w:cstheme="minorHAnsi"/>
        </w:rPr>
        <w:t xml:space="preserve">written decisions </w:t>
      </w:r>
      <w:r w:rsidR="008E3A17" w:rsidRPr="00130E2E">
        <w:rPr>
          <w:rStyle w:val="fontstyle01"/>
          <w:rFonts w:asciiTheme="minorHAnsi" w:hAnsiTheme="minorHAnsi" w:cstheme="minorHAnsi"/>
        </w:rPr>
        <w:t>which</w:t>
      </w:r>
      <w:r w:rsidR="00E41500" w:rsidRPr="00130E2E">
        <w:rPr>
          <w:rStyle w:val="fontstyle01"/>
          <w:rFonts w:asciiTheme="minorHAnsi" w:hAnsiTheme="minorHAnsi" w:cstheme="minorHAnsi"/>
        </w:rPr>
        <w:t xml:space="preserve"> include</w:t>
      </w:r>
      <w:r w:rsidRPr="00130E2E">
        <w:rPr>
          <w:rStyle w:val="fontstyle01"/>
          <w:rFonts w:asciiTheme="minorHAnsi" w:hAnsiTheme="minorHAnsi" w:cstheme="minorHAnsi"/>
        </w:rPr>
        <w:t>:</w:t>
      </w:r>
    </w:p>
    <w:p w:rsidR="0091643C" w:rsidRPr="00130E2E" w:rsidRDefault="00E41500" w:rsidP="00343E6F">
      <w:pPr>
        <w:pStyle w:val="ListParagraph"/>
        <w:numPr>
          <w:ilvl w:val="0"/>
          <w:numId w:val="11"/>
        </w:numPr>
        <w:rPr>
          <w:rStyle w:val="fontstyle01"/>
          <w:rFonts w:asciiTheme="minorHAnsi" w:hAnsiTheme="minorHAnsi" w:cstheme="minorHAnsi"/>
        </w:rPr>
      </w:pPr>
      <w:r w:rsidRPr="00130E2E">
        <w:rPr>
          <w:rStyle w:val="fontstyle01"/>
          <w:rFonts w:asciiTheme="minorHAnsi" w:hAnsiTheme="minorHAnsi" w:cstheme="minorHAnsi"/>
        </w:rPr>
        <w:t>An explanation of how a</w:t>
      </w:r>
      <w:r w:rsidR="00D20A96" w:rsidRPr="00130E2E">
        <w:rPr>
          <w:rStyle w:val="fontstyle01"/>
          <w:rFonts w:asciiTheme="minorHAnsi" w:hAnsiTheme="minorHAnsi" w:cstheme="minorHAnsi"/>
        </w:rPr>
        <w:t xml:space="preserve"> decision has been made, and how the</w:t>
      </w:r>
      <w:r w:rsidR="005A2962" w:rsidRPr="00130E2E">
        <w:rPr>
          <w:rStyle w:val="fontstyle01"/>
          <w:rFonts w:asciiTheme="minorHAnsi" w:hAnsiTheme="minorHAnsi" w:cstheme="minorHAnsi"/>
        </w:rPr>
        <w:t xml:space="preserve"> </w:t>
      </w:r>
      <w:r w:rsidR="00D20A96" w:rsidRPr="00130E2E">
        <w:rPr>
          <w:rStyle w:val="fontstyle01"/>
          <w:rFonts w:asciiTheme="minorHAnsi" w:hAnsiTheme="minorHAnsi" w:cstheme="minorHAnsi"/>
        </w:rPr>
        <w:t>tenant`s individual circumst</w:t>
      </w:r>
      <w:r w:rsidR="0091643C" w:rsidRPr="00130E2E">
        <w:rPr>
          <w:rStyle w:val="fontstyle01"/>
          <w:rFonts w:asciiTheme="minorHAnsi" w:hAnsiTheme="minorHAnsi" w:cstheme="minorHAnsi"/>
        </w:rPr>
        <w:t>ances relate to the RP</w:t>
      </w:r>
      <w:r w:rsidRPr="00130E2E">
        <w:rPr>
          <w:rStyle w:val="fontstyle01"/>
          <w:rFonts w:asciiTheme="minorHAnsi" w:hAnsiTheme="minorHAnsi" w:cstheme="minorHAnsi"/>
        </w:rPr>
        <w:t>’</w:t>
      </w:r>
      <w:r w:rsidR="0091643C" w:rsidRPr="00130E2E">
        <w:rPr>
          <w:rStyle w:val="fontstyle01"/>
          <w:rFonts w:asciiTheme="minorHAnsi" w:hAnsiTheme="minorHAnsi" w:cstheme="minorHAnsi"/>
        </w:rPr>
        <w:t>s policy</w:t>
      </w:r>
    </w:p>
    <w:p w:rsidR="00E41500" w:rsidRPr="00130E2E" w:rsidRDefault="0091643C" w:rsidP="00343E6F">
      <w:pPr>
        <w:pStyle w:val="ListParagraph"/>
        <w:numPr>
          <w:ilvl w:val="0"/>
          <w:numId w:val="10"/>
        </w:numPr>
        <w:rPr>
          <w:rStyle w:val="fontstyle01"/>
          <w:rFonts w:asciiTheme="minorHAnsi" w:hAnsiTheme="minorHAnsi" w:cstheme="minorHAnsi"/>
        </w:rPr>
      </w:pPr>
      <w:r w:rsidRPr="00130E2E">
        <w:rPr>
          <w:rStyle w:val="fontstyle01"/>
          <w:rFonts w:asciiTheme="minorHAnsi" w:hAnsiTheme="minorHAnsi" w:cstheme="minorHAnsi"/>
        </w:rPr>
        <w:t>I</w:t>
      </w:r>
      <w:r w:rsidR="00D20A96" w:rsidRPr="00130E2E">
        <w:rPr>
          <w:rStyle w:val="fontstyle01"/>
          <w:rFonts w:asciiTheme="minorHAnsi" w:hAnsiTheme="minorHAnsi" w:cstheme="minorHAnsi"/>
        </w:rPr>
        <w:t xml:space="preserve">nclude an assessment of </w:t>
      </w:r>
      <w:r w:rsidRPr="00130E2E">
        <w:rPr>
          <w:rStyle w:val="fontstyle01"/>
          <w:rFonts w:asciiTheme="minorHAnsi" w:hAnsiTheme="minorHAnsi" w:cstheme="minorHAnsi"/>
        </w:rPr>
        <w:t xml:space="preserve">tenant’s ability to access suitable alternative accommodation reflecting their current and future income, </w:t>
      </w:r>
      <w:r w:rsidR="00D20A96" w:rsidRPr="00130E2E">
        <w:rPr>
          <w:rStyle w:val="fontstyle01"/>
          <w:rFonts w:asciiTheme="minorHAnsi" w:hAnsiTheme="minorHAnsi" w:cstheme="minorHAnsi"/>
        </w:rPr>
        <w:t xml:space="preserve">health, disability and general welfare </w:t>
      </w:r>
      <w:r w:rsidRPr="00130E2E">
        <w:rPr>
          <w:rStyle w:val="fontstyle01"/>
          <w:rFonts w:asciiTheme="minorHAnsi" w:hAnsiTheme="minorHAnsi" w:cstheme="minorHAnsi"/>
        </w:rPr>
        <w:t xml:space="preserve">of any members of the tenant’s household. </w:t>
      </w:r>
    </w:p>
    <w:p w:rsidR="00E41500" w:rsidRPr="00130E2E" w:rsidRDefault="00E41500" w:rsidP="00CC0DFC">
      <w:pPr>
        <w:pStyle w:val="Heading1"/>
        <w:rPr>
          <w:rStyle w:val="fontstyle01"/>
          <w:rFonts w:asciiTheme="majorHAnsi" w:hAnsiTheme="majorHAnsi" w:cstheme="majorBidi"/>
          <w:color w:val="17365D" w:themeColor="text2" w:themeShade="BF"/>
          <w:sz w:val="40"/>
          <w:szCs w:val="40"/>
        </w:rPr>
      </w:pPr>
      <w:r w:rsidRPr="00130E2E">
        <w:rPr>
          <w:rStyle w:val="fontstyle01"/>
          <w:rFonts w:asciiTheme="majorHAnsi" w:hAnsiTheme="majorHAnsi" w:cstheme="majorBidi"/>
          <w:color w:val="17365D" w:themeColor="text2" w:themeShade="BF"/>
          <w:sz w:val="40"/>
          <w:szCs w:val="40"/>
        </w:rPr>
        <w:t>Governance of the Tenancy Strategy</w:t>
      </w:r>
    </w:p>
    <w:p w:rsidR="008E3A17" w:rsidRPr="00130E2E" w:rsidRDefault="00D20A96" w:rsidP="00343E6F">
      <w:pPr>
        <w:pStyle w:val="ListParagraph"/>
        <w:rPr>
          <w:rStyle w:val="fontstyle01"/>
          <w:rFonts w:asciiTheme="minorHAnsi" w:hAnsiTheme="minorHAnsi" w:cstheme="minorHAnsi"/>
        </w:rPr>
      </w:pPr>
      <w:r w:rsidRPr="00130E2E">
        <w:rPr>
          <w:rStyle w:val="fontstyle01"/>
          <w:rFonts w:asciiTheme="minorHAnsi" w:hAnsiTheme="minorHAnsi" w:cstheme="minorHAnsi"/>
        </w:rPr>
        <w:t>Each registered provider should monitor the effects of their policies and individual reviews</w:t>
      </w:r>
      <w:r w:rsidR="008E3A17" w:rsidRPr="00130E2E">
        <w:rPr>
          <w:rStyle w:val="fontstyle01"/>
          <w:rFonts w:asciiTheme="minorHAnsi" w:hAnsiTheme="minorHAnsi" w:cstheme="minorHAnsi"/>
        </w:rPr>
        <w:t xml:space="preserve">. The District Council is especially interested to understand the impact of this policy in terms of: </w:t>
      </w:r>
    </w:p>
    <w:p w:rsidR="00D20A96" w:rsidRPr="00130E2E" w:rsidRDefault="008E3A17" w:rsidP="00343E6F">
      <w:pPr>
        <w:pStyle w:val="ListParagraph"/>
        <w:numPr>
          <w:ilvl w:val="0"/>
          <w:numId w:val="12"/>
        </w:numPr>
      </w:pPr>
      <w:r w:rsidRPr="00130E2E">
        <w:t>The number of reviews undertaken and their outcome</w:t>
      </w:r>
    </w:p>
    <w:p w:rsidR="008E3A17" w:rsidRPr="00130E2E" w:rsidRDefault="008E3A17" w:rsidP="00343E6F">
      <w:pPr>
        <w:pStyle w:val="ListParagraph"/>
        <w:numPr>
          <w:ilvl w:val="0"/>
          <w:numId w:val="12"/>
        </w:numPr>
      </w:pPr>
      <w:r w:rsidRPr="00130E2E">
        <w:t>The outcomes for tenants whose tenancies are not renewed</w:t>
      </w:r>
    </w:p>
    <w:p w:rsidR="008E3A17" w:rsidRPr="00130E2E" w:rsidRDefault="008E3A17" w:rsidP="00343E6F">
      <w:pPr>
        <w:pStyle w:val="ListParagraph"/>
        <w:numPr>
          <w:ilvl w:val="0"/>
          <w:numId w:val="12"/>
        </w:numPr>
      </w:pPr>
      <w:r w:rsidRPr="00130E2E">
        <w:t>The number of transfers within RP’s stock which take place as a result of reviews, particularly where this results in down sizing</w:t>
      </w:r>
    </w:p>
    <w:p w:rsidR="00C73372" w:rsidRPr="00130E2E" w:rsidRDefault="008E3A17" w:rsidP="00343E6F">
      <w:r w:rsidRPr="00130E2E">
        <w:t xml:space="preserve">The implementation of the Tenancy Strategy and the use of fixed term tenancies by Registered Providers will be an item for regular review at the </w:t>
      </w:r>
      <w:r w:rsidR="00E41500" w:rsidRPr="00130E2E">
        <w:t>Council’s Registered</w:t>
      </w:r>
      <w:r w:rsidRPr="00130E2E">
        <w:t xml:space="preserve"> Provider Forum. </w:t>
      </w:r>
    </w:p>
    <w:sectPr w:rsidR="00C73372" w:rsidRPr="00130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4060"/>
    <w:multiLevelType w:val="hybridMultilevel"/>
    <w:tmpl w:val="B058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000AA"/>
    <w:multiLevelType w:val="hybridMultilevel"/>
    <w:tmpl w:val="36D4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43FDD"/>
    <w:multiLevelType w:val="hybridMultilevel"/>
    <w:tmpl w:val="9BD836B2"/>
    <w:lvl w:ilvl="0" w:tplc="0F80021C">
      <w:start w:val="5"/>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E56D2"/>
    <w:multiLevelType w:val="hybridMultilevel"/>
    <w:tmpl w:val="01B6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714EEF"/>
    <w:multiLevelType w:val="hybridMultilevel"/>
    <w:tmpl w:val="D6D8CA82"/>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nsid w:val="1C257FB3"/>
    <w:multiLevelType w:val="hybridMultilevel"/>
    <w:tmpl w:val="820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D941F7"/>
    <w:multiLevelType w:val="hybridMultilevel"/>
    <w:tmpl w:val="C4EE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75493F"/>
    <w:multiLevelType w:val="hybridMultilevel"/>
    <w:tmpl w:val="6046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F3D38"/>
    <w:multiLevelType w:val="hybridMultilevel"/>
    <w:tmpl w:val="A18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EF510B"/>
    <w:multiLevelType w:val="hybridMultilevel"/>
    <w:tmpl w:val="AF1C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9D1213"/>
    <w:multiLevelType w:val="hybridMultilevel"/>
    <w:tmpl w:val="376E09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6E4340"/>
    <w:multiLevelType w:val="hybridMultilevel"/>
    <w:tmpl w:val="78F4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22152E"/>
    <w:multiLevelType w:val="hybridMultilevel"/>
    <w:tmpl w:val="7F76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D11823"/>
    <w:multiLevelType w:val="multilevel"/>
    <w:tmpl w:val="C7DCDCDA"/>
    <w:lvl w:ilvl="0">
      <w:start w:val="1"/>
      <w:numFmt w:val="decimal"/>
      <w:lvlText w:val="%1."/>
      <w:lvlJc w:val="left"/>
      <w:pPr>
        <w:ind w:left="360" w:hanging="360"/>
      </w:pPr>
      <w:rPr>
        <w:rFonts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673" w:hanging="1440"/>
      </w:pPr>
      <w:rPr>
        <w:rFonts w:hint="default"/>
      </w:rPr>
    </w:lvl>
    <w:lvl w:ilvl="5">
      <w:start w:val="1"/>
      <w:numFmt w:val="decimal"/>
      <w:isLgl/>
      <w:lvlText w:val="%1.%2.%3.%4.%5.%6"/>
      <w:lvlJc w:val="left"/>
      <w:pPr>
        <w:ind w:left="3393" w:hanging="1800"/>
      </w:pPr>
      <w:rPr>
        <w:rFonts w:hint="default"/>
      </w:rPr>
    </w:lvl>
    <w:lvl w:ilvl="6">
      <w:start w:val="1"/>
      <w:numFmt w:val="decimal"/>
      <w:isLgl/>
      <w:lvlText w:val="%1.%2.%3.%4.%5.%6.%7"/>
      <w:lvlJc w:val="left"/>
      <w:pPr>
        <w:ind w:left="3753" w:hanging="1800"/>
      </w:pPr>
      <w:rPr>
        <w:rFonts w:hint="default"/>
      </w:rPr>
    </w:lvl>
    <w:lvl w:ilvl="7">
      <w:start w:val="1"/>
      <w:numFmt w:val="decimal"/>
      <w:isLgl/>
      <w:lvlText w:val="%1.%2.%3.%4.%5.%6.%7.%8"/>
      <w:lvlJc w:val="left"/>
      <w:pPr>
        <w:ind w:left="4473" w:hanging="2160"/>
      </w:pPr>
      <w:rPr>
        <w:rFonts w:hint="default"/>
      </w:rPr>
    </w:lvl>
    <w:lvl w:ilvl="8">
      <w:start w:val="1"/>
      <w:numFmt w:val="decimal"/>
      <w:isLgl/>
      <w:lvlText w:val="%1.%2.%3.%4.%5.%6.%7.%8.%9"/>
      <w:lvlJc w:val="left"/>
      <w:pPr>
        <w:ind w:left="5193" w:hanging="2520"/>
      </w:pPr>
      <w:rPr>
        <w:rFonts w:hint="default"/>
      </w:rPr>
    </w:lvl>
  </w:abstractNum>
  <w:abstractNum w:abstractNumId="14">
    <w:nsid w:val="5D013089"/>
    <w:multiLevelType w:val="hybridMultilevel"/>
    <w:tmpl w:val="885A6024"/>
    <w:lvl w:ilvl="0" w:tplc="0F80021C">
      <w:start w:val="5"/>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FC16E4"/>
    <w:multiLevelType w:val="hybridMultilevel"/>
    <w:tmpl w:val="9A98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6340EB"/>
    <w:multiLevelType w:val="hybridMultilevel"/>
    <w:tmpl w:val="87D0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AA7ECF"/>
    <w:multiLevelType w:val="hybridMultilevel"/>
    <w:tmpl w:val="19FE8D20"/>
    <w:lvl w:ilvl="0" w:tplc="7FA8B9D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6D53AC"/>
    <w:multiLevelType w:val="hybridMultilevel"/>
    <w:tmpl w:val="4ECE98A0"/>
    <w:lvl w:ilvl="0" w:tplc="0F80021C">
      <w:start w:val="5"/>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9255D9"/>
    <w:multiLevelType w:val="hybridMultilevel"/>
    <w:tmpl w:val="3E70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8"/>
  </w:num>
  <w:num w:numId="4">
    <w:abstractNumId w:val="2"/>
  </w:num>
  <w:num w:numId="5">
    <w:abstractNumId w:val="14"/>
  </w:num>
  <w:num w:numId="6">
    <w:abstractNumId w:val="11"/>
  </w:num>
  <w:num w:numId="7">
    <w:abstractNumId w:val="3"/>
  </w:num>
  <w:num w:numId="8">
    <w:abstractNumId w:val="0"/>
  </w:num>
  <w:num w:numId="9">
    <w:abstractNumId w:val="1"/>
  </w:num>
  <w:num w:numId="10">
    <w:abstractNumId w:val="9"/>
  </w:num>
  <w:num w:numId="11">
    <w:abstractNumId w:val="15"/>
  </w:num>
  <w:num w:numId="12">
    <w:abstractNumId w:val="4"/>
  </w:num>
  <w:num w:numId="13">
    <w:abstractNumId w:val="13"/>
  </w:num>
  <w:num w:numId="14">
    <w:abstractNumId w:val="7"/>
  </w:num>
  <w:num w:numId="15">
    <w:abstractNumId w:val="17"/>
  </w:num>
  <w:num w:numId="16">
    <w:abstractNumId w:val="5"/>
  </w:num>
  <w:num w:numId="17">
    <w:abstractNumId w:val="19"/>
  </w:num>
  <w:num w:numId="18">
    <w:abstractNumId w:val="10"/>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96"/>
    <w:rsid w:val="000166CB"/>
    <w:rsid w:val="000317E6"/>
    <w:rsid w:val="000D521E"/>
    <w:rsid w:val="00106A0F"/>
    <w:rsid w:val="00130E2E"/>
    <w:rsid w:val="001834FE"/>
    <w:rsid w:val="001C3936"/>
    <w:rsid w:val="001E742C"/>
    <w:rsid w:val="001F42CF"/>
    <w:rsid w:val="002D657E"/>
    <w:rsid w:val="00343E6F"/>
    <w:rsid w:val="00416E4B"/>
    <w:rsid w:val="00426D39"/>
    <w:rsid w:val="00494702"/>
    <w:rsid w:val="004F4D58"/>
    <w:rsid w:val="005A2962"/>
    <w:rsid w:val="0060028A"/>
    <w:rsid w:val="00624F78"/>
    <w:rsid w:val="00697F97"/>
    <w:rsid w:val="00700516"/>
    <w:rsid w:val="0072052D"/>
    <w:rsid w:val="007712F7"/>
    <w:rsid w:val="007924BC"/>
    <w:rsid w:val="007E2163"/>
    <w:rsid w:val="00806EA6"/>
    <w:rsid w:val="00843B2C"/>
    <w:rsid w:val="008E3A17"/>
    <w:rsid w:val="0091643C"/>
    <w:rsid w:val="00927108"/>
    <w:rsid w:val="009721D1"/>
    <w:rsid w:val="00A90109"/>
    <w:rsid w:val="00AB6DDC"/>
    <w:rsid w:val="00B42AE4"/>
    <w:rsid w:val="00BD0745"/>
    <w:rsid w:val="00C73372"/>
    <w:rsid w:val="00C86965"/>
    <w:rsid w:val="00CA0B6B"/>
    <w:rsid w:val="00CB1021"/>
    <w:rsid w:val="00CC0DFC"/>
    <w:rsid w:val="00CE3506"/>
    <w:rsid w:val="00D20A96"/>
    <w:rsid w:val="00D31DC0"/>
    <w:rsid w:val="00D42D80"/>
    <w:rsid w:val="00D81A28"/>
    <w:rsid w:val="00DA1319"/>
    <w:rsid w:val="00DD136D"/>
    <w:rsid w:val="00DE0D22"/>
    <w:rsid w:val="00E16BF6"/>
    <w:rsid w:val="00E41500"/>
    <w:rsid w:val="00EC1DFB"/>
    <w:rsid w:val="00F5401B"/>
    <w:rsid w:val="00F56289"/>
    <w:rsid w:val="00F9128E"/>
    <w:rsid w:val="00FB0FAE"/>
    <w:rsid w:val="00FF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F"/>
    <w:rPr>
      <w:rFonts w:ascii="Calibri" w:hAnsi="Calibri" w:cs="Calibri"/>
    </w:rPr>
  </w:style>
  <w:style w:type="paragraph" w:styleId="Heading1">
    <w:name w:val="heading 1"/>
    <w:basedOn w:val="Title"/>
    <w:next w:val="Normal"/>
    <w:link w:val="Heading1Char"/>
    <w:uiPriority w:val="9"/>
    <w:qFormat/>
    <w:rsid w:val="00343E6F"/>
    <w:pPr>
      <w:jc w:val="left"/>
      <w:outlineLvl w:val="0"/>
    </w:pPr>
    <w:rPr>
      <w:sz w:val="40"/>
      <w:szCs w:val="40"/>
    </w:rPr>
  </w:style>
  <w:style w:type="paragraph" w:styleId="Heading2">
    <w:name w:val="heading 2"/>
    <w:basedOn w:val="Title"/>
    <w:next w:val="Normal"/>
    <w:link w:val="Heading2Char"/>
    <w:uiPriority w:val="9"/>
    <w:unhideWhenUsed/>
    <w:qFormat/>
    <w:rsid w:val="00CC0DFC"/>
    <w:pPr>
      <w:numPr>
        <w:numId w:val="15"/>
      </w:numPr>
      <w:pBdr>
        <w:bottom w:val="none" w:sz="0" w:space="0" w:color="auto"/>
      </w:pBdr>
      <w:spacing w:after="200" w:line="276" w:lineRule="auto"/>
      <w:ind w:left="0" w:hanging="567"/>
      <w:jc w:val="left"/>
      <w:outlineLvl w:val="1"/>
    </w:pPr>
    <w:rPr>
      <w:sz w:val="28"/>
      <w:szCs w:val="28"/>
    </w:rPr>
  </w:style>
  <w:style w:type="paragraph" w:styleId="Heading3">
    <w:name w:val="heading 3"/>
    <w:basedOn w:val="Normal"/>
    <w:next w:val="Normal"/>
    <w:link w:val="Heading3Char"/>
    <w:uiPriority w:val="9"/>
    <w:unhideWhenUsed/>
    <w:qFormat/>
    <w:rsid w:val="00D8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1A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1A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20A96"/>
    <w:rPr>
      <w:rFonts w:ascii="Arial" w:hAnsi="Arial" w:cs="Arial" w:hint="default"/>
      <w:b w:val="0"/>
      <w:bCs w:val="0"/>
      <w:i w:val="0"/>
      <w:iCs w:val="0"/>
      <w:color w:val="000000"/>
      <w:sz w:val="22"/>
      <w:szCs w:val="22"/>
    </w:rPr>
  </w:style>
  <w:style w:type="character" w:customStyle="1" w:styleId="fontstyle21">
    <w:name w:val="fontstyle21"/>
    <w:basedOn w:val="DefaultParagraphFont"/>
    <w:rsid w:val="00D20A96"/>
    <w:rPr>
      <w:rFonts w:ascii="Symbol" w:hAnsi="Symbol" w:hint="default"/>
      <w:b w:val="0"/>
      <w:bCs w:val="0"/>
      <w:i w:val="0"/>
      <w:iCs w:val="0"/>
      <w:color w:val="000000"/>
      <w:sz w:val="22"/>
      <w:szCs w:val="22"/>
    </w:rPr>
  </w:style>
  <w:style w:type="character" w:customStyle="1" w:styleId="fontstyle31">
    <w:name w:val="fontstyle31"/>
    <w:basedOn w:val="DefaultParagraphFont"/>
    <w:rsid w:val="00D20A96"/>
    <w:rPr>
      <w:rFonts w:ascii="Arial" w:hAnsi="Arial" w:cs="Arial" w:hint="default"/>
      <w:b/>
      <w:bCs/>
      <w:i w:val="0"/>
      <w:iCs w:val="0"/>
      <w:color w:val="000000"/>
      <w:sz w:val="22"/>
      <w:szCs w:val="22"/>
    </w:rPr>
  </w:style>
  <w:style w:type="character" w:customStyle="1" w:styleId="fontstyle41">
    <w:name w:val="fontstyle41"/>
    <w:basedOn w:val="DefaultParagraphFont"/>
    <w:rsid w:val="00D20A96"/>
    <w:rPr>
      <w:rFonts w:ascii="Calibri" w:hAnsi="Calibri" w:cs="Calibri" w:hint="default"/>
      <w:b w:val="0"/>
      <w:bCs w:val="0"/>
      <w:i w:val="0"/>
      <w:iCs w:val="0"/>
      <w:color w:val="000000"/>
      <w:sz w:val="22"/>
      <w:szCs w:val="22"/>
    </w:rPr>
  </w:style>
  <w:style w:type="character" w:customStyle="1" w:styleId="fontstyle51">
    <w:name w:val="fontstyle51"/>
    <w:basedOn w:val="DefaultParagraphFont"/>
    <w:rsid w:val="00D20A96"/>
    <w:rPr>
      <w:rFonts w:ascii="Arial" w:hAnsi="Arial" w:cs="Arial" w:hint="default"/>
      <w:b w:val="0"/>
      <w:bCs w:val="0"/>
      <w:i/>
      <w:iCs/>
      <w:color w:val="000000"/>
      <w:sz w:val="22"/>
      <w:szCs w:val="22"/>
    </w:rPr>
  </w:style>
  <w:style w:type="character" w:customStyle="1" w:styleId="fontstyle61">
    <w:name w:val="fontstyle61"/>
    <w:basedOn w:val="DefaultParagraphFont"/>
    <w:rsid w:val="00D20A96"/>
    <w:rPr>
      <w:rFonts w:ascii="Wingdings" w:hAnsi="Wingdings" w:hint="default"/>
      <w:b w:val="0"/>
      <w:bCs w:val="0"/>
      <w:i w:val="0"/>
      <w:iCs w:val="0"/>
      <w:color w:val="000000"/>
      <w:sz w:val="22"/>
      <w:szCs w:val="22"/>
    </w:rPr>
  </w:style>
  <w:style w:type="paragraph" w:styleId="ListParagraph">
    <w:name w:val="List Paragraph"/>
    <w:basedOn w:val="Normal"/>
    <w:uiPriority w:val="34"/>
    <w:qFormat/>
    <w:rsid w:val="00D31DC0"/>
    <w:pPr>
      <w:ind w:left="720"/>
      <w:contextualSpacing/>
    </w:pPr>
  </w:style>
  <w:style w:type="paragraph" w:styleId="BalloonText">
    <w:name w:val="Balloon Text"/>
    <w:basedOn w:val="Normal"/>
    <w:link w:val="BalloonTextChar"/>
    <w:uiPriority w:val="99"/>
    <w:semiHidden/>
    <w:unhideWhenUsed/>
    <w:rsid w:val="007E2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63"/>
    <w:rPr>
      <w:rFonts w:ascii="Tahoma" w:hAnsi="Tahoma" w:cs="Tahoma"/>
      <w:sz w:val="16"/>
      <w:szCs w:val="16"/>
    </w:rPr>
  </w:style>
  <w:style w:type="paragraph" w:styleId="Title">
    <w:name w:val="Title"/>
    <w:basedOn w:val="Normal"/>
    <w:next w:val="Normal"/>
    <w:link w:val="TitleChar"/>
    <w:uiPriority w:val="10"/>
    <w:qFormat/>
    <w:rsid w:val="00343E6F"/>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48"/>
    </w:rPr>
  </w:style>
  <w:style w:type="character" w:customStyle="1" w:styleId="TitleChar">
    <w:name w:val="Title Char"/>
    <w:basedOn w:val="DefaultParagraphFont"/>
    <w:link w:val="Title"/>
    <w:uiPriority w:val="10"/>
    <w:rsid w:val="00343E6F"/>
    <w:rPr>
      <w:rFonts w:asciiTheme="majorHAnsi" w:eastAsiaTheme="majorEastAsia" w:hAnsiTheme="majorHAnsi" w:cstheme="majorBidi"/>
      <w:color w:val="17365D" w:themeColor="text2" w:themeShade="BF"/>
      <w:spacing w:val="5"/>
      <w:kern w:val="28"/>
      <w:sz w:val="72"/>
      <w:szCs w:val="48"/>
    </w:rPr>
  </w:style>
  <w:style w:type="paragraph" w:styleId="Subtitle">
    <w:name w:val="Subtitle"/>
    <w:basedOn w:val="Normal"/>
    <w:next w:val="Normal"/>
    <w:link w:val="SubtitleChar"/>
    <w:uiPriority w:val="11"/>
    <w:qFormat/>
    <w:rsid w:val="001E74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742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CC0DFC"/>
    <w:rPr>
      <w:rFonts w:asciiTheme="majorHAnsi" w:eastAsiaTheme="majorEastAsia" w:hAnsiTheme="majorHAnsi" w:cstheme="majorBidi"/>
      <w:color w:val="17365D" w:themeColor="text2" w:themeShade="BF"/>
      <w:spacing w:val="5"/>
      <w:kern w:val="28"/>
      <w:sz w:val="28"/>
      <w:szCs w:val="28"/>
    </w:rPr>
  </w:style>
  <w:style w:type="character" w:customStyle="1" w:styleId="Heading3Char">
    <w:name w:val="Heading 3 Char"/>
    <w:basedOn w:val="DefaultParagraphFont"/>
    <w:link w:val="Heading3"/>
    <w:uiPriority w:val="9"/>
    <w:rsid w:val="00D8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1A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1A2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43E6F"/>
    <w:rPr>
      <w:rFonts w:asciiTheme="majorHAnsi" w:eastAsiaTheme="majorEastAsia" w:hAnsiTheme="majorHAnsi" w:cstheme="majorBidi"/>
      <w:color w:val="17365D" w:themeColor="text2" w:themeShade="BF"/>
      <w:spacing w:val="5"/>
      <w:kern w:val="28"/>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F"/>
    <w:rPr>
      <w:rFonts w:ascii="Calibri" w:hAnsi="Calibri" w:cs="Calibri"/>
    </w:rPr>
  </w:style>
  <w:style w:type="paragraph" w:styleId="Heading1">
    <w:name w:val="heading 1"/>
    <w:basedOn w:val="Title"/>
    <w:next w:val="Normal"/>
    <w:link w:val="Heading1Char"/>
    <w:uiPriority w:val="9"/>
    <w:qFormat/>
    <w:rsid w:val="00343E6F"/>
    <w:pPr>
      <w:jc w:val="left"/>
      <w:outlineLvl w:val="0"/>
    </w:pPr>
    <w:rPr>
      <w:sz w:val="40"/>
      <w:szCs w:val="40"/>
    </w:rPr>
  </w:style>
  <w:style w:type="paragraph" w:styleId="Heading2">
    <w:name w:val="heading 2"/>
    <w:basedOn w:val="Title"/>
    <w:next w:val="Normal"/>
    <w:link w:val="Heading2Char"/>
    <w:uiPriority w:val="9"/>
    <w:unhideWhenUsed/>
    <w:qFormat/>
    <w:rsid w:val="00CC0DFC"/>
    <w:pPr>
      <w:numPr>
        <w:numId w:val="15"/>
      </w:numPr>
      <w:pBdr>
        <w:bottom w:val="none" w:sz="0" w:space="0" w:color="auto"/>
      </w:pBdr>
      <w:spacing w:after="200" w:line="276" w:lineRule="auto"/>
      <w:ind w:left="0" w:hanging="567"/>
      <w:jc w:val="left"/>
      <w:outlineLvl w:val="1"/>
    </w:pPr>
    <w:rPr>
      <w:sz w:val="28"/>
      <w:szCs w:val="28"/>
    </w:rPr>
  </w:style>
  <w:style w:type="paragraph" w:styleId="Heading3">
    <w:name w:val="heading 3"/>
    <w:basedOn w:val="Normal"/>
    <w:next w:val="Normal"/>
    <w:link w:val="Heading3Char"/>
    <w:uiPriority w:val="9"/>
    <w:unhideWhenUsed/>
    <w:qFormat/>
    <w:rsid w:val="00D8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1A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1A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20A96"/>
    <w:rPr>
      <w:rFonts w:ascii="Arial" w:hAnsi="Arial" w:cs="Arial" w:hint="default"/>
      <w:b w:val="0"/>
      <w:bCs w:val="0"/>
      <w:i w:val="0"/>
      <w:iCs w:val="0"/>
      <w:color w:val="000000"/>
      <w:sz w:val="22"/>
      <w:szCs w:val="22"/>
    </w:rPr>
  </w:style>
  <w:style w:type="character" w:customStyle="1" w:styleId="fontstyle21">
    <w:name w:val="fontstyle21"/>
    <w:basedOn w:val="DefaultParagraphFont"/>
    <w:rsid w:val="00D20A96"/>
    <w:rPr>
      <w:rFonts w:ascii="Symbol" w:hAnsi="Symbol" w:hint="default"/>
      <w:b w:val="0"/>
      <w:bCs w:val="0"/>
      <w:i w:val="0"/>
      <w:iCs w:val="0"/>
      <w:color w:val="000000"/>
      <w:sz w:val="22"/>
      <w:szCs w:val="22"/>
    </w:rPr>
  </w:style>
  <w:style w:type="character" w:customStyle="1" w:styleId="fontstyle31">
    <w:name w:val="fontstyle31"/>
    <w:basedOn w:val="DefaultParagraphFont"/>
    <w:rsid w:val="00D20A96"/>
    <w:rPr>
      <w:rFonts w:ascii="Arial" w:hAnsi="Arial" w:cs="Arial" w:hint="default"/>
      <w:b/>
      <w:bCs/>
      <w:i w:val="0"/>
      <w:iCs w:val="0"/>
      <w:color w:val="000000"/>
      <w:sz w:val="22"/>
      <w:szCs w:val="22"/>
    </w:rPr>
  </w:style>
  <w:style w:type="character" w:customStyle="1" w:styleId="fontstyle41">
    <w:name w:val="fontstyle41"/>
    <w:basedOn w:val="DefaultParagraphFont"/>
    <w:rsid w:val="00D20A96"/>
    <w:rPr>
      <w:rFonts w:ascii="Calibri" w:hAnsi="Calibri" w:cs="Calibri" w:hint="default"/>
      <w:b w:val="0"/>
      <w:bCs w:val="0"/>
      <w:i w:val="0"/>
      <w:iCs w:val="0"/>
      <w:color w:val="000000"/>
      <w:sz w:val="22"/>
      <w:szCs w:val="22"/>
    </w:rPr>
  </w:style>
  <w:style w:type="character" w:customStyle="1" w:styleId="fontstyle51">
    <w:name w:val="fontstyle51"/>
    <w:basedOn w:val="DefaultParagraphFont"/>
    <w:rsid w:val="00D20A96"/>
    <w:rPr>
      <w:rFonts w:ascii="Arial" w:hAnsi="Arial" w:cs="Arial" w:hint="default"/>
      <w:b w:val="0"/>
      <w:bCs w:val="0"/>
      <w:i/>
      <w:iCs/>
      <w:color w:val="000000"/>
      <w:sz w:val="22"/>
      <w:szCs w:val="22"/>
    </w:rPr>
  </w:style>
  <w:style w:type="character" w:customStyle="1" w:styleId="fontstyle61">
    <w:name w:val="fontstyle61"/>
    <w:basedOn w:val="DefaultParagraphFont"/>
    <w:rsid w:val="00D20A96"/>
    <w:rPr>
      <w:rFonts w:ascii="Wingdings" w:hAnsi="Wingdings" w:hint="default"/>
      <w:b w:val="0"/>
      <w:bCs w:val="0"/>
      <w:i w:val="0"/>
      <w:iCs w:val="0"/>
      <w:color w:val="000000"/>
      <w:sz w:val="22"/>
      <w:szCs w:val="22"/>
    </w:rPr>
  </w:style>
  <w:style w:type="paragraph" w:styleId="ListParagraph">
    <w:name w:val="List Paragraph"/>
    <w:basedOn w:val="Normal"/>
    <w:uiPriority w:val="34"/>
    <w:qFormat/>
    <w:rsid w:val="00D31DC0"/>
    <w:pPr>
      <w:ind w:left="720"/>
      <w:contextualSpacing/>
    </w:pPr>
  </w:style>
  <w:style w:type="paragraph" w:styleId="BalloonText">
    <w:name w:val="Balloon Text"/>
    <w:basedOn w:val="Normal"/>
    <w:link w:val="BalloonTextChar"/>
    <w:uiPriority w:val="99"/>
    <w:semiHidden/>
    <w:unhideWhenUsed/>
    <w:rsid w:val="007E2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63"/>
    <w:rPr>
      <w:rFonts w:ascii="Tahoma" w:hAnsi="Tahoma" w:cs="Tahoma"/>
      <w:sz w:val="16"/>
      <w:szCs w:val="16"/>
    </w:rPr>
  </w:style>
  <w:style w:type="paragraph" w:styleId="Title">
    <w:name w:val="Title"/>
    <w:basedOn w:val="Normal"/>
    <w:next w:val="Normal"/>
    <w:link w:val="TitleChar"/>
    <w:uiPriority w:val="10"/>
    <w:qFormat/>
    <w:rsid w:val="00343E6F"/>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48"/>
    </w:rPr>
  </w:style>
  <w:style w:type="character" w:customStyle="1" w:styleId="TitleChar">
    <w:name w:val="Title Char"/>
    <w:basedOn w:val="DefaultParagraphFont"/>
    <w:link w:val="Title"/>
    <w:uiPriority w:val="10"/>
    <w:rsid w:val="00343E6F"/>
    <w:rPr>
      <w:rFonts w:asciiTheme="majorHAnsi" w:eastAsiaTheme="majorEastAsia" w:hAnsiTheme="majorHAnsi" w:cstheme="majorBidi"/>
      <w:color w:val="17365D" w:themeColor="text2" w:themeShade="BF"/>
      <w:spacing w:val="5"/>
      <w:kern w:val="28"/>
      <w:sz w:val="72"/>
      <w:szCs w:val="48"/>
    </w:rPr>
  </w:style>
  <w:style w:type="paragraph" w:styleId="Subtitle">
    <w:name w:val="Subtitle"/>
    <w:basedOn w:val="Normal"/>
    <w:next w:val="Normal"/>
    <w:link w:val="SubtitleChar"/>
    <w:uiPriority w:val="11"/>
    <w:qFormat/>
    <w:rsid w:val="001E74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742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CC0DFC"/>
    <w:rPr>
      <w:rFonts w:asciiTheme="majorHAnsi" w:eastAsiaTheme="majorEastAsia" w:hAnsiTheme="majorHAnsi" w:cstheme="majorBidi"/>
      <w:color w:val="17365D" w:themeColor="text2" w:themeShade="BF"/>
      <w:spacing w:val="5"/>
      <w:kern w:val="28"/>
      <w:sz w:val="28"/>
      <w:szCs w:val="28"/>
    </w:rPr>
  </w:style>
  <w:style w:type="character" w:customStyle="1" w:styleId="Heading3Char">
    <w:name w:val="Heading 3 Char"/>
    <w:basedOn w:val="DefaultParagraphFont"/>
    <w:link w:val="Heading3"/>
    <w:uiPriority w:val="9"/>
    <w:rsid w:val="00D8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1A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1A2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43E6F"/>
    <w:rPr>
      <w:rFonts w:asciiTheme="majorHAnsi" w:eastAsiaTheme="majorEastAsia" w:hAnsiTheme="majorHAnsi" w:cstheme="majorBidi"/>
      <w:color w:val="17365D" w:themeColor="text2" w:themeShade="BF"/>
      <w:spacing w:val="5"/>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google.co.uk/url?sa=i&amp;rct=j&amp;q=&amp;esrc=s&amp;source=images&amp;cd=&amp;cad=rja&amp;uact=8&amp;ved=2ahUKEwjK7L3Thc7mAhXhAmMBHWNEDq4QjRx6BAgBEAQ&amp;url=https://www.resolver.co.uk/companies/chichester-district-council-complaints/contact-details&amp;psig=AOvVaw1sXm1Li9ElPSeK935xKQJX&amp;ust=15772685898317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E0D4-ADAB-4B6B-B317-8EC60D10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Western</dc:creator>
  <cp:lastModifiedBy>James Brigden</cp:lastModifiedBy>
  <cp:revision>6</cp:revision>
  <cp:lastPrinted>2020-01-09T15:44:00Z</cp:lastPrinted>
  <dcterms:created xsi:type="dcterms:W3CDTF">2020-01-20T09:21:00Z</dcterms:created>
  <dcterms:modified xsi:type="dcterms:W3CDTF">2020-01-23T14:17:00Z</dcterms:modified>
</cp:coreProperties>
</file>