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E84D88">
      <w:pPr>
        <w:pStyle w:val="Heading1"/>
        <w:spacing w:before="66"/>
        <w:rPr>
          <w:sz w:val="48"/>
          <w:szCs w:val="48"/>
        </w:rPr>
      </w:pPr>
      <w:r>
        <w:rPr>
          <w:sz w:val="48"/>
          <w:szCs w:val="48"/>
        </w:rPr>
        <w:t>Chidham and Hambrook</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E84D88" w:rsidP="00F55863">
            <w:pPr>
              <w:pStyle w:val="TableParagraph"/>
              <w:spacing w:line="274" w:lineRule="exact"/>
              <w:jc w:val="right"/>
              <w:rPr>
                <w:sz w:val="24"/>
              </w:rPr>
            </w:pPr>
            <w:r>
              <w:rPr>
                <w:sz w:val="24"/>
              </w:rPr>
              <w:t>26,603.60</w:t>
            </w:r>
          </w:p>
          <w:p w:rsidR="00F55863" w:rsidRPr="00A926B1" w:rsidRDefault="00E84D88" w:rsidP="00F55863">
            <w:pPr>
              <w:pStyle w:val="TableParagraph"/>
              <w:spacing w:line="274" w:lineRule="exact"/>
              <w:jc w:val="right"/>
              <w:rPr>
                <w:sz w:val="24"/>
              </w:rPr>
            </w:pPr>
            <w:r>
              <w:rPr>
                <w:sz w:val="24"/>
              </w:rPr>
              <w:t>30,194.04</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E84D88" w:rsidP="00607F86">
            <w:pPr>
              <w:pStyle w:val="TableParagraph"/>
              <w:spacing w:line="274" w:lineRule="exact"/>
              <w:jc w:val="right"/>
              <w:rPr>
                <w:sz w:val="24"/>
              </w:rPr>
            </w:pPr>
            <w:r>
              <w:rPr>
                <w:sz w:val="24"/>
              </w:rPr>
              <w:t>56,797.64</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E84D88" w:rsidP="00D064B7">
            <w:pPr>
              <w:pStyle w:val="TableParagraph"/>
              <w:spacing w:line="274" w:lineRule="exact"/>
              <w:jc w:val="right"/>
              <w:rPr>
                <w:sz w:val="24"/>
              </w:rPr>
            </w:pPr>
            <w:r>
              <w:rPr>
                <w:sz w:val="24"/>
              </w:rPr>
              <w:t>56,797.64</w:t>
            </w:r>
          </w:p>
          <w:p w:rsidR="00D064B7" w:rsidRDefault="00E84D88" w:rsidP="00D064B7">
            <w:pPr>
              <w:pStyle w:val="TableParagraph"/>
              <w:spacing w:line="274" w:lineRule="exact"/>
              <w:jc w:val="right"/>
              <w:rPr>
                <w:sz w:val="24"/>
              </w:rPr>
            </w:pPr>
            <w:r>
              <w:rPr>
                <w:sz w:val="24"/>
              </w:rPr>
              <w:t>72,336.52</w:t>
            </w:r>
          </w:p>
          <w:p w:rsidR="00D064B7" w:rsidRPr="00007F2B" w:rsidRDefault="00D064B7" w:rsidP="00D064B7">
            <w:pPr>
              <w:pStyle w:val="TableParagraph"/>
              <w:spacing w:line="274" w:lineRule="exact"/>
              <w:jc w:val="right"/>
              <w:rPr>
                <w:sz w:val="24"/>
              </w:rPr>
            </w:pPr>
            <w:r>
              <w:rPr>
                <w:sz w:val="24"/>
              </w:rPr>
              <w:t>0000.00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E84D88" w:rsidP="00980486">
            <w:pPr>
              <w:pStyle w:val="TableParagraph"/>
              <w:spacing w:line="274" w:lineRule="exact"/>
              <w:jc w:val="right"/>
              <w:rPr>
                <w:sz w:val="24"/>
              </w:rPr>
            </w:pPr>
            <w:r>
              <w:rPr>
                <w:sz w:val="24"/>
              </w:rPr>
              <w:t>129,134.16</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6620A9" w:rsidP="00607F86">
            <w:pPr>
              <w:pStyle w:val="TableParagraph"/>
              <w:spacing w:line="274" w:lineRule="exact"/>
              <w:jc w:val="right"/>
              <w:rPr>
                <w:sz w:val="24"/>
              </w:rPr>
            </w:pPr>
            <w:r>
              <w:rPr>
                <w:sz w:val="24"/>
              </w:rPr>
              <w:t>17,030.30</w:t>
            </w:r>
            <w:bookmarkStart w:id="0" w:name="_GoBack"/>
            <w:bookmarkEnd w:id="0"/>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658"/>
        <w:gridCol w:w="999"/>
        <w:gridCol w:w="2780"/>
        <w:gridCol w:w="1195"/>
        <w:gridCol w:w="1500"/>
        <w:gridCol w:w="1721"/>
        <w:gridCol w:w="1386"/>
      </w:tblGrid>
      <w:tr w:rsidR="00D4540C" w:rsidRPr="006B7C0E" w:rsidTr="006620A9">
        <w:trPr>
          <w:tblHeader/>
        </w:trPr>
        <w:tc>
          <w:tcPr>
            <w:tcW w:w="960"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658" w:type="dxa"/>
            <w:shd w:val="clear" w:color="auto" w:fill="EEECE1" w:themeFill="background2"/>
          </w:tcPr>
          <w:p w:rsidR="003429A6" w:rsidRPr="006B7C0E" w:rsidRDefault="003429A6">
            <w:pPr>
              <w:rPr>
                <w:b/>
              </w:rPr>
            </w:pPr>
            <w:r w:rsidRPr="006B7C0E">
              <w:rPr>
                <w:b/>
              </w:rPr>
              <w:t>A or B **</w:t>
            </w:r>
          </w:p>
        </w:tc>
        <w:tc>
          <w:tcPr>
            <w:tcW w:w="999" w:type="dxa"/>
            <w:shd w:val="clear" w:color="auto" w:fill="EEECE1" w:themeFill="background2"/>
          </w:tcPr>
          <w:p w:rsidR="003429A6" w:rsidRPr="006B7C0E" w:rsidRDefault="003429A6">
            <w:pPr>
              <w:rPr>
                <w:b/>
              </w:rPr>
            </w:pPr>
            <w:r w:rsidRPr="006B7C0E">
              <w:rPr>
                <w:b/>
              </w:rPr>
              <w:t>IBP no.</w:t>
            </w:r>
          </w:p>
        </w:tc>
        <w:tc>
          <w:tcPr>
            <w:tcW w:w="2780" w:type="dxa"/>
            <w:shd w:val="clear" w:color="auto" w:fill="EEECE1" w:themeFill="background2"/>
          </w:tcPr>
          <w:p w:rsidR="003429A6" w:rsidRPr="006B7C0E" w:rsidRDefault="003429A6" w:rsidP="003429A6">
            <w:pPr>
              <w:rPr>
                <w:b/>
              </w:rPr>
            </w:pPr>
            <w:r w:rsidRPr="006B7C0E">
              <w:rPr>
                <w:b/>
              </w:rPr>
              <w:t xml:space="preserve">Brief summary of project </w:t>
            </w:r>
          </w:p>
        </w:tc>
        <w:tc>
          <w:tcPr>
            <w:tcW w:w="1195" w:type="dxa"/>
            <w:shd w:val="clear" w:color="auto" w:fill="EEECE1" w:themeFill="background2"/>
          </w:tcPr>
          <w:p w:rsidR="003429A6" w:rsidRPr="006B7C0E" w:rsidRDefault="003429A6" w:rsidP="003429A6">
            <w:pPr>
              <w:rPr>
                <w:b/>
              </w:rPr>
            </w:pPr>
            <w:r w:rsidRPr="006B7C0E">
              <w:rPr>
                <w:b/>
              </w:rPr>
              <w:t>Total project cost £</w:t>
            </w:r>
          </w:p>
        </w:tc>
        <w:tc>
          <w:tcPr>
            <w:tcW w:w="1500" w:type="dxa"/>
            <w:shd w:val="clear" w:color="auto" w:fill="EEECE1" w:themeFill="background2"/>
          </w:tcPr>
          <w:p w:rsidR="003429A6" w:rsidRPr="006B7C0E" w:rsidRDefault="003429A6">
            <w:pPr>
              <w:rPr>
                <w:b/>
              </w:rPr>
            </w:pPr>
            <w:r w:rsidRPr="006B7C0E">
              <w:rPr>
                <w:b/>
              </w:rPr>
              <w:t>CIL contribution £</w:t>
            </w:r>
          </w:p>
        </w:tc>
        <w:tc>
          <w:tcPr>
            <w:tcW w:w="1721"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386" w:type="dxa"/>
            <w:shd w:val="clear" w:color="auto" w:fill="EEECE1" w:themeFill="background2"/>
          </w:tcPr>
          <w:p w:rsidR="003429A6" w:rsidRPr="006B7C0E" w:rsidRDefault="003429A6">
            <w:pPr>
              <w:rPr>
                <w:b/>
              </w:rPr>
            </w:pPr>
            <w:r w:rsidRPr="006B7C0E">
              <w:rPr>
                <w:b/>
              </w:rPr>
              <w:t>Amount of other funding required £</w:t>
            </w:r>
          </w:p>
        </w:tc>
      </w:tr>
      <w:tr w:rsidR="00CD2861" w:rsidRPr="006B7C0E" w:rsidTr="006620A9">
        <w:trPr>
          <w:trHeight w:val="454"/>
        </w:trPr>
        <w:tc>
          <w:tcPr>
            <w:tcW w:w="960" w:type="dxa"/>
          </w:tcPr>
          <w:p w:rsidR="00CD2861" w:rsidRPr="006B7C0E" w:rsidRDefault="00CD2861">
            <w:r w:rsidRPr="006B7C0E">
              <w:t>1.</w:t>
            </w:r>
          </w:p>
        </w:tc>
        <w:tc>
          <w:tcPr>
            <w:tcW w:w="658" w:type="dxa"/>
          </w:tcPr>
          <w:p w:rsidR="00CD2861" w:rsidRDefault="00CD2861">
            <w:pPr>
              <w:pStyle w:val="Default"/>
              <w:rPr>
                <w:sz w:val="22"/>
                <w:szCs w:val="22"/>
              </w:rPr>
            </w:pPr>
            <w:r>
              <w:rPr>
                <w:sz w:val="22"/>
                <w:szCs w:val="22"/>
              </w:rPr>
              <w:t xml:space="preserve">A </w:t>
            </w:r>
          </w:p>
        </w:tc>
        <w:tc>
          <w:tcPr>
            <w:tcW w:w="999" w:type="dxa"/>
          </w:tcPr>
          <w:p w:rsidR="00CD2861" w:rsidRDefault="00CD2861">
            <w:pPr>
              <w:pStyle w:val="Default"/>
              <w:rPr>
                <w:sz w:val="22"/>
                <w:szCs w:val="22"/>
              </w:rPr>
            </w:pPr>
            <w:r>
              <w:rPr>
                <w:sz w:val="22"/>
                <w:szCs w:val="22"/>
              </w:rPr>
              <w:t xml:space="preserve">IBP/612 </w:t>
            </w:r>
          </w:p>
        </w:tc>
        <w:tc>
          <w:tcPr>
            <w:tcW w:w="2780" w:type="dxa"/>
          </w:tcPr>
          <w:p w:rsidR="00CD2861" w:rsidRDefault="00CD2861">
            <w:pPr>
              <w:pStyle w:val="Default"/>
              <w:rPr>
                <w:sz w:val="22"/>
                <w:szCs w:val="22"/>
              </w:rPr>
            </w:pPr>
            <w:r>
              <w:rPr>
                <w:sz w:val="22"/>
                <w:szCs w:val="22"/>
              </w:rPr>
              <w:t xml:space="preserve">Acquisition of Wakeford Field: Legal fees Surrey Hills Solicitors (IBP/612 Phase 1) </w:t>
            </w:r>
          </w:p>
        </w:tc>
        <w:tc>
          <w:tcPr>
            <w:tcW w:w="1195" w:type="dxa"/>
          </w:tcPr>
          <w:p w:rsidR="00CD2861" w:rsidRDefault="00CD2861">
            <w:pPr>
              <w:pStyle w:val="Default"/>
              <w:rPr>
                <w:sz w:val="22"/>
                <w:szCs w:val="22"/>
              </w:rPr>
            </w:pPr>
            <w:r>
              <w:rPr>
                <w:sz w:val="22"/>
                <w:szCs w:val="22"/>
              </w:rPr>
              <w:t xml:space="preserve">1,023.00 </w:t>
            </w:r>
          </w:p>
        </w:tc>
        <w:tc>
          <w:tcPr>
            <w:tcW w:w="1500" w:type="dxa"/>
          </w:tcPr>
          <w:p w:rsidR="00CD2861" w:rsidRDefault="00CD2861">
            <w:pPr>
              <w:pStyle w:val="Default"/>
              <w:rPr>
                <w:sz w:val="22"/>
                <w:szCs w:val="22"/>
              </w:rPr>
            </w:pPr>
            <w:r>
              <w:rPr>
                <w:sz w:val="22"/>
                <w:szCs w:val="22"/>
              </w:rPr>
              <w:t xml:space="preserve">1,023.00 </w:t>
            </w:r>
          </w:p>
        </w:tc>
        <w:tc>
          <w:tcPr>
            <w:tcW w:w="1721" w:type="dxa"/>
          </w:tcPr>
          <w:p w:rsidR="00CD2861" w:rsidRPr="006B7C0E" w:rsidRDefault="00CD2861"/>
        </w:tc>
        <w:tc>
          <w:tcPr>
            <w:tcW w:w="1386" w:type="dxa"/>
          </w:tcPr>
          <w:p w:rsidR="00CD2861" w:rsidRPr="006B7C0E" w:rsidRDefault="00CD2861"/>
        </w:tc>
      </w:tr>
      <w:tr w:rsidR="00CD2861" w:rsidRPr="006B7C0E" w:rsidTr="006620A9">
        <w:trPr>
          <w:trHeight w:val="454"/>
        </w:trPr>
        <w:tc>
          <w:tcPr>
            <w:tcW w:w="960" w:type="dxa"/>
          </w:tcPr>
          <w:p w:rsidR="00CD2861" w:rsidRPr="006B7C0E" w:rsidRDefault="00CD2861">
            <w:r w:rsidRPr="006B7C0E">
              <w:t>2.</w:t>
            </w:r>
          </w:p>
        </w:tc>
        <w:tc>
          <w:tcPr>
            <w:tcW w:w="658" w:type="dxa"/>
          </w:tcPr>
          <w:p w:rsidR="00CD2861" w:rsidRDefault="00CD2861">
            <w:pPr>
              <w:pStyle w:val="Default"/>
              <w:rPr>
                <w:sz w:val="22"/>
                <w:szCs w:val="22"/>
              </w:rPr>
            </w:pPr>
            <w:r>
              <w:rPr>
                <w:sz w:val="22"/>
                <w:szCs w:val="22"/>
              </w:rPr>
              <w:t xml:space="preserve">A </w:t>
            </w:r>
          </w:p>
        </w:tc>
        <w:tc>
          <w:tcPr>
            <w:tcW w:w="999" w:type="dxa"/>
          </w:tcPr>
          <w:p w:rsidR="00CD2861" w:rsidRDefault="00CD2861">
            <w:pPr>
              <w:pStyle w:val="Default"/>
              <w:rPr>
                <w:sz w:val="22"/>
                <w:szCs w:val="22"/>
              </w:rPr>
            </w:pPr>
            <w:r>
              <w:rPr>
                <w:sz w:val="22"/>
                <w:szCs w:val="22"/>
              </w:rPr>
              <w:t xml:space="preserve">IBP/612 </w:t>
            </w:r>
          </w:p>
        </w:tc>
        <w:tc>
          <w:tcPr>
            <w:tcW w:w="2780" w:type="dxa"/>
          </w:tcPr>
          <w:p w:rsidR="00CD2861" w:rsidRDefault="00CD2861">
            <w:pPr>
              <w:pStyle w:val="Default"/>
              <w:rPr>
                <w:sz w:val="22"/>
                <w:szCs w:val="22"/>
              </w:rPr>
            </w:pPr>
            <w:r>
              <w:rPr>
                <w:sz w:val="22"/>
                <w:szCs w:val="22"/>
              </w:rPr>
              <w:t xml:space="preserve">Acquisition of Wakeford Field: Legal fees Surrey Hills Solicitors (IBP/612 </w:t>
            </w:r>
            <w:r>
              <w:rPr>
                <w:sz w:val="22"/>
                <w:szCs w:val="22"/>
              </w:rPr>
              <w:lastRenderedPageBreak/>
              <w:t xml:space="preserve">Phase 1) </w:t>
            </w:r>
          </w:p>
        </w:tc>
        <w:tc>
          <w:tcPr>
            <w:tcW w:w="1195" w:type="dxa"/>
          </w:tcPr>
          <w:p w:rsidR="00CD2861" w:rsidRDefault="00CD2861">
            <w:pPr>
              <w:pStyle w:val="Default"/>
              <w:rPr>
                <w:sz w:val="22"/>
                <w:szCs w:val="22"/>
              </w:rPr>
            </w:pPr>
            <w:r>
              <w:rPr>
                <w:sz w:val="22"/>
                <w:szCs w:val="22"/>
              </w:rPr>
              <w:lastRenderedPageBreak/>
              <w:t xml:space="preserve">138.00 </w:t>
            </w:r>
          </w:p>
        </w:tc>
        <w:tc>
          <w:tcPr>
            <w:tcW w:w="1500" w:type="dxa"/>
          </w:tcPr>
          <w:p w:rsidR="00CD2861" w:rsidRDefault="00CD2861">
            <w:pPr>
              <w:pStyle w:val="Default"/>
              <w:rPr>
                <w:sz w:val="22"/>
                <w:szCs w:val="22"/>
              </w:rPr>
            </w:pPr>
            <w:r>
              <w:rPr>
                <w:sz w:val="22"/>
                <w:szCs w:val="22"/>
              </w:rPr>
              <w:t xml:space="preserve">138.00 </w:t>
            </w:r>
          </w:p>
        </w:tc>
        <w:tc>
          <w:tcPr>
            <w:tcW w:w="1721" w:type="dxa"/>
          </w:tcPr>
          <w:p w:rsidR="00CD2861" w:rsidRPr="006B7C0E" w:rsidRDefault="00CD2861"/>
        </w:tc>
        <w:tc>
          <w:tcPr>
            <w:tcW w:w="1386" w:type="dxa"/>
          </w:tcPr>
          <w:p w:rsidR="00CD2861" w:rsidRPr="006B7C0E" w:rsidRDefault="00CD2861"/>
        </w:tc>
      </w:tr>
      <w:tr w:rsidR="00CD2861" w:rsidRPr="006B7C0E" w:rsidTr="006620A9">
        <w:trPr>
          <w:trHeight w:val="454"/>
        </w:trPr>
        <w:tc>
          <w:tcPr>
            <w:tcW w:w="960" w:type="dxa"/>
          </w:tcPr>
          <w:p w:rsidR="00CD2861" w:rsidRPr="006B7C0E" w:rsidRDefault="00CD2861">
            <w:r w:rsidRPr="006B7C0E">
              <w:lastRenderedPageBreak/>
              <w:t>3.</w:t>
            </w:r>
          </w:p>
        </w:tc>
        <w:tc>
          <w:tcPr>
            <w:tcW w:w="658" w:type="dxa"/>
          </w:tcPr>
          <w:p w:rsidR="00CD2861" w:rsidRDefault="00CD2861">
            <w:pPr>
              <w:pStyle w:val="Default"/>
              <w:rPr>
                <w:sz w:val="22"/>
                <w:szCs w:val="22"/>
              </w:rPr>
            </w:pPr>
            <w:r>
              <w:rPr>
                <w:sz w:val="22"/>
                <w:szCs w:val="22"/>
              </w:rPr>
              <w:t xml:space="preserve">A </w:t>
            </w:r>
          </w:p>
        </w:tc>
        <w:tc>
          <w:tcPr>
            <w:tcW w:w="999" w:type="dxa"/>
          </w:tcPr>
          <w:p w:rsidR="00CD2861" w:rsidRDefault="00CD2861">
            <w:pPr>
              <w:pStyle w:val="Default"/>
              <w:rPr>
                <w:sz w:val="22"/>
                <w:szCs w:val="22"/>
              </w:rPr>
            </w:pPr>
            <w:r>
              <w:rPr>
                <w:sz w:val="22"/>
                <w:szCs w:val="22"/>
              </w:rPr>
              <w:t xml:space="preserve">IBP/612 </w:t>
            </w:r>
          </w:p>
        </w:tc>
        <w:tc>
          <w:tcPr>
            <w:tcW w:w="2780" w:type="dxa"/>
          </w:tcPr>
          <w:p w:rsidR="00CD2861" w:rsidRDefault="00CD2861">
            <w:pPr>
              <w:pStyle w:val="Default"/>
              <w:rPr>
                <w:sz w:val="22"/>
                <w:szCs w:val="22"/>
              </w:rPr>
            </w:pPr>
            <w:r>
              <w:rPr>
                <w:sz w:val="22"/>
                <w:szCs w:val="22"/>
              </w:rPr>
              <w:t xml:space="preserve">Acquisition of Wakeford Field: Legal fees Surrey Hills Solicitors (IBP/612 Phase 1) </w:t>
            </w:r>
          </w:p>
        </w:tc>
        <w:tc>
          <w:tcPr>
            <w:tcW w:w="1195" w:type="dxa"/>
          </w:tcPr>
          <w:p w:rsidR="00CD2861" w:rsidRDefault="00CD2861">
            <w:pPr>
              <w:pStyle w:val="Default"/>
              <w:rPr>
                <w:sz w:val="22"/>
                <w:szCs w:val="22"/>
              </w:rPr>
            </w:pPr>
            <w:r>
              <w:rPr>
                <w:sz w:val="22"/>
                <w:szCs w:val="22"/>
              </w:rPr>
              <w:t xml:space="preserve">650.00 </w:t>
            </w:r>
          </w:p>
        </w:tc>
        <w:tc>
          <w:tcPr>
            <w:tcW w:w="1500" w:type="dxa"/>
          </w:tcPr>
          <w:p w:rsidR="00CD2861" w:rsidRDefault="00CD2861">
            <w:pPr>
              <w:pStyle w:val="Default"/>
              <w:rPr>
                <w:sz w:val="22"/>
                <w:szCs w:val="22"/>
              </w:rPr>
            </w:pPr>
            <w:r>
              <w:rPr>
                <w:sz w:val="22"/>
                <w:szCs w:val="22"/>
              </w:rPr>
              <w:t xml:space="preserve">650.00 </w:t>
            </w:r>
          </w:p>
        </w:tc>
        <w:tc>
          <w:tcPr>
            <w:tcW w:w="1721" w:type="dxa"/>
          </w:tcPr>
          <w:p w:rsidR="00CD2861" w:rsidRPr="006B7C0E" w:rsidRDefault="00CD2861"/>
        </w:tc>
        <w:tc>
          <w:tcPr>
            <w:tcW w:w="1386" w:type="dxa"/>
          </w:tcPr>
          <w:p w:rsidR="00CD2861" w:rsidRPr="006B7C0E" w:rsidRDefault="00CD2861"/>
        </w:tc>
      </w:tr>
      <w:tr w:rsidR="006620A9" w:rsidRPr="006B7C0E" w:rsidTr="006620A9">
        <w:trPr>
          <w:trHeight w:val="454"/>
        </w:trPr>
        <w:tc>
          <w:tcPr>
            <w:tcW w:w="960" w:type="dxa"/>
          </w:tcPr>
          <w:p w:rsidR="006620A9" w:rsidRPr="006B7C0E" w:rsidRDefault="006620A9"/>
        </w:tc>
        <w:tc>
          <w:tcPr>
            <w:tcW w:w="658" w:type="dxa"/>
          </w:tcPr>
          <w:p w:rsidR="006620A9" w:rsidRDefault="006620A9">
            <w:pPr>
              <w:pStyle w:val="Default"/>
              <w:rPr>
                <w:sz w:val="22"/>
                <w:szCs w:val="22"/>
              </w:rPr>
            </w:pPr>
            <w:r>
              <w:rPr>
                <w:sz w:val="22"/>
                <w:szCs w:val="22"/>
              </w:rPr>
              <w:t xml:space="preserve">A </w:t>
            </w:r>
          </w:p>
        </w:tc>
        <w:tc>
          <w:tcPr>
            <w:tcW w:w="999" w:type="dxa"/>
          </w:tcPr>
          <w:p w:rsidR="006620A9" w:rsidRDefault="006620A9">
            <w:pPr>
              <w:pStyle w:val="Default"/>
              <w:rPr>
                <w:sz w:val="22"/>
                <w:szCs w:val="22"/>
              </w:rPr>
            </w:pPr>
            <w:r>
              <w:rPr>
                <w:sz w:val="22"/>
                <w:szCs w:val="22"/>
              </w:rPr>
              <w:t xml:space="preserve">IBP/612 </w:t>
            </w:r>
          </w:p>
        </w:tc>
        <w:tc>
          <w:tcPr>
            <w:tcW w:w="2780" w:type="dxa"/>
          </w:tcPr>
          <w:p w:rsidR="006620A9" w:rsidRDefault="006620A9">
            <w:pPr>
              <w:pStyle w:val="Default"/>
              <w:rPr>
                <w:sz w:val="22"/>
                <w:szCs w:val="22"/>
              </w:rPr>
            </w:pPr>
            <w:r>
              <w:rPr>
                <w:sz w:val="22"/>
                <w:szCs w:val="22"/>
              </w:rPr>
              <w:t xml:space="preserve">Acquisition of Wakeford Field: Legal fees Surrey Hills Solicitors (IBP/612 Phase 1) </w:t>
            </w:r>
          </w:p>
        </w:tc>
        <w:tc>
          <w:tcPr>
            <w:tcW w:w="1195" w:type="dxa"/>
          </w:tcPr>
          <w:p w:rsidR="006620A9" w:rsidRDefault="006620A9">
            <w:pPr>
              <w:pStyle w:val="Default"/>
              <w:rPr>
                <w:sz w:val="22"/>
                <w:szCs w:val="22"/>
              </w:rPr>
            </w:pPr>
            <w:r>
              <w:rPr>
                <w:sz w:val="22"/>
                <w:szCs w:val="22"/>
              </w:rPr>
              <w:t xml:space="preserve">253.00 </w:t>
            </w:r>
          </w:p>
        </w:tc>
        <w:tc>
          <w:tcPr>
            <w:tcW w:w="1500" w:type="dxa"/>
          </w:tcPr>
          <w:p w:rsidR="006620A9" w:rsidRDefault="006620A9">
            <w:pPr>
              <w:pStyle w:val="Default"/>
              <w:rPr>
                <w:sz w:val="22"/>
                <w:szCs w:val="22"/>
              </w:rPr>
            </w:pPr>
            <w:r>
              <w:rPr>
                <w:sz w:val="22"/>
                <w:szCs w:val="22"/>
              </w:rPr>
              <w:t xml:space="preserve">253.00 </w:t>
            </w:r>
          </w:p>
        </w:tc>
        <w:tc>
          <w:tcPr>
            <w:tcW w:w="1721" w:type="dxa"/>
          </w:tcPr>
          <w:p w:rsidR="006620A9" w:rsidRPr="006B7C0E" w:rsidRDefault="006620A9"/>
        </w:tc>
        <w:tc>
          <w:tcPr>
            <w:tcW w:w="1386" w:type="dxa"/>
          </w:tcPr>
          <w:p w:rsidR="006620A9" w:rsidRPr="006B7C0E" w:rsidRDefault="006620A9"/>
        </w:tc>
      </w:tr>
      <w:tr w:rsidR="006620A9" w:rsidRPr="006B7C0E" w:rsidTr="006620A9">
        <w:trPr>
          <w:trHeight w:val="454"/>
        </w:trPr>
        <w:tc>
          <w:tcPr>
            <w:tcW w:w="960" w:type="dxa"/>
          </w:tcPr>
          <w:p w:rsidR="006620A9" w:rsidRPr="006B7C0E" w:rsidRDefault="006620A9"/>
        </w:tc>
        <w:tc>
          <w:tcPr>
            <w:tcW w:w="658" w:type="dxa"/>
          </w:tcPr>
          <w:p w:rsidR="006620A9" w:rsidRDefault="006620A9">
            <w:pPr>
              <w:pStyle w:val="Default"/>
              <w:rPr>
                <w:sz w:val="22"/>
                <w:szCs w:val="22"/>
              </w:rPr>
            </w:pPr>
            <w:r>
              <w:rPr>
                <w:sz w:val="22"/>
                <w:szCs w:val="22"/>
              </w:rPr>
              <w:t xml:space="preserve">A </w:t>
            </w:r>
          </w:p>
        </w:tc>
        <w:tc>
          <w:tcPr>
            <w:tcW w:w="999" w:type="dxa"/>
          </w:tcPr>
          <w:p w:rsidR="006620A9" w:rsidRDefault="006620A9">
            <w:pPr>
              <w:pStyle w:val="Default"/>
              <w:rPr>
                <w:sz w:val="22"/>
                <w:szCs w:val="22"/>
              </w:rPr>
            </w:pPr>
            <w:r>
              <w:rPr>
                <w:sz w:val="22"/>
                <w:szCs w:val="22"/>
              </w:rPr>
              <w:t xml:space="preserve">IBP/611 </w:t>
            </w:r>
          </w:p>
        </w:tc>
        <w:tc>
          <w:tcPr>
            <w:tcW w:w="2780" w:type="dxa"/>
          </w:tcPr>
          <w:p w:rsidR="006620A9" w:rsidRDefault="006620A9">
            <w:pPr>
              <w:pStyle w:val="Default"/>
              <w:rPr>
                <w:sz w:val="22"/>
                <w:szCs w:val="22"/>
              </w:rPr>
            </w:pPr>
            <w:r>
              <w:rPr>
                <w:sz w:val="22"/>
                <w:szCs w:val="22"/>
              </w:rPr>
              <w:t xml:space="preserve">Roofing to Village Hall - (1st payment) (IBP/611) </w:t>
            </w:r>
          </w:p>
        </w:tc>
        <w:tc>
          <w:tcPr>
            <w:tcW w:w="1195" w:type="dxa"/>
          </w:tcPr>
          <w:p w:rsidR="006620A9" w:rsidRDefault="006620A9">
            <w:pPr>
              <w:pStyle w:val="Default"/>
              <w:rPr>
                <w:sz w:val="22"/>
                <w:szCs w:val="22"/>
              </w:rPr>
            </w:pPr>
            <w:r>
              <w:rPr>
                <w:sz w:val="22"/>
                <w:szCs w:val="22"/>
              </w:rPr>
              <w:t xml:space="preserve">13,300.00 </w:t>
            </w:r>
          </w:p>
        </w:tc>
        <w:tc>
          <w:tcPr>
            <w:tcW w:w="1500" w:type="dxa"/>
          </w:tcPr>
          <w:p w:rsidR="006620A9" w:rsidRDefault="006620A9">
            <w:pPr>
              <w:pStyle w:val="Default"/>
              <w:rPr>
                <w:sz w:val="22"/>
                <w:szCs w:val="22"/>
              </w:rPr>
            </w:pPr>
            <w:r>
              <w:rPr>
                <w:sz w:val="22"/>
                <w:szCs w:val="22"/>
              </w:rPr>
              <w:t xml:space="preserve">9,500.00 </w:t>
            </w:r>
          </w:p>
        </w:tc>
        <w:tc>
          <w:tcPr>
            <w:tcW w:w="1721" w:type="dxa"/>
          </w:tcPr>
          <w:p w:rsidR="006620A9" w:rsidRPr="006B7C0E" w:rsidRDefault="006620A9"/>
        </w:tc>
        <w:tc>
          <w:tcPr>
            <w:tcW w:w="1386" w:type="dxa"/>
          </w:tcPr>
          <w:p w:rsidR="006620A9" w:rsidRPr="006B7C0E" w:rsidRDefault="006620A9"/>
        </w:tc>
      </w:tr>
      <w:tr w:rsidR="006620A9" w:rsidRPr="006B7C0E" w:rsidTr="006620A9">
        <w:trPr>
          <w:trHeight w:val="454"/>
        </w:trPr>
        <w:tc>
          <w:tcPr>
            <w:tcW w:w="960" w:type="dxa"/>
          </w:tcPr>
          <w:p w:rsidR="006620A9" w:rsidRPr="006B7C0E" w:rsidRDefault="006620A9"/>
        </w:tc>
        <w:tc>
          <w:tcPr>
            <w:tcW w:w="658" w:type="dxa"/>
          </w:tcPr>
          <w:p w:rsidR="006620A9" w:rsidRDefault="006620A9">
            <w:pPr>
              <w:pStyle w:val="Default"/>
              <w:rPr>
                <w:sz w:val="22"/>
                <w:szCs w:val="22"/>
              </w:rPr>
            </w:pPr>
            <w:r>
              <w:rPr>
                <w:sz w:val="22"/>
                <w:szCs w:val="22"/>
              </w:rPr>
              <w:t xml:space="preserve">A </w:t>
            </w:r>
          </w:p>
        </w:tc>
        <w:tc>
          <w:tcPr>
            <w:tcW w:w="999" w:type="dxa"/>
          </w:tcPr>
          <w:p w:rsidR="006620A9" w:rsidRDefault="006620A9">
            <w:pPr>
              <w:pStyle w:val="Default"/>
              <w:rPr>
                <w:sz w:val="22"/>
                <w:szCs w:val="22"/>
              </w:rPr>
            </w:pPr>
            <w:r>
              <w:rPr>
                <w:sz w:val="22"/>
                <w:szCs w:val="22"/>
              </w:rPr>
              <w:t xml:space="preserve">IBP/611 </w:t>
            </w:r>
          </w:p>
        </w:tc>
        <w:tc>
          <w:tcPr>
            <w:tcW w:w="2780" w:type="dxa"/>
          </w:tcPr>
          <w:p w:rsidR="006620A9" w:rsidRDefault="006620A9">
            <w:pPr>
              <w:pStyle w:val="Default"/>
              <w:rPr>
                <w:sz w:val="22"/>
                <w:szCs w:val="22"/>
              </w:rPr>
            </w:pPr>
            <w:r>
              <w:rPr>
                <w:sz w:val="22"/>
                <w:szCs w:val="22"/>
              </w:rPr>
              <w:t xml:space="preserve">Roofing to Village Hall - (2nd payment) (IBP/611) </w:t>
            </w:r>
          </w:p>
        </w:tc>
        <w:tc>
          <w:tcPr>
            <w:tcW w:w="1195" w:type="dxa"/>
          </w:tcPr>
          <w:p w:rsidR="006620A9" w:rsidRDefault="006620A9">
            <w:pPr>
              <w:pStyle w:val="Default"/>
              <w:rPr>
                <w:sz w:val="22"/>
                <w:szCs w:val="22"/>
              </w:rPr>
            </w:pPr>
            <w:r>
              <w:rPr>
                <w:sz w:val="22"/>
                <w:szCs w:val="22"/>
              </w:rPr>
              <w:t xml:space="preserve">13,300.00 </w:t>
            </w:r>
          </w:p>
        </w:tc>
        <w:tc>
          <w:tcPr>
            <w:tcW w:w="1500" w:type="dxa"/>
          </w:tcPr>
          <w:p w:rsidR="006620A9" w:rsidRDefault="006620A9">
            <w:pPr>
              <w:pStyle w:val="Default"/>
              <w:rPr>
                <w:sz w:val="22"/>
                <w:szCs w:val="22"/>
              </w:rPr>
            </w:pPr>
            <w:r>
              <w:rPr>
                <w:sz w:val="22"/>
                <w:szCs w:val="22"/>
              </w:rPr>
              <w:t xml:space="preserve">3,800.00 </w:t>
            </w:r>
          </w:p>
        </w:tc>
        <w:tc>
          <w:tcPr>
            <w:tcW w:w="1721" w:type="dxa"/>
          </w:tcPr>
          <w:p w:rsidR="006620A9" w:rsidRPr="006B7C0E" w:rsidRDefault="006620A9"/>
        </w:tc>
        <w:tc>
          <w:tcPr>
            <w:tcW w:w="1386" w:type="dxa"/>
          </w:tcPr>
          <w:p w:rsidR="006620A9" w:rsidRPr="006B7C0E" w:rsidRDefault="006620A9"/>
        </w:tc>
      </w:tr>
      <w:tr w:rsidR="006620A9" w:rsidRPr="006B7C0E" w:rsidTr="006620A9">
        <w:trPr>
          <w:trHeight w:val="454"/>
        </w:trPr>
        <w:tc>
          <w:tcPr>
            <w:tcW w:w="960" w:type="dxa"/>
          </w:tcPr>
          <w:p w:rsidR="006620A9" w:rsidRPr="006B7C0E" w:rsidRDefault="006620A9"/>
        </w:tc>
        <w:tc>
          <w:tcPr>
            <w:tcW w:w="658" w:type="dxa"/>
          </w:tcPr>
          <w:p w:rsidR="006620A9" w:rsidRDefault="006620A9">
            <w:pPr>
              <w:pStyle w:val="Default"/>
              <w:rPr>
                <w:sz w:val="22"/>
                <w:szCs w:val="22"/>
              </w:rPr>
            </w:pPr>
            <w:r>
              <w:rPr>
                <w:sz w:val="22"/>
                <w:szCs w:val="22"/>
              </w:rPr>
              <w:t xml:space="preserve">A </w:t>
            </w:r>
          </w:p>
        </w:tc>
        <w:tc>
          <w:tcPr>
            <w:tcW w:w="999" w:type="dxa"/>
          </w:tcPr>
          <w:p w:rsidR="006620A9" w:rsidRDefault="006620A9">
            <w:pPr>
              <w:pStyle w:val="Default"/>
              <w:rPr>
                <w:sz w:val="22"/>
                <w:szCs w:val="22"/>
              </w:rPr>
            </w:pPr>
            <w:r>
              <w:rPr>
                <w:sz w:val="22"/>
                <w:szCs w:val="22"/>
              </w:rPr>
              <w:t xml:space="preserve">IBP/612 </w:t>
            </w:r>
          </w:p>
        </w:tc>
        <w:tc>
          <w:tcPr>
            <w:tcW w:w="2780" w:type="dxa"/>
          </w:tcPr>
          <w:p w:rsidR="006620A9" w:rsidRDefault="006620A9">
            <w:pPr>
              <w:pStyle w:val="Default"/>
              <w:rPr>
                <w:sz w:val="22"/>
                <w:szCs w:val="22"/>
              </w:rPr>
            </w:pPr>
            <w:r>
              <w:rPr>
                <w:sz w:val="22"/>
                <w:szCs w:val="22"/>
              </w:rPr>
              <w:t xml:space="preserve">Acquisition of Wakeford Field: Legal fees Surrey Hills Solicitors (IBP/612 Phase 1) </w:t>
            </w:r>
          </w:p>
        </w:tc>
        <w:tc>
          <w:tcPr>
            <w:tcW w:w="1195" w:type="dxa"/>
          </w:tcPr>
          <w:p w:rsidR="006620A9" w:rsidRDefault="006620A9">
            <w:pPr>
              <w:pStyle w:val="Default"/>
              <w:rPr>
                <w:sz w:val="22"/>
                <w:szCs w:val="22"/>
              </w:rPr>
            </w:pPr>
            <w:r>
              <w:rPr>
                <w:sz w:val="22"/>
                <w:szCs w:val="22"/>
              </w:rPr>
              <w:t xml:space="preserve">69.00 </w:t>
            </w:r>
          </w:p>
        </w:tc>
        <w:tc>
          <w:tcPr>
            <w:tcW w:w="1500" w:type="dxa"/>
          </w:tcPr>
          <w:p w:rsidR="006620A9" w:rsidRDefault="006620A9">
            <w:pPr>
              <w:pStyle w:val="Default"/>
              <w:rPr>
                <w:sz w:val="22"/>
                <w:szCs w:val="22"/>
              </w:rPr>
            </w:pPr>
            <w:r>
              <w:rPr>
                <w:sz w:val="22"/>
                <w:szCs w:val="22"/>
              </w:rPr>
              <w:t xml:space="preserve">69.00 </w:t>
            </w:r>
          </w:p>
        </w:tc>
        <w:tc>
          <w:tcPr>
            <w:tcW w:w="1721" w:type="dxa"/>
          </w:tcPr>
          <w:p w:rsidR="006620A9" w:rsidRPr="006B7C0E" w:rsidRDefault="006620A9"/>
        </w:tc>
        <w:tc>
          <w:tcPr>
            <w:tcW w:w="1386" w:type="dxa"/>
          </w:tcPr>
          <w:p w:rsidR="006620A9" w:rsidRPr="006B7C0E" w:rsidRDefault="006620A9"/>
        </w:tc>
      </w:tr>
      <w:tr w:rsidR="006620A9" w:rsidRPr="006B7C0E" w:rsidTr="006620A9">
        <w:trPr>
          <w:trHeight w:val="454"/>
        </w:trPr>
        <w:tc>
          <w:tcPr>
            <w:tcW w:w="960" w:type="dxa"/>
          </w:tcPr>
          <w:p w:rsidR="006620A9" w:rsidRPr="006B7C0E" w:rsidRDefault="006620A9"/>
        </w:tc>
        <w:tc>
          <w:tcPr>
            <w:tcW w:w="658" w:type="dxa"/>
          </w:tcPr>
          <w:p w:rsidR="006620A9" w:rsidRDefault="006620A9">
            <w:pPr>
              <w:pStyle w:val="Default"/>
              <w:rPr>
                <w:sz w:val="22"/>
                <w:szCs w:val="22"/>
              </w:rPr>
            </w:pPr>
            <w:r>
              <w:rPr>
                <w:sz w:val="22"/>
                <w:szCs w:val="22"/>
              </w:rPr>
              <w:t xml:space="preserve">A </w:t>
            </w:r>
          </w:p>
        </w:tc>
        <w:tc>
          <w:tcPr>
            <w:tcW w:w="999" w:type="dxa"/>
          </w:tcPr>
          <w:p w:rsidR="006620A9" w:rsidRDefault="006620A9">
            <w:pPr>
              <w:pStyle w:val="Default"/>
              <w:rPr>
                <w:sz w:val="22"/>
                <w:szCs w:val="22"/>
              </w:rPr>
            </w:pPr>
            <w:r>
              <w:rPr>
                <w:sz w:val="22"/>
                <w:szCs w:val="22"/>
              </w:rPr>
              <w:t xml:space="preserve">IBP/612 </w:t>
            </w:r>
          </w:p>
        </w:tc>
        <w:tc>
          <w:tcPr>
            <w:tcW w:w="2780" w:type="dxa"/>
          </w:tcPr>
          <w:p w:rsidR="006620A9" w:rsidRDefault="006620A9">
            <w:pPr>
              <w:pStyle w:val="Default"/>
              <w:rPr>
                <w:sz w:val="22"/>
                <w:szCs w:val="22"/>
              </w:rPr>
            </w:pPr>
            <w:r>
              <w:rPr>
                <w:sz w:val="22"/>
                <w:szCs w:val="22"/>
              </w:rPr>
              <w:t xml:space="preserve">Acquisition of Wakeford Field: Legal fees Surrey Hills Solicitors (IBP/612 Phase 1) </w:t>
            </w:r>
          </w:p>
        </w:tc>
        <w:tc>
          <w:tcPr>
            <w:tcW w:w="1195" w:type="dxa"/>
          </w:tcPr>
          <w:p w:rsidR="006620A9" w:rsidRDefault="006620A9">
            <w:pPr>
              <w:pStyle w:val="Default"/>
              <w:rPr>
                <w:sz w:val="22"/>
                <w:szCs w:val="22"/>
              </w:rPr>
            </w:pPr>
            <w:r>
              <w:rPr>
                <w:sz w:val="22"/>
                <w:szCs w:val="22"/>
              </w:rPr>
              <w:t xml:space="preserve">437.00 </w:t>
            </w:r>
          </w:p>
        </w:tc>
        <w:tc>
          <w:tcPr>
            <w:tcW w:w="1500" w:type="dxa"/>
          </w:tcPr>
          <w:p w:rsidR="006620A9" w:rsidRDefault="006620A9">
            <w:pPr>
              <w:pStyle w:val="Default"/>
              <w:rPr>
                <w:sz w:val="22"/>
                <w:szCs w:val="22"/>
              </w:rPr>
            </w:pPr>
            <w:r>
              <w:rPr>
                <w:sz w:val="22"/>
                <w:szCs w:val="22"/>
              </w:rPr>
              <w:t xml:space="preserve">437.00 </w:t>
            </w:r>
          </w:p>
        </w:tc>
        <w:tc>
          <w:tcPr>
            <w:tcW w:w="1721" w:type="dxa"/>
          </w:tcPr>
          <w:p w:rsidR="006620A9" w:rsidRPr="006B7C0E" w:rsidRDefault="006620A9"/>
        </w:tc>
        <w:tc>
          <w:tcPr>
            <w:tcW w:w="1386" w:type="dxa"/>
          </w:tcPr>
          <w:p w:rsidR="006620A9" w:rsidRPr="006B7C0E" w:rsidRDefault="006620A9"/>
        </w:tc>
      </w:tr>
      <w:tr w:rsidR="006620A9" w:rsidRPr="006B7C0E" w:rsidTr="006620A9">
        <w:trPr>
          <w:trHeight w:val="454"/>
        </w:trPr>
        <w:tc>
          <w:tcPr>
            <w:tcW w:w="960" w:type="dxa"/>
          </w:tcPr>
          <w:p w:rsidR="006620A9" w:rsidRPr="006B7C0E" w:rsidRDefault="006620A9"/>
        </w:tc>
        <w:tc>
          <w:tcPr>
            <w:tcW w:w="658" w:type="dxa"/>
          </w:tcPr>
          <w:p w:rsidR="006620A9" w:rsidRDefault="006620A9">
            <w:pPr>
              <w:pStyle w:val="Default"/>
              <w:rPr>
                <w:sz w:val="22"/>
                <w:szCs w:val="22"/>
              </w:rPr>
            </w:pPr>
            <w:r>
              <w:rPr>
                <w:sz w:val="22"/>
                <w:szCs w:val="22"/>
              </w:rPr>
              <w:t xml:space="preserve">A </w:t>
            </w:r>
          </w:p>
        </w:tc>
        <w:tc>
          <w:tcPr>
            <w:tcW w:w="999" w:type="dxa"/>
          </w:tcPr>
          <w:p w:rsidR="006620A9" w:rsidRDefault="006620A9">
            <w:pPr>
              <w:pStyle w:val="Default"/>
              <w:rPr>
                <w:sz w:val="22"/>
                <w:szCs w:val="22"/>
              </w:rPr>
            </w:pPr>
            <w:r>
              <w:rPr>
                <w:sz w:val="22"/>
                <w:szCs w:val="22"/>
              </w:rPr>
              <w:t xml:space="preserve">IBP/612 </w:t>
            </w:r>
          </w:p>
        </w:tc>
        <w:tc>
          <w:tcPr>
            <w:tcW w:w="2780" w:type="dxa"/>
          </w:tcPr>
          <w:p w:rsidR="006620A9" w:rsidRDefault="006620A9">
            <w:pPr>
              <w:pStyle w:val="Default"/>
              <w:rPr>
                <w:sz w:val="22"/>
                <w:szCs w:val="22"/>
              </w:rPr>
            </w:pPr>
            <w:r>
              <w:rPr>
                <w:sz w:val="22"/>
                <w:szCs w:val="22"/>
              </w:rPr>
              <w:t xml:space="preserve">Acquisition of Wakeford Field: Legal fees Surrey Hills Solicitors (IBP/612 Phase 1) </w:t>
            </w:r>
          </w:p>
        </w:tc>
        <w:tc>
          <w:tcPr>
            <w:tcW w:w="1195" w:type="dxa"/>
          </w:tcPr>
          <w:p w:rsidR="006620A9" w:rsidRDefault="006620A9">
            <w:pPr>
              <w:pStyle w:val="Default"/>
              <w:rPr>
                <w:sz w:val="22"/>
                <w:szCs w:val="22"/>
              </w:rPr>
            </w:pPr>
            <w:r>
              <w:rPr>
                <w:sz w:val="22"/>
                <w:szCs w:val="22"/>
              </w:rPr>
              <w:t xml:space="preserve">115.00 </w:t>
            </w:r>
          </w:p>
        </w:tc>
        <w:tc>
          <w:tcPr>
            <w:tcW w:w="1500" w:type="dxa"/>
          </w:tcPr>
          <w:p w:rsidR="006620A9" w:rsidRDefault="006620A9">
            <w:pPr>
              <w:pStyle w:val="Default"/>
              <w:rPr>
                <w:sz w:val="22"/>
                <w:szCs w:val="22"/>
              </w:rPr>
            </w:pPr>
            <w:r>
              <w:rPr>
                <w:sz w:val="22"/>
                <w:szCs w:val="22"/>
              </w:rPr>
              <w:t xml:space="preserve">115.00 </w:t>
            </w:r>
          </w:p>
        </w:tc>
        <w:tc>
          <w:tcPr>
            <w:tcW w:w="1721" w:type="dxa"/>
          </w:tcPr>
          <w:p w:rsidR="006620A9" w:rsidRPr="006B7C0E" w:rsidRDefault="006620A9"/>
        </w:tc>
        <w:tc>
          <w:tcPr>
            <w:tcW w:w="1386" w:type="dxa"/>
          </w:tcPr>
          <w:p w:rsidR="006620A9" w:rsidRPr="006B7C0E" w:rsidRDefault="006620A9"/>
        </w:tc>
      </w:tr>
      <w:tr w:rsidR="006620A9" w:rsidRPr="006B7C0E" w:rsidTr="006620A9">
        <w:trPr>
          <w:trHeight w:val="454"/>
        </w:trPr>
        <w:tc>
          <w:tcPr>
            <w:tcW w:w="960" w:type="dxa"/>
          </w:tcPr>
          <w:p w:rsidR="006620A9" w:rsidRPr="006B7C0E" w:rsidRDefault="006620A9"/>
        </w:tc>
        <w:tc>
          <w:tcPr>
            <w:tcW w:w="658" w:type="dxa"/>
          </w:tcPr>
          <w:p w:rsidR="006620A9" w:rsidRDefault="006620A9">
            <w:pPr>
              <w:pStyle w:val="Default"/>
              <w:rPr>
                <w:sz w:val="22"/>
                <w:szCs w:val="22"/>
              </w:rPr>
            </w:pPr>
            <w:r>
              <w:rPr>
                <w:sz w:val="22"/>
                <w:szCs w:val="22"/>
              </w:rPr>
              <w:t xml:space="preserve">A </w:t>
            </w:r>
          </w:p>
        </w:tc>
        <w:tc>
          <w:tcPr>
            <w:tcW w:w="999" w:type="dxa"/>
          </w:tcPr>
          <w:p w:rsidR="006620A9" w:rsidRDefault="006620A9">
            <w:pPr>
              <w:pStyle w:val="Default"/>
              <w:rPr>
                <w:sz w:val="22"/>
                <w:szCs w:val="22"/>
              </w:rPr>
            </w:pPr>
            <w:r>
              <w:rPr>
                <w:sz w:val="22"/>
                <w:szCs w:val="22"/>
              </w:rPr>
              <w:t xml:space="preserve">IBP/612 </w:t>
            </w:r>
          </w:p>
        </w:tc>
        <w:tc>
          <w:tcPr>
            <w:tcW w:w="2780" w:type="dxa"/>
          </w:tcPr>
          <w:p w:rsidR="006620A9" w:rsidRDefault="006620A9">
            <w:pPr>
              <w:pStyle w:val="Default"/>
              <w:rPr>
                <w:sz w:val="22"/>
                <w:szCs w:val="22"/>
              </w:rPr>
            </w:pPr>
            <w:r>
              <w:rPr>
                <w:sz w:val="22"/>
                <w:szCs w:val="22"/>
              </w:rPr>
              <w:t xml:space="preserve">Acquisition of Wakeford Field: Legal fees Surrey Hills Solicitors (IBP/612 Phase 1) </w:t>
            </w:r>
          </w:p>
        </w:tc>
        <w:tc>
          <w:tcPr>
            <w:tcW w:w="1195" w:type="dxa"/>
          </w:tcPr>
          <w:p w:rsidR="006620A9" w:rsidRDefault="006620A9">
            <w:pPr>
              <w:pStyle w:val="Default"/>
              <w:rPr>
                <w:sz w:val="22"/>
                <w:szCs w:val="22"/>
              </w:rPr>
            </w:pPr>
            <w:r>
              <w:rPr>
                <w:sz w:val="22"/>
                <w:szCs w:val="22"/>
              </w:rPr>
              <w:t xml:space="preserve">163.00 </w:t>
            </w:r>
          </w:p>
        </w:tc>
        <w:tc>
          <w:tcPr>
            <w:tcW w:w="1500" w:type="dxa"/>
          </w:tcPr>
          <w:p w:rsidR="006620A9" w:rsidRDefault="006620A9">
            <w:pPr>
              <w:pStyle w:val="Default"/>
              <w:rPr>
                <w:sz w:val="22"/>
                <w:szCs w:val="22"/>
              </w:rPr>
            </w:pPr>
            <w:r>
              <w:rPr>
                <w:sz w:val="22"/>
                <w:szCs w:val="22"/>
              </w:rPr>
              <w:t xml:space="preserve">163.00 </w:t>
            </w:r>
          </w:p>
        </w:tc>
        <w:tc>
          <w:tcPr>
            <w:tcW w:w="1721" w:type="dxa"/>
          </w:tcPr>
          <w:p w:rsidR="006620A9" w:rsidRPr="006B7C0E" w:rsidRDefault="006620A9"/>
        </w:tc>
        <w:tc>
          <w:tcPr>
            <w:tcW w:w="1386" w:type="dxa"/>
          </w:tcPr>
          <w:p w:rsidR="006620A9" w:rsidRPr="006B7C0E" w:rsidRDefault="006620A9"/>
        </w:tc>
      </w:tr>
      <w:tr w:rsidR="006620A9" w:rsidRPr="006B7C0E" w:rsidTr="006620A9">
        <w:trPr>
          <w:trHeight w:val="454"/>
        </w:trPr>
        <w:tc>
          <w:tcPr>
            <w:tcW w:w="960" w:type="dxa"/>
          </w:tcPr>
          <w:p w:rsidR="006620A9" w:rsidRPr="006B7C0E" w:rsidRDefault="006620A9"/>
        </w:tc>
        <w:tc>
          <w:tcPr>
            <w:tcW w:w="658" w:type="dxa"/>
          </w:tcPr>
          <w:p w:rsidR="006620A9" w:rsidRDefault="006620A9">
            <w:pPr>
              <w:pStyle w:val="Default"/>
              <w:rPr>
                <w:sz w:val="22"/>
                <w:szCs w:val="22"/>
              </w:rPr>
            </w:pPr>
            <w:r>
              <w:rPr>
                <w:sz w:val="22"/>
                <w:szCs w:val="22"/>
              </w:rPr>
              <w:t xml:space="preserve">A </w:t>
            </w:r>
          </w:p>
        </w:tc>
        <w:tc>
          <w:tcPr>
            <w:tcW w:w="999" w:type="dxa"/>
          </w:tcPr>
          <w:p w:rsidR="006620A9" w:rsidRDefault="006620A9">
            <w:pPr>
              <w:pStyle w:val="Default"/>
              <w:rPr>
                <w:sz w:val="22"/>
                <w:szCs w:val="22"/>
              </w:rPr>
            </w:pPr>
            <w:r>
              <w:rPr>
                <w:sz w:val="22"/>
                <w:szCs w:val="22"/>
              </w:rPr>
              <w:t xml:space="preserve">IBP/709 </w:t>
            </w:r>
          </w:p>
        </w:tc>
        <w:tc>
          <w:tcPr>
            <w:tcW w:w="2780" w:type="dxa"/>
          </w:tcPr>
          <w:p w:rsidR="006620A9" w:rsidRDefault="006620A9">
            <w:pPr>
              <w:pStyle w:val="Default"/>
              <w:rPr>
                <w:sz w:val="22"/>
                <w:szCs w:val="22"/>
              </w:rPr>
            </w:pPr>
            <w:r>
              <w:rPr>
                <w:sz w:val="22"/>
                <w:szCs w:val="22"/>
              </w:rPr>
              <w:t xml:space="preserve">Professional services in respect of St Mary's Church graveyard extension (IBP/709) </w:t>
            </w:r>
          </w:p>
        </w:tc>
        <w:tc>
          <w:tcPr>
            <w:tcW w:w="1195" w:type="dxa"/>
          </w:tcPr>
          <w:p w:rsidR="006620A9" w:rsidRDefault="006620A9">
            <w:pPr>
              <w:pStyle w:val="Default"/>
              <w:rPr>
                <w:sz w:val="22"/>
                <w:szCs w:val="22"/>
              </w:rPr>
            </w:pPr>
            <w:r>
              <w:rPr>
                <w:sz w:val="22"/>
                <w:szCs w:val="22"/>
              </w:rPr>
              <w:t xml:space="preserve">882.30 </w:t>
            </w:r>
          </w:p>
        </w:tc>
        <w:tc>
          <w:tcPr>
            <w:tcW w:w="1500" w:type="dxa"/>
          </w:tcPr>
          <w:p w:rsidR="006620A9" w:rsidRDefault="006620A9">
            <w:pPr>
              <w:pStyle w:val="Default"/>
              <w:rPr>
                <w:sz w:val="22"/>
                <w:szCs w:val="22"/>
              </w:rPr>
            </w:pPr>
            <w:r>
              <w:rPr>
                <w:sz w:val="22"/>
                <w:szCs w:val="22"/>
              </w:rPr>
              <w:t xml:space="preserve">882.30 </w:t>
            </w:r>
          </w:p>
        </w:tc>
        <w:tc>
          <w:tcPr>
            <w:tcW w:w="1721" w:type="dxa"/>
          </w:tcPr>
          <w:p w:rsidR="006620A9" w:rsidRPr="006B7C0E" w:rsidRDefault="006620A9"/>
        </w:tc>
        <w:tc>
          <w:tcPr>
            <w:tcW w:w="1386" w:type="dxa"/>
          </w:tcPr>
          <w:p w:rsidR="006620A9" w:rsidRPr="006B7C0E" w:rsidRDefault="006620A9"/>
        </w:tc>
      </w:tr>
      <w:tr w:rsidR="006620A9" w:rsidRPr="006B7C0E" w:rsidTr="006620A9">
        <w:trPr>
          <w:trHeight w:val="454"/>
        </w:trPr>
        <w:tc>
          <w:tcPr>
            <w:tcW w:w="960" w:type="dxa"/>
          </w:tcPr>
          <w:p w:rsidR="006620A9" w:rsidRPr="006B7C0E" w:rsidRDefault="006620A9"/>
        </w:tc>
        <w:tc>
          <w:tcPr>
            <w:tcW w:w="658" w:type="dxa"/>
          </w:tcPr>
          <w:p w:rsidR="006620A9" w:rsidRDefault="006620A9">
            <w:pPr>
              <w:pStyle w:val="Default"/>
              <w:rPr>
                <w:sz w:val="22"/>
                <w:szCs w:val="22"/>
              </w:rPr>
            </w:pPr>
          </w:p>
        </w:tc>
        <w:tc>
          <w:tcPr>
            <w:tcW w:w="999" w:type="dxa"/>
          </w:tcPr>
          <w:p w:rsidR="006620A9" w:rsidRDefault="006620A9">
            <w:pPr>
              <w:pStyle w:val="Default"/>
              <w:rPr>
                <w:sz w:val="22"/>
                <w:szCs w:val="22"/>
              </w:rPr>
            </w:pPr>
          </w:p>
        </w:tc>
        <w:tc>
          <w:tcPr>
            <w:tcW w:w="2780" w:type="dxa"/>
          </w:tcPr>
          <w:p w:rsidR="006620A9" w:rsidRDefault="006620A9">
            <w:pPr>
              <w:pStyle w:val="Default"/>
              <w:rPr>
                <w:sz w:val="22"/>
                <w:szCs w:val="22"/>
              </w:rPr>
            </w:pPr>
            <w:r>
              <w:rPr>
                <w:sz w:val="22"/>
                <w:szCs w:val="22"/>
              </w:rPr>
              <w:t xml:space="preserve">Expenditure as at 31/3/2019 </w:t>
            </w:r>
          </w:p>
        </w:tc>
        <w:tc>
          <w:tcPr>
            <w:tcW w:w="1195" w:type="dxa"/>
          </w:tcPr>
          <w:p w:rsidR="006620A9" w:rsidRDefault="006620A9">
            <w:pPr>
              <w:pStyle w:val="Default"/>
              <w:rPr>
                <w:sz w:val="22"/>
                <w:szCs w:val="22"/>
              </w:rPr>
            </w:pPr>
          </w:p>
        </w:tc>
        <w:tc>
          <w:tcPr>
            <w:tcW w:w="1500" w:type="dxa"/>
          </w:tcPr>
          <w:p w:rsidR="006620A9" w:rsidRDefault="006620A9" w:rsidP="0031237D">
            <w:pPr>
              <w:pStyle w:val="Default"/>
              <w:rPr>
                <w:sz w:val="22"/>
                <w:szCs w:val="22"/>
              </w:rPr>
            </w:pPr>
            <w:r>
              <w:rPr>
                <w:sz w:val="22"/>
                <w:szCs w:val="22"/>
              </w:rPr>
              <w:t xml:space="preserve">17,030.30 </w:t>
            </w:r>
          </w:p>
        </w:tc>
        <w:tc>
          <w:tcPr>
            <w:tcW w:w="1721" w:type="dxa"/>
          </w:tcPr>
          <w:p w:rsidR="006620A9" w:rsidRPr="006B7C0E" w:rsidRDefault="006620A9"/>
        </w:tc>
        <w:tc>
          <w:tcPr>
            <w:tcW w:w="1386" w:type="dxa"/>
          </w:tcPr>
          <w:p w:rsidR="006620A9" w:rsidRPr="006B7C0E" w:rsidRDefault="006620A9"/>
        </w:tc>
      </w:tr>
    </w:tbl>
    <w:p w:rsidR="003429A6" w:rsidRDefault="003429A6">
      <w:pPr>
        <w:ind w:left="226"/>
        <w:rPr>
          <w:b/>
          <w:sz w:val="20"/>
        </w:rPr>
      </w:pPr>
    </w:p>
    <w:p w:rsidR="00D10522" w:rsidRPr="003429A6" w:rsidRDefault="008A1E42">
      <w:pPr>
        <w:ind w:left="226"/>
        <w:rPr>
          <w:b/>
        </w:rPr>
      </w:pPr>
      <w:r w:rsidRPr="003429A6">
        <w:rPr>
          <w:b/>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r w:rsidRPr="00CA6571">
        <w:rPr>
          <w:sz w:val="20"/>
        </w:rPr>
        <w:lastRenderedPageBreak/>
        <w:t xml:space="preserve">to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620A9"/>
    <w:rsid w:val="00696390"/>
    <w:rsid w:val="006B392C"/>
    <w:rsid w:val="006B7C0E"/>
    <w:rsid w:val="006F05C3"/>
    <w:rsid w:val="00702B0A"/>
    <w:rsid w:val="0071205D"/>
    <w:rsid w:val="0071768F"/>
    <w:rsid w:val="00752550"/>
    <w:rsid w:val="008A1E42"/>
    <w:rsid w:val="008A54FB"/>
    <w:rsid w:val="008B04EE"/>
    <w:rsid w:val="008B4D03"/>
    <w:rsid w:val="008E7027"/>
    <w:rsid w:val="009A13B5"/>
    <w:rsid w:val="00A45712"/>
    <w:rsid w:val="00A926B1"/>
    <w:rsid w:val="00B624A2"/>
    <w:rsid w:val="00B86757"/>
    <w:rsid w:val="00BD7E3C"/>
    <w:rsid w:val="00C12183"/>
    <w:rsid w:val="00C36B56"/>
    <w:rsid w:val="00CA6571"/>
    <w:rsid w:val="00CC6A8B"/>
    <w:rsid w:val="00CD2861"/>
    <w:rsid w:val="00D064B7"/>
    <w:rsid w:val="00D10522"/>
    <w:rsid w:val="00D4540C"/>
    <w:rsid w:val="00DA19F6"/>
    <w:rsid w:val="00DD3C90"/>
    <w:rsid w:val="00E84D88"/>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50</cp:revision>
  <dcterms:created xsi:type="dcterms:W3CDTF">2020-08-28T14:04:00Z</dcterms:created>
  <dcterms:modified xsi:type="dcterms:W3CDTF">2020-09-11T12:22:00Z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