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00" w:rsidRDefault="00027500" w:rsidP="00027500">
      <w:pPr>
        <w:jc w:val="center"/>
        <w:rPr>
          <w:sz w:val="56"/>
          <w:szCs w:val="56"/>
        </w:rPr>
      </w:pPr>
      <w:r>
        <w:rPr>
          <w:noProof/>
          <w:color w:val="1F497D"/>
          <w:lang w:eastAsia="en-GB"/>
        </w:rPr>
        <w:drawing>
          <wp:inline distT="0" distB="0" distL="0" distR="0">
            <wp:extent cx="790575" cy="790575"/>
            <wp:effectExtent l="0" t="0" r="9525" b="9525"/>
            <wp:docPr id="1" name="Picture 1" descr="http://www.chichester.gov.uk/chichesterdotnet/images/cdclogo.gif"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ichester.gov.uk/chichesterdotnet/images/cdc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A87D5D" w:rsidRPr="004A4A7A" w:rsidRDefault="00A87D5D" w:rsidP="00027500">
      <w:pPr>
        <w:jc w:val="center"/>
        <w:rPr>
          <w:b/>
          <w:sz w:val="56"/>
          <w:szCs w:val="56"/>
        </w:rPr>
      </w:pPr>
    </w:p>
    <w:p w:rsidR="00027500" w:rsidRPr="004A4A7A" w:rsidRDefault="00027500" w:rsidP="00027500">
      <w:pPr>
        <w:jc w:val="center"/>
        <w:rPr>
          <w:rFonts w:ascii="Arial" w:hAnsi="Arial" w:cs="Arial"/>
          <w:b/>
          <w:sz w:val="56"/>
          <w:szCs w:val="56"/>
        </w:rPr>
      </w:pPr>
      <w:r w:rsidRPr="004A4A7A">
        <w:rPr>
          <w:rFonts w:ascii="Arial" w:hAnsi="Arial" w:cs="Arial"/>
          <w:b/>
          <w:sz w:val="56"/>
          <w:szCs w:val="56"/>
        </w:rPr>
        <w:t>NAVIGATION GUIDE FOR</w:t>
      </w:r>
    </w:p>
    <w:p w:rsidR="00027500" w:rsidRPr="004A4A7A" w:rsidRDefault="00027500" w:rsidP="00027500">
      <w:pPr>
        <w:jc w:val="center"/>
        <w:rPr>
          <w:rFonts w:ascii="Arial" w:hAnsi="Arial" w:cs="Arial"/>
          <w:b/>
          <w:sz w:val="56"/>
          <w:szCs w:val="56"/>
        </w:rPr>
      </w:pPr>
      <w:r w:rsidRPr="004A4A7A">
        <w:rPr>
          <w:rFonts w:ascii="Arial" w:hAnsi="Arial" w:cs="Arial"/>
          <w:b/>
          <w:sz w:val="56"/>
          <w:szCs w:val="56"/>
        </w:rPr>
        <w:t>CHICHESTER DISTRICT COUNCIL</w:t>
      </w:r>
    </w:p>
    <w:p w:rsidR="00027500" w:rsidRPr="004A4A7A" w:rsidRDefault="00027500" w:rsidP="00027500">
      <w:pPr>
        <w:jc w:val="center"/>
        <w:rPr>
          <w:rFonts w:ascii="Arial" w:hAnsi="Arial" w:cs="Arial"/>
          <w:b/>
          <w:sz w:val="56"/>
          <w:szCs w:val="56"/>
        </w:rPr>
      </w:pPr>
      <w:r w:rsidRPr="004A4A7A">
        <w:rPr>
          <w:rFonts w:ascii="Arial" w:hAnsi="Arial" w:cs="Arial"/>
          <w:b/>
          <w:sz w:val="56"/>
          <w:szCs w:val="56"/>
        </w:rPr>
        <w:t>DEVELOPER CONTRIBUTIONS</w:t>
      </w:r>
    </w:p>
    <w:p w:rsidR="00C15838" w:rsidRPr="004A4A7A" w:rsidRDefault="00027500" w:rsidP="00027500">
      <w:pPr>
        <w:jc w:val="center"/>
        <w:rPr>
          <w:rFonts w:ascii="Arial" w:hAnsi="Arial" w:cs="Arial"/>
          <w:b/>
          <w:sz w:val="56"/>
          <w:szCs w:val="56"/>
        </w:rPr>
      </w:pPr>
      <w:r w:rsidRPr="004A4A7A">
        <w:rPr>
          <w:rFonts w:ascii="Arial" w:hAnsi="Arial" w:cs="Arial"/>
          <w:b/>
          <w:sz w:val="56"/>
          <w:szCs w:val="56"/>
        </w:rPr>
        <w:t>PUBLIC FACING MODULE</w:t>
      </w:r>
    </w:p>
    <w:p w:rsidR="00C15838" w:rsidRDefault="00C15838">
      <w:pPr>
        <w:rPr>
          <w:rFonts w:ascii="Arial" w:hAnsi="Arial" w:cs="Arial"/>
          <w:sz w:val="56"/>
          <w:szCs w:val="56"/>
        </w:rPr>
      </w:pPr>
      <w:r>
        <w:rPr>
          <w:rFonts w:ascii="Arial" w:hAnsi="Arial" w:cs="Arial"/>
          <w:sz w:val="56"/>
          <w:szCs w:val="56"/>
        </w:rPr>
        <w:br w:type="page"/>
      </w:r>
    </w:p>
    <w:p w:rsidR="00027500" w:rsidRPr="00B22067" w:rsidRDefault="00027500" w:rsidP="004A4A7A">
      <w:pPr>
        <w:pStyle w:val="Heading1"/>
      </w:pPr>
      <w:r w:rsidRPr="00B22067">
        <w:lastRenderedPageBreak/>
        <w:t>Introduction</w:t>
      </w:r>
    </w:p>
    <w:p w:rsidR="00027500" w:rsidRPr="00B22067" w:rsidRDefault="00027500" w:rsidP="00027500">
      <w:pPr>
        <w:rPr>
          <w:rFonts w:ascii="Arial" w:hAnsi="Arial" w:cs="Arial"/>
        </w:rPr>
      </w:pPr>
      <w:r w:rsidRPr="00B22067">
        <w:rPr>
          <w:rFonts w:ascii="Arial" w:hAnsi="Arial" w:cs="Arial"/>
        </w:rPr>
        <w:t>This guide has been produced to assist users in navigating around the Developer Contributions Public Facing Module (PFM).</w:t>
      </w:r>
    </w:p>
    <w:p w:rsidR="00027500" w:rsidRPr="00B22067" w:rsidRDefault="00027500" w:rsidP="00027500">
      <w:pPr>
        <w:rPr>
          <w:rFonts w:ascii="Arial" w:hAnsi="Arial" w:cs="Arial"/>
        </w:rPr>
      </w:pPr>
      <w:r w:rsidRPr="00B22067">
        <w:rPr>
          <w:rFonts w:ascii="Arial" w:hAnsi="Arial" w:cs="Arial"/>
        </w:rPr>
        <w:t>Th</w:t>
      </w:r>
      <w:r w:rsidR="006633C2" w:rsidRPr="00B22067">
        <w:rPr>
          <w:rFonts w:ascii="Arial" w:hAnsi="Arial" w:cs="Arial"/>
        </w:rPr>
        <w:t>e PFM</w:t>
      </w:r>
      <w:r w:rsidRPr="00B22067">
        <w:rPr>
          <w:rFonts w:ascii="Arial" w:hAnsi="Arial" w:cs="Arial"/>
        </w:rPr>
        <w:t xml:space="preserve"> has been introduced to provide </w:t>
      </w:r>
      <w:r w:rsidR="006633C2" w:rsidRPr="00B22067">
        <w:rPr>
          <w:rFonts w:ascii="Arial" w:hAnsi="Arial" w:cs="Arial"/>
        </w:rPr>
        <w:t>transparency</w:t>
      </w:r>
      <w:r w:rsidRPr="00B22067">
        <w:rPr>
          <w:rFonts w:ascii="Arial" w:hAnsi="Arial" w:cs="Arial"/>
        </w:rPr>
        <w:t xml:space="preserve"> and accountability for contributions received as a result of development within the Chichester District (excluding the South Downs National Park area) </w:t>
      </w:r>
      <w:r w:rsidR="006633C2" w:rsidRPr="00B22067">
        <w:rPr>
          <w:rFonts w:ascii="Arial" w:hAnsi="Arial" w:cs="Arial"/>
        </w:rPr>
        <w:t>towards the provision of infrastructure.</w:t>
      </w:r>
    </w:p>
    <w:p w:rsidR="006633C2" w:rsidRPr="00B22067" w:rsidRDefault="006633C2" w:rsidP="00027500">
      <w:pPr>
        <w:rPr>
          <w:rFonts w:ascii="Arial" w:hAnsi="Arial" w:cs="Arial"/>
        </w:rPr>
      </w:pPr>
      <w:r w:rsidRPr="00B22067">
        <w:rPr>
          <w:rFonts w:ascii="Arial" w:hAnsi="Arial" w:cs="Arial"/>
        </w:rPr>
        <w:t>Since the adoption of the Community Infrastructure Levy (CIL) in 2016 the majority of these contributions are from this source</w:t>
      </w:r>
      <w:r w:rsidR="0034450F" w:rsidRPr="00B22067">
        <w:rPr>
          <w:rFonts w:ascii="Arial" w:hAnsi="Arial" w:cs="Arial"/>
        </w:rPr>
        <w:t>.  H</w:t>
      </w:r>
      <w:r w:rsidR="0025139E" w:rsidRPr="00B22067">
        <w:rPr>
          <w:rFonts w:ascii="Arial" w:hAnsi="Arial" w:cs="Arial"/>
        </w:rPr>
        <w:t>owever</w:t>
      </w:r>
      <w:r w:rsidR="0034450F" w:rsidRPr="00B22067">
        <w:rPr>
          <w:rFonts w:ascii="Arial" w:hAnsi="Arial" w:cs="Arial"/>
        </w:rPr>
        <w:t>,</w:t>
      </w:r>
      <w:r w:rsidRPr="00B22067">
        <w:rPr>
          <w:rFonts w:ascii="Arial" w:hAnsi="Arial" w:cs="Arial"/>
        </w:rPr>
        <w:t xml:space="preserve"> the Council still has some funds due and collected under S106 legal agreements signed prior to the introduction of CIL.</w:t>
      </w:r>
      <w:r w:rsidR="00FB20F1" w:rsidRPr="00B22067">
        <w:rPr>
          <w:rFonts w:ascii="Arial" w:hAnsi="Arial" w:cs="Arial"/>
        </w:rPr>
        <w:t xml:space="preserve">  </w:t>
      </w:r>
      <w:r w:rsidRPr="00B22067">
        <w:rPr>
          <w:rFonts w:ascii="Arial" w:hAnsi="Arial" w:cs="Arial"/>
        </w:rPr>
        <w:t>In addition</w:t>
      </w:r>
      <w:r w:rsidR="0034450F" w:rsidRPr="00B22067">
        <w:rPr>
          <w:rFonts w:ascii="Arial" w:hAnsi="Arial" w:cs="Arial"/>
        </w:rPr>
        <w:t>,</w:t>
      </w:r>
      <w:r w:rsidRPr="00B22067">
        <w:rPr>
          <w:rFonts w:ascii="Arial" w:hAnsi="Arial" w:cs="Arial"/>
        </w:rPr>
        <w:t xml:space="preserve"> monies for Affordable Housing and Recreation Disturbance continue to be secured by S106.</w:t>
      </w:r>
    </w:p>
    <w:p w:rsidR="006633C2" w:rsidRDefault="006633C2" w:rsidP="00027500">
      <w:pPr>
        <w:rPr>
          <w:rFonts w:ascii="Arial" w:hAnsi="Arial" w:cs="Arial"/>
        </w:rPr>
      </w:pPr>
      <w:r w:rsidRPr="00B22067">
        <w:rPr>
          <w:rFonts w:ascii="Arial" w:hAnsi="Arial" w:cs="Arial"/>
        </w:rPr>
        <w:t>On larger sites there may be specific items of infrastructure required in addition to any CIL payment. Again, these continue to be secured by S106 legal agreement and will be detailed with</w:t>
      </w:r>
      <w:r w:rsidR="00D7234B">
        <w:rPr>
          <w:rFonts w:ascii="Arial" w:hAnsi="Arial" w:cs="Arial"/>
        </w:rPr>
        <w:t xml:space="preserve">in </w:t>
      </w:r>
      <w:r w:rsidRPr="00B22067">
        <w:rPr>
          <w:rFonts w:ascii="Arial" w:hAnsi="Arial" w:cs="Arial"/>
        </w:rPr>
        <w:t>the S106 Non-Financial tab within this module.</w:t>
      </w:r>
    </w:p>
    <w:p w:rsidR="00B22067" w:rsidRDefault="00B22067" w:rsidP="00027500">
      <w:pPr>
        <w:rPr>
          <w:rFonts w:ascii="Arial" w:hAnsi="Arial" w:cs="Arial"/>
        </w:rPr>
      </w:pPr>
    </w:p>
    <w:p w:rsidR="00E20BAD" w:rsidRDefault="00CC73E7" w:rsidP="00CC73E7">
      <w:pPr>
        <w:jc w:val="center"/>
        <w:rPr>
          <w:rFonts w:ascii="Arial" w:hAnsi="Arial" w:cs="Arial"/>
          <w:b/>
        </w:rPr>
      </w:pPr>
      <w:r w:rsidRPr="00CC73E7">
        <w:rPr>
          <w:rFonts w:ascii="Arial" w:hAnsi="Arial" w:cs="Arial"/>
          <w:b/>
          <w:noProof/>
          <w:lang w:eastAsia="en-GB"/>
        </w:rPr>
        <mc:AlternateContent>
          <mc:Choice Requires="wps">
            <w:drawing>
              <wp:inline distT="0" distB="0" distL="0" distR="0">
                <wp:extent cx="3994030" cy="1403985"/>
                <wp:effectExtent l="0" t="0" r="26035" b="1714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03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C73E7" w:rsidRPr="00CC73E7" w:rsidRDefault="00CC73E7" w:rsidP="00CC73E7">
                            <w:pPr>
                              <w:jc w:val="center"/>
                              <w:rPr>
                                <w:rFonts w:ascii="Arial" w:hAnsi="Arial" w:cs="Arial"/>
                                <w:b/>
                              </w:rPr>
                            </w:pPr>
                            <w:r w:rsidRPr="00CC73E7">
                              <w:rPr>
                                <w:rFonts w:ascii="Arial" w:hAnsi="Arial" w:cs="Arial"/>
                                <w:b/>
                              </w:rPr>
                              <w:t>Important</w:t>
                            </w:r>
                          </w:p>
                          <w:p w:rsidR="00CC73E7" w:rsidRDefault="00CC73E7" w:rsidP="00CC73E7">
                            <w:pPr>
                              <w:rPr>
                                <w:rFonts w:ascii="Arial" w:hAnsi="Arial" w:cs="Arial"/>
                              </w:rPr>
                            </w:pPr>
                            <w:r>
                              <w:rPr>
                                <w:rFonts w:ascii="Arial" w:hAnsi="Arial" w:cs="Arial"/>
                              </w:rPr>
                              <w:t xml:space="preserve">The </w:t>
                            </w:r>
                            <w:r w:rsidRPr="00B22067">
                              <w:rPr>
                                <w:rFonts w:ascii="Arial" w:hAnsi="Arial" w:cs="Arial"/>
                                <w:noProof/>
                                <w:lang w:eastAsia="en-GB"/>
                              </w:rPr>
                              <w:drawing>
                                <wp:inline distT="0" distB="0" distL="0" distR="0" wp14:anchorId="71F02DD8" wp14:editId="261BB281">
                                  <wp:extent cx="989248" cy="241160"/>
                                  <wp:effectExtent l="0" t="0" r="1905" b="6985"/>
                                  <wp:docPr id="23" name="Picture 23" title="View De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8881" cy="243508"/>
                                          </a:xfrm>
                                          <a:prstGeom prst="rect">
                                            <a:avLst/>
                                          </a:prstGeom>
                                        </pic:spPr>
                                      </pic:pic>
                                    </a:graphicData>
                                  </a:graphic>
                                </wp:inline>
                              </w:drawing>
                            </w:r>
                            <w:r>
                              <w:rPr>
                                <w:rFonts w:ascii="Arial" w:hAnsi="Arial" w:cs="Arial"/>
                              </w:rPr>
                              <w:t xml:space="preserve"> functionality referred to in the S106 navigation notes will not be available on launch and will follow in a future upgrade.</w:t>
                            </w:r>
                          </w:p>
                          <w:p w:rsidR="00CC73E7" w:rsidRPr="00B22067" w:rsidRDefault="00CC73E7" w:rsidP="00CC73E7">
                            <w:pPr>
                              <w:rPr>
                                <w:rFonts w:ascii="Arial" w:hAnsi="Arial" w:cs="Arial"/>
                              </w:rPr>
                            </w:pPr>
                            <w:r>
                              <w:rPr>
                                <w:rFonts w:ascii="Arial" w:hAnsi="Arial" w:cs="Arial"/>
                              </w:rPr>
                              <w:t xml:space="preserve">In the meantime individual agreements can be viewed on the Council’s public planning application portal which can be accessed </w:t>
                            </w:r>
                            <w:hyperlink r:id="rId11" w:history="1">
                              <w:r w:rsidRPr="00CC73E7">
                                <w:rPr>
                                  <w:rStyle w:val="Hyperlink"/>
                                  <w:rFonts w:ascii="Arial" w:hAnsi="Arial" w:cs="Arial"/>
                                </w:rPr>
                                <w:t>here</w:t>
                              </w:r>
                            </w:hyperlink>
                          </w:p>
                          <w:p w:rsidR="00CC73E7" w:rsidRDefault="00CC73E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" fillcolor="white [3201]" strokecolor="black [3200]" strokeweight="2pt">
                <v:textbox style="mso-fit-shape-to-text:t">
                  <w:txbxContent>
                    <w:p w:rsidR="00CC73E7" w:rsidRPr="00CC73E7" w:rsidRDefault="00CC73E7" w:rsidP="00CC73E7">
                      <w:pPr>
                        <w:jc w:val="center"/>
                        <w:rPr>
                          <w:rFonts w:ascii="Arial" w:hAnsi="Arial" w:cs="Arial"/>
                          <w:b/>
                        </w:rPr>
                      </w:pPr>
                      <w:r w:rsidRPr="00CC73E7">
                        <w:rPr>
                          <w:rFonts w:ascii="Arial" w:hAnsi="Arial" w:cs="Arial"/>
                          <w:b/>
                        </w:rPr>
                        <w:t>Important</w:t>
                      </w:r>
                    </w:p>
                    <w:p w:rsidR="00CC73E7" w:rsidRDefault="00CC73E7" w:rsidP="00CC73E7">
                      <w:pPr>
                        <w:rPr>
                          <w:rFonts w:ascii="Arial" w:hAnsi="Arial" w:cs="Arial"/>
                        </w:rPr>
                      </w:pPr>
                      <w:r>
                        <w:rPr>
                          <w:rFonts w:ascii="Arial" w:hAnsi="Arial" w:cs="Arial"/>
                        </w:rPr>
                        <w:t xml:space="preserve">The </w:t>
                      </w:r>
                      <w:r w:rsidRPr="00B22067">
                        <w:rPr>
                          <w:rFonts w:ascii="Arial" w:hAnsi="Arial" w:cs="Arial"/>
                          <w:noProof/>
                          <w:lang w:eastAsia="en-GB"/>
                        </w:rPr>
                        <w:drawing>
                          <wp:inline distT="0" distB="0" distL="0" distR="0" wp14:anchorId="71F02DD8" wp14:editId="261BB281">
                            <wp:extent cx="989248" cy="241160"/>
                            <wp:effectExtent l="0" t="0" r="1905" b="6985"/>
                            <wp:docPr id="23" name="Picture 23" title="View De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8881" cy="243508"/>
                                    </a:xfrm>
                                    <a:prstGeom prst="rect">
                                      <a:avLst/>
                                    </a:prstGeom>
                                  </pic:spPr>
                                </pic:pic>
                              </a:graphicData>
                            </a:graphic>
                          </wp:inline>
                        </w:drawing>
                      </w:r>
                      <w:r>
                        <w:rPr>
                          <w:rFonts w:ascii="Arial" w:hAnsi="Arial" w:cs="Arial"/>
                        </w:rPr>
                        <w:t xml:space="preserve"> functionality referred to in the S106 navigation notes will not be available on launch and will follow in a future upgrade.</w:t>
                      </w:r>
                    </w:p>
                    <w:p w:rsidR="00CC73E7" w:rsidRPr="00B22067" w:rsidRDefault="00CC73E7" w:rsidP="00CC73E7">
                      <w:pPr>
                        <w:rPr>
                          <w:rFonts w:ascii="Arial" w:hAnsi="Arial" w:cs="Arial"/>
                        </w:rPr>
                      </w:pPr>
                      <w:r>
                        <w:rPr>
                          <w:rFonts w:ascii="Arial" w:hAnsi="Arial" w:cs="Arial"/>
                        </w:rPr>
                        <w:t xml:space="preserve">In the meantime individual agreements can be viewed on the Council’s public planning application portal which can be accessed </w:t>
                      </w:r>
                      <w:hyperlink r:id="rId12" w:history="1">
                        <w:r w:rsidRPr="00CC73E7">
                          <w:rPr>
                            <w:rStyle w:val="Hyperlink"/>
                            <w:rFonts w:ascii="Arial" w:hAnsi="Arial" w:cs="Arial"/>
                          </w:rPr>
                          <w:t>here</w:t>
                        </w:r>
                      </w:hyperlink>
                    </w:p>
                    <w:p w:rsidR="00CC73E7" w:rsidRDefault="00CC73E7"/>
                  </w:txbxContent>
                </v:textbox>
                <w10:anchorlock/>
              </v:shape>
            </w:pict>
          </mc:Fallback>
        </mc:AlternateContent>
      </w:r>
    </w:p>
    <w:p w:rsidR="00C15838" w:rsidRDefault="00C15838">
      <w:r>
        <w:br w:type="page"/>
      </w:r>
    </w:p>
    <w:p w:rsidR="0025139E" w:rsidRPr="00B22067" w:rsidRDefault="0025139E" w:rsidP="004A4A7A">
      <w:pPr>
        <w:pStyle w:val="Heading1"/>
      </w:pPr>
      <w:r w:rsidRPr="00B22067">
        <w:lastRenderedPageBreak/>
        <w:t>CIL Section</w:t>
      </w:r>
    </w:p>
    <w:p w:rsidR="0025139E" w:rsidRPr="00B22067" w:rsidRDefault="0025139E" w:rsidP="0025139E">
      <w:pPr>
        <w:rPr>
          <w:rFonts w:ascii="Arial" w:hAnsi="Arial" w:cs="Arial"/>
        </w:rPr>
      </w:pPr>
      <w:r w:rsidRPr="00B22067">
        <w:rPr>
          <w:rFonts w:ascii="Arial" w:hAnsi="Arial" w:cs="Arial"/>
        </w:rPr>
        <w:t>This site holds data on the CIL due, received</w:t>
      </w:r>
      <w:r w:rsidR="00FB20F1" w:rsidRPr="00B22067">
        <w:rPr>
          <w:rFonts w:ascii="Arial" w:hAnsi="Arial" w:cs="Arial"/>
        </w:rPr>
        <w:t>,</w:t>
      </w:r>
      <w:r w:rsidRPr="00B22067">
        <w:rPr>
          <w:rFonts w:ascii="Arial" w:hAnsi="Arial" w:cs="Arial"/>
        </w:rPr>
        <w:t xml:space="preserve"> allocated and spent since the </w:t>
      </w:r>
      <w:r w:rsidR="007F7B5F">
        <w:rPr>
          <w:rFonts w:ascii="Arial" w:hAnsi="Arial" w:cs="Arial"/>
        </w:rPr>
        <w:t>implementation</w:t>
      </w:r>
      <w:r w:rsidRPr="00B22067">
        <w:rPr>
          <w:rFonts w:ascii="Arial" w:hAnsi="Arial" w:cs="Arial"/>
        </w:rPr>
        <w:t xml:space="preserve"> of CIL on the </w:t>
      </w:r>
      <w:r w:rsidR="007F7B5F">
        <w:rPr>
          <w:rFonts w:ascii="Arial" w:hAnsi="Arial" w:cs="Arial"/>
        </w:rPr>
        <w:t>1 February</w:t>
      </w:r>
      <w:r w:rsidRPr="00B22067">
        <w:rPr>
          <w:rFonts w:ascii="Arial" w:hAnsi="Arial" w:cs="Arial"/>
        </w:rPr>
        <w:t xml:space="preserve"> 2016.  It does not hold data for t</w:t>
      </w:r>
      <w:r w:rsidR="00D7234B">
        <w:rPr>
          <w:rFonts w:ascii="Arial" w:hAnsi="Arial" w:cs="Arial"/>
        </w:rPr>
        <w:t>h</w:t>
      </w:r>
      <w:r w:rsidR="007F7B5F">
        <w:rPr>
          <w:rFonts w:ascii="Arial" w:hAnsi="Arial" w:cs="Arial"/>
        </w:rPr>
        <w:t>e</w:t>
      </w:r>
      <w:r w:rsidR="00D7234B">
        <w:rPr>
          <w:rFonts w:ascii="Arial" w:hAnsi="Arial" w:cs="Arial"/>
        </w:rPr>
        <w:t xml:space="preserve"> part</w:t>
      </w:r>
      <w:r w:rsidR="007F7B5F">
        <w:rPr>
          <w:rFonts w:ascii="Arial" w:hAnsi="Arial" w:cs="Arial"/>
        </w:rPr>
        <w:t>s</w:t>
      </w:r>
      <w:r w:rsidR="00D7234B">
        <w:rPr>
          <w:rFonts w:ascii="Arial" w:hAnsi="Arial" w:cs="Arial"/>
        </w:rPr>
        <w:t xml:space="preserve"> of the district</w:t>
      </w:r>
      <w:r w:rsidRPr="00B22067">
        <w:rPr>
          <w:rFonts w:ascii="Arial" w:hAnsi="Arial" w:cs="Arial"/>
        </w:rPr>
        <w:t xml:space="preserve"> </w:t>
      </w:r>
      <w:r w:rsidR="007F7B5F">
        <w:rPr>
          <w:rFonts w:ascii="Arial" w:hAnsi="Arial" w:cs="Arial"/>
        </w:rPr>
        <w:t xml:space="preserve">which fall </w:t>
      </w:r>
      <w:r w:rsidRPr="00B22067">
        <w:rPr>
          <w:rFonts w:ascii="Arial" w:hAnsi="Arial" w:cs="Arial"/>
        </w:rPr>
        <w:t>within the South Downs National Park area as the</w:t>
      </w:r>
      <w:r w:rsidR="007F7B5F">
        <w:rPr>
          <w:rFonts w:ascii="Arial" w:hAnsi="Arial" w:cs="Arial"/>
        </w:rPr>
        <w:t xml:space="preserve"> National Park</w:t>
      </w:r>
      <w:r w:rsidRPr="00B22067">
        <w:rPr>
          <w:rFonts w:ascii="Arial" w:hAnsi="Arial" w:cs="Arial"/>
        </w:rPr>
        <w:t xml:space="preserve"> collect</w:t>
      </w:r>
      <w:r w:rsidR="007F7B5F">
        <w:rPr>
          <w:rFonts w:ascii="Arial" w:hAnsi="Arial" w:cs="Arial"/>
        </w:rPr>
        <w:t>s</w:t>
      </w:r>
      <w:r w:rsidRPr="00B22067">
        <w:rPr>
          <w:rFonts w:ascii="Arial" w:hAnsi="Arial" w:cs="Arial"/>
        </w:rPr>
        <w:t xml:space="preserve"> and spend</w:t>
      </w:r>
      <w:r w:rsidR="007F7B5F">
        <w:rPr>
          <w:rFonts w:ascii="Arial" w:hAnsi="Arial" w:cs="Arial"/>
        </w:rPr>
        <w:t>s</w:t>
      </w:r>
      <w:r w:rsidRPr="00B22067">
        <w:rPr>
          <w:rFonts w:ascii="Arial" w:hAnsi="Arial" w:cs="Arial"/>
        </w:rPr>
        <w:t xml:space="preserve"> </w:t>
      </w:r>
      <w:r w:rsidR="007F7B5F">
        <w:rPr>
          <w:rFonts w:ascii="Arial" w:hAnsi="Arial" w:cs="Arial"/>
        </w:rPr>
        <w:t>its</w:t>
      </w:r>
      <w:r w:rsidRPr="00B22067">
        <w:rPr>
          <w:rFonts w:ascii="Arial" w:hAnsi="Arial" w:cs="Arial"/>
        </w:rPr>
        <w:t xml:space="preserve"> own CIL</w:t>
      </w:r>
      <w:r w:rsidR="007F7B5F">
        <w:rPr>
          <w:rFonts w:ascii="Arial" w:hAnsi="Arial" w:cs="Arial"/>
        </w:rPr>
        <w:t>.</w:t>
      </w:r>
    </w:p>
    <w:p w:rsidR="0025139E" w:rsidRDefault="0025139E" w:rsidP="0025139E"/>
    <w:p w:rsidR="0025139E" w:rsidRPr="00B22067" w:rsidRDefault="0025139E" w:rsidP="004A4A7A">
      <w:pPr>
        <w:pStyle w:val="Heading2"/>
      </w:pPr>
      <w:r w:rsidRPr="00B22067">
        <w:t>Navigation</w:t>
      </w:r>
    </w:p>
    <w:p w:rsidR="0025139E" w:rsidRDefault="0025139E" w:rsidP="0025139E">
      <w:r>
        <w:rPr>
          <w:noProof/>
          <w:lang w:eastAsia="en-GB"/>
        </w:rPr>
        <w:drawing>
          <wp:inline distT="0" distB="0" distL="0" distR="0" wp14:anchorId="4C46A79D" wp14:editId="4D991B02">
            <wp:extent cx="5731510" cy="2337305"/>
            <wp:effectExtent l="0" t="0" r="2540" b="6350"/>
            <wp:docPr id="2" name="Picture 2" title="PFM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337305"/>
                    </a:xfrm>
                    <a:prstGeom prst="rect">
                      <a:avLst/>
                    </a:prstGeom>
                  </pic:spPr>
                </pic:pic>
              </a:graphicData>
            </a:graphic>
          </wp:inline>
        </w:drawing>
      </w:r>
    </w:p>
    <w:p w:rsidR="0025139E" w:rsidRPr="00126B27" w:rsidRDefault="0025139E" w:rsidP="0025139E">
      <w:pPr>
        <w:pStyle w:val="ListParagraph"/>
        <w:numPr>
          <w:ilvl w:val="0"/>
          <w:numId w:val="1"/>
        </w:numPr>
        <w:rPr>
          <w:rFonts w:ascii="Arial" w:hAnsi="Arial" w:cs="Arial"/>
        </w:rPr>
      </w:pPr>
      <w:r w:rsidRPr="00126B27">
        <w:rPr>
          <w:rFonts w:ascii="Arial" w:hAnsi="Arial" w:cs="Arial"/>
        </w:rPr>
        <w:t>From the Home page click on the CIL Tab and this will open up the CIL dashboard.</w:t>
      </w:r>
    </w:p>
    <w:p w:rsidR="0025139E" w:rsidRDefault="0025139E" w:rsidP="0025139E">
      <w:pPr>
        <w:pStyle w:val="ListParagraph"/>
      </w:pPr>
    </w:p>
    <w:p w:rsidR="0025139E" w:rsidRDefault="0025139E" w:rsidP="0025139E">
      <w:pPr>
        <w:pStyle w:val="ListParagraph"/>
        <w:ind w:left="0"/>
      </w:pPr>
      <w:r>
        <w:rPr>
          <w:noProof/>
          <w:lang w:eastAsia="en-GB"/>
        </w:rPr>
        <w:drawing>
          <wp:inline distT="0" distB="0" distL="0" distR="0" wp14:anchorId="05AE07ED" wp14:editId="0072CDAB">
            <wp:extent cx="5972175" cy="2381250"/>
            <wp:effectExtent l="0" t="0" r="9525" b="0"/>
            <wp:docPr id="3" name="Picture 3" title="CIL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73211" cy="2381663"/>
                    </a:xfrm>
                    <a:prstGeom prst="rect">
                      <a:avLst/>
                    </a:prstGeom>
                  </pic:spPr>
                </pic:pic>
              </a:graphicData>
            </a:graphic>
          </wp:inline>
        </w:drawing>
      </w:r>
    </w:p>
    <w:p w:rsidR="0025139E" w:rsidRDefault="0025139E" w:rsidP="0025139E">
      <w:pPr>
        <w:pStyle w:val="ListParagraph"/>
      </w:pPr>
    </w:p>
    <w:p w:rsidR="0025139E" w:rsidRPr="00B22067" w:rsidRDefault="0025139E" w:rsidP="0025139E">
      <w:pPr>
        <w:pStyle w:val="ListParagraph"/>
        <w:numPr>
          <w:ilvl w:val="0"/>
          <w:numId w:val="1"/>
        </w:numPr>
        <w:rPr>
          <w:rFonts w:ascii="Arial" w:hAnsi="Arial" w:cs="Arial"/>
        </w:rPr>
      </w:pPr>
      <w:r w:rsidRPr="00B22067">
        <w:rPr>
          <w:rFonts w:ascii="Arial" w:hAnsi="Arial" w:cs="Arial"/>
        </w:rPr>
        <w:t xml:space="preserve"> By default it will cover the data from the </w:t>
      </w:r>
      <w:r w:rsidR="007F7B5F">
        <w:rPr>
          <w:rFonts w:ascii="Arial" w:hAnsi="Arial" w:cs="Arial"/>
        </w:rPr>
        <w:t>implementation</w:t>
      </w:r>
      <w:r w:rsidRPr="00B22067">
        <w:rPr>
          <w:rFonts w:ascii="Arial" w:hAnsi="Arial" w:cs="Arial"/>
        </w:rPr>
        <w:t xml:space="preserve"> of CIL to date. Users can search on a specific period by clicking on the date boxes and amending the pop-up calendar as appropriate.</w:t>
      </w:r>
    </w:p>
    <w:p w:rsidR="0025139E" w:rsidRPr="00B22067" w:rsidRDefault="0025139E" w:rsidP="0025139E">
      <w:pPr>
        <w:pStyle w:val="ListParagraph"/>
        <w:numPr>
          <w:ilvl w:val="0"/>
          <w:numId w:val="1"/>
        </w:numPr>
        <w:rPr>
          <w:rFonts w:ascii="Arial" w:hAnsi="Arial" w:cs="Arial"/>
        </w:rPr>
      </w:pPr>
      <w:r w:rsidRPr="00B22067">
        <w:rPr>
          <w:rFonts w:ascii="Arial" w:hAnsi="Arial" w:cs="Arial"/>
        </w:rPr>
        <w:t>Hovering over any of the column headings will bring up a pop-up box that provides a definition for the heading.</w:t>
      </w:r>
    </w:p>
    <w:p w:rsidR="0025139E" w:rsidRDefault="0025139E" w:rsidP="0025139E">
      <w:pPr>
        <w:pStyle w:val="ListParagraph"/>
        <w:numPr>
          <w:ilvl w:val="0"/>
          <w:numId w:val="1"/>
        </w:numPr>
        <w:rPr>
          <w:rFonts w:ascii="Arial" w:hAnsi="Arial" w:cs="Arial"/>
        </w:rPr>
      </w:pPr>
      <w:r w:rsidRPr="00B22067">
        <w:rPr>
          <w:rFonts w:ascii="Arial" w:hAnsi="Arial" w:cs="Arial"/>
        </w:rPr>
        <w:t>The data can be filtered by W</w:t>
      </w:r>
      <w:r w:rsidR="00D7234B">
        <w:rPr>
          <w:rFonts w:ascii="Arial" w:hAnsi="Arial" w:cs="Arial"/>
        </w:rPr>
        <w:t xml:space="preserve">ard or Parish.  Click on the criteria you wish to use and </w:t>
      </w:r>
      <w:r w:rsidR="00EF3B81">
        <w:rPr>
          <w:rFonts w:ascii="Arial" w:hAnsi="Arial" w:cs="Arial"/>
        </w:rPr>
        <w:t>then</w:t>
      </w:r>
      <w:r w:rsidR="00F7733B" w:rsidRPr="00B22067">
        <w:rPr>
          <w:rFonts w:ascii="Arial" w:hAnsi="Arial" w:cs="Arial"/>
        </w:rPr>
        <w:t xml:space="preserve"> </w:t>
      </w:r>
      <w:r w:rsidRPr="00B22067">
        <w:rPr>
          <w:rFonts w:ascii="Arial" w:hAnsi="Arial" w:cs="Arial"/>
        </w:rPr>
        <w:t>se</w:t>
      </w:r>
      <w:r w:rsidR="00EF3B81">
        <w:rPr>
          <w:rFonts w:ascii="Arial" w:hAnsi="Arial" w:cs="Arial"/>
        </w:rPr>
        <w:t>lect from the drop down list</w:t>
      </w:r>
      <w:r w:rsidRPr="00B22067">
        <w:rPr>
          <w:rFonts w:ascii="Arial" w:hAnsi="Arial" w:cs="Arial"/>
        </w:rPr>
        <w:t xml:space="preserve"> in the box alongside.  (We do not recommend filtering by Zone or Town as CDC does not fully use this functionality).</w:t>
      </w:r>
    </w:p>
    <w:p w:rsidR="00CC73E7" w:rsidRPr="00B22067" w:rsidRDefault="00CC73E7" w:rsidP="0025139E">
      <w:pPr>
        <w:pStyle w:val="ListParagraph"/>
        <w:numPr>
          <w:ilvl w:val="0"/>
          <w:numId w:val="1"/>
        </w:numPr>
        <w:rPr>
          <w:rFonts w:ascii="Arial" w:hAnsi="Arial" w:cs="Arial"/>
        </w:rPr>
      </w:pPr>
      <w:r>
        <w:rPr>
          <w:rFonts w:ascii="Arial" w:hAnsi="Arial" w:cs="Arial"/>
        </w:rPr>
        <w:t xml:space="preserve">You can combine search criteria if you wish. For example, for the </w:t>
      </w:r>
      <w:r w:rsidR="000B3EA7">
        <w:rPr>
          <w:rFonts w:ascii="Arial" w:hAnsi="Arial" w:cs="Arial"/>
        </w:rPr>
        <w:t xml:space="preserve">data relating </w:t>
      </w:r>
      <w:r w:rsidR="0014122A">
        <w:rPr>
          <w:rFonts w:ascii="Arial" w:hAnsi="Arial" w:cs="Arial"/>
        </w:rPr>
        <w:t>to Chichester</w:t>
      </w:r>
      <w:r w:rsidR="0023663F">
        <w:rPr>
          <w:rFonts w:ascii="Arial" w:hAnsi="Arial" w:cs="Arial"/>
        </w:rPr>
        <w:t xml:space="preserve"> North &amp; Chichester South Wards then; Click Ward and select Chichester </w:t>
      </w:r>
      <w:r w:rsidR="0023663F">
        <w:rPr>
          <w:rFonts w:ascii="Arial" w:hAnsi="Arial" w:cs="Arial"/>
        </w:rPr>
        <w:lastRenderedPageBreak/>
        <w:t xml:space="preserve">North from the drop down list, then select Chichester South. A green filtering legend will appear above the table to show the criteria selected.  To remove the filters click the </w:t>
      </w:r>
      <w:r w:rsidR="0023663F">
        <w:rPr>
          <w:noProof/>
          <w:lang w:eastAsia="en-GB"/>
        </w:rPr>
        <w:drawing>
          <wp:inline distT="0" distB="0" distL="0" distR="0" wp14:anchorId="50CB04A9" wp14:editId="739702F4">
            <wp:extent cx="715993" cy="221674"/>
            <wp:effectExtent l="0" t="0" r="8255" b="6985"/>
            <wp:docPr id="24" name="Picture 24" title="Rese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18045" cy="222309"/>
                    </a:xfrm>
                    <a:prstGeom prst="rect">
                      <a:avLst/>
                    </a:prstGeom>
                  </pic:spPr>
                </pic:pic>
              </a:graphicData>
            </a:graphic>
          </wp:inline>
        </w:drawing>
      </w:r>
      <w:r w:rsidR="0023663F">
        <w:rPr>
          <w:rFonts w:ascii="Arial" w:hAnsi="Arial" w:cs="Arial"/>
        </w:rPr>
        <w:t>button</w:t>
      </w:r>
    </w:p>
    <w:p w:rsidR="0025139E" w:rsidRPr="00B22067" w:rsidRDefault="0025139E" w:rsidP="0025139E">
      <w:pPr>
        <w:pStyle w:val="ListParagraph"/>
        <w:numPr>
          <w:ilvl w:val="0"/>
          <w:numId w:val="1"/>
        </w:numPr>
        <w:rPr>
          <w:rFonts w:ascii="Arial" w:hAnsi="Arial" w:cs="Arial"/>
        </w:rPr>
      </w:pPr>
      <w:r w:rsidRPr="00B22067">
        <w:rPr>
          <w:rFonts w:ascii="Arial" w:hAnsi="Arial" w:cs="Arial"/>
        </w:rPr>
        <w:t xml:space="preserve">Clicking on most of the figures within the table will bring up a list, </w:t>
      </w:r>
      <w:r w:rsidR="0023663F">
        <w:rPr>
          <w:rFonts w:ascii="Arial" w:hAnsi="Arial" w:cs="Arial"/>
        </w:rPr>
        <w:t xml:space="preserve">displayed </w:t>
      </w:r>
      <w:r w:rsidR="00FD52EE" w:rsidRPr="00B22067">
        <w:rPr>
          <w:rFonts w:ascii="Arial" w:hAnsi="Arial" w:cs="Arial"/>
        </w:rPr>
        <w:t>below the</w:t>
      </w:r>
      <w:r w:rsidRPr="00B22067">
        <w:rPr>
          <w:rFonts w:ascii="Arial" w:hAnsi="Arial" w:cs="Arial"/>
        </w:rPr>
        <w:t xml:space="preserve"> table, showing the planning applications that make up the total. </w:t>
      </w:r>
      <w:r w:rsidR="00D7234B">
        <w:rPr>
          <w:rFonts w:ascii="Arial" w:hAnsi="Arial" w:cs="Arial"/>
        </w:rPr>
        <w:t xml:space="preserve">An example showing an extract of the </w:t>
      </w:r>
      <w:r w:rsidRPr="00B22067">
        <w:rPr>
          <w:rFonts w:ascii="Arial" w:hAnsi="Arial" w:cs="Arial"/>
        </w:rPr>
        <w:t>CIL 123 Sums due</w:t>
      </w:r>
      <w:r w:rsidR="00EF3B81">
        <w:rPr>
          <w:rFonts w:ascii="Arial" w:hAnsi="Arial" w:cs="Arial"/>
        </w:rPr>
        <w:t xml:space="preserve"> is shown below.</w:t>
      </w:r>
    </w:p>
    <w:p w:rsidR="0025139E" w:rsidRDefault="0025139E" w:rsidP="0025139E">
      <w:pPr>
        <w:pStyle w:val="ListParagraph"/>
      </w:pPr>
    </w:p>
    <w:p w:rsidR="0025139E" w:rsidRDefault="0025139E" w:rsidP="0025139E">
      <w:pPr>
        <w:pStyle w:val="ListParagraph"/>
        <w:ind w:left="-284" w:firstLine="862"/>
      </w:pPr>
      <w:r>
        <w:rPr>
          <w:noProof/>
          <w:lang w:eastAsia="en-GB"/>
        </w:rPr>
        <w:drawing>
          <wp:inline distT="0" distB="0" distL="0" distR="0" wp14:anchorId="4F48BFEF" wp14:editId="34F8111D">
            <wp:extent cx="5731510" cy="2964342"/>
            <wp:effectExtent l="0" t="0" r="2540" b="7620"/>
            <wp:docPr id="4" name="Picture 4" title="Table of search resu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964342"/>
                    </a:xfrm>
                    <a:prstGeom prst="rect">
                      <a:avLst/>
                    </a:prstGeom>
                  </pic:spPr>
                </pic:pic>
              </a:graphicData>
            </a:graphic>
          </wp:inline>
        </w:drawing>
      </w:r>
    </w:p>
    <w:p w:rsidR="0025139E" w:rsidRDefault="0025139E" w:rsidP="0025139E">
      <w:pPr>
        <w:pStyle w:val="ListParagraph"/>
        <w:ind w:left="-284" w:firstLine="862"/>
      </w:pPr>
    </w:p>
    <w:p w:rsidR="0025139E" w:rsidRPr="00B22067" w:rsidRDefault="0025139E" w:rsidP="0025139E">
      <w:pPr>
        <w:pStyle w:val="ListParagraph"/>
        <w:numPr>
          <w:ilvl w:val="0"/>
          <w:numId w:val="1"/>
        </w:numPr>
        <w:rPr>
          <w:rFonts w:ascii="Arial" w:hAnsi="Arial" w:cs="Arial"/>
        </w:rPr>
      </w:pPr>
      <w:r w:rsidRPr="00B22067">
        <w:rPr>
          <w:rFonts w:ascii="Arial" w:hAnsi="Arial" w:cs="Arial"/>
        </w:rPr>
        <w:t>Clicking on the App No and scrolling to the bottom of the list will provide the site address and a brief description of the development.</w:t>
      </w:r>
    </w:p>
    <w:p w:rsidR="0025139E" w:rsidRPr="00B22067" w:rsidRDefault="0025139E" w:rsidP="0025139E">
      <w:pPr>
        <w:pStyle w:val="ListParagraph"/>
        <w:numPr>
          <w:ilvl w:val="0"/>
          <w:numId w:val="1"/>
        </w:numPr>
        <w:rPr>
          <w:rFonts w:ascii="Arial" w:hAnsi="Arial" w:cs="Arial"/>
        </w:rPr>
      </w:pPr>
      <w:r w:rsidRPr="00B22067">
        <w:rPr>
          <w:rFonts w:ascii="Arial" w:hAnsi="Arial" w:cs="Arial"/>
        </w:rPr>
        <w:t xml:space="preserve">In the case of the Allocated and Spent Columns </w:t>
      </w:r>
      <w:r w:rsidR="0023663F">
        <w:rPr>
          <w:rFonts w:ascii="Arial" w:hAnsi="Arial" w:cs="Arial"/>
        </w:rPr>
        <w:t xml:space="preserve">then </w:t>
      </w:r>
      <w:r w:rsidRPr="00B22067">
        <w:rPr>
          <w:rFonts w:ascii="Arial" w:hAnsi="Arial" w:cs="Arial"/>
        </w:rPr>
        <w:t>clicking on these numbers will bring up a list of projects that the funds are allocated to</w:t>
      </w:r>
      <w:r w:rsidR="0023663F">
        <w:rPr>
          <w:rFonts w:ascii="Arial" w:hAnsi="Arial" w:cs="Arial"/>
        </w:rPr>
        <w:t>,</w:t>
      </w:r>
      <w:r w:rsidRPr="00B22067">
        <w:rPr>
          <w:rFonts w:ascii="Arial" w:hAnsi="Arial" w:cs="Arial"/>
        </w:rPr>
        <w:t xml:space="preserve"> or have been spent on.  Please see  an example extract below, in this case</w:t>
      </w:r>
      <w:r w:rsidR="0023663F">
        <w:rPr>
          <w:rFonts w:ascii="Arial" w:hAnsi="Arial" w:cs="Arial"/>
        </w:rPr>
        <w:t xml:space="preserve"> it is the </w:t>
      </w:r>
      <w:r w:rsidRPr="00B22067">
        <w:rPr>
          <w:rFonts w:ascii="Arial" w:hAnsi="Arial" w:cs="Arial"/>
        </w:rPr>
        <w:t xml:space="preserve"> CIL 12</w:t>
      </w:r>
      <w:r w:rsidR="00A639EE" w:rsidRPr="00B22067">
        <w:rPr>
          <w:rFonts w:ascii="Arial" w:hAnsi="Arial" w:cs="Arial"/>
        </w:rPr>
        <w:t>3</w:t>
      </w:r>
      <w:r w:rsidRPr="00B22067">
        <w:rPr>
          <w:rFonts w:ascii="Arial" w:hAnsi="Arial" w:cs="Arial"/>
        </w:rPr>
        <w:t xml:space="preserve"> </w:t>
      </w:r>
      <w:r w:rsidR="00A639EE" w:rsidRPr="00B22067">
        <w:rPr>
          <w:rFonts w:ascii="Arial" w:hAnsi="Arial" w:cs="Arial"/>
        </w:rPr>
        <w:t xml:space="preserve">List </w:t>
      </w:r>
      <w:r w:rsidRPr="00B22067">
        <w:rPr>
          <w:rFonts w:ascii="Arial" w:hAnsi="Arial" w:cs="Arial"/>
        </w:rPr>
        <w:t>Sums Allocated</w:t>
      </w:r>
    </w:p>
    <w:p w:rsidR="0025139E" w:rsidRDefault="0025139E" w:rsidP="0025139E">
      <w:pPr>
        <w:pStyle w:val="ListParagraph"/>
      </w:pPr>
    </w:p>
    <w:p w:rsidR="0025139E" w:rsidRDefault="0025139E" w:rsidP="0025139E">
      <w:pPr>
        <w:pStyle w:val="ListParagraph"/>
        <w:ind w:left="-142" w:firstLine="284"/>
      </w:pPr>
      <w:r>
        <w:rPr>
          <w:noProof/>
          <w:lang w:eastAsia="en-GB"/>
        </w:rPr>
        <w:drawing>
          <wp:inline distT="0" distB="0" distL="0" distR="0" wp14:anchorId="2BB549F2" wp14:editId="64E29C88">
            <wp:extent cx="6172994" cy="2981325"/>
            <wp:effectExtent l="0" t="0" r="0" b="0"/>
            <wp:docPr id="5" name="Picture 5"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79669" cy="2984549"/>
                    </a:xfrm>
                    <a:prstGeom prst="rect">
                      <a:avLst/>
                    </a:prstGeom>
                  </pic:spPr>
                </pic:pic>
              </a:graphicData>
            </a:graphic>
          </wp:inline>
        </w:drawing>
      </w:r>
    </w:p>
    <w:p w:rsidR="0025139E" w:rsidRPr="00B22067" w:rsidRDefault="0025139E" w:rsidP="0025139E">
      <w:pPr>
        <w:pStyle w:val="ListParagraph"/>
        <w:numPr>
          <w:ilvl w:val="0"/>
          <w:numId w:val="1"/>
        </w:numPr>
        <w:rPr>
          <w:rFonts w:ascii="Arial" w:hAnsi="Arial" w:cs="Arial"/>
        </w:rPr>
      </w:pPr>
      <w:r w:rsidRPr="00B22067">
        <w:rPr>
          <w:rFonts w:ascii="Arial" w:hAnsi="Arial" w:cs="Arial"/>
        </w:rPr>
        <w:lastRenderedPageBreak/>
        <w:t>Clicking on a project number and scrolling to the bottom of this list will bring up the project name and IBP reference number. Further details of the project are available in the Infrastructure Business Plans published on the CDC website and there is a link to the relevant page on the PFM home page.</w:t>
      </w:r>
    </w:p>
    <w:p w:rsidR="0025139E" w:rsidRPr="00B22067" w:rsidRDefault="0025139E" w:rsidP="004A4A7A">
      <w:pPr>
        <w:pStyle w:val="Heading2"/>
      </w:pPr>
      <w:r w:rsidRPr="00B22067">
        <w:t>Important Information</w:t>
      </w:r>
    </w:p>
    <w:p w:rsidR="0025139E" w:rsidRPr="00B22067" w:rsidRDefault="0025139E" w:rsidP="0025139E">
      <w:pPr>
        <w:pStyle w:val="ListParagraph"/>
        <w:numPr>
          <w:ilvl w:val="0"/>
          <w:numId w:val="2"/>
        </w:numPr>
        <w:rPr>
          <w:rFonts w:ascii="Arial" w:hAnsi="Arial" w:cs="Arial"/>
        </w:rPr>
      </w:pPr>
      <w:r w:rsidRPr="00B22067">
        <w:rPr>
          <w:rFonts w:ascii="Arial" w:hAnsi="Arial" w:cs="Arial"/>
        </w:rPr>
        <w:t xml:space="preserve">A Liability for CIL arises when a chargeable development is granted planning permission. At this stage a Liability Notice is issued and the amount due will appear in the </w:t>
      </w:r>
      <w:r w:rsidRPr="00B22067">
        <w:rPr>
          <w:rFonts w:ascii="Arial" w:hAnsi="Arial" w:cs="Arial"/>
          <w:b/>
        </w:rPr>
        <w:t xml:space="preserve">Potential </w:t>
      </w:r>
      <w:r w:rsidRPr="00B22067">
        <w:rPr>
          <w:rFonts w:ascii="Arial" w:hAnsi="Arial" w:cs="Arial"/>
        </w:rPr>
        <w:t>column. Some caution needs to be exercised when interpreting the figures in this column as not al</w:t>
      </w:r>
      <w:r w:rsidR="00A37C34" w:rsidRPr="00B22067">
        <w:rPr>
          <w:rFonts w:ascii="Arial" w:hAnsi="Arial" w:cs="Arial"/>
        </w:rPr>
        <w:t xml:space="preserve">l permissions will be built out </w:t>
      </w:r>
      <w:r w:rsidRPr="00B22067">
        <w:rPr>
          <w:rFonts w:ascii="Arial" w:hAnsi="Arial" w:cs="Arial"/>
        </w:rPr>
        <w:t>and therefore not all of these monies will be paid.</w:t>
      </w:r>
    </w:p>
    <w:p w:rsidR="0025139E" w:rsidRPr="00B22067" w:rsidRDefault="0025139E" w:rsidP="0025139E">
      <w:pPr>
        <w:pStyle w:val="ListParagraph"/>
        <w:numPr>
          <w:ilvl w:val="0"/>
          <w:numId w:val="2"/>
        </w:numPr>
        <w:rPr>
          <w:rFonts w:ascii="Arial" w:hAnsi="Arial" w:cs="Arial"/>
        </w:rPr>
      </w:pPr>
      <w:r w:rsidRPr="00B22067">
        <w:rPr>
          <w:rFonts w:ascii="Arial" w:hAnsi="Arial" w:cs="Arial"/>
        </w:rPr>
        <w:t xml:space="preserve">CIL is payable upon commencement of a </w:t>
      </w:r>
      <w:r w:rsidR="00FD52EE" w:rsidRPr="00B22067">
        <w:rPr>
          <w:rFonts w:ascii="Arial" w:hAnsi="Arial" w:cs="Arial"/>
        </w:rPr>
        <w:t>development in</w:t>
      </w:r>
      <w:r w:rsidRPr="00B22067">
        <w:rPr>
          <w:rFonts w:ascii="Arial" w:hAnsi="Arial" w:cs="Arial"/>
        </w:rPr>
        <w:t xml:space="preserve"> accordance with the Council’s instalment policy. Upon notice of commencement</w:t>
      </w:r>
      <w:r w:rsidR="009529FF" w:rsidRPr="00B22067">
        <w:rPr>
          <w:rFonts w:ascii="Arial" w:hAnsi="Arial" w:cs="Arial"/>
        </w:rPr>
        <w:t>,</w:t>
      </w:r>
      <w:r w:rsidRPr="00B22067">
        <w:rPr>
          <w:rFonts w:ascii="Arial" w:hAnsi="Arial" w:cs="Arial"/>
        </w:rPr>
        <w:t xml:space="preserve"> a Demand Notice is issued and the amount due moves from the potential Column to the </w:t>
      </w:r>
      <w:r w:rsidRPr="00B22067">
        <w:rPr>
          <w:rFonts w:ascii="Arial" w:hAnsi="Arial" w:cs="Arial"/>
          <w:b/>
        </w:rPr>
        <w:t>Due</w:t>
      </w:r>
      <w:r w:rsidRPr="00B22067">
        <w:rPr>
          <w:rFonts w:ascii="Arial" w:hAnsi="Arial" w:cs="Arial"/>
        </w:rPr>
        <w:t xml:space="preserve"> column.  When the monies are paid it moves to the </w:t>
      </w:r>
      <w:proofErr w:type="gramStart"/>
      <w:r w:rsidRPr="00B22067">
        <w:rPr>
          <w:rFonts w:ascii="Arial" w:hAnsi="Arial" w:cs="Arial"/>
          <w:b/>
        </w:rPr>
        <w:t>Collected</w:t>
      </w:r>
      <w:proofErr w:type="gramEnd"/>
      <w:r w:rsidRPr="00B22067">
        <w:rPr>
          <w:rFonts w:ascii="Arial" w:hAnsi="Arial" w:cs="Arial"/>
        </w:rPr>
        <w:t xml:space="preserve"> column</w:t>
      </w:r>
      <w:r w:rsidR="009529FF" w:rsidRPr="00B22067">
        <w:rPr>
          <w:rFonts w:ascii="Arial" w:hAnsi="Arial" w:cs="Arial"/>
        </w:rPr>
        <w:t>.</w:t>
      </w:r>
    </w:p>
    <w:p w:rsidR="0025139E" w:rsidRPr="00B22067" w:rsidRDefault="0025139E" w:rsidP="0025139E">
      <w:pPr>
        <w:pStyle w:val="ListParagraph"/>
        <w:numPr>
          <w:ilvl w:val="0"/>
          <w:numId w:val="2"/>
        </w:numPr>
        <w:rPr>
          <w:rFonts w:ascii="Arial" w:hAnsi="Arial" w:cs="Arial"/>
        </w:rPr>
      </w:pPr>
      <w:r w:rsidRPr="00B22067">
        <w:rPr>
          <w:rFonts w:ascii="Arial" w:hAnsi="Arial" w:cs="Arial"/>
        </w:rPr>
        <w:t xml:space="preserve">The CIL regulations allow for up to 5% of the liability to be used to cover the CIL administration costs with any surplus being spent on infrastructure projects. This is shown on the </w:t>
      </w:r>
      <w:r w:rsidRPr="00B22067">
        <w:rPr>
          <w:rFonts w:ascii="Arial" w:hAnsi="Arial" w:cs="Arial"/>
          <w:b/>
        </w:rPr>
        <w:t>CIL Admin</w:t>
      </w:r>
      <w:r w:rsidRPr="00B22067">
        <w:rPr>
          <w:rFonts w:ascii="Arial" w:hAnsi="Arial" w:cs="Arial"/>
        </w:rPr>
        <w:t xml:space="preserve"> row.</w:t>
      </w:r>
    </w:p>
    <w:p w:rsidR="0025139E" w:rsidRPr="00B22067" w:rsidRDefault="0025139E" w:rsidP="0025139E">
      <w:pPr>
        <w:pStyle w:val="ListParagraph"/>
        <w:numPr>
          <w:ilvl w:val="0"/>
          <w:numId w:val="2"/>
        </w:numPr>
        <w:rPr>
          <w:rFonts w:ascii="Arial" w:hAnsi="Arial" w:cs="Arial"/>
        </w:rPr>
      </w:pPr>
      <w:r w:rsidRPr="00B22067">
        <w:rPr>
          <w:rFonts w:ascii="Arial" w:hAnsi="Arial" w:cs="Arial"/>
        </w:rPr>
        <w:t xml:space="preserve">The CIL regulations require some monies to be handed over to Local Councils (Parish, Town or City as appropriate). This is 25% for those Councils that have a Neighbourhood </w:t>
      </w:r>
      <w:r w:rsidR="009529FF" w:rsidRPr="00B22067">
        <w:rPr>
          <w:rFonts w:ascii="Arial" w:hAnsi="Arial" w:cs="Arial"/>
        </w:rPr>
        <w:t>P</w:t>
      </w:r>
      <w:r w:rsidRPr="00B22067">
        <w:rPr>
          <w:rFonts w:ascii="Arial" w:hAnsi="Arial" w:cs="Arial"/>
        </w:rPr>
        <w:t>lan or 15% for those</w:t>
      </w:r>
      <w:r w:rsidR="009529FF" w:rsidRPr="00B22067">
        <w:rPr>
          <w:rFonts w:ascii="Arial" w:hAnsi="Arial" w:cs="Arial"/>
        </w:rPr>
        <w:t xml:space="preserve"> </w:t>
      </w:r>
      <w:r w:rsidRPr="00B22067">
        <w:rPr>
          <w:rFonts w:ascii="Arial" w:hAnsi="Arial" w:cs="Arial"/>
        </w:rPr>
        <w:t>that do</w:t>
      </w:r>
      <w:r w:rsidR="009529FF" w:rsidRPr="00B22067">
        <w:rPr>
          <w:rFonts w:ascii="Arial" w:hAnsi="Arial" w:cs="Arial"/>
        </w:rPr>
        <w:t xml:space="preserve"> not.  </w:t>
      </w:r>
      <w:r w:rsidRPr="00B22067">
        <w:rPr>
          <w:rFonts w:ascii="Arial" w:hAnsi="Arial" w:cs="Arial"/>
        </w:rPr>
        <w:t>(This 15% is capped on an annual basis dependant on the Council Tax properties within the locality</w:t>
      </w:r>
      <w:r w:rsidR="00437641" w:rsidRPr="00B22067">
        <w:rPr>
          <w:rFonts w:ascii="Arial" w:hAnsi="Arial" w:cs="Arial"/>
        </w:rPr>
        <w:t>.</w:t>
      </w:r>
      <w:r w:rsidRPr="00B22067">
        <w:rPr>
          <w:rFonts w:ascii="Arial" w:hAnsi="Arial" w:cs="Arial"/>
        </w:rPr>
        <w:t>)</w:t>
      </w:r>
      <w:r w:rsidR="00437641" w:rsidRPr="00B22067">
        <w:rPr>
          <w:rFonts w:ascii="Arial" w:hAnsi="Arial" w:cs="Arial"/>
        </w:rPr>
        <w:t xml:space="preserve">  </w:t>
      </w:r>
      <w:r w:rsidRPr="00B22067">
        <w:rPr>
          <w:rFonts w:ascii="Arial" w:hAnsi="Arial" w:cs="Arial"/>
        </w:rPr>
        <w:t xml:space="preserve">The amounts due to Local Councils are shown on the </w:t>
      </w:r>
      <w:r w:rsidRPr="00B22067">
        <w:rPr>
          <w:rFonts w:ascii="Arial" w:hAnsi="Arial" w:cs="Arial"/>
          <w:b/>
        </w:rPr>
        <w:t>Neighbourhood</w:t>
      </w:r>
      <w:r w:rsidRPr="00B22067">
        <w:rPr>
          <w:rFonts w:ascii="Arial" w:hAnsi="Arial" w:cs="Arial"/>
        </w:rPr>
        <w:t xml:space="preserve"> </w:t>
      </w:r>
      <w:r w:rsidRPr="00B22067">
        <w:rPr>
          <w:rFonts w:ascii="Arial" w:hAnsi="Arial" w:cs="Arial"/>
          <w:b/>
        </w:rPr>
        <w:t>CIL</w:t>
      </w:r>
      <w:r w:rsidRPr="00B22067">
        <w:rPr>
          <w:rFonts w:ascii="Arial" w:hAnsi="Arial" w:cs="Arial"/>
        </w:rPr>
        <w:t xml:space="preserve"> row.</w:t>
      </w:r>
    </w:p>
    <w:p w:rsidR="0025139E" w:rsidRPr="00B22067" w:rsidRDefault="0025139E" w:rsidP="0025139E">
      <w:pPr>
        <w:pStyle w:val="ListParagraph"/>
        <w:numPr>
          <w:ilvl w:val="0"/>
          <w:numId w:val="2"/>
        </w:numPr>
        <w:rPr>
          <w:rFonts w:ascii="Arial" w:hAnsi="Arial" w:cs="Arial"/>
        </w:rPr>
      </w:pPr>
      <w:r w:rsidRPr="00B22067">
        <w:rPr>
          <w:rFonts w:ascii="Arial" w:hAnsi="Arial" w:cs="Arial"/>
        </w:rPr>
        <w:t xml:space="preserve">In the case of </w:t>
      </w:r>
      <w:r w:rsidRPr="00B22067">
        <w:rPr>
          <w:rFonts w:ascii="Arial" w:hAnsi="Arial" w:cs="Arial"/>
          <w:b/>
        </w:rPr>
        <w:t>Neighbourhood CIL</w:t>
      </w:r>
      <w:r w:rsidR="007974D7" w:rsidRPr="00B22067">
        <w:rPr>
          <w:rFonts w:ascii="Arial" w:hAnsi="Arial" w:cs="Arial"/>
          <w:b/>
        </w:rPr>
        <w:t>,</w:t>
      </w:r>
      <w:r w:rsidRPr="00B22067">
        <w:rPr>
          <w:rFonts w:ascii="Arial" w:hAnsi="Arial" w:cs="Arial"/>
        </w:rPr>
        <w:t xml:space="preserve"> the amount </w:t>
      </w:r>
      <w:r w:rsidRPr="00B22067">
        <w:rPr>
          <w:rFonts w:ascii="Arial" w:hAnsi="Arial" w:cs="Arial"/>
          <w:b/>
        </w:rPr>
        <w:t>Allocated</w:t>
      </w:r>
      <w:r w:rsidRPr="00B22067">
        <w:rPr>
          <w:rFonts w:ascii="Arial" w:hAnsi="Arial" w:cs="Arial"/>
        </w:rPr>
        <w:t xml:space="preserve"> has been passed to the relevant </w:t>
      </w:r>
      <w:r w:rsidR="002E16FE" w:rsidRPr="00B22067">
        <w:rPr>
          <w:rFonts w:ascii="Arial" w:hAnsi="Arial" w:cs="Arial"/>
        </w:rPr>
        <w:t>L</w:t>
      </w:r>
      <w:r w:rsidRPr="00B22067">
        <w:rPr>
          <w:rFonts w:ascii="Arial" w:hAnsi="Arial" w:cs="Arial"/>
        </w:rPr>
        <w:t xml:space="preserve">ocal </w:t>
      </w:r>
      <w:r w:rsidR="002E16FE" w:rsidRPr="00B22067">
        <w:rPr>
          <w:rFonts w:ascii="Arial" w:hAnsi="Arial" w:cs="Arial"/>
        </w:rPr>
        <w:t>C</w:t>
      </w:r>
      <w:r w:rsidRPr="00B22067">
        <w:rPr>
          <w:rFonts w:ascii="Arial" w:hAnsi="Arial" w:cs="Arial"/>
        </w:rPr>
        <w:t xml:space="preserve">ouncil by CDC for them to spend.  These monies are handed over in April and October.  The amount </w:t>
      </w:r>
      <w:r w:rsidRPr="00B22067">
        <w:rPr>
          <w:rFonts w:ascii="Arial" w:hAnsi="Arial" w:cs="Arial"/>
          <w:b/>
        </w:rPr>
        <w:t>Spent</w:t>
      </w:r>
      <w:r w:rsidRPr="00B22067">
        <w:rPr>
          <w:rFonts w:ascii="Arial" w:hAnsi="Arial" w:cs="Arial"/>
        </w:rPr>
        <w:t xml:space="preserve"> by the </w:t>
      </w:r>
      <w:r w:rsidR="000264A5">
        <w:rPr>
          <w:rFonts w:ascii="Arial" w:hAnsi="Arial" w:cs="Arial"/>
        </w:rPr>
        <w:t>Local Council</w:t>
      </w:r>
      <w:r w:rsidRPr="00B22067">
        <w:rPr>
          <w:rFonts w:ascii="Arial" w:hAnsi="Arial" w:cs="Arial"/>
        </w:rPr>
        <w:t xml:space="preserve"> is updated annually. On this site</w:t>
      </w:r>
      <w:r w:rsidR="00C304EC" w:rsidRPr="00B22067">
        <w:rPr>
          <w:rFonts w:ascii="Arial" w:hAnsi="Arial" w:cs="Arial"/>
        </w:rPr>
        <w:t>,</w:t>
      </w:r>
      <w:r w:rsidRPr="00B22067">
        <w:rPr>
          <w:rFonts w:ascii="Arial" w:hAnsi="Arial" w:cs="Arial"/>
        </w:rPr>
        <w:t xml:space="preserve"> CDC only publishes the amount spent and not details of any individual projects. This information can be found with the Annual Monitoring Report </w:t>
      </w:r>
      <w:r w:rsidR="00EF3B81">
        <w:rPr>
          <w:rFonts w:ascii="Arial" w:hAnsi="Arial" w:cs="Arial"/>
        </w:rPr>
        <w:t>that</w:t>
      </w:r>
      <w:r w:rsidR="00C304EC" w:rsidRPr="00B22067">
        <w:rPr>
          <w:rFonts w:ascii="Arial" w:hAnsi="Arial" w:cs="Arial"/>
        </w:rPr>
        <w:t xml:space="preserve"> is </w:t>
      </w:r>
      <w:r w:rsidRPr="00B22067">
        <w:rPr>
          <w:rFonts w:ascii="Arial" w:hAnsi="Arial" w:cs="Arial"/>
        </w:rPr>
        <w:t xml:space="preserve">produced annually by each </w:t>
      </w:r>
      <w:r w:rsidR="000264A5">
        <w:rPr>
          <w:rFonts w:ascii="Arial" w:hAnsi="Arial" w:cs="Arial"/>
        </w:rPr>
        <w:t>Local Council</w:t>
      </w:r>
      <w:r w:rsidR="000264A5" w:rsidRPr="00B22067">
        <w:rPr>
          <w:rFonts w:ascii="Arial" w:hAnsi="Arial" w:cs="Arial"/>
        </w:rPr>
        <w:t xml:space="preserve"> </w:t>
      </w:r>
      <w:r w:rsidRPr="00B22067">
        <w:rPr>
          <w:rFonts w:ascii="Arial" w:hAnsi="Arial" w:cs="Arial"/>
        </w:rPr>
        <w:t>that has received CIL</w:t>
      </w:r>
      <w:r w:rsidR="00C304EC" w:rsidRPr="00B22067">
        <w:rPr>
          <w:rFonts w:ascii="Arial" w:hAnsi="Arial" w:cs="Arial"/>
        </w:rPr>
        <w:t>.  This information</w:t>
      </w:r>
      <w:r w:rsidRPr="00B22067">
        <w:rPr>
          <w:rFonts w:ascii="Arial" w:hAnsi="Arial" w:cs="Arial"/>
        </w:rPr>
        <w:t xml:space="preserve"> </w:t>
      </w:r>
      <w:r w:rsidR="00C304EC" w:rsidRPr="00B22067">
        <w:rPr>
          <w:rFonts w:ascii="Arial" w:hAnsi="Arial" w:cs="Arial"/>
        </w:rPr>
        <w:t xml:space="preserve">is </w:t>
      </w:r>
      <w:r w:rsidRPr="00B22067">
        <w:rPr>
          <w:rFonts w:ascii="Arial" w:hAnsi="Arial" w:cs="Arial"/>
        </w:rPr>
        <w:t>published on their website</w:t>
      </w:r>
      <w:r w:rsidR="00C304EC" w:rsidRPr="00B22067">
        <w:rPr>
          <w:rFonts w:ascii="Arial" w:hAnsi="Arial" w:cs="Arial"/>
        </w:rPr>
        <w:t xml:space="preserve"> and a</w:t>
      </w:r>
      <w:r w:rsidRPr="00B22067">
        <w:rPr>
          <w:rFonts w:ascii="Arial" w:hAnsi="Arial" w:cs="Arial"/>
        </w:rPr>
        <w:t xml:space="preserve"> copy is also available on the CDC website</w:t>
      </w:r>
      <w:r w:rsidR="00C304EC" w:rsidRPr="00B22067">
        <w:rPr>
          <w:rFonts w:ascii="Arial" w:hAnsi="Arial" w:cs="Arial"/>
        </w:rPr>
        <w:t xml:space="preserve">. A </w:t>
      </w:r>
      <w:r w:rsidRPr="00B22067">
        <w:rPr>
          <w:rFonts w:ascii="Arial" w:hAnsi="Arial" w:cs="Arial"/>
        </w:rPr>
        <w:t xml:space="preserve">link </w:t>
      </w:r>
      <w:r w:rsidR="00C304EC" w:rsidRPr="00B22067">
        <w:rPr>
          <w:rFonts w:ascii="Arial" w:hAnsi="Arial" w:cs="Arial"/>
        </w:rPr>
        <w:t xml:space="preserve">to </w:t>
      </w:r>
      <w:r w:rsidR="00EF3B81">
        <w:rPr>
          <w:rFonts w:ascii="Arial" w:hAnsi="Arial" w:cs="Arial"/>
        </w:rPr>
        <w:t xml:space="preserve">the website AMR page </w:t>
      </w:r>
      <w:r w:rsidR="00C304EC" w:rsidRPr="00B22067">
        <w:rPr>
          <w:rFonts w:ascii="Arial" w:hAnsi="Arial" w:cs="Arial"/>
        </w:rPr>
        <w:t xml:space="preserve">is </w:t>
      </w:r>
      <w:r w:rsidRPr="00B22067">
        <w:rPr>
          <w:rFonts w:ascii="Arial" w:hAnsi="Arial" w:cs="Arial"/>
        </w:rPr>
        <w:t>on the PFM home page.</w:t>
      </w:r>
    </w:p>
    <w:p w:rsidR="002977ED" w:rsidRDefault="002977ED" w:rsidP="00126B27">
      <w:pPr>
        <w:pStyle w:val="Heading1"/>
      </w:pPr>
    </w:p>
    <w:p w:rsidR="0025139E" w:rsidRPr="00B22067" w:rsidRDefault="0023663F" w:rsidP="00126B27">
      <w:pPr>
        <w:pStyle w:val="Heading1"/>
      </w:pPr>
      <w:r>
        <w:t>S</w:t>
      </w:r>
      <w:r w:rsidR="0025139E" w:rsidRPr="00B22067">
        <w:t>106 section</w:t>
      </w:r>
    </w:p>
    <w:p w:rsidR="0025139E" w:rsidRPr="00B22067" w:rsidRDefault="0025139E" w:rsidP="0025139E">
      <w:pPr>
        <w:rPr>
          <w:rFonts w:ascii="Arial" w:hAnsi="Arial" w:cs="Arial"/>
        </w:rPr>
      </w:pPr>
      <w:r w:rsidRPr="00B22067">
        <w:rPr>
          <w:rFonts w:ascii="Arial" w:hAnsi="Arial" w:cs="Arial"/>
        </w:rPr>
        <w:t>The site holds data on S106 Financial Obligations, Non-Financial Obligations and Affordable Housing secured by S106 agreements. It covers all deeds signed since 1 April 2017</w:t>
      </w:r>
      <w:r w:rsidR="007974D7" w:rsidRPr="00B22067">
        <w:rPr>
          <w:rFonts w:ascii="Arial" w:hAnsi="Arial" w:cs="Arial"/>
        </w:rPr>
        <w:t>,</w:t>
      </w:r>
      <w:r w:rsidRPr="00B22067">
        <w:rPr>
          <w:rFonts w:ascii="Arial" w:hAnsi="Arial" w:cs="Arial"/>
        </w:rPr>
        <w:t xml:space="preserve"> together with earlier deeds where, </w:t>
      </w:r>
      <w:r w:rsidR="00FD52EE" w:rsidRPr="00B22067">
        <w:rPr>
          <w:rFonts w:ascii="Arial" w:hAnsi="Arial" w:cs="Arial"/>
        </w:rPr>
        <w:t>as at</w:t>
      </w:r>
      <w:r w:rsidRPr="00B22067">
        <w:rPr>
          <w:rFonts w:ascii="Arial" w:hAnsi="Arial" w:cs="Arial"/>
        </w:rPr>
        <w:t xml:space="preserve"> that date either;</w:t>
      </w:r>
    </w:p>
    <w:p w:rsidR="0025139E" w:rsidRPr="00B22067" w:rsidRDefault="0025139E" w:rsidP="0025139E">
      <w:pPr>
        <w:pStyle w:val="ListParagraph"/>
        <w:numPr>
          <w:ilvl w:val="0"/>
          <w:numId w:val="10"/>
        </w:numPr>
        <w:rPr>
          <w:rFonts w:ascii="Arial" w:hAnsi="Arial" w:cs="Arial"/>
        </w:rPr>
      </w:pPr>
      <w:r w:rsidRPr="00B22067">
        <w:rPr>
          <w:rFonts w:ascii="Arial" w:hAnsi="Arial" w:cs="Arial"/>
        </w:rPr>
        <w:t>Triggers had not fallen due or been met, or</w:t>
      </w:r>
    </w:p>
    <w:p w:rsidR="0025139E" w:rsidRPr="00B22067" w:rsidRDefault="0025139E" w:rsidP="0025139E">
      <w:pPr>
        <w:pStyle w:val="ListParagraph"/>
        <w:numPr>
          <w:ilvl w:val="0"/>
          <w:numId w:val="10"/>
        </w:numPr>
        <w:rPr>
          <w:rFonts w:ascii="Arial" w:hAnsi="Arial" w:cs="Arial"/>
        </w:rPr>
      </w:pPr>
      <w:r w:rsidRPr="00B22067">
        <w:rPr>
          <w:rFonts w:ascii="Arial" w:hAnsi="Arial" w:cs="Arial"/>
        </w:rPr>
        <w:t>Chichester District Council held unspent funds</w:t>
      </w:r>
    </w:p>
    <w:p w:rsidR="0025139E" w:rsidRPr="00B22067" w:rsidRDefault="0025139E" w:rsidP="00126B27">
      <w:pPr>
        <w:pStyle w:val="Heading2"/>
      </w:pPr>
      <w:r w:rsidRPr="00B22067">
        <w:t>Important Notes</w:t>
      </w:r>
    </w:p>
    <w:p w:rsidR="0025139E" w:rsidRPr="00B22067" w:rsidRDefault="0025139E" w:rsidP="0025139E">
      <w:pPr>
        <w:pStyle w:val="ListParagraph"/>
        <w:numPr>
          <w:ilvl w:val="0"/>
          <w:numId w:val="11"/>
        </w:numPr>
        <w:rPr>
          <w:rFonts w:ascii="Arial" w:hAnsi="Arial" w:cs="Arial"/>
        </w:rPr>
      </w:pPr>
      <w:r w:rsidRPr="00B22067">
        <w:rPr>
          <w:rFonts w:ascii="Arial" w:hAnsi="Arial" w:cs="Arial"/>
        </w:rPr>
        <w:t>Chichester District Council does not monitor obligations to West Sussex County Council in these deeds and you will need to make enquires direct</w:t>
      </w:r>
      <w:r w:rsidR="007974D7" w:rsidRPr="00B22067">
        <w:rPr>
          <w:rFonts w:ascii="Arial" w:hAnsi="Arial" w:cs="Arial"/>
        </w:rPr>
        <w:t>ly to WSCC</w:t>
      </w:r>
      <w:r w:rsidRPr="00B22067">
        <w:rPr>
          <w:rFonts w:ascii="Arial" w:hAnsi="Arial" w:cs="Arial"/>
        </w:rPr>
        <w:t xml:space="preserve"> for information.</w:t>
      </w:r>
    </w:p>
    <w:p w:rsidR="0025139E" w:rsidRPr="00B22067" w:rsidRDefault="0025139E" w:rsidP="0025139E">
      <w:pPr>
        <w:pStyle w:val="ListParagraph"/>
        <w:numPr>
          <w:ilvl w:val="0"/>
          <w:numId w:val="11"/>
        </w:numPr>
        <w:rPr>
          <w:rFonts w:ascii="Arial" w:hAnsi="Arial" w:cs="Arial"/>
        </w:rPr>
      </w:pPr>
      <w:r w:rsidRPr="00B22067">
        <w:rPr>
          <w:rFonts w:ascii="Arial" w:hAnsi="Arial" w:cs="Arial"/>
        </w:rPr>
        <w:lastRenderedPageBreak/>
        <w:t>Th</w:t>
      </w:r>
      <w:r w:rsidR="00AA07BE">
        <w:rPr>
          <w:rFonts w:ascii="Arial" w:hAnsi="Arial" w:cs="Arial"/>
        </w:rPr>
        <w:t xml:space="preserve">is database does not contain any </w:t>
      </w:r>
      <w:r w:rsidRPr="00B22067">
        <w:rPr>
          <w:rFonts w:ascii="Arial" w:hAnsi="Arial" w:cs="Arial"/>
        </w:rPr>
        <w:t>information for deeds signed after 1 April 2011 for areas of the district within the South Downs National Park. You will need to enquire direct</w:t>
      </w:r>
      <w:r w:rsidR="007974D7" w:rsidRPr="00B22067">
        <w:rPr>
          <w:rFonts w:ascii="Arial" w:hAnsi="Arial" w:cs="Arial"/>
        </w:rPr>
        <w:t>ly to the S</w:t>
      </w:r>
      <w:r w:rsidR="00AA07BE">
        <w:rPr>
          <w:rFonts w:ascii="Arial" w:hAnsi="Arial" w:cs="Arial"/>
        </w:rPr>
        <w:t xml:space="preserve">outh </w:t>
      </w:r>
      <w:r w:rsidR="007974D7" w:rsidRPr="00B22067">
        <w:rPr>
          <w:rFonts w:ascii="Arial" w:hAnsi="Arial" w:cs="Arial"/>
        </w:rPr>
        <w:t>D</w:t>
      </w:r>
      <w:r w:rsidR="00AA07BE">
        <w:rPr>
          <w:rFonts w:ascii="Arial" w:hAnsi="Arial" w:cs="Arial"/>
        </w:rPr>
        <w:t xml:space="preserve">owns </w:t>
      </w:r>
      <w:r w:rsidR="007974D7" w:rsidRPr="00B22067">
        <w:rPr>
          <w:rFonts w:ascii="Arial" w:hAnsi="Arial" w:cs="Arial"/>
        </w:rPr>
        <w:t>N</w:t>
      </w:r>
      <w:r w:rsidR="00AA07BE">
        <w:rPr>
          <w:rFonts w:ascii="Arial" w:hAnsi="Arial" w:cs="Arial"/>
        </w:rPr>
        <w:t xml:space="preserve">ational </w:t>
      </w:r>
      <w:r w:rsidR="007974D7" w:rsidRPr="00B22067">
        <w:rPr>
          <w:rFonts w:ascii="Arial" w:hAnsi="Arial" w:cs="Arial"/>
        </w:rPr>
        <w:t>P</w:t>
      </w:r>
      <w:r w:rsidR="00AA07BE">
        <w:rPr>
          <w:rFonts w:ascii="Arial" w:hAnsi="Arial" w:cs="Arial"/>
        </w:rPr>
        <w:t xml:space="preserve">ark </w:t>
      </w:r>
      <w:r w:rsidR="007974D7" w:rsidRPr="00B22067">
        <w:rPr>
          <w:rFonts w:ascii="Arial" w:hAnsi="Arial" w:cs="Arial"/>
        </w:rPr>
        <w:t>A</w:t>
      </w:r>
      <w:r w:rsidR="00AA07BE">
        <w:rPr>
          <w:rFonts w:ascii="Arial" w:hAnsi="Arial" w:cs="Arial"/>
        </w:rPr>
        <w:t>uthority</w:t>
      </w:r>
      <w:r w:rsidRPr="00B22067">
        <w:rPr>
          <w:rFonts w:ascii="Arial" w:hAnsi="Arial" w:cs="Arial"/>
        </w:rPr>
        <w:t xml:space="preserve"> for information.</w:t>
      </w:r>
    </w:p>
    <w:p w:rsidR="0025139E" w:rsidRPr="00B22067" w:rsidRDefault="0025139E" w:rsidP="0038417E">
      <w:pPr>
        <w:pStyle w:val="Heading2"/>
      </w:pPr>
      <w:r w:rsidRPr="00B22067">
        <w:t>Navigation</w:t>
      </w:r>
    </w:p>
    <w:p w:rsidR="0025139E" w:rsidRPr="00B22067" w:rsidRDefault="0025139E" w:rsidP="0025139E">
      <w:pPr>
        <w:pStyle w:val="ListParagraph"/>
        <w:numPr>
          <w:ilvl w:val="0"/>
          <w:numId w:val="3"/>
        </w:numPr>
        <w:rPr>
          <w:rFonts w:ascii="Arial" w:hAnsi="Arial" w:cs="Arial"/>
        </w:rPr>
      </w:pPr>
      <w:r w:rsidRPr="00B22067">
        <w:rPr>
          <w:rFonts w:ascii="Arial" w:hAnsi="Arial" w:cs="Arial"/>
        </w:rPr>
        <w:t>From the home page click on the S106 tab which will open up the S106 sub menu as shown below</w:t>
      </w:r>
    </w:p>
    <w:p w:rsidR="0025139E" w:rsidRPr="00B22067" w:rsidRDefault="0025139E" w:rsidP="0025139E">
      <w:pPr>
        <w:pStyle w:val="ListParagraph"/>
        <w:numPr>
          <w:ilvl w:val="0"/>
          <w:numId w:val="3"/>
        </w:numPr>
        <w:rPr>
          <w:rFonts w:ascii="Arial" w:hAnsi="Arial" w:cs="Arial"/>
        </w:rPr>
      </w:pPr>
      <w:r w:rsidRPr="00B22067">
        <w:rPr>
          <w:rFonts w:ascii="Arial" w:hAnsi="Arial" w:cs="Arial"/>
        </w:rPr>
        <w:t>Click on S106 Financial  or S106 Non-Financial or S106 Affordable Housing as required</w:t>
      </w:r>
    </w:p>
    <w:p w:rsidR="0025139E" w:rsidRDefault="0025139E" w:rsidP="0025139E">
      <w:r>
        <w:rPr>
          <w:noProof/>
          <w:lang w:eastAsia="en-GB"/>
        </w:rPr>
        <w:drawing>
          <wp:inline distT="0" distB="0" distL="0" distR="0" wp14:anchorId="1A54DFA6" wp14:editId="45149F79">
            <wp:extent cx="5731510" cy="1817428"/>
            <wp:effectExtent l="0" t="0" r="2540" b="0"/>
            <wp:docPr id="6" name="Picture 6" title="PFM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1817428"/>
                    </a:xfrm>
                    <a:prstGeom prst="rect">
                      <a:avLst/>
                    </a:prstGeom>
                  </pic:spPr>
                </pic:pic>
              </a:graphicData>
            </a:graphic>
          </wp:inline>
        </w:drawing>
      </w:r>
    </w:p>
    <w:p w:rsidR="00C15838" w:rsidRDefault="00C15838">
      <w:pPr>
        <w:rPr>
          <w:rFonts w:ascii="Arial" w:hAnsi="Arial" w:cs="Arial"/>
          <w:b/>
          <w:sz w:val="32"/>
          <w:szCs w:val="32"/>
        </w:rPr>
      </w:pPr>
    </w:p>
    <w:p w:rsidR="0025139E" w:rsidRPr="00B22067" w:rsidRDefault="0025139E" w:rsidP="0038417E">
      <w:pPr>
        <w:pStyle w:val="Heading1"/>
      </w:pPr>
      <w:r w:rsidRPr="00B22067">
        <w:t>S106 Financial</w:t>
      </w:r>
    </w:p>
    <w:p w:rsidR="0025139E" w:rsidRDefault="0025139E" w:rsidP="0025139E">
      <w:r>
        <w:rPr>
          <w:noProof/>
          <w:lang w:eastAsia="en-GB"/>
        </w:rPr>
        <w:drawing>
          <wp:inline distT="0" distB="0" distL="0" distR="0" wp14:anchorId="4336B954" wp14:editId="25709339">
            <wp:extent cx="5731510" cy="3432783"/>
            <wp:effectExtent l="0" t="0" r="2540" b="0"/>
            <wp:docPr id="7" name="Picture 7"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432783"/>
                    </a:xfrm>
                    <a:prstGeom prst="rect">
                      <a:avLst/>
                    </a:prstGeom>
                  </pic:spPr>
                </pic:pic>
              </a:graphicData>
            </a:graphic>
          </wp:inline>
        </w:drawing>
      </w:r>
    </w:p>
    <w:p w:rsidR="0025139E" w:rsidRPr="00B22067" w:rsidRDefault="0025139E" w:rsidP="0025139E">
      <w:pPr>
        <w:pStyle w:val="ListParagraph"/>
        <w:numPr>
          <w:ilvl w:val="0"/>
          <w:numId w:val="4"/>
        </w:numPr>
        <w:rPr>
          <w:rFonts w:ascii="Arial" w:hAnsi="Arial" w:cs="Arial"/>
        </w:rPr>
      </w:pPr>
      <w:r w:rsidRPr="00B22067">
        <w:rPr>
          <w:rFonts w:ascii="Arial" w:hAnsi="Arial" w:cs="Arial"/>
        </w:rPr>
        <w:t>The S106 Financial page is a dashboard summarising the S106 funds for all records on the database as shown in the extract above.</w:t>
      </w:r>
    </w:p>
    <w:p w:rsidR="0025139E" w:rsidRPr="00B22067" w:rsidRDefault="0025139E" w:rsidP="0025139E">
      <w:pPr>
        <w:pStyle w:val="ListParagraph"/>
        <w:numPr>
          <w:ilvl w:val="0"/>
          <w:numId w:val="4"/>
        </w:numPr>
        <w:rPr>
          <w:rFonts w:ascii="Arial" w:hAnsi="Arial" w:cs="Arial"/>
        </w:rPr>
      </w:pPr>
      <w:r w:rsidRPr="00B22067">
        <w:rPr>
          <w:rFonts w:ascii="Arial" w:hAnsi="Arial" w:cs="Arial"/>
        </w:rPr>
        <w:lastRenderedPageBreak/>
        <w:t>The default date range covers all deeds on the database. Users can amend to search on deeds signed during a specific period by clicking on the date boxes and amending the pop-up calendar as appropriate.</w:t>
      </w:r>
    </w:p>
    <w:p w:rsidR="0025139E" w:rsidRPr="00B22067" w:rsidRDefault="0025139E" w:rsidP="0025139E">
      <w:pPr>
        <w:pStyle w:val="ListParagraph"/>
        <w:numPr>
          <w:ilvl w:val="0"/>
          <w:numId w:val="4"/>
        </w:numPr>
        <w:rPr>
          <w:rFonts w:ascii="Arial" w:hAnsi="Arial" w:cs="Arial"/>
        </w:rPr>
      </w:pPr>
      <w:r w:rsidRPr="00B22067">
        <w:rPr>
          <w:rFonts w:ascii="Arial" w:hAnsi="Arial" w:cs="Arial"/>
        </w:rPr>
        <w:t>Hovering over any of the column headings will bring up a pop-up box that provides a definition for the heading</w:t>
      </w:r>
      <w:r w:rsidR="00B12C8C" w:rsidRPr="00B22067">
        <w:rPr>
          <w:rFonts w:ascii="Arial" w:hAnsi="Arial" w:cs="Arial"/>
        </w:rPr>
        <w:t>.</w:t>
      </w:r>
    </w:p>
    <w:p w:rsidR="0025139E" w:rsidRDefault="0025139E" w:rsidP="0025139E">
      <w:pPr>
        <w:pStyle w:val="ListParagraph"/>
        <w:numPr>
          <w:ilvl w:val="0"/>
          <w:numId w:val="4"/>
        </w:numPr>
        <w:rPr>
          <w:rFonts w:ascii="Arial" w:hAnsi="Arial" w:cs="Arial"/>
        </w:rPr>
      </w:pPr>
      <w:r w:rsidRPr="00B22067">
        <w:rPr>
          <w:rFonts w:ascii="Arial" w:hAnsi="Arial" w:cs="Arial"/>
        </w:rPr>
        <w:t>The table can be filtered by Covenant Type, Ward, Parish or T</w:t>
      </w:r>
      <w:r w:rsidR="00EF3B81">
        <w:rPr>
          <w:rFonts w:ascii="Arial" w:hAnsi="Arial" w:cs="Arial"/>
        </w:rPr>
        <w:t>own. Click on the criteria that you wish to filter by</w:t>
      </w:r>
      <w:r w:rsidRPr="00B22067">
        <w:rPr>
          <w:rFonts w:ascii="Arial" w:hAnsi="Arial" w:cs="Arial"/>
        </w:rPr>
        <w:t xml:space="preserve"> and the</w:t>
      </w:r>
      <w:r w:rsidR="00A71394" w:rsidRPr="00B22067">
        <w:rPr>
          <w:rFonts w:ascii="Arial" w:hAnsi="Arial" w:cs="Arial"/>
        </w:rPr>
        <w:t>n</w:t>
      </w:r>
      <w:r w:rsidRPr="00B22067">
        <w:rPr>
          <w:rFonts w:ascii="Arial" w:hAnsi="Arial" w:cs="Arial"/>
        </w:rPr>
        <w:t xml:space="preserve"> se</w:t>
      </w:r>
      <w:r w:rsidR="00EF3B81">
        <w:rPr>
          <w:rFonts w:ascii="Arial" w:hAnsi="Arial" w:cs="Arial"/>
        </w:rPr>
        <w:t>lect from the drop down list</w:t>
      </w:r>
      <w:r w:rsidRPr="00B22067">
        <w:rPr>
          <w:rFonts w:ascii="Arial" w:hAnsi="Arial" w:cs="Arial"/>
        </w:rPr>
        <w:t xml:space="preserve"> in the box alongside</w:t>
      </w:r>
      <w:r w:rsidR="0023663F">
        <w:rPr>
          <w:rFonts w:ascii="Arial" w:hAnsi="Arial" w:cs="Arial"/>
        </w:rPr>
        <w:t>.</w:t>
      </w:r>
    </w:p>
    <w:p w:rsidR="0023663F" w:rsidRPr="00B22067" w:rsidRDefault="0023663F" w:rsidP="0023663F">
      <w:pPr>
        <w:pStyle w:val="ListParagraph"/>
        <w:numPr>
          <w:ilvl w:val="0"/>
          <w:numId w:val="4"/>
        </w:numPr>
        <w:rPr>
          <w:rFonts w:ascii="Arial" w:hAnsi="Arial" w:cs="Arial"/>
        </w:rPr>
      </w:pPr>
      <w:r>
        <w:rPr>
          <w:rFonts w:ascii="Arial" w:hAnsi="Arial" w:cs="Arial"/>
        </w:rPr>
        <w:t xml:space="preserve">You can combine search criteria if you wish. For example, for the </w:t>
      </w:r>
      <w:r w:rsidR="000B3EA7">
        <w:rPr>
          <w:rFonts w:ascii="Arial" w:hAnsi="Arial" w:cs="Arial"/>
        </w:rPr>
        <w:t>data relating to Chichester</w:t>
      </w:r>
      <w:r>
        <w:rPr>
          <w:rFonts w:ascii="Arial" w:hAnsi="Arial" w:cs="Arial"/>
        </w:rPr>
        <w:t xml:space="preserve"> North &amp; Chichester South Wards then; Click Ward and select Chichester North from the drop down list, then select Chichester South. A green filtering legend will appear above the table to show the criteria selected.  To remove the filters click the </w:t>
      </w:r>
      <w:r>
        <w:rPr>
          <w:noProof/>
          <w:lang w:eastAsia="en-GB"/>
        </w:rPr>
        <w:drawing>
          <wp:inline distT="0" distB="0" distL="0" distR="0" wp14:anchorId="13AEF758" wp14:editId="3A53A5F0">
            <wp:extent cx="715993" cy="221674"/>
            <wp:effectExtent l="0" t="0" r="8255" b="6985"/>
            <wp:docPr id="25" name="Picture 25" title="Rese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18045" cy="222309"/>
                    </a:xfrm>
                    <a:prstGeom prst="rect">
                      <a:avLst/>
                    </a:prstGeom>
                  </pic:spPr>
                </pic:pic>
              </a:graphicData>
            </a:graphic>
          </wp:inline>
        </w:drawing>
      </w:r>
      <w:r>
        <w:rPr>
          <w:rFonts w:ascii="Arial" w:hAnsi="Arial" w:cs="Arial"/>
        </w:rPr>
        <w:t>button</w:t>
      </w:r>
    </w:p>
    <w:p w:rsidR="0025139E" w:rsidRPr="00B22067" w:rsidRDefault="0025139E" w:rsidP="0025139E">
      <w:pPr>
        <w:pStyle w:val="ListParagraph"/>
        <w:numPr>
          <w:ilvl w:val="0"/>
          <w:numId w:val="4"/>
        </w:numPr>
        <w:rPr>
          <w:rFonts w:ascii="Arial" w:hAnsi="Arial" w:cs="Arial"/>
        </w:rPr>
      </w:pPr>
      <w:r w:rsidRPr="00B22067">
        <w:rPr>
          <w:rFonts w:ascii="Arial" w:hAnsi="Arial" w:cs="Arial"/>
        </w:rPr>
        <w:t xml:space="preserve">Clicking on any of the figures within the table will </w:t>
      </w:r>
      <w:r w:rsidR="00BA3E3E">
        <w:rPr>
          <w:rFonts w:ascii="Arial" w:hAnsi="Arial" w:cs="Arial"/>
        </w:rPr>
        <w:t>generate</w:t>
      </w:r>
      <w:r w:rsidRPr="00B22067">
        <w:rPr>
          <w:rFonts w:ascii="Arial" w:hAnsi="Arial" w:cs="Arial"/>
        </w:rPr>
        <w:t xml:space="preserve"> a list be</w:t>
      </w:r>
      <w:r w:rsidR="00BA3E3E">
        <w:rPr>
          <w:rFonts w:ascii="Arial" w:hAnsi="Arial" w:cs="Arial"/>
        </w:rPr>
        <w:t>neath</w:t>
      </w:r>
      <w:r w:rsidRPr="00B22067">
        <w:rPr>
          <w:rFonts w:ascii="Arial" w:hAnsi="Arial" w:cs="Arial"/>
        </w:rPr>
        <w:t xml:space="preserve"> the table of the S106 agreements that make up the total. Please see the example extract below. In this case it is an extract of the Sports &amp; Leisure spent figure.</w:t>
      </w:r>
    </w:p>
    <w:p w:rsidR="0025139E" w:rsidRDefault="0025139E" w:rsidP="0025139E">
      <w:r>
        <w:rPr>
          <w:noProof/>
          <w:lang w:eastAsia="en-GB"/>
        </w:rPr>
        <w:drawing>
          <wp:inline distT="0" distB="0" distL="0" distR="0" wp14:anchorId="7F103C1A" wp14:editId="2CDEB77E">
            <wp:extent cx="5731510" cy="3110691"/>
            <wp:effectExtent l="0" t="0" r="2540" b="0"/>
            <wp:docPr id="8" name="Picture 8"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110691"/>
                    </a:xfrm>
                    <a:prstGeom prst="rect">
                      <a:avLst/>
                    </a:prstGeom>
                  </pic:spPr>
                </pic:pic>
              </a:graphicData>
            </a:graphic>
          </wp:inline>
        </w:drawing>
      </w:r>
    </w:p>
    <w:p w:rsidR="0025139E" w:rsidRPr="00B22067" w:rsidRDefault="0025139E" w:rsidP="0025139E">
      <w:pPr>
        <w:pStyle w:val="ListParagraph"/>
        <w:numPr>
          <w:ilvl w:val="0"/>
          <w:numId w:val="5"/>
        </w:numPr>
        <w:rPr>
          <w:rFonts w:ascii="Arial" w:hAnsi="Arial" w:cs="Arial"/>
        </w:rPr>
      </w:pPr>
      <w:r w:rsidRPr="00B22067">
        <w:rPr>
          <w:rFonts w:ascii="Arial" w:hAnsi="Arial" w:cs="Arial"/>
        </w:rPr>
        <w:t xml:space="preserve">Clicking on the project reference </w:t>
      </w:r>
      <w:r w:rsidR="00A3560C" w:rsidRPr="00B22067">
        <w:rPr>
          <w:rFonts w:ascii="Arial" w:hAnsi="Arial" w:cs="Arial"/>
        </w:rPr>
        <w:t>number</w:t>
      </w:r>
      <w:r w:rsidRPr="00B22067">
        <w:rPr>
          <w:rFonts w:ascii="Arial" w:hAnsi="Arial" w:cs="Arial"/>
        </w:rPr>
        <w:t xml:space="preserve"> and scrolling to the bottom of the list will reveal the project title</w:t>
      </w:r>
      <w:r w:rsidR="00A3560C" w:rsidRPr="00B22067">
        <w:rPr>
          <w:rFonts w:ascii="Arial" w:hAnsi="Arial" w:cs="Arial"/>
        </w:rPr>
        <w:t>,</w:t>
      </w:r>
      <w:r w:rsidRPr="00B22067">
        <w:rPr>
          <w:rFonts w:ascii="Arial" w:hAnsi="Arial" w:cs="Arial"/>
        </w:rPr>
        <w:t xml:space="preserve"> together</w:t>
      </w:r>
      <w:r w:rsidR="00A3560C" w:rsidRPr="00B22067">
        <w:rPr>
          <w:rFonts w:ascii="Arial" w:hAnsi="Arial" w:cs="Arial"/>
        </w:rPr>
        <w:t xml:space="preserve"> </w:t>
      </w:r>
      <w:r w:rsidRPr="00B22067">
        <w:rPr>
          <w:rFonts w:ascii="Arial" w:hAnsi="Arial" w:cs="Arial"/>
        </w:rPr>
        <w:t xml:space="preserve">with the Ward, Parish and Town to which it relates (where appropriate). </w:t>
      </w:r>
    </w:p>
    <w:p w:rsidR="0025139E" w:rsidRPr="00B22067" w:rsidRDefault="0025139E" w:rsidP="0025139E">
      <w:pPr>
        <w:pStyle w:val="ListParagraph"/>
        <w:numPr>
          <w:ilvl w:val="0"/>
          <w:numId w:val="5"/>
        </w:numPr>
        <w:rPr>
          <w:rFonts w:ascii="Arial" w:hAnsi="Arial" w:cs="Arial"/>
        </w:rPr>
      </w:pPr>
      <w:r w:rsidRPr="00B22067">
        <w:rPr>
          <w:rFonts w:ascii="Arial" w:hAnsi="Arial" w:cs="Arial"/>
        </w:rPr>
        <w:t xml:space="preserve">Hovering over </w:t>
      </w:r>
      <w:r w:rsidR="000A4C89" w:rsidRPr="00B22067">
        <w:rPr>
          <w:rFonts w:ascii="Arial" w:hAnsi="Arial" w:cs="Arial"/>
        </w:rPr>
        <w:t>the remarks</w:t>
      </w:r>
      <w:r w:rsidRPr="00B22067">
        <w:rPr>
          <w:rFonts w:ascii="Arial" w:hAnsi="Arial" w:cs="Arial"/>
        </w:rPr>
        <w:t xml:space="preserve"> in the last column </w:t>
      </w:r>
      <w:r w:rsidR="008723D2" w:rsidRPr="00B22067">
        <w:rPr>
          <w:rFonts w:ascii="Arial" w:hAnsi="Arial" w:cs="Arial"/>
        </w:rPr>
        <w:t xml:space="preserve">of the main table </w:t>
      </w:r>
      <w:r w:rsidR="00D905F3" w:rsidRPr="00B22067">
        <w:rPr>
          <w:rFonts w:ascii="Arial" w:hAnsi="Arial" w:cs="Arial"/>
        </w:rPr>
        <w:t xml:space="preserve">(as above) </w:t>
      </w:r>
      <w:r w:rsidRPr="00B22067">
        <w:rPr>
          <w:rFonts w:ascii="Arial" w:hAnsi="Arial" w:cs="Arial"/>
        </w:rPr>
        <w:t xml:space="preserve">will </w:t>
      </w:r>
      <w:r w:rsidR="006702EC" w:rsidRPr="00B22067">
        <w:rPr>
          <w:rFonts w:ascii="Arial" w:hAnsi="Arial" w:cs="Arial"/>
        </w:rPr>
        <w:t xml:space="preserve">produce </w:t>
      </w:r>
      <w:r w:rsidRPr="00B22067">
        <w:rPr>
          <w:rFonts w:ascii="Arial" w:hAnsi="Arial" w:cs="Arial"/>
        </w:rPr>
        <w:t xml:space="preserve">a </w:t>
      </w:r>
      <w:r w:rsidR="000A4C89" w:rsidRPr="00B22067">
        <w:rPr>
          <w:rFonts w:ascii="Arial" w:hAnsi="Arial" w:cs="Arial"/>
        </w:rPr>
        <w:t>‘</w:t>
      </w:r>
      <w:r w:rsidRPr="00B22067">
        <w:rPr>
          <w:rFonts w:ascii="Arial" w:hAnsi="Arial" w:cs="Arial"/>
        </w:rPr>
        <w:t>pop-up</w:t>
      </w:r>
      <w:r w:rsidR="000A4C89" w:rsidRPr="00B22067">
        <w:rPr>
          <w:rFonts w:ascii="Arial" w:hAnsi="Arial" w:cs="Arial"/>
        </w:rPr>
        <w:t>’</w:t>
      </w:r>
      <w:r w:rsidRPr="00B22067">
        <w:rPr>
          <w:rFonts w:ascii="Arial" w:hAnsi="Arial" w:cs="Arial"/>
        </w:rPr>
        <w:t xml:space="preserve"> </w:t>
      </w:r>
      <w:r w:rsidR="000A4C89" w:rsidRPr="00B22067">
        <w:rPr>
          <w:rFonts w:ascii="Arial" w:hAnsi="Arial" w:cs="Arial"/>
        </w:rPr>
        <w:t>which gives</w:t>
      </w:r>
      <w:r w:rsidRPr="00B22067">
        <w:rPr>
          <w:rFonts w:ascii="Arial" w:hAnsi="Arial" w:cs="Arial"/>
        </w:rPr>
        <w:t xml:space="preserve"> brief details of the allocation or spend (if appropriate).</w:t>
      </w:r>
    </w:p>
    <w:p w:rsidR="0025139E" w:rsidRPr="00B22067" w:rsidRDefault="0025139E" w:rsidP="0025139E">
      <w:pPr>
        <w:pStyle w:val="ListParagraph"/>
        <w:numPr>
          <w:ilvl w:val="0"/>
          <w:numId w:val="5"/>
        </w:numPr>
        <w:rPr>
          <w:rFonts w:ascii="Arial" w:hAnsi="Arial" w:cs="Arial"/>
        </w:rPr>
      </w:pPr>
      <w:r w:rsidRPr="00B22067">
        <w:rPr>
          <w:rFonts w:ascii="Arial" w:hAnsi="Arial" w:cs="Arial"/>
        </w:rPr>
        <w:t xml:space="preserve">Clicking on the application number and scrolling to the bottom of the list will reveal details of the site and the development. </w:t>
      </w:r>
    </w:p>
    <w:p w:rsidR="0025139E" w:rsidRPr="00B22067" w:rsidRDefault="0025139E" w:rsidP="0025139E">
      <w:pPr>
        <w:pStyle w:val="ListParagraph"/>
        <w:numPr>
          <w:ilvl w:val="0"/>
          <w:numId w:val="5"/>
        </w:numPr>
        <w:rPr>
          <w:rFonts w:ascii="Arial" w:hAnsi="Arial" w:cs="Arial"/>
        </w:rPr>
      </w:pPr>
      <w:r w:rsidRPr="00B22067">
        <w:rPr>
          <w:rFonts w:ascii="Arial" w:hAnsi="Arial" w:cs="Arial"/>
        </w:rPr>
        <w:t xml:space="preserve">Clicking on the clause reference and scrolling to the bottom of the list will reveal further details of the obligation and deed.  Clicking on the </w:t>
      </w:r>
      <w:r w:rsidRPr="00B22067">
        <w:rPr>
          <w:rFonts w:ascii="Arial" w:hAnsi="Arial" w:cs="Arial"/>
          <w:noProof/>
          <w:lang w:eastAsia="en-GB"/>
        </w:rPr>
        <w:drawing>
          <wp:inline distT="0" distB="0" distL="0" distR="0" wp14:anchorId="5F5573BD" wp14:editId="6C45FCF0">
            <wp:extent cx="989248" cy="241160"/>
            <wp:effectExtent l="0" t="0" r="1905" b="6985"/>
            <wp:docPr id="17" name="Picture 17" title="View de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8881" cy="243508"/>
                    </a:xfrm>
                    <a:prstGeom prst="rect">
                      <a:avLst/>
                    </a:prstGeom>
                  </pic:spPr>
                </pic:pic>
              </a:graphicData>
            </a:graphic>
          </wp:inline>
        </w:drawing>
      </w:r>
      <w:r w:rsidRPr="00B22067">
        <w:rPr>
          <w:rFonts w:ascii="Arial" w:hAnsi="Arial" w:cs="Arial"/>
        </w:rPr>
        <w:t xml:space="preserve"> icon will open a pdf version of the relevant agreement</w:t>
      </w:r>
      <w:r w:rsidR="0074003D">
        <w:rPr>
          <w:rFonts w:ascii="Arial" w:hAnsi="Arial" w:cs="Arial"/>
        </w:rPr>
        <w:t xml:space="preserve"> in a new window</w:t>
      </w:r>
      <w:r w:rsidRPr="00B22067">
        <w:rPr>
          <w:rFonts w:ascii="Arial" w:hAnsi="Arial" w:cs="Arial"/>
        </w:rPr>
        <w:t>. See screen print below.</w:t>
      </w:r>
    </w:p>
    <w:p w:rsidR="0025139E" w:rsidRDefault="0025139E" w:rsidP="0025139E">
      <w:pPr>
        <w:pStyle w:val="ListParagraph"/>
      </w:pPr>
      <w:r>
        <w:rPr>
          <w:noProof/>
          <w:lang w:eastAsia="en-GB"/>
        </w:rPr>
        <w:lastRenderedPageBreak/>
        <w:drawing>
          <wp:inline distT="0" distB="0" distL="0" distR="0" wp14:anchorId="1C28E4F6" wp14:editId="67E479D2">
            <wp:extent cx="5731510" cy="3142533"/>
            <wp:effectExtent l="0" t="0" r="2540" b="1270"/>
            <wp:docPr id="9" name="Picture 9"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142533"/>
                    </a:xfrm>
                    <a:prstGeom prst="rect">
                      <a:avLst/>
                    </a:prstGeom>
                  </pic:spPr>
                </pic:pic>
              </a:graphicData>
            </a:graphic>
          </wp:inline>
        </w:drawing>
      </w:r>
    </w:p>
    <w:p w:rsidR="0025139E" w:rsidRPr="00B22067" w:rsidRDefault="0025139E" w:rsidP="0038417E">
      <w:pPr>
        <w:pStyle w:val="Heading2"/>
      </w:pPr>
      <w:r w:rsidRPr="00B22067">
        <w:t>Important Note</w:t>
      </w:r>
      <w:r w:rsidR="004B4A28">
        <w:t>s</w:t>
      </w:r>
      <w:r w:rsidR="006D7F19">
        <w:t xml:space="preserve"> to the S106 Financial </w:t>
      </w:r>
      <w:r w:rsidR="00940DE4">
        <w:t>Module</w:t>
      </w:r>
    </w:p>
    <w:p w:rsidR="0025139E" w:rsidRDefault="0025139E" w:rsidP="004B4A28">
      <w:pPr>
        <w:pStyle w:val="ListParagraph"/>
        <w:numPr>
          <w:ilvl w:val="0"/>
          <w:numId w:val="12"/>
        </w:numPr>
        <w:rPr>
          <w:rFonts w:ascii="Arial" w:hAnsi="Arial" w:cs="Arial"/>
        </w:rPr>
      </w:pPr>
      <w:r w:rsidRPr="004B4A28">
        <w:rPr>
          <w:rFonts w:ascii="Arial" w:hAnsi="Arial" w:cs="Arial"/>
        </w:rPr>
        <w:t xml:space="preserve">For historic deeds that have been back loaded into this database the Covenant Amount may differ to the amount shown in the deed. This is because it includes indexation. </w:t>
      </w:r>
    </w:p>
    <w:p w:rsidR="004B4A28" w:rsidRDefault="006D7F19" w:rsidP="004B4A28">
      <w:pPr>
        <w:pStyle w:val="ListParagraph"/>
        <w:numPr>
          <w:ilvl w:val="0"/>
          <w:numId w:val="12"/>
        </w:numPr>
        <w:rPr>
          <w:rFonts w:ascii="Arial" w:hAnsi="Arial" w:cs="Arial"/>
        </w:rPr>
      </w:pPr>
      <w:r>
        <w:rPr>
          <w:rFonts w:ascii="Arial" w:hAnsi="Arial" w:cs="Arial"/>
        </w:rPr>
        <w:t xml:space="preserve">Negative funds may appear in the </w:t>
      </w:r>
      <w:r w:rsidRPr="006D7F19">
        <w:rPr>
          <w:rFonts w:ascii="Arial" w:hAnsi="Arial" w:cs="Arial"/>
          <w:b/>
        </w:rPr>
        <w:t>‘Available’</w:t>
      </w:r>
      <w:r>
        <w:rPr>
          <w:rFonts w:ascii="Arial" w:hAnsi="Arial" w:cs="Arial"/>
        </w:rPr>
        <w:t xml:space="preserve"> column when filtering </w:t>
      </w:r>
      <w:r w:rsidR="004B4A28">
        <w:rPr>
          <w:rFonts w:ascii="Arial" w:hAnsi="Arial" w:cs="Arial"/>
        </w:rPr>
        <w:t xml:space="preserve">by Ward and </w:t>
      </w:r>
      <w:r>
        <w:rPr>
          <w:rFonts w:ascii="Arial" w:hAnsi="Arial" w:cs="Arial"/>
        </w:rPr>
        <w:t>P</w:t>
      </w:r>
      <w:r w:rsidR="004B4A28">
        <w:rPr>
          <w:rFonts w:ascii="Arial" w:hAnsi="Arial" w:cs="Arial"/>
        </w:rPr>
        <w:t xml:space="preserve">arish.  To mitigate the impact of inflation on the value of the monies </w:t>
      </w:r>
      <w:r>
        <w:rPr>
          <w:rFonts w:ascii="Arial" w:hAnsi="Arial" w:cs="Arial"/>
        </w:rPr>
        <w:t xml:space="preserve">whilst </w:t>
      </w:r>
      <w:r w:rsidR="004B4A28">
        <w:rPr>
          <w:rFonts w:ascii="Arial" w:hAnsi="Arial" w:cs="Arial"/>
        </w:rPr>
        <w:t>held</w:t>
      </w:r>
      <w:r>
        <w:rPr>
          <w:rFonts w:ascii="Arial" w:hAnsi="Arial" w:cs="Arial"/>
        </w:rPr>
        <w:t xml:space="preserve"> by</w:t>
      </w:r>
      <w:r w:rsidR="004B4A28">
        <w:rPr>
          <w:rFonts w:ascii="Arial" w:hAnsi="Arial" w:cs="Arial"/>
        </w:rPr>
        <w:t xml:space="preserve"> the Council</w:t>
      </w:r>
      <w:r>
        <w:rPr>
          <w:rFonts w:ascii="Arial" w:hAnsi="Arial" w:cs="Arial"/>
        </w:rPr>
        <w:t>,</w:t>
      </w:r>
      <w:r w:rsidR="004B4A28">
        <w:rPr>
          <w:rFonts w:ascii="Arial" w:hAnsi="Arial" w:cs="Arial"/>
        </w:rPr>
        <w:t xml:space="preserve"> </w:t>
      </w:r>
      <w:r>
        <w:rPr>
          <w:rFonts w:ascii="Arial" w:hAnsi="Arial" w:cs="Arial"/>
        </w:rPr>
        <w:t xml:space="preserve"> it calculates </w:t>
      </w:r>
      <w:r w:rsidR="004B4A28">
        <w:rPr>
          <w:rFonts w:ascii="Arial" w:hAnsi="Arial" w:cs="Arial"/>
        </w:rPr>
        <w:t xml:space="preserve"> ’interest’ based on the average rate of return </w:t>
      </w:r>
      <w:r>
        <w:rPr>
          <w:rFonts w:ascii="Arial" w:hAnsi="Arial" w:cs="Arial"/>
        </w:rPr>
        <w:t>earned on its cash reserves for</w:t>
      </w:r>
      <w:r w:rsidR="004B4A28">
        <w:rPr>
          <w:rFonts w:ascii="Arial" w:hAnsi="Arial" w:cs="Arial"/>
        </w:rPr>
        <w:t xml:space="preserve"> the </w:t>
      </w:r>
      <w:r>
        <w:rPr>
          <w:rFonts w:ascii="Arial" w:hAnsi="Arial" w:cs="Arial"/>
        </w:rPr>
        <w:t>period</w:t>
      </w:r>
      <w:r w:rsidR="004B4A28">
        <w:rPr>
          <w:rFonts w:ascii="Arial" w:hAnsi="Arial" w:cs="Arial"/>
        </w:rPr>
        <w:t xml:space="preserve"> it has held the funds. Whilst this can be allocated </w:t>
      </w:r>
      <w:r>
        <w:rPr>
          <w:rFonts w:ascii="Arial" w:hAnsi="Arial" w:cs="Arial"/>
        </w:rPr>
        <w:t>to each service it cannot be allocated at Ward and Parish level. Therefore when filtering by these parameters it may appear that the amount allocated and spent exceeds the sum received.</w:t>
      </w:r>
    </w:p>
    <w:p w:rsidR="002D5229" w:rsidRPr="004B4A28" w:rsidRDefault="002D5229" w:rsidP="002D5229">
      <w:pPr>
        <w:pStyle w:val="ListParagraph"/>
        <w:rPr>
          <w:rFonts w:ascii="Arial" w:hAnsi="Arial" w:cs="Arial"/>
        </w:rPr>
      </w:pPr>
    </w:p>
    <w:p w:rsidR="0025139E" w:rsidRPr="00B22067" w:rsidRDefault="0025139E" w:rsidP="002D5229">
      <w:pPr>
        <w:pStyle w:val="Heading1"/>
      </w:pPr>
      <w:r w:rsidRPr="00B22067">
        <w:t>S106 Non-Financial</w:t>
      </w:r>
    </w:p>
    <w:p w:rsidR="0025139E" w:rsidRDefault="0025139E" w:rsidP="0025139E">
      <w:r>
        <w:rPr>
          <w:noProof/>
          <w:lang w:eastAsia="en-GB"/>
        </w:rPr>
        <w:drawing>
          <wp:inline distT="0" distB="0" distL="0" distR="0" wp14:anchorId="596B23DC" wp14:editId="7E4B86E2">
            <wp:extent cx="5731510" cy="1817370"/>
            <wp:effectExtent l="0" t="0" r="2540" b="0"/>
            <wp:docPr id="10" name="Picture 10" title="PFM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1817370"/>
                    </a:xfrm>
                    <a:prstGeom prst="rect">
                      <a:avLst/>
                    </a:prstGeom>
                  </pic:spPr>
                </pic:pic>
              </a:graphicData>
            </a:graphic>
          </wp:inline>
        </w:drawing>
      </w:r>
    </w:p>
    <w:p w:rsidR="0025139E" w:rsidRPr="00B22067" w:rsidRDefault="0025139E" w:rsidP="0025139E">
      <w:pPr>
        <w:rPr>
          <w:rFonts w:ascii="Arial" w:hAnsi="Arial" w:cs="Arial"/>
        </w:rPr>
      </w:pPr>
      <w:r w:rsidRPr="00B22067">
        <w:rPr>
          <w:rFonts w:ascii="Arial" w:hAnsi="Arial" w:cs="Arial"/>
        </w:rPr>
        <w:t>From the homepage</w:t>
      </w:r>
      <w:r w:rsidR="00176886" w:rsidRPr="00B22067">
        <w:rPr>
          <w:rFonts w:ascii="Arial" w:hAnsi="Arial" w:cs="Arial"/>
        </w:rPr>
        <w:t>,</w:t>
      </w:r>
      <w:r w:rsidRPr="00B22067">
        <w:rPr>
          <w:rFonts w:ascii="Arial" w:hAnsi="Arial" w:cs="Arial"/>
        </w:rPr>
        <w:t xml:space="preserve"> click on S106 and then </w:t>
      </w:r>
      <w:r w:rsidR="00176886" w:rsidRPr="00B22067">
        <w:rPr>
          <w:rFonts w:ascii="Arial" w:hAnsi="Arial" w:cs="Arial"/>
        </w:rPr>
        <w:t xml:space="preserve">S106 Non-Financial from the sub </w:t>
      </w:r>
      <w:r w:rsidRPr="00B22067">
        <w:rPr>
          <w:rFonts w:ascii="Arial" w:hAnsi="Arial" w:cs="Arial"/>
        </w:rPr>
        <w:t>menu as shown above. This will open a search page as shown below.</w:t>
      </w:r>
    </w:p>
    <w:p w:rsidR="0025139E" w:rsidRDefault="0025139E" w:rsidP="0025139E">
      <w:r>
        <w:rPr>
          <w:noProof/>
          <w:lang w:eastAsia="en-GB"/>
        </w:rPr>
        <w:lastRenderedPageBreak/>
        <w:drawing>
          <wp:inline distT="0" distB="0" distL="0" distR="0" wp14:anchorId="328295BF" wp14:editId="56B78DC9">
            <wp:extent cx="5731510" cy="2427931"/>
            <wp:effectExtent l="0" t="0" r="2540" b="0"/>
            <wp:docPr id="11" name="Picture 11" title="Sub menu of S106 non-fina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2427931"/>
                    </a:xfrm>
                    <a:prstGeom prst="rect">
                      <a:avLst/>
                    </a:prstGeom>
                  </pic:spPr>
                </pic:pic>
              </a:graphicData>
            </a:graphic>
          </wp:inline>
        </w:drawing>
      </w:r>
    </w:p>
    <w:p w:rsidR="0025139E" w:rsidRPr="00B22067" w:rsidRDefault="0025139E" w:rsidP="0025139E">
      <w:pPr>
        <w:pStyle w:val="ListParagraph"/>
        <w:numPr>
          <w:ilvl w:val="0"/>
          <w:numId w:val="6"/>
        </w:numPr>
        <w:rPr>
          <w:rFonts w:ascii="Arial" w:hAnsi="Arial" w:cs="Arial"/>
        </w:rPr>
      </w:pPr>
      <w:r w:rsidRPr="00B22067">
        <w:rPr>
          <w:rFonts w:ascii="Arial" w:hAnsi="Arial" w:cs="Arial"/>
        </w:rPr>
        <w:t>The default date range covers all deeds on the database. Users can amend the date range by clicking on the date box and selecting an appropriate range from the pop-up calendar.</w:t>
      </w:r>
    </w:p>
    <w:p w:rsidR="0025139E" w:rsidRPr="00B22067" w:rsidRDefault="0025139E" w:rsidP="0025139E">
      <w:pPr>
        <w:pStyle w:val="ListParagraph"/>
        <w:numPr>
          <w:ilvl w:val="0"/>
          <w:numId w:val="6"/>
        </w:numPr>
        <w:rPr>
          <w:rFonts w:ascii="Arial" w:hAnsi="Arial" w:cs="Arial"/>
        </w:rPr>
      </w:pPr>
      <w:r w:rsidRPr="00B22067">
        <w:rPr>
          <w:rFonts w:ascii="Arial" w:hAnsi="Arial" w:cs="Arial"/>
        </w:rPr>
        <w:t xml:space="preserve">You can search the deeds on the database by Covenant Type, Ward, Parish or Town. </w:t>
      </w:r>
    </w:p>
    <w:p w:rsidR="0025139E" w:rsidRPr="00B22067" w:rsidRDefault="0025139E" w:rsidP="0025139E">
      <w:pPr>
        <w:pStyle w:val="ListParagraph"/>
        <w:numPr>
          <w:ilvl w:val="0"/>
          <w:numId w:val="6"/>
        </w:numPr>
        <w:rPr>
          <w:rFonts w:ascii="Arial" w:hAnsi="Arial" w:cs="Arial"/>
        </w:rPr>
      </w:pPr>
      <w:r w:rsidRPr="00B22067">
        <w:rPr>
          <w:rFonts w:ascii="Arial" w:hAnsi="Arial" w:cs="Arial"/>
        </w:rPr>
        <w:t xml:space="preserve">Click on the relevant </w:t>
      </w:r>
      <w:r w:rsidR="00EF3B81">
        <w:rPr>
          <w:rFonts w:ascii="Arial" w:hAnsi="Arial" w:cs="Arial"/>
        </w:rPr>
        <w:t xml:space="preserve">criteria you wish to search by </w:t>
      </w:r>
      <w:r w:rsidRPr="00B22067">
        <w:rPr>
          <w:rFonts w:ascii="Arial" w:hAnsi="Arial" w:cs="Arial"/>
        </w:rPr>
        <w:t xml:space="preserve">and then select from the appropriate </w:t>
      </w:r>
      <w:r w:rsidR="00EF3B81">
        <w:rPr>
          <w:rFonts w:ascii="Arial" w:hAnsi="Arial" w:cs="Arial"/>
        </w:rPr>
        <w:t>list</w:t>
      </w:r>
      <w:r w:rsidRPr="00B22067">
        <w:rPr>
          <w:rFonts w:ascii="Arial" w:hAnsi="Arial" w:cs="Arial"/>
        </w:rPr>
        <w:t xml:space="preserve"> i</w:t>
      </w:r>
      <w:r w:rsidR="00EF3B81">
        <w:rPr>
          <w:rFonts w:ascii="Arial" w:hAnsi="Arial" w:cs="Arial"/>
        </w:rPr>
        <w:t>n the drop down box alongside</w:t>
      </w:r>
      <w:r w:rsidRPr="00B22067">
        <w:rPr>
          <w:rFonts w:ascii="Arial" w:hAnsi="Arial" w:cs="Arial"/>
        </w:rPr>
        <w:t>.</w:t>
      </w:r>
      <w:r w:rsidR="000B3EA7">
        <w:rPr>
          <w:rFonts w:ascii="Arial" w:hAnsi="Arial" w:cs="Arial"/>
        </w:rPr>
        <w:t xml:space="preserve"> To clear filtering click the </w:t>
      </w:r>
      <w:r w:rsidR="000B3EA7">
        <w:rPr>
          <w:noProof/>
          <w:lang w:eastAsia="en-GB"/>
        </w:rPr>
        <w:drawing>
          <wp:inline distT="0" distB="0" distL="0" distR="0" wp14:anchorId="36CD54F1" wp14:editId="7E4083B4">
            <wp:extent cx="715993" cy="221674"/>
            <wp:effectExtent l="0" t="0" r="8255" b="6985"/>
            <wp:docPr id="26" name="Picture 26" title="Rese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18045" cy="222309"/>
                    </a:xfrm>
                    <a:prstGeom prst="rect">
                      <a:avLst/>
                    </a:prstGeom>
                  </pic:spPr>
                </pic:pic>
              </a:graphicData>
            </a:graphic>
          </wp:inline>
        </w:drawing>
      </w:r>
      <w:r w:rsidR="000B3EA7">
        <w:rPr>
          <w:rFonts w:ascii="Arial" w:hAnsi="Arial" w:cs="Arial"/>
        </w:rPr>
        <w:t>button</w:t>
      </w:r>
    </w:p>
    <w:p w:rsidR="0025139E" w:rsidRPr="00B22067" w:rsidRDefault="0025139E" w:rsidP="0025139E">
      <w:pPr>
        <w:pStyle w:val="ListParagraph"/>
        <w:numPr>
          <w:ilvl w:val="0"/>
          <w:numId w:val="6"/>
        </w:numPr>
        <w:rPr>
          <w:rFonts w:ascii="Arial" w:hAnsi="Arial" w:cs="Arial"/>
        </w:rPr>
      </w:pPr>
      <w:r w:rsidRPr="00B22067">
        <w:rPr>
          <w:rFonts w:ascii="Arial" w:hAnsi="Arial" w:cs="Arial"/>
        </w:rPr>
        <w:t>A list will appear of covenant</w:t>
      </w:r>
      <w:r w:rsidR="00D22C2C" w:rsidRPr="00B22067">
        <w:rPr>
          <w:rFonts w:ascii="Arial" w:hAnsi="Arial" w:cs="Arial"/>
        </w:rPr>
        <w:t xml:space="preserve">s meeting your search criteria.  </w:t>
      </w:r>
      <w:r w:rsidRPr="00B22067">
        <w:rPr>
          <w:rFonts w:ascii="Arial" w:hAnsi="Arial" w:cs="Arial"/>
        </w:rPr>
        <w:t xml:space="preserve">A date in the final column indicates the obligation has been discharged. </w:t>
      </w:r>
    </w:p>
    <w:p w:rsidR="0025139E" w:rsidRPr="00B22067" w:rsidRDefault="0025139E" w:rsidP="0025139E">
      <w:pPr>
        <w:pStyle w:val="ListParagraph"/>
        <w:numPr>
          <w:ilvl w:val="0"/>
          <w:numId w:val="6"/>
        </w:numPr>
        <w:rPr>
          <w:rFonts w:ascii="Arial" w:hAnsi="Arial" w:cs="Arial"/>
        </w:rPr>
      </w:pPr>
      <w:r w:rsidRPr="00B22067">
        <w:rPr>
          <w:rFonts w:ascii="Arial" w:hAnsi="Arial" w:cs="Arial"/>
        </w:rPr>
        <w:t>Search criteria can be combined so for example the screen print extract below shows a search for Covenant Type ‘Open Space Land’ in the Parish of ‘Southbourne’</w:t>
      </w:r>
    </w:p>
    <w:p w:rsidR="0025139E" w:rsidRPr="00B22067" w:rsidRDefault="0025139E" w:rsidP="0025139E">
      <w:pPr>
        <w:pStyle w:val="ListParagraph"/>
        <w:rPr>
          <w:rFonts w:ascii="Arial" w:hAnsi="Arial" w:cs="Arial"/>
        </w:rPr>
      </w:pPr>
    </w:p>
    <w:p w:rsidR="0025139E" w:rsidRDefault="0025139E" w:rsidP="0025139E">
      <w:pPr>
        <w:pStyle w:val="ListParagraph"/>
        <w:jc w:val="center"/>
      </w:pPr>
      <w:r>
        <w:rPr>
          <w:noProof/>
          <w:lang w:eastAsia="en-GB"/>
        </w:rPr>
        <w:drawing>
          <wp:inline distT="0" distB="0" distL="0" distR="0" wp14:anchorId="7ECE7C13" wp14:editId="527AE39B">
            <wp:extent cx="5731510" cy="3437069"/>
            <wp:effectExtent l="0" t="0" r="2540" b="0"/>
            <wp:docPr id="12" name="Picture 12"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437069"/>
                    </a:xfrm>
                    <a:prstGeom prst="rect">
                      <a:avLst/>
                    </a:prstGeom>
                  </pic:spPr>
                </pic:pic>
              </a:graphicData>
            </a:graphic>
          </wp:inline>
        </w:drawing>
      </w:r>
    </w:p>
    <w:p w:rsidR="0025139E" w:rsidRDefault="0025139E" w:rsidP="0025139E"/>
    <w:p w:rsidR="0025139E" w:rsidRPr="00B22067" w:rsidRDefault="0025139E" w:rsidP="0025139E">
      <w:pPr>
        <w:pStyle w:val="ListParagraph"/>
        <w:numPr>
          <w:ilvl w:val="0"/>
          <w:numId w:val="6"/>
        </w:numPr>
        <w:rPr>
          <w:rFonts w:ascii="Arial" w:hAnsi="Arial" w:cs="Arial"/>
        </w:rPr>
      </w:pPr>
      <w:r w:rsidRPr="00B22067">
        <w:rPr>
          <w:rFonts w:ascii="Arial" w:hAnsi="Arial" w:cs="Arial"/>
        </w:rPr>
        <w:lastRenderedPageBreak/>
        <w:t>Clicking on the Application No and scrolling down will reveal details of the site and development</w:t>
      </w:r>
    </w:p>
    <w:p w:rsidR="0025139E" w:rsidRPr="00B22067" w:rsidRDefault="0025139E" w:rsidP="0025139E">
      <w:pPr>
        <w:pStyle w:val="ListParagraph"/>
        <w:numPr>
          <w:ilvl w:val="0"/>
          <w:numId w:val="6"/>
        </w:numPr>
        <w:rPr>
          <w:rFonts w:ascii="Arial" w:hAnsi="Arial" w:cs="Arial"/>
        </w:rPr>
      </w:pPr>
      <w:r w:rsidRPr="00B22067">
        <w:rPr>
          <w:rFonts w:ascii="Arial" w:hAnsi="Arial" w:cs="Arial"/>
        </w:rPr>
        <w:t>Clicking on the clause number and scrolling down will reveal details of the obligation</w:t>
      </w:r>
    </w:p>
    <w:p w:rsidR="0025139E" w:rsidRDefault="0025139E" w:rsidP="0025139E">
      <w:pPr>
        <w:pStyle w:val="ListParagraph"/>
        <w:numPr>
          <w:ilvl w:val="0"/>
          <w:numId w:val="6"/>
        </w:numPr>
      </w:pPr>
      <w:r w:rsidRPr="00B22067">
        <w:rPr>
          <w:rFonts w:ascii="Arial" w:hAnsi="Arial" w:cs="Arial"/>
        </w:rPr>
        <w:t xml:space="preserve">A pdf version of the deed can be accessed by clicking on the </w:t>
      </w:r>
      <w:r w:rsidRPr="00B22067">
        <w:rPr>
          <w:rFonts w:ascii="Arial" w:hAnsi="Arial" w:cs="Arial"/>
          <w:noProof/>
          <w:lang w:eastAsia="en-GB"/>
        </w:rPr>
        <w:drawing>
          <wp:inline distT="0" distB="0" distL="0" distR="0" wp14:anchorId="32C24EF1" wp14:editId="635B39E8">
            <wp:extent cx="989248" cy="241160"/>
            <wp:effectExtent l="0" t="0" r="1905" b="6985"/>
            <wp:docPr id="16" name="Picture 16" title="View de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8881" cy="243508"/>
                    </a:xfrm>
                    <a:prstGeom prst="rect">
                      <a:avLst/>
                    </a:prstGeom>
                  </pic:spPr>
                </pic:pic>
              </a:graphicData>
            </a:graphic>
          </wp:inline>
        </w:drawing>
      </w:r>
      <w:r w:rsidRPr="00B22067">
        <w:rPr>
          <w:rFonts w:ascii="Arial" w:hAnsi="Arial" w:cs="Arial"/>
        </w:rPr>
        <w:t xml:space="preserve"> Icon as </w:t>
      </w:r>
      <w:r w:rsidRPr="0074003D">
        <w:rPr>
          <w:rFonts w:ascii="Arial" w:hAnsi="Arial" w:cs="Arial"/>
        </w:rPr>
        <w:t>shown</w:t>
      </w:r>
      <w:r w:rsidR="0074003D" w:rsidRPr="0074003D">
        <w:rPr>
          <w:rFonts w:ascii="Arial" w:hAnsi="Arial" w:cs="Arial"/>
        </w:rPr>
        <w:t xml:space="preserve"> below and this will open in a new window.</w:t>
      </w:r>
    </w:p>
    <w:p w:rsidR="0025139E" w:rsidRDefault="0025139E" w:rsidP="0025139E">
      <w:pPr>
        <w:pStyle w:val="ListParagraph"/>
      </w:pPr>
      <w:r>
        <w:rPr>
          <w:noProof/>
          <w:lang w:eastAsia="en-GB"/>
        </w:rPr>
        <w:drawing>
          <wp:inline distT="0" distB="0" distL="0" distR="0" wp14:anchorId="1948E715" wp14:editId="1CD5D1BE">
            <wp:extent cx="5731510" cy="3636080"/>
            <wp:effectExtent l="0" t="0" r="2540" b="2540"/>
            <wp:docPr id="13" name="Picture 13"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3636080"/>
                    </a:xfrm>
                    <a:prstGeom prst="rect">
                      <a:avLst/>
                    </a:prstGeom>
                  </pic:spPr>
                </pic:pic>
              </a:graphicData>
            </a:graphic>
          </wp:inline>
        </w:drawing>
      </w:r>
    </w:p>
    <w:p w:rsidR="0025139E" w:rsidRDefault="0025139E" w:rsidP="0025139E"/>
    <w:p w:rsidR="0025139E" w:rsidRPr="00B22067" w:rsidRDefault="0025139E" w:rsidP="0038417E">
      <w:pPr>
        <w:pStyle w:val="Heading1"/>
      </w:pPr>
      <w:r w:rsidRPr="00B22067">
        <w:t>S106 Affordable Housing</w:t>
      </w:r>
    </w:p>
    <w:p w:rsidR="0025139E" w:rsidRDefault="0025139E" w:rsidP="0025139E"/>
    <w:p w:rsidR="0025139E" w:rsidRDefault="0025139E" w:rsidP="0025139E">
      <w:r>
        <w:rPr>
          <w:noProof/>
          <w:lang w:eastAsia="en-GB"/>
        </w:rPr>
        <w:drawing>
          <wp:inline distT="0" distB="0" distL="0" distR="0" wp14:anchorId="51DC39F1" wp14:editId="08A7BD2D">
            <wp:extent cx="5731510" cy="1817370"/>
            <wp:effectExtent l="0" t="0" r="2540" b="0"/>
            <wp:docPr id="14" name="Picture 14" title="PFM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1817370"/>
                    </a:xfrm>
                    <a:prstGeom prst="rect">
                      <a:avLst/>
                    </a:prstGeom>
                  </pic:spPr>
                </pic:pic>
              </a:graphicData>
            </a:graphic>
          </wp:inline>
        </w:drawing>
      </w:r>
    </w:p>
    <w:p w:rsidR="0025139E" w:rsidRPr="00B22067" w:rsidRDefault="0025139E" w:rsidP="0025139E">
      <w:pPr>
        <w:rPr>
          <w:rFonts w:ascii="Arial" w:hAnsi="Arial" w:cs="Arial"/>
        </w:rPr>
      </w:pPr>
      <w:r w:rsidRPr="00B22067">
        <w:rPr>
          <w:rFonts w:ascii="Arial" w:hAnsi="Arial" w:cs="Arial"/>
        </w:rPr>
        <w:t>From the homepage</w:t>
      </w:r>
      <w:r w:rsidR="00757854" w:rsidRPr="00B22067">
        <w:rPr>
          <w:rFonts w:ascii="Arial" w:hAnsi="Arial" w:cs="Arial"/>
        </w:rPr>
        <w:t>,</w:t>
      </w:r>
      <w:r w:rsidRPr="00B22067">
        <w:rPr>
          <w:rFonts w:ascii="Arial" w:hAnsi="Arial" w:cs="Arial"/>
        </w:rPr>
        <w:t xml:space="preserve"> click on S106 and then S106 Affordable Housing from the sub menu as shown above. This will open a search page as shown below.</w:t>
      </w:r>
    </w:p>
    <w:p w:rsidR="0025139E" w:rsidRDefault="0025139E" w:rsidP="0025139E">
      <w:r>
        <w:rPr>
          <w:noProof/>
          <w:lang w:eastAsia="en-GB"/>
        </w:rPr>
        <w:lastRenderedPageBreak/>
        <w:drawing>
          <wp:inline distT="0" distB="0" distL="0" distR="0" wp14:anchorId="26112D08" wp14:editId="7BF962E5">
            <wp:extent cx="5731510" cy="2969853"/>
            <wp:effectExtent l="0" t="0" r="2540" b="2540"/>
            <wp:docPr id="15" name="Picture 15" title="Sub menu of S106 affordable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2969853"/>
                    </a:xfrm>
                    <a:prstGeom prst="rect">
                      <a:avLst/>
                    </a:prstGeom>
                  </pic:spPr>
                </pic:pic>
              </a:graphicData>
            </a:graphic>
          </wp:inline>
        </w:drawing>
      </w:r>
    </w:p>
    <w:p w:rsidR="0025139E" w:rsidRDefault="0025139E" w:rsidP="0025139E"/>
    <w:p w:rsidR="0025139E" w:rsidRPr="00B22067" w:rsidRDefault="0025139E" w:rsidP="0025139E">
      <w:pPr>
        <w:pStyle w:val="ListParagraph"/>
        <w:numPr>
          <w:ilvl w:val="0"/>
          <w:numId w:val="7"/>
        </w:numPr>
        <w:rPr>
          <w:rFonts w:ascii="Arial" w:hAnsi="Arial" w:cs="Arial"/>
        </w:rPr>
      </w:pPr>
      <w:r w:rsidRPr="00B22067">
        <w:rPr>
          <w:rFonts w:ascii="Arial" w:hAnsi="Arial" w:cs="Arial"/>
        </w:rPr>
        <w:t>Click on a search criteria and select from the options in the drop down box.</w:t>
      </w:r>
    </w:p>
    <w:p w:rsidR="0025139E" w:rsidRPr="00B22067" w:rsidRDefault="0025139E" w:rsidP="0025139E">
      <w:pPr>
        <w:pStyle w:val="ListParagraph"/>
        <w:numPr>
          <w:ilvl w:val="0"/>
          <w:numId w:val="7"/>
        </w:numPr>
        <w:rPr>
          <w:rFonts w:ascii="Arial" w:hAnsi="Arial" w:cs="Arial"/>
        </w:rPr>
      </w:pPr>
      <w:r w:rsidRPr="00B22067">
        <w:rPr>
          <w:rFonts w:ascii="Arial" w:hAnsi="Arial" w:cs="Arial"/>
        </w:rPr>
        <w:t>A list of results will be produced</w:t>
      </w:r>
    </w:p>
    <w:p w:rsidR="0025139E" w:rsidRPr="00B22067" w:rsidRDefault="0025139E" w:rsidP="0025139E">
      <w:pPr>
        <w:pStyle w:val="ListParagraph"/>
        <w:numPr>
          <w:ilvl w:val="0"/>
          <w:numId w:val="7"/>
        </w:numPr>
        <w:rPr>
          <w:rFonts w:ascii="Arial" w:hAnsi="Arial" w:cs="Arial"/>
        </w:rPr>
      </w:pPr>
      <w:r w:rsidRPr="00B22067">
        <w:rPr>
          <w:rFonts w:ascii="Arial" w:hAnsi="Arial" w:cs="Arial"/>
        </w:rPr>
        <w:t>Clicking on an application number and scrolling to the bottom of this list will reveal the site details and the numbers and percentage of Affordable Housing secured</w:t>
      </w:r>
    </w:p>
    <w:p w:rsidR="0025139E" w:rsidRPr="00B22067" w:rsidRDefault="0025139E" w:rsidP="0038417E">
      <w:pPr>
        <w:pStyle w:val="Heading2"/>
      </w:pPr>
      <w:r w:rsidRPr="00B22067">
        <w:t>Important Notes</w:t>
      </w:r>
    </w:p>
    <w:p w:rsidR="0025139E" w:rsidRPr="00B22067" w:rsidRDefault="0025139E" w:rsidP="0025139E">
      <w:pPr>
        <w:pStyle w:val="ListParagraph"/>
        <w:numPr>
          <w:ilvl w:val="0"/>
          <w:numId w:val="8"/>
        </w:numPr>
        <w:rPr>
          <w:rFonts w:ascii="Arial" w:hAnsi="Arial" w:cs="Arial"/>
        </w:rPr>
      </w:pPr>
      <w:r w:rsidRPr="00B22067">
        <w:rPr>
          <w:rFonts w:ascii="Arial" w:hAnsi="Arial" w:cs="Arial"/>
        </w:rPr>
        <w:t>Chichester District Council does not monitor details of any grants that providers may or may not have received in relation to Affordable Housing provision. Clicking on ‘Grant</w:t>
      </w:r>
      <w:r w:rsidR="00757854" w:rsidRPr="00B22067">
        <w:rPr>
          <w:rFonts w:ascii="Arial" w:hAnsi="Arial" w:cs="Arial"/>
        </w:rPr>
        <w:t xml:space="preserve"> Provider</w:t>
      </w:r>
      <w:r w:rsidRPr="00B22067">
        <w:rPr>
          <w:rFonts w:ascii="Arial" w:hAnsi="Arial" w:cs="Arial"/>
        </w:rPr>
        <w:t xml:space="preserve">’ </w:t>
      </w:r>
      <w:r w:rsidR="00757854" w:rsidRPr="00B22067">
        <w:rPr>
          <w:rFonts w:ascii="Arial" w:hAnsi="Arial" w:cs="Arial"/>
        </w:rPr>
        <w:t xml:space="preserve">(in the search criteria at the top of the page) </w:t>
      </w:r>
      <w:r w:rsidRPr="00B22067">
        <w:rPr>
          <w:rFonts w:ascii="Arial" w:hAnsi="Arial" w:cs="Arial"/>
        </w:rPr>
        <w:t xml:space="preserve">and then selecting ‘Not Known’ </w:t>
      </w:r>
      <w:r w:rsidR="00757854" w:rsidRPr="00B22067">
        <w:rPr>
          <w:rFonts w:ascii="Arial" w:hAnsi="Arial" w:cs="Arial"/>
        </w:rPr>
        <w:t xml:space="preserve">in the drop down box below, </w:t>
      </w:r>
      <w:r w:rsidRPr="00B22067">
        <w:rPr>
          <w:rFonts w:ascii="Arial" w:hAnsi="Arial" w:cs="Arial"/>
        </w:rPr>
        <w:t>will produce a full list of Affordable Housing secured by S106 agreements recorded on this database since 1 April 2017</w:t>
      </w:r>
    </w:p>
    <w:p w:rsidR="0025139E" w:rsidRPr="00B22067" w:rsidRDefault="0025139E" w:rsidP="0025139E">
      <w:pPr>
        <w:pStyle w:val="ListParagraph"/>
        <w:numPr>
          <w:ilvl w:val="0"/>
          <w:numId w:val="8"/>
        </w:numPr>
        <w:rPr>
          <w:rFonts w:ascii="Arial" w:hAnsi="Arial" w:cs="Arial"/>
        </w:rPr>
      </w:pPr>
      <w:r w:rsidRPr="00B22067">
        <w:rPr>
          <w:rFonts w:ascii="Arial" w:hAnsi="Arial" w:cs="Arial"/>
        </w:rPr>
        <w:t>When a S106 is signed</w:t>
      </w:r>
      <w:r w:rsidR="00A87D5D" w:rsidRPr="00B22067">
        <w:rPr>
          <w:rFonts w:ascii="Arial" w:hAnsi="Arial" w:cs="Arial"/>
        </w:rPr>
        <w:t>,</w:t>
      </w:r>
      <w:r w:rsidRPr="00B22067">
        <w:rPr>
          <w:rFonts w:ascii="Arial" w:hAnsi="Arial" w:cs="Arial"/>
        </w:rPr>
        <w:t xml:space="preserve"> the Registered Provider is usually not known and so these are recorded as ‘TBA’ (To Be Advised). Details will be updated when known.</w:t>
      </w:r>
    </w:p>
    <w:p w:rsidR="0025139E" w:rsidRDefault="0025139E" w:rsidP="0025139E">
      <w:pPr>
        <w:pStyle w:val="ListParagraph"/>
        <w:numPr>
          <w:ilvl w:val="0"/>
          <w:numId w:val="8"/>
        </w:numPr>
        <w:rPr>
          <w:rFonts w:ascii="Arial" w:hAnsi="Arial" w:cs="Arial"/>
        </w:rPr>
      </w:pPr>
      <w:r w:rsidRPr="00B22067">
        <w:rPr>
          <w:rFonts w:ascii="Arial" w:hAnsi="Arial" w:cs="Arial"/>
        </w:rPr>
        <w:t xml:space="preserve">For outline applications the housing type and mix are often not known and so are recorded under the generic title ‘Affordable Housing’. </w:t>
      </w:r>
      <w:r w:rsidR="000B18AF">
        <w:rPr>
          <w:rFonts w:ascii="Arial" w:hAnsi="Arial" w:cs="Arial"/>
        </w:rPr>
        <w:t>Once</w:t>
      </w:r>
      <w:r w:rsidRPr="00B22067">
        <w:rPr>
          <w:rFonts w:ascii="Arial" w:hAnsi="Arial" w:cs="Arial"/>
        </w:rPr>
        <w:t xml:space="preserve"> reserved matters are permitted and the housing mix becomes known the data will be updated.</w:t>
      </w:r>
    </w:p>
    <w:p w:rsidR="007545C8" w:rsidRPr="00B22067" w:rsidRDefault="007545C8" w:rsidP="007545C8">
      <w:pPr>
        <w:pStyle w:val="ListParagraph"/>
        <w:rPr>
          <w:rFonts w:ascii="Arial" w:hAnsi="Arial" w:cs="Arial"/>
        </w:rPr>
      </w:pPr>
    </w:p>
    <w:p w:rsidR="0025139E" w:rsidRPr="00B22067" w:rsidRDefault="0025139E" w:rsidP="007545C8">
      <w:pPr>
        <w:pStyle w:val="Heading1"/>
      </w:pPr>
      <w:r w:rsidRPr="00B22067">
        <w:t>Applications</w:t>
      </w:r>
    </w:p>
    <w:p w:rsidR="0025139E" w:rsidRPr="00B22067" w:rsidRDefault="0025139E" w:rsidP="0025139E">
      <w:pPr>
        <w:rPr>
          <w:rFonts w:ascii="Arial" w:hAnsi="Arial" w:cs="Arial"/>
        </w:rPr>
      </w:pPr>
      <w:r w:rsidRPr="00B22067">
        <w:rPr>
          <w:rFonts w:ascii="Arial" w:hAnsi="Arial" w:cs="Arial"/>
        </w:rPr>
        <w:t xml:space="preserve">This section contains all the </w:t>
      </w:r>
      <w:r w:rsidR="000B3EA7">
        <w:rPr>
          <w:rFonts w:ascii="Arial" w:hAnsi="Arial" w:cs="Arial"/>
        </w:rPr>
        <w:t>CIL &amp; S106 records</w:t>
      </w:r>
      <w:r w:rsidRPr="00B22067">
        <w:rPr>
          <w:rFonts w:ascii="Arial" w:hAnsi="Arial" w:cs="Arial"/>
        </w:rPr>
        <w:t xml:space="preserve"> that are </w:t>
      </w:r>
      <w:r w:rsidR="000B18AF">
        <w:rPr>
          <w:rFonts w:ascii="Arial" w:hAnsi="Arial" w:cs="Arial"/>
        </w:rPr>
        <w:t>within</w:t>
      </w:r>
      <w:r w:rsidRPr="00B22067">
        <w:rPr>
          <w:rFonts w:ascii="Arial" w:hAnsi="Arial" w:cs="Arial"/>
        </w:rPr>
        <w:t xml:space="preserve"> this database and </w:t>
      </w:r>
      <w:r w:rsidR="000B18AF">
        <w:rPr>
          <w:rFonts w:ascii="Arial" w:hAnsi="Arial" w:cs="Arial"/>
        </w:rPr>
        <w:t>these can be</w:t>
      </w:r>
      <w:r w:rsidRPr="00B22067">
        <w:rPr>
          <w:rFonts w:ascii="Arial" w:hAnsi="Arial" w:cs="Arial"/>
        </w:rPr>
        <w:t xml:space="preserve"> accessed by clicking on Apps from the Ho</w:t>
      </w:r>
      <w:r w:rsidR="00A87D5D" w:rsidRPr="00B22067">
        <w:rPr>
          <w:rFonts w:ascii="Arial" w:hAnsi="Arial" w:cs="Arial"/>
        </w:rPr>
        <w:t>m</w:t>
      </w:r>
      <w:r w:rsidRPr="00B22067">
        <w:rPr>
          <w:rFonts w:ascii="Arial" w:hAnsi="Arial" w:cs="Arial"/>
        </w:rPr>
        <w:t>e page</w:t>
      </w:r>
      <w:r w:rsidR="00A87D5D" w:rsidRPr="00B22067">
        <w:rPr>
          <w:rFonts w:ascii="Arial" w:hAnsi="Arial" w:cs="Arial"/>
        </w:rPr>
        <w:t>.  I</w:t>
      </w:r>
      <w:r w:rsidRPr="00B22067">
        <w:rPr>
          <w:rFonts w:ascii="Arial" w:hAnsi="Arial" w:cs="Arial"/>
        </w:rPr>
        <w:t>t will bring up a search menu as shown below</w:t>
      </w:r>
    </w:p>
    <w:p w:rsidR="0025139E" w:rsidRDefault="0025139E" w:rsidP="0025139E">
      <w:r>
        <w:rPr>
          <w:noProof/>
          <w:lang w:eastAsia="en-GB"/>
        </w:rPr>
        <w:lastRenderedPageBreak/>
        <w:drawing>
          <wp:inline distT="0" distB="0" distL="0" distR="0" wp14:anchorId="42973727" wp14:editId="3E2BAF8E">
            <wp:extent cx="5731510" cy="2115025"/>
            <wp:effectExtent l="0" t="0" r="2540" b="0"/>
            <wp:docPr id="18" name="Picture 18" title="Search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2115025"/>
                    </a:xfrm>
                    <a:prstGeom prst="rect">
                      <a:avLst/>
                    </a:prstGeom>
                  </pic:spPr>
                </pic:pic>
              </a:graphicData>
            </a:graphic>
          </wp:inline>
        </w:drawing>
      </w:r>
    </w:p>
    <w:p w:rsidR="0025139E" w:rsidRPr="00B22067" w:rsidRDefault="0025139E" w:rsidP="0025139E">
      <w:pPr>
        <w:pStyle w:val="ListParagraph"/>
        <w:numPr>
          <w:ilvl w:val="0"/>
          <w:numId w:val="9"/>
        </w:numPr>
        <w:rPr>
          <w:rFonts w:ascii="Arial" w:hAnsi="Arial" w:cs="Arial"/>
        </w:rPr>
      </w:pPr>
      <w:r w:rsidRPr="00B22067">
        <w:rPr>
          <w:rFonts w:ascii="Arial" w:hAnsi="Arial" w:cs="Arial"/>
        </w:rPr>
        <w:t>You can search by Application Number, Ward, Parish and Town by clicking on the appropriate button and selecting from the drop down menu. For example searching on Chidham &amp; Hambrook</w:t>
      </w:r>
    </w:p>
    <w:p w:rsidR="0025139E" w:rsidRDefault="0025139E" w:rsidP="0025139E">
      <w:r>
        <w:rPr>
          <w:noProof/>
          <w:lang w:eastAsia="en-GB"/>
        </w:rPr>
        <w:drawing>
          <wp:inline distT="0" distB="0" distL="0" distR="0" wp14:anchorId="4CF9D388" wp14:editId="2734F5E1">
            <wp:extent cx="5731510" cy="2805133"/>
            <wp:effectExtent l="0" t="0" r="2540" b="0"/>
            <wp:docPr id="19" name="Picture 19"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31510" cy="2805133"/>
                    </a:xfrm>
                    <a:prstGeom prst="rect">
                      <a:avLst/>
                    </a:prstGeom>
                  </pic:spPr>
                </pic:pic>
              </a:graphicData>
            </a:graphic>
          </wp:inline>
        </w:drawing>
      </w:r>
    </w:p>
    <w:p w:rsidR="0025139E" w:rsidRDefault="0025139E" w:rsidP="0025139E">
      <w:pPr>
        <w:pStyle w:val="ListParagraph"/>
        <w:numPr>
          <w:ilvl w:val="0"/>
          <w:numId w:val="9"/>
        </w:numPr>
        <w:rPr>
          <w:rFonts w:ascii="Arial" w:hAnsi="Arial" w:cs="Arial"/>
        </w:rPr>
      </w:pPr>
      <w:r w:rsidRPr="00B22067">
        <w:rPr>
          <w:rFonts w:ascii="Arial" w:hAnsi="Arial" w:cs="Arial"/>
        </w:rPr>
        <w:t xml:space="preserve">Clicking on an application number and scrolling down will bring up details of the development and </w:t>
      </w:r>
      <w:r w:rsidR="000B3EA7">
        <w:rPr>
          <w:rFonts w:ascii="Arial" w:hAnsi="Arial" w:cs="Arial"/>
        </w:rPr>
        <w:t>if subject to a S106 agreement a</w:t>
      </w:r>
      <w:r w:rsidR="000B18AF">
        <w:rPr>
          <w:rFonts w:ascii="Arial" w:hAnsi="Arial" w:cs="Arial"/>
        </w:rPr>
        <w:t xml:space="preserve"> </w:t>
      </w:r>
      <w:r w:rsidRPr="00B22067">
        <w:rPr>
          <w:rFonts w:ascii="Arial" w:hAnsi="Arial" w:cs="Arial"/>
        </w:rPr>
        <w:t>list of monitored covenants together with their discharge date (if appropriate).</w:t>
      </w:r>
    </w:p>
    <w:p w:rsidR="00534AE3" w:rsidRDefault="00534AE3" w:rsidP="00534AE3">
      <w:pPr>
        <w:rPr>
          <w:rFonts w:ascii="Arial" w:hAnsi="Arial" w:cs="Arial"/>
        </w:rPr>
      </w:pPr>
    </w:p>
    <w:p w:rsidR="0025139E" w:rsidRDefault="0025139E" w:rsidP="0025139E">
      <w:r>
        <w:rPr>
          <w:noProof/>
          <w:lang w:eastAsia="en-GB"/>
        </w:rPr>
        <w:lastRenderedPageBreak/>
        <w:drawing>
          <wp:inline distT="0" distB="0" distL="0" distR="0" wp14:anchorId="38FDF3F5" wp14:editId="0184C7D0">
            <wp:extent cx="5731510" cy="4425387"/>
            <wp:effectExtent l="0" t="0" r="2540" b="0"/>
            <wp:docPr id="20" name="Picture 20" title="Table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4425387"/>
                    </a:xfrm>
                    <a:prstGeom prst="rect">
                      <a:avLst/>
                    </a:prstGeom>
                  </pic:spPr>
                </pic:pic>
              </a:graphicData>
            </a:graphic>
          </wp:inline>
        </w:drawing>
      </w:r>
    </w:p>
    <w:p w:rsidR="0025139E" w:rsidRPr="00B22067" w:rsidRDefault="0025139E" w:rsidP="0025139E">
      <w:pPr>
        <w:pStyle w:val="ListParagraph"/>
        <w:numPr>
          <w:ilvl w:val="0"/>
          <w:numId w:val="9"/>
        </w:numPr>
        <w:rPr>
          <w:rFonts w:ascii="Arial" w:hAnsi="Arial" w:cs="Arial"/>
        </w:rPr>
      </w:pPr>
      <w:r w:rsidRPr="00C15838">
        <w:rPr>
          <w:rFonts w:ascii="Arial" w:hAnsi="Arial" w:cs="Arial"/>
        </w:rPr>
        <w:t xml:space="preserve">You can click on the covenant number or description, scroll down, and access further information including a link to the full deed via the   </w:t>
      </w:r>
      <w:r w:rsidRPr="00B22067">
        <w:rPr>
          <w:rFonts w:ascii="Arial" w:hAnsi="Arial" w:cs="Arial"/>
          <w:noProof/>
          <w:lang w:eastAsia="en-GB"/>
        </w:rPr>
        <w:drawing>
          <wp:inline distT="0" distB="0" distL="0" distR="0" wp14:anchorId="09DE91CB" wp14:editId="3A8BD60A">
            <wp:extent cx="989248" cy="241160"/>
            <wp:effectExtent l="0" t="0" r="1905" b="6985"/>
            <wp:docPr id="21" name="Picture 21" title="View de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8881" cy="243508"/>
                    </a:xfrm>
                    <a:prstGeom prst="rect">
                      <a:avLst/>
                    </a:prstGeom>
                  </pic:spPr>
                </pic:pic>
              </a:graphicData>
            </a:graphic>
          </wp:inline>
        </w:drawing>
      </w:r>
      <w:r w:rsidRPr="00C15838">
        <w:rPr>
          <w:rFonts w:ascii="Arial" w:hAnsi="Arial" w:cs="Arial"/>
        </w:rPr>
        <w:t xml:space="preserve"> icon</w:t>
      </w:r>
      <w:r w:rsidR="0074003D" w:rsidRPr="00C15838">
        <w:rPr>
          <w:rFonts w:ascii="Arial" w:hAnsi="Arial" w:cs="Arial"/>
        </w:rPr>
        <w:t xml:space="preserve"> which will open a pdf version in a new window.</w:t>
      </w:r>
      <w:bookmarkStart w:id="0" w:name="_GoBack"/>
      <w:bookmarkEnd w:id="0"/>
    </w:p>
    <w:sectPr w:rsidR="0025139E" w:rsidRPr="00B22067" w:rsidSect="0038417E">
      <w:footerReference w:type="default" r:id="rId2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9E" w:rsidRDefault="0025139E" w:rsidP="0025139E">
      <w:pPr>
        <w:spacing w:after="0" w:line="240" w:lineRule="auto"/>
      </w:pPr>
      <w:r>
        <w:separator/>
      </w:r>
    </w:p>
  </w:endnote>
  <w:endnote w:type="continuationSeparator" w:id="0">
    <w:p w:rsidR="0025139E" w:rsidRDefault="0025139E" w:rsidP="0025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55523"/>
      <w:docPartObj>
        <w:docPartGallery w:val="Page Numbers (Bottom of Page)"/>
        <w:docPartUnique/>
      </w:docPartObj>
    </w:sdtPr>
    <w:sdtEndPr>
      <w:rPr>
        <w:noProof/>
      </w:rPr>
    </w:sdtEndPr>
    <w:sdtContent>
      <w:p w:rsidR="0025139E" w:rsidRDefault="0025139E">
        <w:pPr>
          <w:pStyle w:val="Footer"/>
          <w:jc w:val="right"/>
        </w:pPr>
        <w:r>
          <w:fldChar w:fldCharType="begin"/>
        </w:r>
        <w:r>
          <w:instrText xml:space="preserve"> PAGE   \* MERGEFORMAT </w:instrText>
        </w:r>
        <w:r>
          <w:fldChar w:fldCharType="separate"/>
        </w:r>
        <w:r w:rsidR="00534AE3">
          <w:rPr>
            <w:noProof/>
          </w:rPr>
          <w:t>6</w:t>
        </w:r>
        <w:r>
          <w:rPr>
            <w:noProof/>
          </w:rPr>
          <w:fldChar w:fldCharType="end"/>
        </w:r>
      </w:p>
    </w:sdtContent>
  </w:sdt>
  <w:p w:rsidR="0025139E" w:rsidRDefault="00251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9E" w:rsidRDefault="0025139E" w:rsidP="0025139E">
      <w:pPr>
        <w:spacing w:after="0" w:line="240" w:lineRule="auto"/>
      </w:pPr>
      <w:r>
        <w:separator/>
      </w:r>
    </w:p>
  </w:footnote>
  <w:footnote w:type="continuationSeparator" w:id="0">
    <w:p w:rsidR="0025139E" w:rsidRDefault="0025139E" w:rsidP="00251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F40"/>
    <w:multiLevelType w:val="hybridMultilevel"/>
    <w:tmpl w:val="8D70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6E1538"/>
    <w:multiLevelType w:val="hybridMultilevel"/>
    <w:tmpl w:val="8A9E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6196B"/>
    <w:multiLevelType w:val="hybridMultilevel"/>
    <w:tmpl w:val="88D00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7A4BCE"/>
    <w:multiLevelType w:val="hybridMultilevel"/>
    <w:tmpl w:val="B8FC1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C576FF"/>
    <w:multiLevelType w:val="hybridMultilevel"/>
    <w:tmpl w:val="A92A1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CC44FC"/>
    <w:multiLevelType w:val="hybridMultilevel"/>
    <w:tmpl w:val="0778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5F4469"/>
    <w:multiLevelType w:val="hybridMultilevel"/>
    <w:tmpl w:val="A5D218E8"/>
    <w:lvl w:ilvl="0" w:tplc="FD788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0012E3"/>
    <w:multiLevelType w:val="hybridMultilevel"/>
    <w:tmpl w:val="905EE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525883"/>
    <w:multiLevelType w:val="hybridMultilevel"/>
    <w:tmpl w:val="5EFE8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0B7AC0"/>
    <w:multiLevelType w:val="hybridMultilevel"/>
    <w:tmpl w:val="A5D218E8"/>
    <w:lvl w:ilvl="0" w:tplc="FD788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825FD9"/>
    <w:multiLevelType w:val="hybridMultilevel"/>
    <w:tmpl w:val="C8562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CA4CA3"/>
    <w:multiLevelType w:val="hybridMultilevel"/>
    <w:tmpl w:val="93D26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2"/>
  </w:num>
  <w:num w:numId="5">
    <w:abstractNumId w:val="0"/>
  </w:num>
  <w:num w:numId="6">
    <w:abstractNumId w:val="3"/>
  </w:num>
  <w:num w:numId="7">
    <w:abstractNumId w:val="4"/>
  </w:num>
  <w:num w:numId="8">
    <w:abstractNumId w:val="11"/>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00"/>
    <w:rsid w:val="000264A5"/>
    <w:rsid w:val="00027500"/>
    <w:rsid w:val="000A4C89"/>
    <w:rsid w:val="000B18AF"/>
    <w:rsid w:val="000B3EA7"/>
    <w:rsid w:val="00126B27"/>
    <w:rsid w:val="0014122A"/>
    <w:rsid w:val="00176886"/>
    <w:rsid w:val="0023663F"/>
    <w:rsid w:val="0025139E"/>
    <w:rsid w:val="002977ED"/>
    <w:rsid w:val="002D5229"/>
    <w:rsid w:val="002E16FE"/>
    <w:rsid w:val="0034450F"/>
    <w:rsid w:val="0038417E"/>
    <w:rsid w:val="00437641"/>
    <w:rsid w:val="00491859"/>
    <w:rsid w:val="004A4A7A"/>
    <w:rsid w:val="004B152E"/>
    <w:rsid w:val="004B4A28"/>
    <w:rsid w:val="00534AE3"/>
    <w:rsid w:val="0064392F"/>
    <w:rsid w:val="006633C2"/>
    <w:rsid w:val="006702EC"/>
    <w:rsid w:val="006D7F19"/>
    <w:rsid w:val="0074003D"/>
    <w:rsid w:val="007545C8"/>
    <w:rsid w:val="00757854"/>
    <w:rsid w:val="0077480B"/>
    <w:rsid w:val="00786171"/>
    <w:rsid w:val="007974D7"/>
    <w:rsid w:val="007F7B5F"/>
    <w:rsid w:val="008723D2"/>
    <w:rsid w:val="008F5E7F"/>
    <w:rsid w:val="009058F1"/>
    <w:rsid w:val="00940DE4"/>
    <w:rsid w:val="009529FF"/>
    <w:rsid w:val="00A3560C"/>
    <w:rsid w:val="00A37C34"/>
    <w:rsid w:val="00A639EE"/>
    <w:rsid w:val="00A71394"/>
    <w:rsid w:val="00A87D5D"/>
    <w:rsid w:val="00AA07BE"/>
    <w:rsid w:val="00B12C8C"/>
    <w:rsid w:val="00B22067"/>
    <w:rsid w:val="00B253CB"/>
    <w:rsid w:val="00BA3E3E"/>
    <w:rsid w:val="00C15838"/>
    <w:rsid w:val="00C304EC"/>
    <w:rsid w:val="00CC73E7"/>
    <w:rsid w:val="00D22C2C"/>
    <w:rsid w:val="00D7234B"/>
    <w:rsid w:val="00D905F3"/>
    <w:rsid w:val="00E20BAD"/>
    <w:rsid w:val="00EF3B81"/>
    <w:rsid w:val="00F7733B"/>
    <w:rsid w:val="00FB20F1"/>
    <w:rsid w:val="00FD5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A4A7A"/>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126B27"/>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4A4A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4A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4A7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4A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4A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4A7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A4A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00"/>
    <w:rPr>
      <w:rFonts w:ascii="Tahoma" w:hAnsi="Tahoma" w:cs="Tahoma"/>
      <w:sz w:val="16"/>
      <w:szCs w:val="16"/>
    </w:rPr>
  </w:style>
  <w:style w:type="paragraph" w:styleId="ListParagraph">
    <w:name w:val="List Paragraph"/>
    <w:basedOn w:val="Normal"/>
    <w:uiPriority w:val="34"/>
    <w:qFormat/>
    <w:rsid w:val="0025139E"/>
    <w:pPr>
      <w:ind w:left="720"/>
      <w:contextualSpacing/>
    </w:pPr>
  </w:style>
  <w:style w:type="paragraph" w:styleId="Header">
    <w:name w:val="header"/>
    <w:basedOn w:val="Normal"/>
    <w:link w:val="HeaderChar"/>
    <w:uiPriority w:val="99"/>
    <w:unhideWhenUsed/>
    <w:rsid w:val="0025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39E"/>
  </w:style>
  <w:style w:type="paragraph" w:styleId="Footer">
    <w:name w:val="footer"/>
    <w:basedOn w:val="Normal"/>
    <w:link w:val="FooterChar"/>
    <w:uiPriority w:val="99"/>
    <w:unhideWhenUsed/>
    <w:rsid w:val="0025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9E"/>
  </w:style>
  <w:style w:type="character" w:styleId="Hyperlink">
    <w:name w:val="Hyperlink"/>
    <w:basedOn w:val="DefaultParagraphFont"/>
    <w:uiPriority w:val="99"/>
    <w:unhideWhenUsed/>
    <w:rsid w:val="00CC73E7"/>
    <w:rPr>
      <w:color w:val="0000FF" w:themeColor="hyperlink"/>
      <w:u w:val="single"/>
    </w:rPr>
  </w:style>
  <w:style w:type="character" w:customStyle="1" w:styleId="Heading1Char">
    <w:name w:val="Heading 1 Char"/>
    <w:basedOn w:val="DefaultParagraphFont"/>
    <w:link w:val="Heading1"/>
    <w:uiPriority w:val="9"/>
    <w:rsid w:val="004A4A7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26B27"/>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4A4A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4A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4A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4A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A4A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A4A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A4A7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A4A7A"/>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126B27"/>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4A4A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4A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4A7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4A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4A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4A7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A4A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00"/>
    <w:rPr>
      <w:rFonts w:ascii="Tahoma" w:hAnsi="Tahoma" w:cs="Tahoma"/>
      <w:sz w:val="16"/>
      <w:szCs w:val="16"/>
    </w:rPr>
  </w:style>
  <w:style w:type="paragraph" w:styleId="ListParagraph">
    <w:name w:val="List Paragraph"/>
    <w:basedOn w:val="Normal"/>
    <w:uiPriority w:val="34"/>
    <w:qFormat/>
    <w:rsid w:val="0025139E"/>
    <w:pPr>
      <w:ind w:left="720"/>
      <w:contextualSpacing/>
    </w:pPr>
  </w:style>
  <w:style w:type="paragraph" w:styleId="Header">
    <w:name w:val="header"/>
    <w:basedOn w:val="Normal"/>
    <w:link w:val="HeaderChar"/>
    <w:uiPriority w:val="99"/>
    <w:unhideWhenUsed/>
    <w:rsid w:val="0025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39E"/>
  </w:style>
  <w:style w:type="paragraph" w:styleId="Footer">
    <w:name w:val="footer"/>
    <w:basedOn w:val="Normal"/>
    <w:link w:val="FooterChar"/>
    <w:uiPriority w:val="99"/>
    <w:unhideWhenUsed/>
    <w:rsid w:val="0025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9E"/>
  </w:style>
  <w:style w:type="character" w:styleId="Hyperlink">
    <w:name w:val="Hyperlink"/>
    <w:basedOn w:val="DefaultParagraphFont"/>
    <w:uiPriority w:val="99"/>
    <w:unhideWhenUsed/>
    <w:rsid w:val="00CC73E7"/>
    <w:rPr>
      <w:color w:val="0000FF" w:themeColor="hyperlink"/>
      <w:u w:val="single"/>
    </w:rPr>
  </w:style>
  <w:style w:type="character" w:customStyle="1" w:styleId="Heading1Char">
    <w:name w:val="Heading 1 Char"/>
    <w:basedOn w:val="DefaultParagraphFont"/>
    <w:link w:val="Heading1"/>
    <w:uiPriority w:val="9"/>
    <w:rsid w:val="004A4A7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26B27"/>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4A4A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4A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4A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4A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A4A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A4A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A4A7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chichester.gov.uk/viewplanningapplications"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ichester.gov.uk/viewplanningapplications"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gif@01D5CAD2.D023D5D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13</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Davies</dc:creator>
  <cp:lastModifiedBy>Shona Turner</cp:lastModifiedBy>
  <cp:revision>45</cp:revision>
  <dcterms:created xsi:type="dcterms:W3CDTF">2020-01-15T15:41:00Z</dcterms:created>
  <dcterms:modified xsi:type="dcterms:W3CDTF">2020-09-16T10:52:00Z</dcterms:modified>
</cp:coreProperties>
</file>