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2F91" w14:textId="77777777" w:rsidR="001071FC" w:rsidRPr="00EF6014" w:rsidRDefault="001071FC" w:rsidP="001419F6">
      <w:pPr>
        <w:spacing w:line="276" w:lineRule="auto"/>
        <w:jc w:val="right"/>
        <w:rPr>
          <w:rFonts w:ascii="Arial" w:hAnsi="Arial" w:cs="Arial"/>
          <w:color w:val="404040"/>
          <w:sz w:val="22"/>
          <w:szCs w:val="22"/>
        </w:rPr>
      </w:pPr>
    </w:p>
    <w:p w14:paraId="0406B41B" w14:textId="77777777" w:rsidR="00C53D8C" w:rsidRPr="00EF6014" w:rsidRDefault="00C53D8C" w:rsidP="001419F6">
      <w:pPr>
        <w:spacing w:line="276" w:lineRule="auto"/>
        <w:jc w:val="right"/>
        <w:rPr>
          <w:rFonts w:ascii="Arial" w:hAnsi="Arial" w:cs="Arial"/>
          <w:color w:val="404040"/>
          <w:sz w:val="22"/>
          <w:szCs w:val="22"/>
        </w:rPr>
      </w:pPr>
    </w:p>
    <w:p w14:paraId="10382EFA" w14:textId="4E223C9F" w:rsidR="001071FC" w:rsidRPr="00B73E13" w:rsidRDefault="001071FC" w:rsidP="00B73E13">
      <w:pPr>
        <w:pStyle w:val="Heading1"/>
        <w:spacing w:before="0"/>
        <w:jc w:val="center"/>
        <w:rPr>
          <w:rFonts w:ascii="Arial" w:hAnsi="Arial" w:cs="Arial"/>
          <w:color w:val="auto"/>
        </w:rPr>
      </w:pPr>
      <w:r w:rsidRPr="00B73E13">
        <w:rPr>
          <w:rFonts w:ascii="Arial" w:hAnsi="Arial" w:cs="Arial"/>
          <w:color w:val="auto"/>
        </w:rPr>
        <w:t>Habitat Regulation Assessment (HRA)</w:t>
      </w:r>
    </w:p>
    <w:p w14:paraId="566EE504" w14:textId="77777777" w:rsidR="001071FC" w:rsidRPr="00B73E13" w:rsidRDefault="001071FC" w:rsidP="00B73E13">
      <w:pPr>
        <w:pStyle w:val="Heading1"/>
        <w:spacing w:before="0"/>
        <w:jc w:val="center"/>
        <w:rPr>
          <w:rFonts w:ascii="Arial" w:hAnsi="Arial" w:cs="Arial"/>
          <w:color w:val="auto"/>
        </w:rPr>
      </w:pPr>
      <w:r w:rsidRPr="00B73E13">
        <w:rPr>
          <w:rFonts w:ascii="Arial" w:hAnsi="Arial" w:cs="Arial"/>
          <w:color w:val="auto"/>
        </w:rPr>
        <w:t>Screening Matrix and Appropriate Assessment Statement</w:t>
      </w:r>
    </w:p>
    <w:p w14:paraId="7754AD21" w14:textId="77777777" w:rsidR="001071FC" w:rsidRPr="00EF6014" w:rsidRDefault="001071FC" w:rsidP="00491DBE">
      <w:pPr>
        <w:spacing w:line="276" w:lineRule="auto"/>
        <w:jc w:val="center"/>
        <w:rPr>
          <w:rFonts w:ascii="Arial" w:hAnsi="Arial" w:cs="Arial"/>
          <w:color w:val="404040"/>
          <w:sz w:val="22"/>
          <w:szCs w:val="22"/>
        </w:rPr>
      </w:pPr>
    </w:p>
    <w:p w14:paraId="0682D3A9" w14:textId="77777777" w:rsidR="001071FC" w:rsidRPr="00EF6014" w:rsidRDefault="001071FC" w:rsidP="00491DBE">
      <w:pPr>
        <w:spacing w:line="276" w:lineRule="auto"/>
        <w:jc w:val="center"/>
        <w:rPr>
          <w:rFonts w:ascii="Arial" w:hAnsi="Arial" w:cs="Arial"/>
          <w:b/>
          <w:color w:val="404040"/>
          <w:sz w:val="22"/>
          <w:szCs w:val="22"/>
        </w:rPr>
      </w:pPr>
      <w:r w:rsidRPr="00EF6014">
        <w:rPr>
          <w:rFonts w:ascii="Arial" w:hAnsi="Arial" w:cs="Arial"/>
          <w:b/>
          <w:color w:val="404040"/>
          <w:sz w:val="22"/>
          <w:szCs w:val="22"/>
        </w:rPr>
        <w:t xml:space="preserve">PLEASE NOTE:  Undertaking the HRA process is the responsibility of the decision maker as the Competent Authority for the purpose of the Habitats Regulations, however, it is the </w:t>
      </w:r>
      <w:bookmarkStart w:id="0" w:name="_GoBack"/>
      <w:bookmarkEnd w:id="0"/>
      <w:r w:rsidRPr="00EF6014">
        <w:rPr>
          <w:rFonts w:ascii="Arial" w:hAnsi="Arial" w:cs="Arial"/>
          <w:b/>
          <w:color w:val="404040"/>
          <w:sz w:val="22"/>
          <w:szCs w:val="22"/>
        </w:rPr>
        <w:t xml:space="preserve">responsibility of the </w:t>
      </w:r>
      <w:r w:rsidR="00DC691C" w:rsidRPr="00EF6014">
        <w:rPr>
          <w:rFonts w:ascii="Arial" w:hAnsi="Arial" w:cs="Arial"/>
          <w:b/>
          <w:color w:val="404040"/>
          <w:sz w:val="22"/>
          <w:szCs w:val="22"/>
        </w:rPr>
        <w:t>Q</w:t>
      </w:r>
      <w:r w:rsidR="00977712" w:rsidRPr="00EF6014">
        <w:rPr>
          <w:rFonts w:ascii="Arial" w:hAnsi="Arial" w:cs="Arial"/>
          <w:b/>
          <w:color w:val="404040"/>
          <w:sz w:val="22"/>
          <w:szCs w:val="22"/>
        </w:rPr>
        <w:t xml:space="preserve">ualifying </w:t>
      </w:r>
      <w:r w:rsidR="00DC691C" w:rsidRPr="00EF6014">
        <w:rPr>
          <w:rFonts w:ascii="Arial" w:hAnsi="Arial" w:cs="Arial"/>
          <w:b/>
          <w:color w:val="404040"/>
          <w:sz w:val="22"/>
          <w:szCs w:val="22"/>
        </w:rPr>
        <w:t>B</w:t>
      </w:r>
      <w:r w:rsidR="00977712" w:rsidRPr="00EF6014">
        <w:rPr>
          <w:rFonts w:ascii="Arial" w:hAnsi="Arial" w:cs="Arial"/>
          <w:b/>
          <w:color w:val="404040"/>
          <w:sz w:val="22"/>
          <w:szCs w:val="22"/>
        </w:rPr>
        <w:t xml:space="preserve">ody </w:t>
      </w:r>
      <w:r w:rsidRPr="00EF6014">
        <w:rPr>
          <w:rFonts w:ascii="Arial" w:hAnsi="Arial" w:cs="Arial"/>
          <w:b/>
          <w:color w:val="404040"/>
          <w:sz w:val="22"/>
          <w:szCs w:val="22"/>
        </w:rPr>
        <w:t>to provide the Competent Authority with the information that they require for this purpose.</w:t>
      </w:r>
    </w:p>
    <w:p w14:paraId="63FEB9DB" w14:textId="77777777" w:rsidR="001071FC" w:rsidRPr="00EF6014" w:rsidRDefault="001071FC" w:rsidP="00491DBE">
      <w:pPr>
        <w:spacing w:line="276" w:lineRule="auto"/>
        <w:jc w:val="center"/>
        <w:rPr>
          <w:rFonts w:ascii="Arial" w:hAnsi="Arial" w:cs="Arial"/>
          <w:b/>
          <w:color w:val="404040"/>
          <w:sz w:val="22"/>
          <w:szCs w:val="22"/>
        </w:rPr>
      </w:pPr>
    </w:p>
    <w:tbl>
      <w:tblPr>
        <w:tblW w:w="0" w:type="auto"/>
        <w:tblBorders>
          <w:top w:val="single" w:sz="12" w:space="0" w:color="0083BE"/>
          <w:left w:val="single" w:sz="12" w:space="0" w:color="0083BE"/>
          <w:bottom w:val="single" w:sz="12" w:space="0" w:color="0083BE"/>
          <w:right w:val="single" w:sz="12" w:space="0" w:color="0083BE"/>
          <w:insideH w:val="single" w:sz="4" w:space="0" w:color="0083BE"/>
          <w:insideV w:val="single" w:sz="4" w:space="0" w:color="0083BE"/>
        </w:tblBorders>
        <w:tblCellMar>
          <w:top w:w="57" w:type="dxa"/>
          <w:left w:w="57" w:type="dxa"/>
          <w:bottom w:w="57" w:type="dxa"/>
          <w:right w:w="57" w:type="dxa"/>
        </w:tblCellMar>
        <w:tblLook w:val="00A0" w:firstRow="1" w:lastRow="0" w:firstColumn="1" w:lastColumn="0" w:noHBand="0" w:noVBand="0"/>
      </w:tblPr>
      <w:tblGrid>
        <w:gridCol w:w="3601"/>
        <w:gridCol w:w="6151"/>
      </w:tblGrid>
      <w:tr w:rsidR="00963658" w:rsidRPr="00EF6014" w14:paraId="5F8BE278" w14:textId="77777777" w:rsidTr="00B174DB">
        <w:tc>
          <w:tcPr>
            <w:tcW w:w="9752" w:type="dxa"/>
            <w:gridSpan w:val="2"/>
            <w:tcBorders>
              <w:top w:val="single" w:sz="12" w:space="0" w:color="0083BE"/>
            </w:tcBorders>
            <w:shd w:val="clear" w:color="auto" w:fill="0083BE"/>
          </w:tcPr>
          <w:p w14:paraId="3E2D00FE" w14:textId="77777777" w:rsidR="00963658" w:rsidRPr="00B73E13" w:rsidRDefault="00963658" w:rsidP="00B73E13">
            <w:pPr>
              <w:pStyle w:val="Heading2"/>
              <w:spacing w:before="0"/>
              <w:rPr>
                <w:rFonts w:ascii="Arial" w:hAnsi="Arial" w:cs="Arial"/>
              </w:rPr>
            </w:pPr>
            <w:r w:rsidRPr="00B73E13">
              <w:rPr>
                <w:rFonts w:ascii="Arial" w:hAnsi="Arial" w:cs="Arial"/>
                <w:color w:val="FFFFFF" w:themeColor="background1"/>
                <w:sz w:val="22"/>
              </w:rPr>
              <w:t>Stage 1 - Details of the plan or project</w:t>
            </w:r>
          </w:p>
        </w:tc>
      </w:tr>
      <w:tr w:rsidR="001071FC" w:rsidRPr="00EF6014" w14:paraId="044E817D" w14:textId="77777777" w:rsidTr="00B73E13">
        <w:tc>
          <w:tcPr>
            <w:tcW w:w="3601" w:type="dxa"/>
            <w:tcBorders>
              <w:top w:val="single" w:sz="12" w:space="0" w:color="0083BE"/>
            </w:tcBorders>
            <w:shd w:val="clear" w:color="auto" w:fill="DAE7EE"/>
          </w:tcPr>
          <w:p w14:paraId="147BF967" w14:textId="77777777" w:rsidR="001071FC" w:rsidRPr="00EF6014" w:rsidRDefault="00B8450A" w:rsidP="00B25729">
            <w:pPr>
              <w:spacing w:line="276" w:lineRule="auto"/>
              <w:rPr>
                <w:rFonts w:ascii="Arial" w:hAnsi="Arial" w:cs="Arial"/>
                <w:color w:val="404040"/>
                <w:sz w:val="22"/>
                <w:szCs w:val="22"/>
              </w:rPr>
            </w:pPr>
            <w:r w:rsidRPr="00EF6014">
              <w:rPr>
                <w:rFonts w:ascii="Arial" w:hAnsi="Arial" w:cs="Arial"/>
                <w:color w:val="404040"/>
                <w:sz w:val="22"/>
                <w:szCs w:val="22"/>
              </w:rPr>
              <w:t>Neighbourhood Plan</w:t>
            </w:r>
            <w:r w:rsidR="001071FC" w:rsidRPr="00EF6014">
              <w:rPr>
                <w:rFonts w:ascii="Arial" w:hAnsi="Arial" w:cs="Arial"/>
                <w:color w:val="404040"/>
                <w:sz w:val="22"/>
                <w:szCs w:val="22"/>
              </w:rPr>
              <w:t>:</w:t>
            </w:r>
          </w:p>
        </w:tc>
        <w:tc>
          <w:tcPr>
            <w:tcW w:w="6151" w:type="dxa"/>
            <w:tcBorders>
              <w:top w:val="single" w:sz="12" w:space="0" w:color="0083BE"/>
            </w:tcBorders>
          </w:tcPr>
          <w:p w14:paraId="731B95CB" w14:textId="77777777" w:rsidR="001071FC" w:rsidRPr="00EF6014" w:rsidRDefault="000D0A48" w:rsidP="00B25729">
            <w:pPr>
              <w:spacing w:line="276" w:lineRule="auto"/>
              <w:rPr>
                <w:rFonts w:ascii="Arial" w:hAnsi="Arial" w:cs="Arial"/>
                <w:sz w:val="22"/>
                <w:szCs w:val="22"/>
              </w:rPr>
            </w:pPr>
            <w:r w:rsidRPr="00EF6014">
              <w:rPr>
                <w:rFonts w:ascii="Arial" w:hAnsi="Arial" w:cs="Arial"/>
                <w:sz w:val="22"/>
                <w:szCs w:val="22"/>
              </w:rPr>
              <w:t>Westbourne</w:t>
            </w:r>
            <w:r w:rsidR="00B8450A" w:rsidRPr="00EF6014">
              <w:rPr>
                <w:rFonts w:ascii="Arial" w:hAnsi="Arial" w:cs="Arial"/>
                <w:sz w:val="22"/>
                <w:szCs w:val="22"/>
              </w:rPr>
              <w:t xml:space="preserve"> Neighbourhood Plan</w:t>
            </w:r>
            <w:r w:rsidRPr="00EF6014">
              <w:rPr>
                <w:rFonts w:ascii="Arial" w:hAnsi="Arial" w:cs="Arial"/>
                <w:sz w:val="22"/>
                <w:szCs w:val="22"/>
              </w:rPr>
              <w:t xml:space="preserve"> (2017 – 2029)</w:t>
            </w:r>
          </w:p>
        </w:tc>
      </w:tr>
      <w:tr w:rsidR="001071FC" w:rsidRPr="00EF6014" w14:paraId="3E0DB91B" w14:textId="77777777" w:rsidTr="00B73E13">
        <w:tc>
          <w:tcPr>
            <w:tcW w:w="3601" w:type="dxa"/>
            <w:shd w:val="clear" w:color="auto" w:fill="DAE7EE"/>
          </w:tcPr>
          <w:p w14:paraId="52CA4BE3" w14:textId="77777777" w:rsidR="001071FC" w:rsidRPr="00EF6014" w:rsidRDefault="00B8450A" w:rsidP="00B25729">
            <w:pPr>
              <w:spacing w:line="276" w:lineRule="auto"/>
              <w:rPr>
                <w:rFonts w:ascii="Arial" w:hAnsi="Arial" w:cs="Arial"/>
                <w:color w:val="404040"/>
                <w:sz w:val="22"/>
                <w:szCs w:val="22"/>
              </w:rPr>
            </w:pPr>
            <w:r w:rsidRPr="00EF6014">
              <w:rPr>
                <w:rFonts w:ascii="Arial" w:hAnsi="Arial" w:cs="Arial"/>
                <w:color w:val="404040"/>
                <w:sz w:val="22"/>
                <w:szCs w:val="22"/>
              </w:rPr>
              <w:t xml:space="preserve">No houses indicated by </w:t>
            </w:r>
            <w:r w:rsidR="000A569D">
              <w:rPr>
                <w:rFonts w:ascii="Arial" w:hAnsi="Arial" w:cs="Arial"/>
                <w:color w:val="404040"/>
                <w:sz w:val="22"/>
                <w:szCs w:val="22"/>
              </w:rPr>
              <w:t xml:space="preserve">Chichester </w:t>
            </w:r>
            <w:r w:rsidRPr="00EF6014">
              <w:rPr>
                <w:rFonts w:ascii="Arial" w:hAnsi="Arial" w:cs="Arial"/>
                <w:color w:val="404040"/>
                <w:sz w:val="22"/>
                <w:szCs w:val="22"/>
              </w:rPr>
              <w:t>Local Plan</w:t>
            </w:r>
            <w:r w:rsidR="00C56A9C" w:rsidRPr="00EF6014">
              <w:rPr>
                <w:rFonts w:ascii="Arial" w:hAnsi="Arial" w:cs="Arial"/>
                <w:color w:val="404040"/>
                <w:sz w:val="22"/>
                <w:szCs w:val="22"/>
              </w:rPr>
              <w:t xml:space="preserve"> for </w:t>
            </w:r>
            <w:r w:rsidR="000A569D">
              <w:rPr>
                <w:rFonts w:ascii="Arial" w:hAnsi="Arial" w:cs="Arial"/>
                <w:color w:val="404040"/>
                <w:sz w:val="22"/>
                <w:szCs w:val="22"/>
              </w:rPr>
              <w:t xml:space="preserve">the </w:t>
            </w:r>
            <w:r w:rsidR="00C56A9C" w:rsidRPr="00EF6014">
              <w:rPr>
                <w:rFonts w:ascii="Arial" w:hAnsi="Arial" w:cs="Arial"/>
                <w:color w:val="404040"/>
                <w:sz w:val="22"/>
                <w:szCs w:val="22"/>
              </w:rPr>
              <w:t>Neighbourhood Plan Area</w:t>
            </w:r>
            <w:r w:rsidR="001071FC" w:rsidRPr="00EF6014">
              <w:rPr>
                <w:rFonts w:ascii="Arial" w:hAnsi="Arial" w:cs="Arial"/>
                <w:color w:val="404040"/>
                <w:sz w:val="22"/>
                <w:szCs w:val="22"/>
              </w:rPr>
              <w:t>:</w:t>
            </w:r>
          </w:p>
        </w:tc>
        <w:tc>
          <w:tcPr>
            <w:tcW w:w="6151" w:type="dxa"/>
          </w:tcPr>
          <w:p w14:paraId="35CE1523" w14:textId="77777777" w:rsidR="001071FC" w:rsidRPr="00EF6014" w:rsidRDefault="00BA76E9" w:rsidP="00B25729">
            <w:pPr>
              <w:spacing w:line="276" w:lineRule="auto"/>
              <w:rPr>
                <w:rFonts w:ascii="Arial" w:hAnsi="Arial" w:cs="Arial"/>
                <w:sz w:val="22"/>
                <w:szCs w:val="22"/>
              </w:rPr>
            </w:pPr>
            <w:r w:rsidRPr="00EF6014">
              <w:rPr>
                <w:rFonts w:ascii="Arial" w:hAnsi="Arial" w:cs="Arial"/>
                <w:sz w:val="22"/>
                <w:szCs w:val="22"/>
              </w:rPr>
              <w:t>25</w:t>
            </w:r>
          </w:p>
        </w:tc>
      </w:tr>
      <w:tr w:rsidR="001071FC" w:rsidRPr="00EF6014" w14:paraId="2B6CE3F2" w14:textId="77777777" w:rsidTr="00B73E13">
        <w:tc>
          <w:tcPr>
            <w:tcW w:w="3601" w:type="dxa"/>
            <w:shd w:val="clear" w:color="auto" w:fill="DAE7EE"/>
          </w:tcPr>
          <w:p w14:paraId="2F830F09" w14:textId="77777777" w:rsidR="001071FC" w:rsidRPr="00EF6014" w:rsidRDefault="00B8450A" w:rsidP="00B25729">
            <w:pPr>
              <w:spacing w:line="276" w:lineRule="auto"/>
              <w:rPr>
                <w:rFonts w:ascii="Arial" w:hAnsi="Arial" w:cs="Arial"/>
                <w:color w:val="404040"/>
                <w:sz w:val="22"/>
                <w:szCs w:val="22"/>
              </w:rPr>
            </w:pPr>
            <w:r w:rsidRPr="00EF6014">
              <w:rPr>
                <w:rFonts w:ascii="Arial" w:hAnsi="Arial" w:cs="Arial"/>
                <w:color w:val="404040"/>
                <w:sz w:val="22"/>
                <w:szCs w:val="22"/>
              </w:rPr>
              <w:t>No houses proposed by the Neighbourhood Plan</w:t>
            </w:r>
            <w:r w:rsidR="001071FC" w:rsidRPr="00EF6014">
              <w:rPr>
                <w:rFonts w:ascii="Arial" w:hAnsi="Arial" w:cs="Arial"/>
                <w:color w:val="404040"/>
                <w:sz w:val="22"/>
                <w:szCs w:val="22"/>
              </w:rPr>
              <w:t>:</w:t>
            </w:r>
          </w:p>
        </w:tc>
        <w:tc>
          <w:tcPr>
            <w:tcW w:w="6151" w:type="dxa"/>
          </w:tcPr>
          <w:p w14:paraId="51E49805" w14:textId="77777777" w:rsidR="001071FC" w:rsidRPr="00EF6014" w:rsidRDefault="00BA76E9" w:rsidP="00B25729">
            <w:pPr>
              <w:spacing w:line="276" w:lineRule="auto"/>
              <w:rPr>
                <w:rFonts w:ascii="Arial" w:hAnsi="Arial" w:cs="Arial"/>
                <w:b/>
                <w:sz w:val="22"/>
                <w:szCs w:val="22"/>
              </w:rPr>
            </w:pPr>
            <w:r w:rsidRPr="00EF6014">
              <w:rPr>
                <w:rFonts w:ascii="Arial" w:hAnsi="Arial" w:cs="Arial"/>
                <w:b/>
                <w:sz w:val="22"/>
                <w:szCs w:val="22"/>
              </w:rPr>
              <w:t xml:space="preserve">Total of </w:t>
            </w:r>
            <w:r w:rsidR="000D0A48" w:rsidRPr="00EF6014">
              <w:rPr>
                <w:rFonts w:ascii="Arial" w:hAnsi="Arial" w:cs="Arial"/>
                <w:b/>
                <w:sz w:val="22"/>
                <w:szCs w:val="22"/>
              </w:rPr>
              <w:t>28</w:t>
            </w:r>
          </w:p>
          <w:p w14:paraId="49A8EA28" w14:textId="77777777" w:rsidR="000D0A48" w:rsidRPr="00EF6014" w:rsidRDefault="000D0A48" w:rsidP="00B73E13">
            <w:pPr>
              <w:numPr>
                <w:ilvl w:val="0"/>
                <w:numId w:val="5"/>
              </w:numPr>
              <w:spacing w:line="276" w:lineRule="auto"/>
              <w:ind w:left="368"/>
              <w:rPr>
                <w:rFonts w:ascii="Arial" w:hAnsi="Arial" w:cs="Arial"/>
                <w:sz w:val="22"/>
                <w:szCs w:val="22"/>
              </w:rPr>
            </w:pPr>
            <w:r w:rsidRPr="00EF6014">
              <w:rPr>
                <w:rFonts w:ascii="Arial" w:hAnsi="Arial" w:cs="Arial"/>
                <w:sz w:val="22"/>
                <w:szCs w:val="22"/>
              </w:rPr>
              <w:t>Land to the West of Monk’s Hill – 6 dwellings</w:t>
            </w:r>
          </w:p>
          <w:p w14:paraId="702BE169" w14:textId="77777777" w:rsidR="000D0A48" w:rsidRPr="008B74A9" w:rsidRDefault="000D0A48" w:rsidP="00B73E13">
            <w:pPr>
              <w:numPr>
                <w:ilvl w:val="0"/>
                <w:numId w:val="5"/>
              </w:numPr>
              <w:spacing w:line="276" w:lineRule="auto"/>
              <w:ind w:left="368"/>
              <w:rPr>
                <w:rFonts w:ascii="Arial" w:hAnsi="Arial" w:cs="Arial"/>
                <w:sz w:val="22"/>
                <w:szCs w:val="22"/>
              </w:rPr>
            </w:pPr>
            <w:r w:rsidRPr="00EF6014">
              <w:rPr>
                <w:rFonts w:ascii="Arial" w:hAnsi="Arial" w:cs="Arial"/>
                <w:sz w:val="22"/>
                <w:szCs w:val="22"/>
              </w:rPr>
              <w:t xml:space="preserve">Land at Long Copse Lane – 16 dwellings (Permission granted in </w:t>
            </w:r>
            <w:r w:rsidR="00BA76E9" w:rsidRPr="00EF6014">
              <w:rPr>
                <w:rFonts w:ascii="Arial" w:hAnsi="Arial" w:cs="Arial"/>
                <w:sz w:val="22"/>
                <w:szCs w:val="22"/>
              </w:rPr>
              <w:t xml:space="preserve">December </w:t>
            </w:r>
            <w:r w:rsidR="00BA76E9" w:rsidRPr="00FF579D">
              <w:rPr>
                <w:rFonts w:ascii="Arial" w:hAnsi="Arial" w:cs="Arial"/>
                <w:sz w:val="22"/>
                <w:szCs w:val="22"/>
              </w:rPr>
              <w:t>2015,  under</w:t>
            </w:r>
            <w:r w:rsidR="00BA76E9" w:rsidRPr="00FD32BA">
              <w:rPr>
                <w:rFonts w:ascii="Arial" w:hAnsi="Arial" w:cs="Arial"/>
                <w:sz w:val="22"/>
                <w:szCs w:val="22"/>
              </w:rPr>
              <w:t xml:space="preserve"> construction</w:t>
            </w:r>
            <w:r w:rsidR="008B74A9">
              <w:rPr>
                <w:rFonts w:ascii="Arial" w:hAnsi="Arial" w:cs="Arial"/>
                <w:sz w:val="22"/>
                <w:szCs w:val="22"/>
              </w:rPr>
              <w:t>)</w:t>
            </w:r>
          </w:p>
          <w:p w14:paraId="5E737407" w14:textId="77777777" w:rsidR="00BA76E9" w:rsidRDefault="00BA76E9" w:rsidP="00B73E13">
            <w:pPr>
              <w:numPr>
                <w:ilvl w:val="0"/>
                <w:numId w:val="5"/>
              </w:numPr>
              <w:spacing w:after="120" w:line="276" w:lineRule="auto"/>
              <w:ind w:left="368"/>
              <w:rPr>
                <w:rFonts w:ascii="Arial" w:hAnsi="Arial" w:cs="Arial"/>
                <w:sz w:val="22"/>
                <w:szCs w:val="22"/>
              </w:rPr>
            </w:pPr>
            <w:r w:rsidRPr="00EF6014">
              <w:rPr>
                <w:rFonts w:ascii="Arial" w:hAnsi="Arial" w:cs="Arial"/>
                <w:sz w:val="22"/>
                <w:szCs w:val="22"/>
              </w:rPr>
              <w:t xml:space="preserve">Land adjacent to Chantry Hall, </w:t>
            </w:r>
            <w:proofErr w:type="spellStart"/>
            <w:r w:rsidRPr="00EF6014">
              <w:rPr>
                <w:rFonts w:ascii="Arial" w:hAnsi="Arial" w:cs="Arial"/>
                <w:sz w:val="22"/>
                <w:szCs w:val="22"/>
              </w:rPr>
              <w:t>Foxbury</w:t>
            </w:r>
            <w:proofErr w:type="spellEnd"/>
            <w:r w:rsidRPr="00EF6014">
              <w:rPr>
                <w:rFonts w:ascii="Arial" w:hAnsi="Arial" w:cs="Arial"/>
                <w:sz w:val="22"/>
                <w:szCs w:val="22"/>
              </w:rPr>
              <w:t xml:space="preserve"> Lane – 6 dwellings</w:t>
            </w:r>
          </w:p>
          <w:p w14:paraId="6FF52A83" w14:textId="77777777" w:rsidR="00550C66" w:rsidRPr="00EF6014" w:rsidRDefault="00C03E01" w:rsidP="00550C66">
            <w:pPr>
              <w:spacing w:line="276" w:lineRule="auto"/>
              <w:rPr>
                <w:rFonts w:ascii="Arial" w:hAnsi="Arial" w:cs="Arial"/>
                <w:sz w:val="22"/>
                <w:szCs w:val="22"/>
              </w:rPr>
            </w:pPr>
            <w:r>
              <w:rPr>
                <w:rFonts w:ascii="Arial" w:hAnsi="Arial" w:cs="Arial"/>
                <w:sz w:val="22"/>
                <w:szCs w:val="22"/>
              </w:rPr>
              <w:t xml:space="preserve">No further pitches for Gypsies and Travellers are allocated.  </w:t>
            </w:r>
          </w:p>
        </w:tc>
      </w:tr>
      <w:tr w:rsidR="00F713F6" w:rsidRPr="00EF6014" w14:paraId="7A7450DC" w14:textId="77777777" w:rsidTr="00B73E13">
        <w:tc>
          <w:tcPr>
            <w:tcW w:w="3601" w:type="dxa"/>
            <w:shd w:val="clear" w:color="auto" w:fill="DAE7EE"/>
          </w:tcPr>
          <w:p w14:paraId="0B71743D" w14:textId="77777777" w:rsidR="00F713F6" w:rsidRPr="00EF6014" w:rsidRDefault="00F713F6" w:rsidP="00B25729">
            <w:pPr>
              <w:spacing w:line="276" w:lineRule="auto"/>
              <w:rPr>
                <w:rFonts w:ascii="Arial" w:hAnsi="Arial" w:cs="Arial"/>
                <w:color w:val="404040"/>
                <w:sz w:val="22"/>
                <w:szCs w:val="22"/>
              </w:rPr>
            </w:pPr>
            <w:r w:rsidRPr="00EF6014">
              <w:rPr>
                <w:rFonts w:ascii="Arial" w:hAnsi="Arial" w:cs="Arial"/>
                <w:color w:val="404040"/>
                <w:sz w:val="22"/>
                <w:szCs w:val="22"/>
              </w:rPr>
              <w:t>Will the Neighbourhood Plan result in a net increase in residential development?</w:t>
            </w:r>
          </w:p>
        </w:tc>
        <w:tc>
          <w:tcPr>
            <w:tcW w:w="6151" w:type="dxa"/>
          </w:tcPr>
          <w:p w14:paraId="1A84F9EA" w14:textId="77777777" w:rsidR="00F713F6" w:rsidRPr="00EF6014" w:rsidRDefault="000A569D" w:rsidP="000A569D">
            <w:pPr>
              <w:spacing w:line="276" w:lineRule="auto"/>
              <w:rPr>
                <w:rFonts w:ascii="Arial" w:hAnsi="Arial" w:cs="Arial"/>
                <w:sz w:val="22"/>
                <w:szCs w:val="22"/>
              </w:rPr>
            </w:pPr>
            <w:r>
              <w:rPr>
                <w:rFonts w:ascii="Arial" w:hAnsi="Arial" w:cs="Arial"/>
                <w:sz w:val="22"/>
                <w:szCs w:val="22"/>
              </w:rPr>
              <w:t>Yes</w:t>
            </w:r>
          </w:p>
        </w:tc>
      </w:tr>
      <w:tr w:rsidR="000111A2" w:rsidRPr="00EF6014" w14:paraId="66B427C2" w14:textId="77777777" w:rsidTr="00B73E13">
        <w:tc>
          <w:tcPr>
            <w:tcW w:w="3601" w:type="dxa"/>
            <w:shd w:val="clear" w:color="auto" w:fill="DAE7EE"/>
          </w:tcPr>
          <w:p w14:paraId="5B4EF35E" w14:textId="77777777" w:rsidR="000111A2" w:rsidRPr="003C7415" w:rsidRDefault="000A569D" w:rsidP="00B25729">
            <w:pPr>
              <w:spacing w:line="276" w:lineRule="auto"/>
              <w:rPr>
                <w:rFonts w:ascii="Arial" w:hAnsi="Arial" w:cs="Arial"/>
                <w:color w:val="404040"/>
                <w:sz w:val="22"/>
                <w:szCs w:val="22"/>
              </w:rPr>
            </w:pPr>
            <w:r w:rsidRPr="003C7415">
              <w:rPr>
                <w:rFonts w:ascii="Arial" w:hAnsi="Arial" w:cs="Arial"/>
                <w:color w:val="404040"/>
                <w:sz w:val="22"/>
                <w:szCs w:val="22"/>
              </w:rPr>
              <w:t>Other than residential development, what other key policy areas does the plan cover?</w:t>
            </w:r>
          </w:p>
        </w:tc>
        <w:tc>
          <w:tcPr>
            <w:tcW w:w="6151" w:type="dxa"/>
          </w:tcPr>
          <w:p w14:paraId="7EDB4944" w14:textId="75307AB8" w:rsidR="00C03E01" w:rsidRPr="003C7415" w:rsidRDefault="00C03E01" w:rsidP="00135E14">
            <w:pPr>
              <w:spacing w:line="276" w:lineRule="auto"/>
              <w:rPr>
                <w:rFonts w:ascii="Arial" w:hAnsi="Arial" w:cs="Arial"/>
                <w:sz w:val="22"/>
                <w:szCs w:val="22"/>
              </w:rPr>
            </w:pPr>
            <w:r w:rsidRPr="003C7415">
              <w:rPr>
                <w:rFonts w:ascii="Arial" w:hAnsi="Arial" w:cs="Arial"/>
                <w:sz w:val="22"/>
                <w:szCs w:val="22"/>
              </w:rPr>
              <w:t xml:space="preserve">The plan seeks to ensure that Westbourne can evolve and remains a vibrant community including preventing </w:t>
            </w:r>
            <w:r w:rsidR="008350E5" w:rsidRPr="003C7415">
              <w:rPr>
                <w:rFonts w:ascii="Arial" w:hAnsi="Arial" w:cs="Arial"/>
                <w:sz w:val="22"/>
                <w:szCs w:val="22"/>
              </w:rPr>
              <w:t xml:space="preserve">the </w:t>
            </w:r>
            <w:r w:rsidRPr="003C7415">
              <w:rPr>
                <w:rFonts w:ascii="Arial" w:hAnsi="Arial" w:cs="Arial"/>
                <w:sz w:val="22"/>
                <w:szCs w:val="22"/>
              </w:rPr>
              <w:t xml:space="preserve">loss of facilities and supporting the provision of new.  It protects local distinctiveness, important local views, heritage and a number of local gaps.  The plan requires proposals to demonstrate how they improve the biodiversity of a site and identifies the many key features of the local biodiversity network. </w:t>
            </w:r>
          </w:p>
          <w:p w14:paraId="3D96BA07" w14:textId="77777777" w:rsidR="00C03E01" w:rsidRPr="003C7415" w:rsidRDefault="00C03E01" w:rsidP="00135E14">
            <w:pPr>
              <w:spacing w:line="276" w:lineRule="auto"/>
              <w:rPr>
                <w:rFonts w:ascii="Arial" w:hAnsi="Arial" w:cs="Arial"/>
                <w:sz w:val="22"/>
                <w:szCs w:val="22"/>
              </w:rPr>
            </w:pPr>
          </w:p>
          <w:p w14:paraId="5A6B6FFD" w14:textId="77777777" w:rsidR="000111A2" w:rsidRPr="00EF6014" w:rsidRDefault="00C03E01" w:rsidP="000A569D">
            <w:pPr>
              <w:spacing w:line="276" w:lineRule="auto"/>
              <w:rPr>
                <w:rFonts w:ascii="Arial" w:hAnsi="Arial" w:cs="Arial"/>
                <w:sz w:val="22"/>
                <w:szCs w:val="22"/>
              </w:rPr>
            </w:pPr>
            <w:r w:rsidRPr="003C7415">
              <w:rPr>
                <w:rFonts w:ascii="Arial" w:hAnsi="Arial" w:cs="Arial"/>
                <w:sz w:val="22"/>
                <w:szCs w:val="22"/>
              </w:rPr>
              <w:t xml:space="preserve">With the exception of the housing allocations and </w:t>
            </w:r>
            <w:r w:rsidR="000A569D" w:rsidRPr="003C7415">
              <w:rPr>
                <w:rFonts w:ascii="Arial" w:hAnsi="Arial" w:cs="Arial"/>
                <w:sz w:val="22"/>
                <w:szCs w:val="22"/>
              </w:rPr>
              <w:t xml:space="preserve">housing </w:t>
            </w:r>
            <w:r w:rsidRPr="003C7415">
              <w:rPr>
                <w:rFonts w:ascii="Arial" w:hAnsi="Arial" w:cs="Arial"/>
                <w:sz w:val="22"/>
                <w:szCs w:val="22"/>
              </w:rPr>
              <w:t xml:space="preserve">policy there are no </w:t>
            </w:r>
            <w:r w:rsidR="000A569D" w:rsidRPr="003C7415">
              <w:rPr>
                <w:rFonts w:ascii="Arial" w:hAnsi="Arial" w:cs="Arial"/>
                <w:sz w:val="22"/>
                <w:szCs w:val="22"/>
              </w:rPr>
              <w:t xml:space="preserve">other </w:t>
            </w:r>
            <w:r w:rsidRPr="003C7415">
              <w:rPr>
                <w:rFonts w:ascii="Arial" w:hAnsi="Arial" w:cs="Arial"/>
                <w:sz w:val="22"/>
                <w:szCs w:val="22"/>
              </w:rPr>
              <w:t xml:space="preserve">policies within the plan likely to </w:t>
            </w:r>
            <w:r w:rsidR="000A569D" w:rsidRPr="003C7415">
              <w:rPr>
                <w:rFonts w:ascii="Arial" w:hAnsi="Arial" w:cs="Arial"/>
                <w:sz w:val="22"/>
                <w:szCs w:val="22"/>
              </w:rPr>
              <w:t xml:space="preserve">directly </w:t>
            </w:r>
            <w:r w:rsidRPr="003C7415">
              <w:rPr>
                <w:rFonts w:ascii="Arial" w:hAnsi="Arial" w:cs="Arial"/>
                <w:sz w:val="22"/>
                <w:szCs w:val="22"/>
              </w:rPr>
              <w:t xml:space="preserve">lead to an increase in residential </w:t>
            </w:r>
            <w:r w:rsidR="000A569D" w:rsidRPr="003C7415">
              <w:rPr>
                <w:rFonts w:ascii="Arial" w:hAnsi="Arial" w:cs="Arial"/>
                <w:sz w:val="22"/>
                <w:szCs w:val="22"/>
              </w:rPr>
              <w:t>accommodation</w:t>
            </w:r>
            <w:r w:rsidRPr="003C7415">
              <w:rPr>
                <w:rFonts w:ascii="Arial" w:hAnsi="Arial" w:cs="Arial"/>
                <w:sz w:val="22"/>
                <w:szCs w:val="22"/>
              </w:rPr>
              <w:t xml:space="preserve"> including accommodation for tourism.</w:t>
            </w:r>
            <w:r>
              <w:rPr>
                <w:rFonts w:ascii="Arial" w:hAnsi="Arial" w:cs="Arial"/>
                <w:sz w:val="22"/>
                <w:szCs w:val="22"/>
              </w:rPr>
              <w:t xml:space="preserve">  </w:t>
            </w:r>
          </w:p>
        </w:tc>
      </w:tr>
      <w:tr w:rsidR="001071FC" w:rsidRPr="00EF6014" w14:paraId="3662CB61" w14:textId="77777777" w:rsidTr="00B73E13">
        <w:tc>
          <w:tcPr>
            <w:tcW w:w="3601" w:type="dxa"/>
            <w:tcBorders>
              <w:bottom w:val="single" w:sz="12" w:space="0" w:color="0083BE"/>
            </w:tcBorders>
            <w:shd w:val="clear" w:color="auto" w:fill="DAE7EE"/>
          </w:tcPr>
          <w:p w14:paraId="28661811" w14:textId="77777777" w:rsidR="001071FC" w:rsidRPr="00EF6014" w:rsidRDefault="00B8450A" w:rsidP="00B25729">
            <w:pPr>
              <w:spacing w:line="276" w:lineRule="auto"/>
              <w:rPr>
                <w:rFonts w:ascii="Arial" w:hAnsi="Arial" w:cs="Arial"/>
                <w:color w:val="404040"/>
                <w:sz w:val="22"/>
                <w:szCs w:val="22"/>
              </w:rPr>
            </w:pPr>
            <w:r w:rsidRPr="00EF6014">
              <w:rPr>
                <w:rFonts w:ascii="Arial" w:hAnsi="Arial" w:cs="Arial"/>
                <w:color w:val="404040"/>
                <w:sz w:val="22"/>
                <w:szCs w:val="22"/>
              </w:rPr>
              <w:t>Status of Neighbourhood Plan</w:t>
            </w:r>
            <w:r w:rsidR="001071FC" w:rsidRPr="00EF6014">
              <w:rPr>
                <w:rFonts w:ascii="Arial" w:hAnsi="Arial" w:cs="Arial"/>
                <w:color w:val="404040"/>
                <w:sz w:val="22"/>
                <w:szCs w:val="22"/>
              </w:rPr>
              <w:t>:</w:t>
            </w:r>
          </w:p>
        </w:tc>
        <w:tc>
          <w:tcPr>
            <w:tcW w:w="6151" w:type="dxa"/>
            <w:tcBorders>
              <w:bottom w:val="single" w:sz="12" w:space="0" w:color="0083BE"/>
            </w:tcBorders>
          </w:tcPr>
          <w:p w14:paraId="6FB60ECD" w14:textId="77777777" w:rsidR="001071FC" w:rsidRPr="00EF6014" w:rsidRDefault="00E82C13" w:rsidP="00B25729">
            <w:pPr>
              <w:spacing w:line="276" w:lineRule="auto"/>
              <w:rPr>
                <w:rFonts w:ascii="Arial" w:hAnsi="Arial" w:cs="Arial"/>
                <w:sz w:val="22"/>
                <w:szCs w:val="22"/>
              </w:rPr>
            </w:pPr>
            <w:r w:rsidRPr="00EF6014">
              <w:rPr>
                <w:rFonts w:ascii="Arial" w:hAnsi="Arial" w:cs="Arial"/>
                <w:sz w:val="22"/>
                <w:szCs w:val="22"/>
              </w:rPr>
              <w:t>Examination</w:t>
            </w:r>
          </w:p>
        </w:tc>
      </w:tr>
      <w:tr w:rsidR="001071FC" w:rsidRPr="00EF6014" w14:paraId="4DF4BDFE" w14:textId="77777777" w:rsidTr="00B73E13">
        <w:tc>
          <w:tcPr>
            <w:tcW w:w="3601" w:type="dxa"/>
            <w:tcBorders>
              <w:bottom w:val="single" w:sz="12" w:space="0" w:color="0083BE"/>
            </w:tcBorders>
            <w:shd w:val="clear" w:color="auto" w:fill="DAE7EE"/>
          </w:tcPr>
          <w:p w14:paraId="07211A4A" w14:textId="77777777" w:rsidR="000A569D" w:rsidRDefault="00B004AE" w:rsidP="00BD340C">
            <w:pPr>
              <w:spacing w:line="276" w:lineRule="auto"/>
              <w:rPr>
                <w:rFonts w:ascii="Arial" w:hAnsi="Arial" w:cs="Arial"/>
                <w:color w:val="404040"/>
                <w:sz w:val="22"/>
                <w:szCs w:val="22"/>
              </w:rPr>
            </w:pPr>
            <w:r>
              <w:rPr>
                <w:rFonts w:ascii="Arial" w:hAnsi="Arial" w:cs="Arial"/>
                <w:color w:val="404040"/>
                <w:sz w:val="22"/>
                <w:szCs w:val="22"/>
              </w:rPr>
              <w:t>Europ</w:t>
            </w:r>
            <w:r w:rsidR="008350E5">
              <w:rPr>
                <w:rFonts w:ascii="Arial" w:hAnsi="Arial" w:cs="Arial"/>
                <w:color w:val="404040"/>
                <w:sz w:val="22"/>
                <w:szCs w:val="22"/>
              </w:rPr>
              <w:t>ean site potentiall</w:t>
            </w:r>
            <w:r>
              <w:rPr>
                <w:rFonts w:ascii="Arial" w:hAnsi="Arial" w:cs="Arial"/>
                <w:color w:val="404040"/>
                <w:sz w:val="22"/>
                <w:szCs w:val="22"/>
              </w:rPr>
              <w:t>y</w:t>
            </w:r>
            <w:r w:rsidR="008350E5">
              <w:rPr>
                <w:rFonts w:ascii="Arial" w:hAnsi="Arial" w:cs="Arial"/>
                <w:color w:val="404040"/>
                <w:sz w:val="22"/>
                <w:szCs w:val="22"/>
              </w:rPr>
              <w:t xml:space="preserve"> impacted</w:t>
            </w:r>
            <w:r>
              <w:rPr>
                <w:rFonts w:ascii="Arial" w:hAnsi="Arial" w:cs="Arial"/>
                <w:color w:val="404040"/>
                <w:sz w:val="22"/>
                <w:szCs w:val="22"/>
              </w:rPr>
              <w:t xml:space="preserve"> - </w:t>
            </w:r>
            <w:r w:rsidR="00F713F6" w:rsidRPr="00EF6014">
              <w:rPr>
                <w:rFonts w:ascii="Arial" w:hAnsi="Arial" w:cs="Arial"/>
                <w:color w:val="404040"/>
                <w:sz w:val="22"/>
                <w:szCs w:val="22"/>
              </w:rPr>
              <w:t>Is the plan area within</w:t>
            </w:r>
            <w:r w:rsidR="000A569D">
              <w:rPr>
                <w:rFonts w:ascii="Arial" w:hAnsi="Arial" w:cs="Arial"/>
                <w:color w:val="404040"/>
                <w:sz w:val="22"/>
                <w:szCs w:val="22"/>
              </w:rPr>
              <w:t>:</w:t>
            </w:r>
          </w:p>
          <w:p w14:paraId="1BFA3864" w14:textId="77777777" w:rsidR="000A569D" w:rsidRDefault="00F713F6" w:rsidP="00E545B0">
            <w:pPr>
              <w:numPr>
                <w:ilvl w:val="0"/>
                <w:numId w:val="7"/>
              </w:numPr>
              <w:spacing w:line="276" w:lineRule="auto"/>
              <w:ind w:left="426" w:hanging="284"/>
              <w:rPr>
                <w:rFonts w:ascii="Arial" w:hAnsi="Arial" w:cs="Arial"/>
                <w:color w:val="404040"/>
                <w:sz w:val="22"/>
                <w:szCs w:val="22"/>
              </w:rPr>
            </w:pPr>
            <w:r w:rsidRPr="00EF6014">
              <w:rPr>
                <w:rFonts w:ascii="Arial" w:hAnsi="Arial" w:cs="Arial"/>
                <w:color w:val="404040"/>
                <w:sz w:val="22"/>
                <w:szCs w:val="22"/>
              </w:rPr>
              <w:t xml:space="preserve">5.6km radius of a </w:t>
            </w:r>
            <w:r w:rsidR="000A569D">
              <w:rPr>
                <w:rFonts w:ascii="Arial" w:hAnsi="Arial" w:cs="Arial"/>
                <w:color w:val="404040"/>
                <w:sz w:val="22"/>
                <w:szCs w:val="22"/>
              </w:rPr>
              <w:t xml:space="preserve">Chichester </w:t>
            </w:r>
            <w:r w:rsidR="0050602C">
              <w:rPr>
                <w:rFonts w:ascii="Arial" w:hAnsi="Arial" w:cs="Arial"/>
                <w:color w:val="404040"/>
                <w:sz w:val="22"/>
                <w:szCs w:val="22"/>
              </w:rPr>
              <w:t xml:space="preserve"> and Langstone </w:t>
            </w:r>
            <w:r w:rsidR="000A569D">
              <w:rPr>
                <w:rFonts w:ascii="Arial" w:hAnsi="Arial" w:cs="Arial"/>
                <w:color w:val="404040"/>
                <w:sz w:val="22"/>
                <w:szCs w:val="22"/>
              </w:rPr>
              <w:t>Harbour</w:t>
            </w:r>
            <w:r w:rsidR="0050602C">
              <w:rPr>
                <w:rFonts w:ascii="Arial" w:hAnsi="Arial" w:cs="Arial"/>
                <w:color w:val="404040"/>
                <w:sz w:val="22"/>
                <w:szCs w:val="22"/>
              </w:rPr>
              <w:t>s</w:t>
            </w:r>
            <w:r w:rsidR="000A569D">
              <w:rPr>
                <w:rFonts w:ascii="Arial" w:hAnsi="Arial" w:cs="Arial"/>
                <w:color w:val="404040"/>
                <w:sz w:val="22"/>
                <w:szCs w:val="22"/>
              </w:rPr>
              <w:t xml:space="preserve"> SPA </w:t>
            </w:r>
          </w:p>
          <w:p w14:paraId="69520DF2" w14:textId="77777777" w:rsidR="001071FC" w:rsidRDefault="00BD340C" w:rsidP="00E545B0">
            <w:pPr>
              <w:numPr>
                <w:ilvl w:val="0"/>
                <w:numId w:val="7"/>
              </w:numPr>
              <w:spacing w:line="276" w:lineRule="auto"/>
              <w:ind w:left="426" w:hanging="284"/>
              <w:rPr>
                <w:rFonts w:ascii="Arial" w:hAnsi="Arial" w:cs="Arial"/>
                <w:color w:val="404040"/>
                <w:sz w:val="22"/>
                <w:szCs w:val="22"/>
              </w:rPr>
            </w:pPr>
            <w:r w:rsidRPr="00EF6014">
              <w:rPr>
                <w:rFonts w:ascii="Arial" w:hAnsi="Arial" w:cs="Arial"/>
                <w:color w:val="404040"/>
                <w:sz w:val="22"/>
                <w:szCs w:val="22"/>
              </w:rPr>
              <w:t>3.5km of Pagham Harbour SPA</w:t>
            </w:r>
          </w:p>
          <w:p w14:paraId="0BEDF0E8" w14:textId="77777777" w:rsidR="000A569D" w:rsidRPr="000F309A" w:rsidRDefault="003C7415" w:rsidP="00E545B0">
            <w:pPr>
              <w:numPr>
                <w:ilvl w:val="0"/>
                <w:numId w:val="7"/>
              </w:numPr>
              <w:spacing w:line="276" w:lineRule="auto"/>
              <w:ind w:left="426" w:hanging="284"/>
              <w:rPr>
                <w:rFonts w:ascii="Arial" w:hAnsi="Arial" w:cs="Arial"/>
                <w:color w:val="404040"/>
                <w:sz w:val="22"/>
                <w:szCs w:val="22"/>
              </w:rPr>
            </w:pPr>
            <w:r w:rsidRPr="000F309A">
              <w:rPr>
                <w:rFonts w:ascii="Arial" w:hAnsi="Arial" w:cs="Arial"/>
                <w:sz w:val="22"/>
                <w:szCs w:val="22"/>
              </w:rPr>
              <w:t>6.5km or 12km</w:t>
            </w:r>
            <w:r w:rsidR="000A569D" w:rsidRPr="000F309A">
              <w:rPr>
                <w:rFonts w:ascii="Arial" w:hAnsi="Arial" w:cs="Arial"/>
                <w:sz w:val="22"/>
                <w:szCs w:val="22"/>
              </w:rPr>
              <w:t xml:space="preserve"> of Ebernoe </w:t>
            </w:r>
            <w:r w:rsidRPr="000F309A">
              <w:rPr>
                <w:rFonts w:ascii="Arial" w:hAnsi="Arial" w:cs="Arial"/>
                <w:sz w:val="22"/>
                <w:szCs w:val="22"/>
              </w:rPr>
              <w:t xml:space="preserve">Common SAC </w:t>
            </w:r>
            <w:r w:rsidR="000A569D" w:rsidRPr="000F309A">
              <w:rPr>
                <w:rFonts w:ascii="Arial" w:hAnsi="Arial" w:cs="Arial"/>
                <w:sz w:val="22"/>
                <w:szCs w:val="22"/>
              </w:rPr>
              <w:t xml:space="preserve">/ </w:t>
            </w:r>
            <w:r w:rsidRPr="000F309A">
              <w:rPr>
                <w:rFonts w:ascii="Arial" w:hAnsi="Arial" w:cs="Arial"/>
                <w:sz w:val="22"/>
                <w:szCs w:val="22"/>
              </w:rPr>
              <w:t xml:space="preserve">The </w:t>
            </w:r>
            <w:proofErr w:type="spellStart"/>
            <w:r w:rsidR="000A569D" w:rsidRPr="000F309A">
              <w:rPr>
                <w:rFonts w:ascii="Arial" w:hAnsi="Arial" w:cs="Arial"/>
                <w:sz w:val="22"/>
                <w:szCs w:val="22"/>
              </w:rPr>
              <w:t>Mens</w:t>
            </w:r>
            <w:proofErr w:type="spellEnd"/>
            <w:r w:rsidR="000A569D" w:rsidRPr="000F309A">
              <w:rPr>
                <w:rFonts w:ascii="Arial" w:hAnsi="Arial" w:cs="Arial"/>
                <w:sz w:val="22"/>
                <w:szCs w:val="22"/>
              </w:rPr>
              <w:t xml:space="preserve"> </w:t>
            </w:r>
            <w:r w:rsidRPr="000F309A">
              <w:rPr>
                <w:rFonts w:ascii="Arial" w:hAnsi="Arial" w:cs="Arial"/>
                <w:sz w:val="22"/>
                <w:szCs w:val="22"/>
              </w:rPr>
              <w:t>SAC / Singleton and Cocking Tunnels SAC</w:t>
            </w:r>
            <w:r w:rsidR="000A569D" w:rsidRPr="000F309A">
              <w:rPr>
                <w:rFonts w:ascii="Arial" w:hAnsi="Arial" w:cs="Arial"/>
                <w:color w:val="404040"/>
                <w:sz w:val="22"/>
                <w:szCs w:val="22"/>
              </w:rPr>
              <w:t xml:space="preserve"> </w:t>
            </w:r>
          </w:p>
          <w:p w14:paraId="423FAEA7" w14:textId="77777777" w:rsidR="005C571F" w:rsidRDefault="000F309A" w:rsidP="00E545B0">
            <w:pPr>
              <w:numPr>
                <w:ilvl w:val="0"/>
                <w:numId w:val="7"/>
              </w:numPr>
              <w:spacing w:line="276" w:lineRule="auto"/>
              <w:ind w:left="426" w:hanging="284"/>
              <w:rPr>
                <w:rFonts w:ascii="Arial" w:hAnsi="Arial" w:cs="Arial"/>
                <w:color w:val="404040"/>
                <w:sz w:val="22"/>
                <w:szCs w:val="22"/>
              </w:rPr>
            </w:pPr>
            <w:r w:rsidRPr="000F309A">
              <w:rPr>
                <w:rFonts w:ascii="Arial" w:hAnsi="Arial" w:cs="Arial"/>
                <w:color w:val="404040"/>
                <w:sz w:val="22"/>
                <w:szCs w:val="22"/>
              </w:rPr>
              <w:t xml:space="preserve">400m or 5km of </w:t>
            </w:r>
            <w:r w:rsidR="00EA1319" w:rsidRPr="000F309A">
              <w:rPr>
                <w:rFonts w:ascii="Arial" w:hAnsi="Arial" w:cs="Arial"/>
                <w:color w:val="404040"/>
                <w:sz w:val="22"/>
                <w:szCs w:val="22"/>
              </w:rPr>
              <w:t xml:space="preserve">Wealden </w:t>
            </w:r>
            <w:r w:rsidR="00EA1319" w:rsidRPr="000F309A">
              <w:rPr>
                <w:rFonts w:ascii="Arial" w:hAnsi="Arial" w:cs="Arial"/>
                <w:color w:val="404040"/>
                <w:sz w:val="22"/>
                <w:szCs w:val="22"/>
              </w:rPr>
              <w:lastRenderedPageBreak/>
              <w:t>Heaths Phase 2 SPA</w:t>
            </w:r>
          </w:p>
          <w:p w14:paraId="201C0341" w14:textId="77777777" w:rsidR="004A6D6B" w:rsidRDefault="004A6D6B" w:rsidP="00E545B0">
            <w:pPr>
              <w:numPr>
                <w:ilvl w:val="0"/>
                <w:numId w:val="7"/>
              </w:numPr>
              <w:spacing w:line="276" w:lineRule="auto"/>
              <w:ind w:left="426" w:hanging="284"/>
              <w:rPr>
                <w:rFonts w:ascii="Arial" w:hAnsi="Arial" w:cs="Arial"/>
                <w:color w:val="404040"/>
                <w:sz w:val="22"/>
                <w:szCs w:val="22"/>
              </w:rPr>
            </w:pPr>
            <w:r>
              <w:rPr>
                <w:rFonts w:ascii="Arial" w:hAnsi="Arial" w:cs="Arial"/>
                <w:color w:val="404040"/>
                <w:sz w:val="22"/>
                <w:szCs w:val="22"/>
              </w:rPr>
              <w:t>The Chichester Harbour Fluvial Catchment</w:t>
            </w:r>
          </w:p>
          <w:p w14:paraId="6DB58C22" w14:textId="77777777" w:rsidR="004A6D6B" w:rsidRPr="00EF6014" w:rsidRDefault="004A6D6B" w:rsidP="00E545B0">
            <w:pPr>
              <w:numPr>
                <w:ilvl w:val="0"/>
                <w:numId w:val="7"/>
              </w:numPr>
              <w:spacing w:line="276" w:lineRule="auto"/>
              <w:ind w:left="426" w:hanging="284"/>
              <w:rPr>
                <w:rFonts w:ascii="Arial" w:hAnsi="Arial" w:cs="Arial"/>
                <w:color w:val="404040"/>
                <w:sz w:val="22"/>
                <w:szCs w:val="22"/>
              </w:rPr>
            </w:pPr>
            <w:r>
              <w:rPr>
                <w:rFonts w:ascii="Arial" w:hAnsi="Arial" w:cs="Arial"/>
                <w:color w:val="404040"/>
                <w:sz w:val="22"/>
                <w:szCs w:val="22"/>
              </w:rPr>
              <w:t>An area served by a Wastewater Treatment Plant that discharges to Chichester Harbour</w:t>
            </w:r>
          </w:p>
        </w:tc>
        <w:tc>
          <w:tcPr>
            <w:tcW w:w="6151" w:type="dxa"/>
            <w:tcBorders>
              <w:bottom w:val="single" w:sz="12" w:space="0" w:color="0083BE"/>
            </w:tcBorders>
          </w:tcPr>
          <w:p w14:paraId="68CDE50B" w14:textId="77777777" w:rsidR="0050602C" w:rsidRDefault="0050602C" w:rsidP="00135E14">
            <w:pPr>
              <w:spacing w:line="276" w:lineRule="auto"/>
              <w:rPr>
                <w:rFonts w:ascii="Arial" w:hAnsi="Arial" w:cs="Arial"/>
                <w:b/>
                <w:sz w:val="22"/>
                <w:szCs w:val="22"/>
              </w:rPr>
            </w:pPr>
          </w:p>
          <w:p w14:paraId="3DD8B807" w14:textId="77777777" w:rsidR="0050602C" w:rsidRDefault="0050602C" w:rsidP="00135E14">
            <w:pPr>
              <w:spacing w:line="276" w:lineRule="auto"/>
              <w:rPr>
                <w:rFonts w:ascii="Arial" w:hAnsi="Arial" w:cs="Arial"/>
                <w:b/>
                <w:sz w:val="22"/>
                <w:szCs w:val="22"/>
              </w:rPr>
            </w:pPr>
          </w:p>
          <w:p w14:paraId="3E18C700" w14:textId="77777777" w:rsidR="00135E14" w:rsidRDefault="005C571F" w:rsidP="00135E14">
            <w:pPr>
              <w:spacing w:line="276" w:lineRule="auto"/>
              <w:rPr>
                <w:rFonts w:ascii="Arial" w:hAnsi="Arial" w:cs="Arial"/>
                <w:sz w:val="22"/>
                <w:szCs w:val="22"/>
              </w:rPr>
            </w:pPr>
            <w:r>
              <w:rPr>
                <w:rFonts w:ascii="Arial" w:hAnsi="Arial" w:cs="Arial"/>
                <w:b/>
                <w:sz w:val="22"/>
                <w:szCs w:val="22"/>
              </w:rPr>
              <w:t>Yes</w:t>
            </w:r>
            <w:r w:rsidR="00135E14" w:rsidRPr="00EF6014">
              <w:rPr>
                <w:rFonts w:ascii="Arial" w:hAnsi="Arial" w:cs="Arial"/>
                <w:b/>
                <w:sz w:val="22"/>
                <w:szCs w:val="22"/>
              </w:rPr>
              <w:t xml:space="preserve"> </w:t>
            </w:r>
            <w:r w:rsidR="00135E14" w:rsidRPr="00EF6014">
              <w:rPr>
                <w:rFonts w:ascii="Arial" w:hAnsi="Arial" w:cs="Arial"/>
                <w:sz w:val="22"/>
                <w:szCs w:val="22"/>
              </w:rPr>
              <w:t xml:space="preserve">it lies within the 5.6km radius of </w:t>
            </w:r>
            <w:r w:rsidR="00135E14" w:rsidRPr="00B004AE">
              <w:rPr>
                <w:rFonts w:ascii="Arial" w:hAnsi="Arial" w:cs="Arial"/>
                <w:sz w:val="22"/>
                <w:szCs w:val="22"/>
              </w:rPr>
              <w:t>Chichester Harbour</w:t>
            </w:r>
            <w:r w:rsidR="00B004AE" w:rsidRPr="00B004AE">
              <w:rPr>
                <w:rFonts w:ascii="Arial" w:hAnsi="Arial" w:cs="Arial"/>
                <w:sz w:val="22"/>
                <w:szCs w:val="22"/>
              </w:rPr>
              <w:t xml:space="preserve"> SPA</w:t>
            </w:r>
          </w:p>
          <w:p w14:paraId="5F738AD5" w14:textId="77777777" w:rsidR="0050602C" w:rsidRDefault="0050602C" w:rsidP="00B73E13">
            <w:pPr>
              <w:spacing w:before="360" w:line="276" w:lineRule="auto"/>
              <w:rPr>
                <w:rFonts w:ascii="Arial" w:hAnsi="Arial" w:cs="Arial"/>
                <w:sz w:val="22"/>
                <w:szCs w:val="22"/>
              </w:rPr>
            </w:pPr>
            <w:r>
              <w:rPr>
                <w:rFonts w:ascii="Arial" w:hAnsi="Arial" w:cs="Arial"/>
                <w:sz w:val="22"/>
                <w:szCs w:val="22"/>
              </w:rPr>
              <w:t>No</w:t>
            </w:r>
          </w:p>
          <w:p w14:paraId="222991A8" w14:textId="5FE0EBB7" w:rsidR="0050602C" w:rsidRDefault="0050602C" w:rsidP="00B73E13">
            <w:pPr>
              <w:spacing w:before="240" w:line="276" w:lineRule="auto"/>
              <w:rPr>
                <w:rFonts w:ascii="Arial" w:hAnsi="Arial" w:cs="Arial"/>
                <w:sz w:val="22"/>
                <w:szCs w:val="22"/>
              </w:rPr>
            </w:pPr>
            <w:r>
              <w:rPr>
                <w:rFonts w:ascii="Arial" w:hAnsi="Arial" w:cs="Arial"/>
                <w:sz w:val="22"/>
                <w:szCs w:val="22"/>
              </w:rPr>
              <w:t>No</w:t>
            </w:r>
          </w:p>
          <w:p w14:paraId="19FCA568" w14:textId="77777777" w:rsidR="0050602C" w:rsidRPr="00EF6014" w:rsidRDefault="0050602C" w:rsidP="00B73E13">
            <w:pPr>
              <w:spacing w:before="840" w:line="276" w:lineRule="auto"/>
              <w:rPr>
                <w:rFonts w:ascii="Arial" w:hAnsi="Arial" w:cs="Arial"/>
                <w:b/>
                <w:sz w:val="22"/>
                <w:szCs w:val="22"/>
              </w:rPr>
            </w:pPr>
            <w:r>
              <w:rPr>
                <w:rFonts w:ascii="Arial" w:hAnsi="Arial" w:cs="Arial"/>
                <w:sz w:val="22"/>
                <w:szCs w:val="22"/>
              </w:rPr>
              <w:t>No</w:t>
            </w:r>
          </w:p>
          <w:p w14:paraId="0C623A1C" w14:textId="77777777" w:rsidR="00D63980" w:rsidRDefault="00D63980" w:rsidP="00B25729">
            <w:pPr>
              <w:spacing w:line="276" w:lineRule="auto"/>
              <w:rPr>
                <w:rFonts w:ascii="Arial" w:hAnsi="Arial" w:cs="Arial"/>
                <w:b/>
                <w:sz w:val="22"/>
                <w:szCs w:val="22"/>
              </w:rPr>
            </w:pPr>
          </w:p>
          <w:p w14:paraId="2F5C07E9" w14:textId="77777777" w:rsidR="004A6D6B" w:rsidRDefault="004A6D6B" w:rsidP="00B25729">
            <w:pPr>
              <w:spacing w:line="276" w:lineRule="auto"/>
              <w:rPr>
                <w:rFonts w:ascii="Arial" w:hAnsi="Arial" w:cs="Arial"/>
                <w:b/>
                <w:sz w:val="22"/>
                <w:szCs w:val="22"/>
              </w:rPr>
            </w:pPr>
            <w:r>
              <w:rPr>
                <w:rFonts w:ascii="Arial" w:hAnsi="Arial" w:cs="Arial"/>
                <w:b/>
                <w:sz w:val="22"/>
                <w:szCs w:val="22"/>
              </w:rPr>
              <w:t>Yes</w:t>
            </w:r>
          </w:p>
          <w:p w14:paraId="78A830E9" w14:textId="77777777" w:rsidR="004A6D6B" w:rsidRDefault="004A6D6B" w:rsidP="00B25729">
            <w:pPr>
              <w:spacing w:line="276" w:lineRule="auto"/>
              <w:rPr>
                <w:rFonts w:ascii="Arial" w:hAnsi="Arial" w:cs="Arial"/>
                <w:b/>
                <w:sz w:val="22"/>
                <w:szCs w:val="22"/>
              </w:rPr>
            </w:pPr>
          </w:p>
          <w:p w14:paraId="67694E7B" w14:textId="77777777" w:rsidR="004A6D6B" w:rsidRPr="00EF6014" w:rsidRDefault="004A6D6B" w:rsidP="00B25729">
            <w:pPr>
              <w:spacing w:line="276" w:lineRule="auto"/>
              <w:rPr>
                <w:rFonts w:ascii="Arial" w:hAnsi="Arial" w:cs="Arial"/>
                <w:b/>
                <w:sz w:val="22"/>
                <w:szCs w:val="22"/>
              </w:rPr>
            </w:pPr>
            <w:r>
              <w:rPr>
                <w:rFonts w:ascii="Arial" w:hAnsi="Arial" w:cs="Arial"/>
                <w:b/>
                <w:sz w:val="22"/>
                <w:szCs w:val="22"/>
              </w:rPr>
              <w:t xml:space="preserve">Yes </w:t>
            </w:r>
            <w:r w:rsidRPr="004A6D6B">
              <w:rPr>
                <w:rFonts w:ascii="Arial" w:hAnsi="Arial" w:cs="Arial"/>
                <w:sz w:val="22"/>
                <w:szCs w:val="22"/>
              </w:rPr>
              <w:t>(</w:t>
            </w:r>
            <w:proofErr w:type="spellStart"/>
            <w:r w:rsidRPr="004A6D6B">
              <w:rPr>
                <w:rFonts w:ascii="Arial" w:hAnsi="Arial" w:cs="Arial"/>
                <w:sz w:val="22"/>
                <w:szCs w:val="22"/>
              </w:rPr>
              <w:t>Thornham</w:t>
            </w:r>
            <w:proofErr w:type="spellEnd"/>
            <w:r w:rsidRPr="004A6D6B">
              <w:rPr>
                <w:rFonts w:ascii="Arial" w:hAnsi="Arial" w:cs="Arial"/>
                <w:sz w:val="22"/>
                <w:szCs w:val="22"/>
              </w:rPr>
              <w:t>)</w:t>
            </w:r>
          </w:p>
        </w:tc>
      </w:tr>
      <w:tr w:rsidR="007A4CEC" w:rsidRPr="00EF6014" w14:paraId="3472FB13" w14:textId="77777777" w:rsidTr="00B73E13">
        <w:tc>
          <w:tcPr>
            <w:tcW w:w="3601" w:type="dxa"/>
            <w:tcBorders>
              <w:bottom w:val="single" w:sz="12" w:space="0" w:color="0083BE"/>
            </w:tcBorders>
            <w:shd w:val="clear" w:color="auto" w:fill="DAE7EE"/>
          </w:tcPr>
          <w:p w14:paraId="41299609" w14:textId="77777777" w:rsidR="007A4CEC" w:rsidRPr="00EF6014" w:rsidRDefault="007A4CEC" w:rsidP="00E545B0">
            <w:pPr>
              <w:spacing w:line="276" w:lineRule="auto"/>
              <w:rPr>
                <w:rFonts w:ascii="Arial" w:hAnsi="Arial" w:cs="Arial"/>
                <w:color w:val="404040"/>
                <w:sz w:val="22"/>
                <w:szCs w:val="22"/>
              </w:rPr>
            </w:pPr>
            <w:r w:rsidRPr="00EF6014">
              <w:rPr>
                <w:rFonts w:ascii="Arial" w:hAnsi="Arial" w:cs="Arial"/>
                <w:color w:val="404040"/>
                <w:sz w:val="22"/>
                <w:szCs w:val="22"/>
              </w:rPr>
              <w:lastRenderedPageBreak/>
              <w:t xml:space="preserve">Are any allocations within </w:t>
            </w:r>
            <w:r w:rsidR="00E545B0">
              <w:rPr>
                <w:rFonts w:ascii="Arial" w:hAnsi="Arial" w:cs="Arial"/>
                <w:color w:val="404040"/>
                <w:sz w:val="22"/>
                <w:szCs w:val="22"/>
              </w:rPr>
              <w:t>any</w:t>
            </w:r>
            <w:r w:rsidR="00BD340C" w:rsidRPr="00EF6014">
              <w:rPr>
                <w:rFonts w:ascii="Arial" w:hAnsi="Arial" w:cs="Arial"/>
                <w:color w:val="404040"/>
                <w:sz w:val="22"/>
                <w:szCs w:val="22"/>
              </w:rPr>
              <w:t xml:space="preserve"> of the above zones of influence</w:t>
            </w:r>
            <w:r w:rsidR="006B6DA8" w:rsidRPr="00EF6014">
              <w:rPr>
                <w:rFonts w:ascii="Arial" w:hAnsi="Arial" w:cs="Arial"/>
                <w:color w:val="404040"/>
                <w:sz w:val="22"/>
                <w:szCs w:val="22"/>
              </w:rPr>
              <w:t>?</w:t>
            </w:r>
          </w:p>
        </w:tc>
        <w:tc>
          <w:tcPr>
            <w:tcW w:w="6151" w:type="dxa"/>
            <w:tcBorders>
              <w:bottom w:val="single" w:sz="12" w:space="0" w:color="0083BE"/>
            </w:tcBorders>
          </w:tcPr>
          <w:p w14:paraId="736DAC29" w14:textId="77777777" w:rsidR="007A4CEC" w:rsidRDefault="001A4750" w:rsidP="00F05BF7">
            <w:pPr>
              <w:spacing w:line="276" w:lineRule="auto"/>
              <w:rPr>
                <w:rFonts w:ascii="Arial" w:hAnsi="Arial" w:cs="Arial"/>
                <w:sz w:val="22"/>
                <w:szCs w:val="22"/>
              </w:rPr>
            </w:pPr>
            <w:r w:rsidRPr="00EF6014">
              <w:rPr>
                <w:rFonts w:ascii="Arial" w:hAnsi="Arial" w:cs="Arial"/>
                <w:b/>
                <w:sz w:val="22"/>
                <w:szCs w:val="22"/>
              </w:rPr>
              <w:t xml:space="preserve">Yes </w:t>
            </w:r>
            <w:r w:rsidRPr="00EF6014">
              <w:rPr>
                <w:rFonts w:ascii="Arial" w:hAnsi="Arial" w:cs="Arial"/>
                <w:sz w:val="22"/>
                <w:szCs w:val="22"/>
              </w:rPr>
              <w:t>all the allocatio</w:t>
            </w:r>
            <w:r w:rsidR="000A569D">
              <w:rPr>
                <w:rFonts w:ascii="Arial" w:hAnsi="Arial" w:cs="Arial"/>
                <w:sz w:val="22"/>
                <w:szCs w:val="22"/>
              </w:rPr>
              <w:t>ns are with</w:t>
            </w:r>
            <w:r w:rsidR="00642F34">
              <w:rPr>
                <w:rFonts w:ascii="Arial" w:hAnsi="Arial" w:cs="Arial"/>
                <w:sz w:val="22"/>
                <w:szCs w:val="22"/>
              </w:rPr>
              <w:t>in</w:t>
            </w:r>
            <w:r w:rsidR="000A569D">
              <w:rPr>
                <w:rFonts w:ascii="Arial" w:hAnsi="Arial" w:cs="Arial"/>
                <w:sz w:val="22"/>
                <w:szCs w:val="22"/>
              </w:rPr>
              <w:t xml:space="preserve"> the identified zone of influence of Chichester </w:t>
            </w:r>
            <w:r w:rsidR="0050602C">
              <w:rPr>
                <w:rFonts w:ascii="Arial" w:hAnsi="Arial" w:cs="Arial"/>
                <w:sz w:val="22"/>
                <w:szCs w:val="22"/>
              </w:rPr>
              <w:t xml:space="preserve">and Langstone </w:t>
            </w:r>
            <w:proofErr w:type="gramStart"/>
            <w:r w:rsidR="0050602C">
              <w:rPr>
                <w:rFonts w:ascii="Arial" w:hAnsi="Arial" w:cs="Arial"/>
                <w:sz w:val="22"/>
                <w:szCs w:val="22"/>
              </w:rPr>
              <w:t xml:space="preserve">Harbours </w:t>
            </w:r>
            <w:r w:rsidR="00E545B0">
              <w:rPr>
                <w:rFonts w:ascii="Arial" w:hAnsi="Arial" w:cs="Arial"/>
                <w:sz w:val="22"/>
                <w:szCs w:val="22"/>
              </w:rPr>
              <w:t xml:space="preserve"> SPA</w:t>
            </w:r>
            <w:proofErr w:type="gramEnd"/>
            <w:r w:rsidR="00E545B0">
              <w:rPr>
                <w:rFonts w:ascii="Arial" w:hAnsi="Arial" w:cs="Arial"/>
                <w:sz w:val="22"/>
                <w:szCs w:val="22"/>
              </w:rPr>
              <w:t>.</w:t>
            </w:r>
          </w:p>
          <w:p w14:paraId="51729961" w14:textId="77777777" w:rsidR="004A6D6B" w:rsidRPr="00EF6014" w:rsidRDefault="004A6D6B" w:rsidP="00F05BF7">
            <w:pPr>
              <w:spacing w:line="276" w:lineRule="auto"/>
              <w:rPr>
                <w:rFonts w:ascii="Arial" w:hAnsi="Arial" w:cs="Arial"/>
                <w:b/>
                <w:sz w:val="22"/>
                <w:szCs w:val="22"/>
              </w:rPr>
            </w:pPr>
            <w:r w:rsidRPr="004A6D6B">
              <w:rPr>
                <w:rFonts w:ascii="Arial" w:hAnsi="Arial" w:cs="Arial"/>
                <w:b/>
                <w:sz w:val="22"/>
                <w:szCs w:val="22"/>
              </w:rPr>
              <w:t>Yes</w:t>
            </w:r>
            <w:r>
              <w:rPr>
                <w:rFonts w:ascii="Arial" w:hAnsi="Arial" w:cs="Arial"/>
                <w:sz w:val="22"/>
                <w:szCs w:val="22"/>
              </w:rPr>
              <w:t xml:space="preserve"> all the allocations will connect to </w:t>
            </w:r>
            <w:proofErr w:type="spellStart"/>
            <w:r>
              <w:rPr>
                <w:rFonts w:ascii="Arial" w:hAnsi="Arial" w:cs="Arial"/>
                <w:sz w:val="22"/>
                <w:szCs w:val="22"/>
              </w:rPr>
              <w:t>Thornham</w:t>
            </w:r>
            <w:proofErr w:type="spellEnd"/>
            <w:r>
              <w:rPr>
                <w:rFonts w:ascii="Arial" w:hAnsi="Arial" w:cs="Arial"/>
                <w:sz w:val="22"/>
                <w:szCs w:val="22"/>
              </w:rPr>
              <w:t xml:space="preserve"> WwTW</w:t>
            </w:r>
          </w:p>
        </w:tc>
      </w:tr>
      <w:tr w:rsidR="001071FC" w:rsidRPr="00EF6014" w14:paraId="1A5FB7F9" w14:textId="77777777" w:rsidTr="00B73E13">
        <w:tc>
          <w:tcPr>
            <w:tcW w:w="3601" w:type="dxa"/>
            <w:tcBorders>
              <w:bottom w:val="single" w:sz="12" w:space="0" w:color="0083BE"/>
            </w:tcBorders>
            <w:shd w:val="clear" w:color="auto" w:fill="DAE7EE"/>
          </w:tcPr>
          <w:p w14:paraId="3A16E3C4" w14:textId="77777777" w:rsidR="00B004AE" w:rsidRPr="00EF6014" w:rsidRDefault="00B004AE" w:rsidP="008007C7">
            <w:pPr>
              <w:spacing w:line="276" w:lineRule="auto"/>
              <w:rPr>
                <w:rFonts w:ascii="Arial" w:hAnsi="Arial" w:cs="Arial"/>
                <w:color w:val="404040"/>
                <w:sz w:val="22"/>
                <w:szCs w:val="22"/>
              </w:rPr>
            </w:pPr>
            <w:r w:rsidRPr="000F309A">
              <w:rPr>
                <w:rFonts w:ascii="Arial" w:hAnsi="Arial" w:cs="Arial"/>
                <w:color w:val="404040"/>
                <w:sz w:val="22"/>
                <w:szCs w:val="22"/>
              </w:rPr>
              <w:t>Are there any other projects or plans that together with the plan / application being assessed could affect the site?</w:t>
            </w:r>
            <w:r>
              <w:rPr>
                <w:rFonts w:ascii="Arial" w:hAnsi="Arial" w:cs="Arial"/>
                <w:color w:val="404040"/>
                <w:sz w:val="22"/>
                <w:szCs w:val="22"/>
              </w:rPr>
              <w:t xml:space="preserve"> </w:t>
            </w:r>
          </w:p>
        </w:tc>
        <w:tc>
          <w:tcPr>
            <w:tcW w:w="6151" w:type="dxa"/>
            <w:tcBorders>
              <w:bottom w:val="single" w:sz="12" w:space="0" w:color="0083BE"/>
            </w:tcBorders>
          </w:tcPr>
          <w:p w14:paraId="1B2CA435" w14:textId="77777777" w:rsidR="00246ECA" w:rsidRPr="00EF6014" w:rsidRDefault="00B004AE" w:rsidP="00581A79">
            <w:pPr>
              <w:pStyle w:val="ListParagraph"/>
              <w:spacing w:line="276" w:lineRule="auto"/>
              <w:ind w:left="69"/>
              <w:rPr>
                <w:rFonts w:ascii="Arial" w:hAnsi="Arial" w:cs="Arial"/>
                <w:sz w:val="22"/>
                <w:szCs w:val="22"/>
              </w:rPr>
            </w:pPr>
            <w:r>
              <w:rPr>
                <w:rFonts w:ascii="Arial" w:hAnsi="Arial" w:cs="Arial"/>
                <w:sz w:val="22"/>
                <w:szCs w:val="22"/>
              </w:rPr>
              <w:t>Yes</w:t>
            </w:r>
          </w:p>
          <w:p w14:paraId="1AA43C1B" w14:textId="77777777" w:rsidR="00B004AE" w:rsidRDefault="00B004AE" w:rsidP="00B73E13">
            <w:pPr>
              <w:pStyle w:val="ListParagraph"/>
              <w:numPr>
                <w:ilvl w:val="0"/>
                <w:numId w:val="6"/>
              </w:numPr>
              <w:spacing w:line="276" w:lineRule="auto"/>
              <w:ind w:left="368" w:hanging="283"/>
              <w:rPr>
                <w:rFonts w:ascii="Arial" w:hAnsi="Arial" w:cs="Arial"/>
                <w:sz w:val="22"/>
                <w:szCs w:val="22"/>
              </w:rPr>
            </w:pPr>
            <w:r>
              <w:rPr>
                <w:rFonts w:ascii="Arial" w:hAnsi="Arial" w:cs="Arial"/>
                <w:sz w:val="22"/>
                <w:szCs w:val="22"/>
              </w:rPr>
              <w:t>All new housing development</w:t>
            </w:r>
            <w:r w:rsidR="00FF579D">
              <w:rPr>
                <w:rFonts w:ascii="Arial" w:hAnsi="Arial" w:cs="Arial"/>
                <w:sz w:val="22"/>
                <w:szCs w:val="22"/>
              </w:rPr>
              <w:t>,</w:t>
            </w:r>
            <w:r>
              <w:rPr>
                <w:rFonts w:ascii="Arial" w:hAnsi="Arial" w:cs="Arial"/>
                <w:sz w:val="22"/>
                <w:szCs w:val="22"/>
              </w:rPr>
              <w:t xml:space="preserve"> </w:t>
            </w:r>
            <w:r w:rsidR="000F309A">
              <w:rPr>
                <w:rFonts w:ascii="Arial" w:hAnsi="Arial" w:cs="Arial"/>
                <w:sz w:val="22"/>
                <w:szCs w:val="22"/>
              </w:rPr>
              <w:t xml:space="preserve">be that delivered through planning applications </w:t>
            </w:r>
            <w:r w:rsidR="00863B1A">
              <w:rPr>
                <w:rFonts w:ascii="Arial" w:hAnsi="Arial" w:cs="Arial"/>
                <w:sz w:val="22"/>
                <w:szCs w:val="22"/>
              </w:rPr>
              <w:t xml:space="preserve">or </w:t>
            </w:r>
            <w:r w:rsidR="000F309A">
              <w:rPr>
                <w:rFonts w:ascii="Arial" w:hAnsi="Arial" w:cs="Arial"/>
                <w:sz w:val="22"/>
                <w:szCs w:val="22"/>
              </w:rPr>
              <w:t xml:space="preserve">the preparation of Neighbourhood and Local Plans </w:t>
            </w:r>
            <w:r>
              <w:rPr>
                <w:rFonts w:ascii="Arial" w:hAnsi="Arial" w:cs="Arial"/>
                <w:sz w:val="22"/>
                <w:szCs w:val="22"/>
              </w:rPr>
              <w:t>within 5.6km of the Solent SPAs is considered to contribute towards an impact on site integrity as a result of increased recreational disturbance in combination with other development in the Solent area.</w:t>
            </w:r>
          </w:p>
          <w:p w14:paraId="29A289CA" w14:textId="77777777" w:rsidR="00246ECA" w:rsidRPr="00EF6014" w:rsidRDefault="00246ECA" w:rsidP="00B73E13">
            <w:pPr>
              <w:pStyle w:val="ListParagraph"/>
              <w:numPr>
                <w:ilvl w:val="0"/>
                <w:numId w:val="6"/>
              </w:numPr>
              <w:spacing w:line="276" w:lineRule="auto"/>
              <w:ind w:left="368" w:hanging="283"/>
              <w:rPr>
                <w:rFonts w:ascii="Arial" w:hAnsi="Arial" w:cs="Arial"/>
                <w:sz w:val="22"/>
                <w:szCs w:val="22"/>
              </w:rPr>
            </w:pPr>
            <w:r w:rsidRPr="00EF6014">
              <w:rPr>
                <w:rFonts w:ascii="Arial" w:hAnsi="Arial" w:cs="Arial"/>
                <w:sz w:val="22"/>
                <w:szCs w:val="22"/>
              </w:rPr>
              <w:t>South Downs National Park Local Plan</w:t>
            </w:r>
            <w:r w:rsidR="00863B1A">
              <w:rPr>
                <w:rFonts w:ascii="Arial" w:hAnsi="Arial" w:cs="Arial"/>
                <w:sz w:val="22"/>
                <w:szCs w:val="22"/>
              </w:rPr>
              <w:t xml:space="preserve"> </w:t>
            </w:r>
            <w:r w:rsidRPr="00EF6014">
              <w:rPr>
                <w:rFonts w:ascii="Arial" w:hAnsi="Arial" w:cs="Arial"/>
                <w:sz w:val="22"/>
                <w:szCs w:val="22"/>
              </w:rPr>
              <w:t xml:space="preserve">(in particular Core Policy SD </w:t>
            </w:r>
            <w:r w:rsidR="00EF6014" w:rsidRPr="00EF6014">
              <w:rPr>
                <w:rFonts w:ascii="Arial" w:hAnsi="Arial" w:cs="Arial"/>
                <w:sz w:val="22"/>
                <w:szCs w:val="22"/>
              </w:rPr>
              <w:t xml:space="preserve">10: International Sites).  </w:t>
            </w:r>
            <w:r w:rsidR="00571198">
              <w:rPr>
                <w:rFonts w:ascii="Arial" w:hAnsi="Arial" w:cs="Arial"/>
                <w:sz w:val="22"/>
                <w:szCs w:val="22"/>
              </w:rPr>
              <w:t xml:space="preserve">The National Park designation covers part of the Parish. In addition the allocated </w:t>
            </w:r>
            <w:r w:rsidR="00EF6014" w:rsidRPr="00EF6014">
              <w:rPr>
                <w:rFonts w:ascii="Arial" w:hAnsi="Arial" w:cs="Arial"/>
                <w:sz w:val="22"/>
                <w:szCs w:val="22"/>
              </w:rPr>
              <w:t>site</w:t>
            </w:r>
            <w:r w:rsidR="00571198">
              <w:rPr>
                <w:rFonts w:ascii="Arial" w:hAnsi="Arial" w:cs="Arial"/>
                <w:sz w:val="22"/>
                <w:szCs w:val="22"/>
              </w:rPr>
              <w:t>s</w:t>
            </w:r>
            <w:r w:rsidR="00EF6014" w:rsidRPr="00EF6014">
              <w:rPr>
                <w:rFonts w:ascii="Arial" w:hAnsi="Arial" w:cs="Arial"/>
                <w:sz w:val="22"/>
                <w:szCs w:val="22"/>
              </w:rPr>
              <w:t xml:space="preserve"> </w:t>
            </w:r>
            <w:r w:rsidR="00571198">
              <w:rPr>
                <w:rFonts w:ascii="Arial" w:hAnsi="Arial" w:cs="Arial"/>
                <w:sz w:val="22"/>
                <w:szCs w:val="22"/>
              </w:rPr>
              <w:t>are</w:t>
            </w:r>
            <w:r w:rsidR="00EF6014" w:rsidRPr="00EF6014">
              <w:rPr>
                <w:rFonts w:ascii="Arial" w:hAnsi="Arial" w:cs="Arial"/>
                <w:sz w:val="22"/>
                <w:szCs w:val="22"/>
              </w:rPr>
              <w:t xml:space="preserve"> just </w:t>
            </w:r>
            <w:r w:rsidR="0050602C" w:rsidRPr="00EF6014">
              <w:rPr>
                <w:rFonts w:ascii="Arial" w:hAnsi="Arial" w:cs="Arial"/>
                <w:sz w:val="22"/>
                <w:szCs w:val="22"/>
              </w:rPr>
              <w:t>outside the</w:t>
            </w:r>
            <w:r w:rsidR="00EF6014" w:rsidRPr="00EF6014">
              <w:rPr>
                <w:rFonts w:ascii="Arial" w:hAnsi="Arial" w:cs="Arial"/>
                <w:sz w:val="22"/>
                <w:szCs w:val="22"/>
              </w:rPr>
              <w:t xml:space="preserve"> Singleton and Cocking SAC 12,</w:t>
            </w:r>
            <w:r w:rsidR="00571198">
              <w:rPr>
                <w:rFonts w:ascii="Arial" w:hAnsi="Arial" w:cs="Arial"/>
                <w:sz w:val="22"/>
                <w:szCs w:val="22"/>
              </w:rPr>
              <w:t>000m zone of influence identified in that plan.</w:t>
            </w:r>
          </w:p>
          <w:p w14:paraId="5B8CC3C7" w14:textId="77777777" w:rsidR="00EF6014" w:rsidRDefault="00EF6014" w:rsidP="00B73E13">
            <w:pPr>
              <w:pStyle w:val="ListParagraph"/>
              <w:numPr>
                <w:ilvl w:val="0"/>
                <w:numId w:val="6"/>
              </w:numPr>
              <w:spacing w:line="276" w:lineRule="auto"/>
              <w:ind w:left="368" w:hanging="283"/>
              <w:rPr>
                <w:rFonts w:ascii="Arial" w:hAnsi="Arial" w:cs="Arial"/>
                <w:sz w:val="22"/>
                <w:szCs w:val="22"/>
              </w:rPr>
            </w:pPr>
            <w:r w:rsidRPr="00EF6014">
              <w:rPr>
                <w:rFonts w:ascii="Arial" w:hAnsi="Arial" w:cs="Arial"/>
                <w:sz w:val="22"/>
                <w:szCs w:val="22"/>
              </w:rPr>
              <w:t xml:space="preserve">Solent Recreation Mitigation Partnership </w:t>
            </w:r>
            <w:r w:rsidR="00571198">
              <w:rPr>
                <w:rFonts w:ascii="Arial" w:hAnsi="Arial" w:cs="Arial"/>
                <w:sz w:val="22"/>
                <w:szCs w:val="22"/>
              </w:rPr>
              <w:t xml:space="preserve">Solent Mitigation Strategy </w:t>
            </w:r>
            <w:r w:rsidRPr="00EF6014">
              <w:rPr>
                <w:rFonts w:ascii="Arial" w:hAnsi="Arial" w:cs="Arial"/>
                <w:sz w:val="22"/>
                <w:szCs w:val="22"/>
              </w:rPr>
              <w:t>which sets out the strategic measures required to mitigate any net increase in residential development.</w:t>
            </w:r>
          </w:p>
          <w:p w14:paraId="423F8861" w14:textId="77777777" w:rsidR="00EF6014" w:rsidRPr="005C571F" w:rsidRDefault="005C571F" w:rsidP="005C571F">
            <w:pPr>
              <w:pStyle w:val="ListParagraph"/>
              <w:spacing w:line="276" w:lineRule="auto"/>
              <w:ind w:left="227"/>
              <w:rPr>
                <w:rFonts w:ascii="Arial" w:hAnsi="Arial" w:cs="Arial"/>
                <w:sz w:val="22"/>
                <w:szCs w:val="22"/>
              </w:rPr>
            </w:pPr>
            <w:r>
              <w:rPr>
                <w:rFonts w:ascii="Arial" w:hAnsi="Arial" w:cs="Arial"/>
                <w:sz w:val="22"/>
                <w:szCs w:val="22"/>
              </w:rPr>
              <w:t xml:space="preserve"> </w:t>
            </w:r>
          </w:p>
        </w:tc>
      </w:tr>
      <w:tr w:rsidR="00963658" w:rsidRPr="00EF6014" w14:paraId="53C14975" w14:textId="77777777" w:rsidTr="00B174DB">
        <w:tc>
          <w:tcPr>
            <w:tcW w:w="9752" w:type="dxa"/>
            <w:gridSpan w:val="2"/>
            <w:tcBorders>
              <w:top w:val="single" w:sz="12" w:space="0" w:color="0083BE"/>
              <w:bottom w:val="nil"/>
            </w:tcBorders>
            <w:shd w:val="clear" w:color="auto" w:fill="DAE7EE"/>
          </w:tcPr>
          <w:p w14:paraId="652190EA" w14:textId="77777777" w:rsidR="00963658" w:rsidRPr="00EF6014" w:rsidRDefault="00963658" w:rsidP="00B54683">
            <w:pPr>
              <w:spacing w:line="276" w:lineRule="auto"/>
              <w:rPr>
                <w:rFonts w:ascii="Arial" w:hAnsi="Arial" w:cs="Arial"/>
                <w:color w:val="404040"/>
                <w:sz w:val="22"/>
                <w:szCs w:val="22"/>
              </w:rPr>
            </w:pPr>
            <w:r w:rsidRPr="00EF6014">
              <w:rPr>
                <w:rFonts w:ascii="Arial" w:hAnsi="Arial" w:cs="Arial"/>
                <w:color w:val="404040"/>
                <w:sz w:val="22"/>
                <w:szCs w:val="22"/>
              </w:rPr>
              <w:t xml:space="preserve">Lead Planning Officer: Valerie Dobson </w:t>
            </w:r>
            <w:r w:rsidR="00B54683">
              <w:rPr>
                <w:rFonts w:ascii="Arial" w:hAnsi="Arial" w:cs="Arial"/>
                <w:color w:val="404040"/>
                <w:sz w:val="22"/>
                <w:szCs w:val="22"/>
              </w:rPr>
              <w:t>(Principal Panning Officer)</w:t>
            </w:r>
          </w:p>
        </w:tc>
      </w:tr>
      <w:tr w:rsidR="001071FC" w:rsidRPr="00EF6014" w14:paraId="65879EEE" w14:textId="77777777" w:rsidTr="00B25729">
        <w:tc>
          <w:tcPr>
            <w:tcW w:w="9752" w:type="dxa"/>
            <w:gridSpan w:val="2"/>
            <w:tcBorders>
              <w:top w:val="single" w:sz="12" w:space="0" w:color="0083BE"/>
              <w:left w:val="nil"/>
              <w:bottom w:val="single" w:sz="12" w:space="0" w:color="0083BE"/>
              <w:right w:val="nil"/>
            </w:tcBorders>
          </w:tcPr>
          <w:p w14:paraId="392BEF49" w14:textId="77777777" w:rsidR="001071FC" w:rsidRPr="00EF6014" w:rsidRDefault="001071FC" w:rsidP="00B25729">
            <w:pPr>
              <w:spacing w:line="276" w:lineRule="auto"/>
              <w:rPr>
                <w:rFonts w:ascii="Arial" w:hAnsi="Arial" w:cs="Arial"/>
                <w:sz w:val="22"/>
                <w:szCs w:val="22"/>
              </w:rPr>
            </w:pPr>
          </w:p>
        </w:tc>
      </w:tr>
      <w:tr w:rsidR="001071FC" w:rsidRPr="00EF6014" w14:paraId="6BE6B5CF" w14:textId="77777777" w:rsidTr="00B25729">
        <w:tc>
          <w:tcPr>
            <w:tcW w:w="9752" w:type="dxa"/>
            <w:gridSpan w:val="2"/>
            <w:tcBorders>
              <w:top w:val="single" w:sz="12" w:space="0" w:color="0083BE"/>
            </w:tcBorders>
            <w:shd w:val="clear" w:color="auto" w:fill="0083BE"/>
          </w:tcPr>
          <w:p w14:paraId="1EE90161" w14:textId="77777777" w:rsidR="001071FC" w:rsidRPr="00B73E13" w:rsidRDefault="001071FC" w:rsidP="00B73E13">
            <w:pPr>
              <w:pStyle w:val="Heading2"/>
              <w:spacing w:before="0"/>
              <w:rPr>
                <w:rFonts w:ascii="Arial" w:hAnsi="Arial" w:cs="Arial"/>
              </w:rPr>
            </w:pPr>
            <w:r w:rsidRPr="00B73E13">
              <w:rPr>
                <w:rFonts w:ascii="Arial" w:hAnsi="Arial" w:cs="Arial"/>
                <w:color w:val="FFFFFF" w:themeColor="background1"/>
                <w:sz w:val="22"/>
              </w:rPr>
              <w:t>Stage 2 - HRA screening assessment</w:t>
            </w:r>
          </w:p>
        </w:tc>
      </w:tr>
      <w:tr w:rsidR="001071FC" w:rsidRPr="00EF6014" w14:paraId="190D75A2" w14:textId="77777777" w:rsidTr="00B25729">
        <w:tc>
          <w:tcPr>
            <w:tcW w:w="9752" w:type="dxa"/>
            <w:gridSpan w:val="2"/>
            <w:shd w:val="clear" w:color="auto" w:fill="DAE7EE"/>
          </w:tcPr>
          <w:p w14:paraId="0CD9C2A9" w14:textId="77777777" w:rsidR="001071FC" w:rsidRPr="00EF6014" w:rsidRDefault="001071FC" w:rsidP="00B25729">
            <w:pPr>
              <w:spacing w:line="276" w:lineRule="auto"/>
              <w:rPr>
                <w:rFonts w:ascii="Arial" w:hAnsi="Arial" w:cs="Arial"/>
                <w:sz w:val="22"/>
                <w:szCs w:val="22"/>
              </w:rPr>
            </w:pPr>
            <w:r w:rsidRPr="00963658">
              <w:rPr>
                <w:rFonts w:ascii="Arial" w:hAnsi="Arial" w:cs="Arial"/>
                <w:b/>
                <w:sz w:val="22"/>
                <w:szCs w:val="22"/>
              </w:rPr>
              <w:t>Te</w:t>
            </w:r>
            <w:r w:rsidR="00963658" w:rsidRPr="00963658">
              <w:rPr>
                <w:rFonts w:ascii="Arial" w:hAnsi="Arial" w:cs="Arial"/>
                <w:b/>
                <w:sz w:val="22"/>
                <w:szCs w:val="22"/>
              </w:rPr>
              <w:t>st 1: The Significance T</w:t>
            </w:r>
            <w:r w:rsidRPr="00963658">
              <w:rPr>
                <w:rFonts w:ascii="Arial" w:hAnsi="Arial" w:cs="Arial"/>
                <w:b/>
                <w:sz w:val="22"/>
                <w:szCs w:val="22"/>
              </w:rPr>
              <w:t>est</w:t>
            </w:r>
            <w:r w:rsidRPr="00EF6014">
              <w:rPr>
                <w:rFonts w:ascii="Arial" w:hAnsi="Arial" w:cs="Arial"/>
                <w:sz w:val="22"/>
                <w:szCs w:val="22"/>
              </w:rPr>
              <w:t xml:space="preserve"> – The </w:t>
            </w:r>
            <w:r w:rsidR="00D0108B" w:rsidRPr="00EF6014">
              <w:rPr>
                <w:rFonts w:ascii="Arial" w:hAnsi="Arial" w:cs="Arial"/>
                <w:sz w:val="22"/>
                <w:szCs w:val="22"/>
              </w:rPr>
              <w:t>Qualifying Body</w:t>
            </w:r>
            <w:r w:rsidRPr="00EF6014">
              <w:rPr>
                <w:rFonts w:ascii="Arial" w:hAnsi="Arial" w:cs="Arial"/>
                <w:sz w:val="22"/>
                <w:szCs w:val="22"/>
              </w:rPr>
              <w:t xml:space="preserve"> to provide evidence so that a judgement can be made as to whether there could be any potential significant impacts of the development on the integrity of the SPA/SAC/Ramsar.</w:t>
            </w:r>
          </w:p>
        </w:tc>
      </w:tr>
      <w:tr w:rsidR="001071FC" w:rsidRPr="00EF6014" w14:paraId="3B81A9DC" w14:textId="77777777" w:rsidTr="00087B06">
        <w:tc>
          <w:tcPr>
            <w:tcW w:w="9752" w:type="dxa"/>
            <w:gridSpan w:val="2"/>
          </w:tcPr>
          <w:p w14:paraId="34669015" w14:textId="77777777" w:rsidR="00EA1319" w:rsidRDefault="00963658" w:rsidP="00087B06">
            <w:pPr>
              <w:spacing w:line="276" w:lineRule="auto"/>
              <w:rPr>
                <w:rFonts w:ascii="Arial" w:hAnsi="Arial" w:cs="Arial"/>
                <w:sz w:val="22"/>
                <w:szCs w:val="22"/>
              </w:rPr>
            </w:pPr>
            <w:r>
              <w:rPr>
                <w:rFonts w:ascii="Arial" w:hAnsi="Arial" w:cs="Arial"/>
                <w:sz w:val="22"/>
                <w:szCs w:val="22"/>
              </w:rPr>
              <w:t xml:space="preserve">The proposed allocations are within 5.6km of the Chichester &amp; Langstone Harbours SPA/Ramsar.  </w:t>
            </w:r>
            <w:r w:rsidR="00F24559">
              <w:rPr>
                <w:rFonts w:ascii="Arial" w:hAnsi="Arial" w:cs="Arial"/>
                <w:sz w:val="22"/>
                <w:szCs w:val="22"/>
              </w:rPr>
              <w:t>In accordance with advice from N</w:t>
            </w:r>
            <w:r>
              <w:rPr>
                <w:rFonts w:ascii="Arial" w:hAnsi="Arial" w:cs="Arial"/>
                <w:sz w:val="22"/>
                <w:szCs w:val="22"/>
              </w:rPr>
              <w:t>atural England and as detailed in Chichester District Local Plan Policy 50 and 51 and the Solent Recreation Mitigation Strategy, a net increase in housing development within this area is likely to result in impacts to the integrity of those sites as a result of increased recreational disturbance</w:t>
            </w:r>
            <w:r w:rsidR="00A73705">
              <w:rPr>
                <w:rFonts w:ascii="Arial" w:hAnsi="Arial" w:cs="Arial"/>
                <w:sz w:val="22"/>
                <w:szCs w:val="22"/>
              </w:rPr>
              <w:t xml:space="preserve"> in combination with all other local plan and neighbourhood plans in the 5.6km zone of influence</w:t>
            </w:r>
            <w:r>
              <w:rPr>
                <w:rFonts w:ascii="Arial" w:hAnsi="Arial" w:cs="Arial"/>
                <w:sz w:val="22"/>
                <w:szCs w:val="22"/>
              </w:rPr>
              <w:t xml:space="preserve">. </w:t>
            </w:r>
          </w:p>
          <w:p w14:paraId="5DB2535D" w14:textId="77777777" w:rsidR="00963658" w:rsidRDefault="00963658" w:rsidP="00087B06">
            <w:pPr>
              <w:spacing w:line="276" w:lineRule="auto"/>
              <w:rPr>
                <w:rFonts w:ascii="Arial" w:hAnsi="Arial" w:cs="Arial"/>
                <w:sz w:val="22"/>
                <w:szCs w:val="22"/>
              </w:rPr>
            </w:pPr>
          </w:p>
          <w:p w14:paraId="1D34F98B" w14:textId="77777777" w:rsidR="00963658" w:rsidRDefault="00963658" w:rsidP="00087B06">
            <w:pPr>
              <w:spacing w:line="276" w:lineRule="auto"/>
              <w:rPr>
                <w:rFonts w:ascii="Arial" w:hAnsi="Arial" w:cs="Arial"/>
                <w:sz w:val="22"/>
                <w:szCs w:val="22"/>
              </w:rPr>
            </w:pPr>
            <w:r>
              <w:rPr>
                <w:rFonts w:ascii="Arial" w:hAnsi="Arial" w:cs="Arial"/>
                <w:sz w:val="22"/>
                <w:szCs w:val="22"/>
              </w:rPr>
              <w:t>Development within the 5.6km zone will increase the human population and therefore the potential to increase the level of recreation and disturbance on bird species.  The impacts of recreational disturbance both at the site and in combination with other development in the area can cause important habitat to be unavailable for use.  Birds can be displaced by such activities and use valuable resources in finding suitable areas in whi</w:t>
            </w:r>
            <w:r w:rsidR="00F24559">
              <w:rPr>
                <w:rFonts w:ascii="Arial" w:hAnsi="Arial" w:cs="Arial"/>
                <w:sz w:val="22"/>
                <w:szCs w:val="22"/>
              </w:rPr>
              <w:t>ch to rest and feed undisturbed.</w:t>
            </w:r>
            <w:r>
              <w:rPr>
                <w:rFonts w:ascii="Arial" w:hAnsi="Arial" w:cs="Arial"/>
                <w:sz w:val="22"/>
                <w:szCs w:val="22"/>
              </w:rPr>
              <w:t xml:space="preserve">  Ultimately the impact of recreation</w:t>
            </w:r>
            <w:r w:rsidR="00B004AE">
              <w:rPr>
                <w:rFonts w:ascii="Arial" w:hAnsi="Arial" w:cs="Arial"/>
                <w:sz w:val="22"/>
                <w:szCs w:val="22"/>
              </w:rPr>
              <w:t>al</w:t>
            </w:r>
            <w:r>
              <w:rPr>
                <w:rFonts w:ascii="Arial" w:hAnsi="Arial" w:cs="Arial"/>
                <w:sz w:val="22"/>
                <w:szCs w:val="22"/>
              </w:rPr>
              <w:t xml:space="preserve"> disturbance can be such that they affect the status and distribution of key bird species and therefore act </w:t>
            </w:r>
            <w:r w:rsidR="00B004AE">
              <w:rPr>
                <w:rFonts w:ascii="Arial" w:hAnsi="Arial" w:cs="Arial"/>
                <w:sz w:val="22"/>
                <w:szCs w:val="22"/>
              </w:rPr>
              <w:t xml:space="preserve">against the stated conservation objectives of the European sites. </w:t>
            </w:r>
          </w:p>
          <w:p w14:paraId="14560C69" w14:textId="77777777" w:rsidR="00963658" w:rsidRDefault="00963658" w:rsidP="00087B06">
            <w:pPr>
              <w:spacing w:line="276" w:lineRule="auto"/>
              <w:rPr>
                <w:rFonts w:ascii="Arial" w:hAnsi="Arial" w:cs="Arial"/>
                <w:sz w:val="22"/>
                <w:szCs w:val="22"/>
              </w:rPr>
            </w:pPr>
          </w:p>
          <w:p w14:paraId="4426D37D" w14:textId="77777777" w:rsidR="004D6811" w:rsidRDefault="004D6811" w:rsidP="00087B06">
            <w:pPr>
              <w:spacing w:line="276" w:lineRule="auto"/>
              <w:rPr>
                <w:rFonts w:ascii="Arial" w:hAnsi="Arial" w:cs="Arial"/>
                <w:sz w:val="22"/>
                <w:szCs w:val="22"/>
              </w:rPr>
            </w:pPr>
            <w:r w:rsidRPr="00EF6014">
              <w:rPr>
                <w:rFonts w:ascii="Arial" w:hAnsi="Arial" w:cs="Arial"/>
                <w:sz w:val="22"/>
                <w:szCs w:val="22"/>
              </w:rPr>
              <w:t>Following the recent CJ</w:t>
            </w:r>
            <w:r w:rsidR="008007C7" w:rsidRPr="00EF6014">
              <w:rPr>
                <w:rFonts w:ascii="Arial" w:hAnsi="Arial" w:cs="Arial"/>
                <w:sz w:val="22"/>
                <w:szCs w:val="22"/>
              </w:rPr>
              <w:t>EU</w:t>
            </w:r>
            <w:r w:rsidRPr="00EF6014">
              <w:rPr>
                <w:rFonts w:ascii="Arial" w:hAnsi="Arial" w:cs="Arial"/>
                <w:sz w:val="22"/>
                <w:szCs w:val="22"/>
              </w:rPr>
              <w:t xml:space="preserve"> </w:t>
            </w:r>
            <w:r w:rsidR="008007C7" w:rsidRPr="00EF6014">
              <w:rPr>
                <w:rFonts w:ascii="Arial" w:hAnsi="Arial" w:cs="Arial"/>
                <w:sz w:val="22"/>
                <w:szCs w:val="22"/>
              </w:rPr>
              <w:t>“</w:t>
            </w:r>
            <w:proofErr w:type="spellStart"/>
            <w:r w:rsidR="008007C7" w:rsidRPr="00EF6014">
              <w:rPr>
                <w:rFonts w:ascii="Arial" w:hAnsi="Arial" w:cs="Arial"/>
                <w:sz w:val="22"/>
                <w:szCs w:val="22"/>
              </w:rPr>
              <w:t>Sweetman</w:t>
            </w:r>
            <w:proofErr w:type="spellEnd"/>
            <w:r w:rsidR="008007C7" w:rsidRPr="00EF6014">
              <w:rPr>
                <w:rFonts w:ascii="Arial" w:hAnsi="Arial" w:cs="Arial"/>
                <w:sz w:val="22"/>
                <w:szCs w:val="22"/>
              </w:rPr>
              <w:t xml:space="preserve"> II” </w:t>
            </w:r>
            <w:r w:rsidRPr="00EF6014">
              <w:rPr>
                <w:rFonts w:ascii="Arial" w:hAnsi="Arial" w:cs="Arial"/>
                <w:sz w:val="22"/>
                <w:szCs w:val="22"/>
              </w:rPr>
              <w:t xml:space="preserve">ruling, </w:t>
            </w:r>
            <w:r w:rsidR="00B004AE">
              <w:rPr>
                <w:rFonts w:ascii="Arial" w:hAnsi="Arial" w:cs="Arial"/>
                <w:sz w:val="22"/>
                <w:szCs w:val="22"/>
              </w:rPr>
              <w:t>Local Authorities</w:t>
            </w:r>
            <w:r w:rsidRPr="00EF6014">
              <w:rPr>
                <w:rFonts w:ascii="Arial" w:hAnsi="Arial" w:cs="Arial"/>
                <w:sz w:val="22"/>
                <w:szCs w:val="22"/>
              </w:rPr>
              <w:t xml:space="preserve"> can no longer take into account any avoidance and mitigation mea</w:t>
            </w:r>
            <w:r w:rsidR="00D0108B" w:rsidRPr="00EF6014">
              <w:rPr>
                <w:rFonts w:ascii="Arial" w:hAnsi="Arial" w:cs="Arial"/>
                <w:sz w:val="22"/>
                <w:szCs w:val="22"/>
              </w:rPr>
              <w:t>sures</w:t>
            </w:r>
            <w:r w:rsidR="00F24559">
              <w:rPr>
                <w:rFonts w:ascii="Arial" w:hAnsi="Arial" w:cs="Arial"/>
                <w:sz w:val="22"/>
                <w:szCs w:val="22"/>
              </w:rPr>
              <w:t>,</w:t>
            </w:r>
            <w:r w:rsidR="00D0108B" w:rsidRPr="00EF6014">
              <w:rPr>
                <w:rFonts w:ascii="Arial" w:hAnsi="Arial" w:cs="Arial"/>
                <w:sz w:val="22"/>
                <w:szCs w:val="22"/>
              </w:rPr>
              <w:t xml:space="preserve"> </w:t>
            </w:r>
            <w:r w:rsidR="00B004AE">
              <w:rPr>
                <w:rFonts w:ascii="Arial" w:hAnsi="Arial" w:cs="Arial"/>
                <w:sz w:val="22"/>
                <w:szCs w:val="22"/>
              </w:rPr>
              <w:t>already agreed</w:t>
            </w:r>
            <w:r w:rsidR="00F24559">
              <w:rPr>
                <w:rFonts w:ascii="Arial" w:hAnsi="Arial" w:cs="Arial"/>
                <w:sz w:val="22"/>
                <w:szCs w:val="22"/>
              </w:rPr>
              <w:t>,</w:t>
            </w:r>
            <w:r w:rsidR="00B004AE">
              <w:rPr>
                <w:rFonts w:ascii="Arial" w:hAnsi="Arial" w:cs="Arial"/>
                <w:sz w:val="22"/>
                <w:szCs w:val="22"/>
              </w:rPr>
              <w:t xml:space="preserve"> </w:t>
            </w:r>
            <w:r w:rsidRPr="00EF6014">
              <w:rPr>
                <w:rFonts w:ascii="Arial" w:hAnsi="Arial" w:cs="Arial"/>
                <w:sz w:val="22"/>
                <w:szCs w:val="22"/>
              </w:rPr>
              <w:t>at this</w:t>
            </w:r>
            <w:r w:rsidR="00D0108B" w:rsidRPr="00EF6014">
              <w:rPr>
                <w:rFonts w:ascii="Arial" w:hAnsi="Arial" w:cs="Arial"/>
                <w:sz w:val="22"/>
                <w:szCs w:val="22"/>
              </w:rPr>
              <w:t xml:space="preserve"> stage of HRA.  For plans</w:t>
            </w:r>
            <w:r w:rsidRPr="00EF6014">
              <w:rPr>
                <w:rFonts w:ascii="Arial" w:hAnsi="Arial" w:cs="Arial"/>
                <w:sz w:val="22"/>
                <w:szCs w:val="22"/>
              </w:rPr>
              <w:t xml:space="preserve"> w</w:t>
            </w:r>
            <w:r w:rsidR="00D0108B" w:rsidRPr="00EF6014">
              <w:rPr>
                <w:rFonts w:ascii="Arial" w:hAnsi="Arial" w:cs="Arial"/>
                <w:sz w:val="22"/>
                <w:szCs w:val="22"/>
              </w:rPr>
              <w:t>here recreational disturbance is</w:t>
            </w:r>
            <w:r w:rsidRPr="00EF6014">
              <w:rPr>
                <w:rFonts w:ascii="Arial" w:hAnsi="Arial" w:cs="Arial"/>
                <w:sz w:val="22"/>
                <w:szCs w:val="22"/>
              </w:rPr>
              <w:t xml:space="preserve"> </w:t>
            </w:r>
            <w:r w:rsidR="004A6D6B">
              <w:rPr>
                <w:rFonts w:ascii="Arial" w:hAnsi="Arial" w:cs="Arial"/>
                <w:sz w:val="22"/>
                <w:szCs w:val="22"/>
              </w:rPr>
              <w:t>a</w:t>
            </w:r>
            <w:r w:rsidRPr="00EF6014">
              <w:rPr>
                <w:rFonts w:ascii="Arial" w:hAnsi="Arial" w:cs="Arial"/>
                <w:sz w:val="22"/>
                <w:szCs w:val="22"/>
              </w:rPr>
              <w:t xml:space="preserve"> mechanism of impact, Natural England’s advice is that without </w:t>
            </w:r>
            <w:r w:rsidRPr="00EF6014">
              <w:rPr>
                <w:rFonts w:ascii="Arial" w:hAnsi="Arial" w:cs="Arial"/>
                <w:sz w:val="22"/>
                <w:szCs w:val="22"/>
              </w:rPr>
              <w:lastRenderedPageBreak/>
              <w:t xml:space="preserve">mitigation </w:t>
            </w:r>
            <w:r w:rsidR="00F24559">
              <w:rPr>
                <w:rFonts w:ascii="Arial" w:hAnsi="Arial" w:cs="Arial"/>
                <w:sz w:val="22"/>
                <w:szCs w:val="22"/>
              </w:rPr>
              <w:t xml:space="preserve">they are </w:t>
            </w:r>
            <w:r w:rsidRPr="00EF6014">
              <w:rPr>
                <w:rFonts w:ascii="Arial" w:hAnsi="Arial" w:cs="Arial"/>
                <w:sz w:val="22"/>
                <w:szCs w:val="22"/>
              </w:rPr>
              <w:t xml:space="preserve">likely </w:t>
            </w:r>
            <w:r w:rsidR="00F24559">
              <w:rPr>
                <w:rFonts w:ascii="Arial" w:hAnsi="Arial" w:cs="Arial"/>
                <w:sz w:val="22"/>
                <w:szCs w:val="22"/>
              </w:rPr>
              <w:t xml:space="preserve">to have a </w:t>
            </w:r>
            <w:r w:rsidRPr="00EF6014">
              <w:rPr>
                <w:rFonts w:ascii="Arial" w:hAnsi="Arial" w:cs="Arial"/>
                <w:sz w:val="22"/>
                <w:szCs w:val="22"/>
              </w:rPr>
              <w:t xml:space="preserve">significant effect on the SPAs in combination with other residential development in the zones of influence.  Therefore such </w:t>
            </w:r>
            <w:r w:rsidR="008007C7" w:rsidRPr="00EF6014">
              <w:rPr>
                <w:rFonts w:ascii="Arial" w:hAnsi="Arial" w:cs="Arial"/>
                <w:sz w:val="22"/>
                <w:szCs w:val="22"/>
              </w:rPr>
              <w:t>plans</w:t>
            </w:r>
            <w:r w:rsidRPr="00EF6014">
              <w:rPr>
                <w:rFonts w:ascii="Arial" w:hAnsi="Arial" w:cs="Arial"/>
                <w:sz w:val="22"/>
                <w:szCs w:val="22"/>
              </w:rPr>
              <w:t xml:space="preserve">, even where </w:t>
            </w:r>
            <w:r w:rsidR="008007C7" w:rsidRPr="00EF6014">
              <w:rPr>
                <w:rFonts w:ascii="Arial" w:hAnsi="Arial" w:cs="Arial"/>
                <w:sz w:val="22"/>
                <w:szCs w:val="22"/>
              </w:rPr>
              <w:t>complian</w:t>
            </w:r>
            <w:r w:rsidR="00B004AE">
              <w:rPr>
                <w:rFonts w:ascii="Arial" w:hAnsi="Arial" w:cs="Arial"/>
                <w:sz w:val="22"/>
                <w:szCs w:val="22"/>
              </w:rPr>
              <w:t>ce</w:t>
            </w:r>
            <w:r w:rsidR="008007C7" w:rsidRPr="00EF6014">
              <w:rPr>
                <w:rFonts w:ascii="Arial" w:hAnsi="Arial" w:cs="Arial"/>
                <w:sz w:val="22"/>
                <w:szCs w:val="22"/>
              </w:rPr>
              <w:t xml:space="preserve"> with Local Plan policies 50 and 51 will ensure mitigation is delivered</w:t>
            </w:r>
            <w:r w:rsidRPr="00EF6014">
              <w:rPr>
                <w:rFonts w:ascii="Arial" w:hAnsi="Arial" w:cs="Arial"/>
                <w:sz w:val="22"/>
                <w:szCs w:val="22"/>
              </w:rPr>
              <w:t xml:space="preserve">, </w:t>
            </w:r>
            <w:r w:rsidR="009E27AB">
              <w:rPr>
                <w:rFonts w:ascii="Arial" w:hAnsi="Arial" w:cs="Arial"/>
                <w:sz w:val="22"/>
                <w:szCs w:val="22"/>
              </w:rPr>
              <w:t>must</w:t>
            </w:r>
            <w:r w:rsidRPr="00EF6014">
              <w:rPr>
                <w:rFonts w:ascii="Arial" w:hAnsi="Arial" w:cs="Arial"/>
                <w:sz w:val="22"/>
                <w:szCs w:val="22"/>
              </w:rPr>
              <w:t xml:space="preserve"> progress to Stage 3</w:t>
            </w:r>
            <w:r w:rsidR="009E27AB">
              <w:rPr>
                <w:rFonts w:ascii="Arial" w:hAnsi="Arial" w:cs="Arial"/>
                <w:sz w:val="22"/>
                <w:szCs w:val="22"/>
              </w:rPr>
              <w:t xml:space="preserve"> (Appropriate Assessment)</w:t>
            </w:r>
            <w:r w:rsidRPr="00EF6014">
              <w:rPr>
                <w:rFonts w:ascii="Arial" w:hAnsi="Arial" w:cs="Arial"/>
                <w:sz w:val="22"/>
                <w:szCs w:val="22"/>
              </w:rPr>
              <w:t>.</w:t>
            </w:r>
          </w:p>
          <w:p w14:paraId="208C36DB" w14:textId="77777777" w:rsidR="00E12FEB" w:rsidRDefault="00E12FEB" w:rsidP="00087B06">
            <w:pPr>
              <w:spacing w:line="276" w:lineRule="auto"/>
              <w:rPr>
                <w:rFonts w:ascii="Arial" w:hAnsi="Arial" w:cs="Arial"/>
                <w:sz w:val="22"/>
                <w:szCs w:val="22"/>
              </w:rPr>
            </w:pPr>
          </w:p>
          <w:p w14:paraId="3E213E3C" w14:textId="77777777" w:rsidR="00E12FEB" w:rsidRDefault="00E12FEB" w:rsidP="00087B06">
            <w:pPr>
              <w:spacing w:line="276" w:lineRule="auto"/>
              <w:rPr>
                <w:rFonts w:ascii="Arial" w:hAnsi="Arial" w:cs="Arial"/>
                <w:sz w:val="22"/>
                <w:szCs w:val="22"/>
              </w:rPr>
            </w:pPr>
            <w:r>
              <w:rPr>
                <w:rFonts w:ascii="Arial" w:hAnsi="Arial" w:cs="Arial"/>
                <w:sz w:val="22"/>
                <w:szCs w:val="22"/>
              </w:rPr>
              <w:t>Most units of Chichester Harbour SSSI (a component of Chichester and Langstone Harbours SPA / Ramsar site and the Solent Maritime SAC) have been assessed as being in unfavourable-declining condition (February 2020).  This is</w:t>
            </w:r>
            <w:r w:rsidR="004F54B5">
              <w:rPr>
                <w:rFonts w:ascii="Arial" w:hAnsi="Arial" w:cs="Arial"/>
                <w:sz w:val="22"/>
                <w:szCs w:val="22"/>
              </w:rPr>
              <w:t xml:space="preserve"> due to a combination of inappropriate coastal management and</w:t>
            </w:r>
            <w:r>
              <w:rPr>
                <w:rFonts w:ascii="Arial" w:hAnsi="Arial" w:cs="Arial"/>
                <w:sz w:val="22"/>
                <w:szCs w:val="22"/>
              </w:rPr>
              <w:t xml:space="preserve"> elevated levels of nitrogen in the water leading to eutrophication.  Low oxygen levels then lead to degradation of the SAC habitats and the micro</w:t>
            </w:r>
            <w:r w:rsidR="005149A2">
              <w:rPr>
                <w:rFonts w:ascii="Arial" w:hAnsi="Arial" w:cs="Arial"/>
                <w:sz w:val="22"/>
                <w:szCs w:val="22"/>
              </w:rPr>
              <w:t>-</w:t>
            </w:r>
            <w:r>
              <w:rPr>
                <w:rFonts w:ascii="Arial" w:hAnsi="Arial" w:cs="Arial"/>
                <w:sz w:val="22"/>
                <w:szCs w:val="22"/>
              </w:rPr>
              <w:t>fauna that SPA/Ramsar species feed on.  Diffuse nitrogen inp</w:t>
            </w:r>
            <w:r w:rsidR="00AB591A">
              <w:rPr>
                <w:rFonts w:ascii="Arial" w:hAnsi="Arial" w:cs="Arial"/>
                <w:sz w:val="22"/>
                <w:szCs w:val="22"/>
              </w:rPr>
              <w:t xml:space="preserve">uts from </w:t>
            </w:r>
            <w:r>
              <w:rPr>
                <w:rFonts w:ascii="Arial" w:hAnsi="Arial" w:cs="Arial"/>
                <w:sz w:val="22"/>
                <w:szCs w:val="22"/>
              </w:rPr>
              <w:t xml:space="preserve">land use comprise the majority of the nutrient </w:t>
            </w:r>
            <w:r w:rsidR="00AB591A">
              <w:rPr>
                <w:rFonts w:ascii="Arial" w:hAnsi="Arial" w:cs="Arial"/>
                <w:sz w:val="22"/>
                <w:szCs w:val="22"/>
              </w:rPr>
              <w:t>in</w:t>
            </w:r>
            <w:r>
              <w:rPr>
                <w:rFonts w:ascii="Arial" w:hAnsi="Arial" w:cs="Arial"/>
                <w:sz w:val="22"/>
                <w:szCs w:val="22"/>
              </w:rPr>
              <w:t>put</w:t>
            </w:r>
            <w:r w:rsidR="004F54B5">
              <w:rPr>
                <w:rFonts w:ascii="Arial" w:hAnsi="Arial" w:cs="Arial"/>
                <w:sz w:val="22"/>
                <w:szCs w:val="22"/>
              </w:rPr>
              <w:t xml:space="preserve"> when assessed at the whole harbour scale</w:t>
            </w:r>
            <w:r>
              <w:rPr>
                <w:rFonts w:ascii="Arial" w:hAnsi="Arial" w:cs="Arial"/>
                <w:sz w:val="22"/>
                <w:szCs w:val="22"/>
              </w:rPr>
              <w:t xml:space="preserve">, but point sources, including </w:t>
            </w:r>
            <w:proofErr w:type="spellStart"/>
            <w:r>
              <w:rPr>
                <w:rFonts w:ascii="Arial" w:hAnsi="Arial" w:cs="Arial"/>
                <w:sz w:val="22"/>
                <w:szCs w:val="22"/>
              </w:rPr>
              <w:t>WwTWs</w:t>
            </w:r>
            <w:proofErr w:type="spellEnd"/>
            <w:r>
              <w:rPr>
                <w:rFonts w:ascii="Arial" w:hAnsi="Arial" w:cs="Arial"/>
                <w:sz w:val="22"/>
                <w:szCs w:val="22"/>
              </w:rPr>
              <w:t xml:space="preserve"> also contribute</w:t>
            </w:r>
            <w:r w:rsidR="004F54B5">
              <w:rPr>
                <w:rFonts w:ascii="Arial" w:hAnsi="Arial" w:cs="Arial"/>
                <w:sz w:val="22"/>
                <w:szCs w:val="22"/>
              </w:rPr>
              <w:t>, and are significant as the scale of individual harbour arms</w:t>
            </w:r>
            <w:r>
              <w:rPr>
                <w:rFonts w:ascii="Arial" w:hAnsi="Arial" w:cs="Arial"/>
                <w:sz w:val="22"/>
                <w:szCs w:val="22"/>
              </w:rPr>
              <w:t xml:space="preserve">.  The recent “Dutch colleges” CJEU ruling makes clear that where </w:t>
            </w:r>
            <w:r w:rsidR="00AB591A">
              <w:rPr>
                <w:rFonts w:ascii="Arial" w:hAnsi="Arial" w:cs="Arial"/>
                <w:sz w:val="22"/>
                <w:szCs w:val="22"/>
              </w:rPr>
              <w:t>a European site is in unfavourable-no change or unfavourable–declining condition no plan or programme that would (without mitigation) result in an increase in nutrient levels, no matter how small, can be permitted.</w:t>
            </w:r>
          </w:p>
          <w:p w14:paraId="1C5D5300" w14:textId="77777777" w:rsidR="00AB591A" w:rsidRDefault="00AB591A" w:rsidP="00087B06">
            <w:pPr>
              <w:spacing w:line="276" w:lineRule="auto"/>
              <w:rPr>
                <w:rFonts w:ascii="Arial" w:hAnsi="Arial" w:cs="Arial"/>
                <w:sz w:val="22"/>
                <w:szCs w:val="22"/>
              </w:rPr>
            </w:pPr>
          </w:p>
          <w:p w14:paraId="4345DA40" w14:textId="77777777" w:rsidR="00AB591A" w:rsidRPr="00AB591A" w:rsidRDefault="00AB591A" w:rsidP="00AB591A">
            <w:pPr>
              <w:spacing w:line="276" w:lineRule="auto"/>
              <w:rPr>
                <w:rFonts w:ascii="Arial" w:hAnsi="Arial" w:cs="Arial"/>
                <w:sz w:val="22"/>
                <w:szCs w:val="22"/>
              </w:rPr>
            </w:pPr>
            <w:r>
              <w:rPr>
                <w:rFonts w:ascii="Arial" w:hAnsi="Arial" w:cs="Arial"/>
                <w:sz w:val="22"/>
                <w:szCs w:val="22"/>
              </w:rPr>
              <w:t>For plans where the housing allocat</w:t>
            </w:r>
            <w:r w:rsidR="005149A2">
              <w:rPr>
                <w:rFonts w:ascii="Arial" w:hAnsi="Arial" w:cs="Arial"/>
                <w:sz w:val="22"/>
                <w:szCs w:val="22"/>
              </w:rPr>
              <w:t>i</w:t>
            </w:r>
            <w:r>
              <w:rPr>
                <w:rFonts w:ascii="Arial" w:hAnsi="Arial" w:cs="Arial"/>
                <w:sz w:val="22"/>
                <w:szCs w:val="22"/>
              </w:rPr>
              <w:t>ons have the potential for nutrient impact via a WwTW</w:t>
            </w:r>
            <w:r w:rsidRPr="00AB591A">
              <w:rPr>
                <w:rFonts w:ascii="Arial" w:hAnsi="Arial" w:cs="Arial"/>
                <w:sz w:val="22"/>
                <w:szCs w:val="22"/>
              </w:rPr>
              <w:t xml:space="preserve"> a nutrient budget for the </w:t>
            </w:r>
            <w:r>
              <w:rPr>
                <w:rFonts w:ascii="Arial" w:hAnsi="Arial" w:cs="Arial"/>
                <w:sz w:val="22"/>
                <w:szCs w:val="22"/>
              </w:rPr>
              <w:t xml:space="preserve">plan’s </w:t>
            </w:r>
            <w:r w:rsidRPr="00AB591A">
              <w:rPr>
                <w:rFonts w:ascii="Arial" w:hAnsi="Arial" w:cs="Arial"/>
                <w:sz w:val="22"/>
                <w:szCs w:val="22"/>
              </w:rPr>
              <w:t xml:space="preserve">proposal </w:t>
            </w:r>
            <w:r>
              <w:rPr>
                <w:rFonts w:ascii="Arial" w:hAnsi="Arial" w:cs="Arial"/>
                <w:sz w:val="22"/>
                <w:szCs w:val="22"/>
              </w:rPr>
              <w:t xml:space="preserve">has to be calculated, </w:t>
            </w:r>
            <w:r w:rsidRPr="00AB591A">
              <w:rPr>
                <w:rFonts w:ascii="Arial" w:hAnsi="Arial" w:cs="Arial"/>
                <w:sz w:val="22"/>
                <w:szCs w:val="22"/>
              </w:rPr>
              <w:t>using the standard Natural England Methodology</w:t>
            </w:r>
            <w:r w:rsidR="007A0F69">
              <w:rPr>
                <w:rFonts w:ascii="Arial" w:hAnsi="Arial" w:cs="Arial"/>
                <w:sz w:val="22"/>
                <w:szCs w:val="22"/>
              </w:rPr>
              <w:t xml:space="preserve"> </w:t>
            </w:r>
            <w:r>
              <w:rPr>
                <w:rFonts w:ascii="Arial" w:hAnsi="Arial" w:cs="Arial"/>
                <w:sz w:val="22"/>
                <w:szCs w:val="22"/>
              </w:rPr>
              <w:t>(</w:t>
            </w:r>
            <w:r w:rsidRPr="00AB591A">
              <w:rPr>
                <w:rFonts w:ascii="Arial" w:hAnsi="Arial" w:cs="Arial"/>
                <w:sz w:val="22"/>
                <w:szCs w:val="22"/>
              </w:rPr>
              <w:t xml:space="preserve">to be found at </w:t>
            </w:r>
            <w:hyperlink r:id="rId6" w:history="1">
              <w:r w:rsidRPr="00AB591A">
                <w:rPr>
                  <w:rStyle w:val="Hyperlink"/>
                  <w:rFonts w:ascii="Arial" w:hAnsi="Arial" w:cs="Arial"/>
                  <w:sz w:val="22"/>
                  <w:szCs w:val="22"/>
                </w:rPr>
                <w:t>https://www.push.gov.uk/wp-content/uploads/2020/03/Advice-on-Achieving-Nutrient-Neutrality-for-New-Deveopment-in-the-Solent-Region-March-2020.pdf</w:t>
              </w:r>
            </w:hyperlink>
            <w:r>
              <w:rPr>
                <w:rFonts w:ascii="Arial" w:hAnsi="Arial" w:cs="Arial"/>
                <w:sz w:val="22"/>
                <w:szCs w:val="22"/>
              </w:rPr>
              <w:t xml:space="preserve"> ) </w:t>
            </w:r>
          </w:p>
          <w:p w14:paraId="69D2AC61" w14:textId="77777777" w:rsidR="00AB591A" w:rsidRDefault="00AB591A" w:rsidP="00AB591A">
            <w:pPr>
              <w:spacing w:line="276" w:lineRule="auto"/>
              <w:rPr>
                <w:rFonts w:ascii="Arial" w:hAnsi="Arial" w:cs="Arial"/>
                <w:sz w:val="22"/>
                <w:szCs w:val="22"/>
              </w:rPr>
            </w:pPr>
            <w:r w:rsidRPr="00AB591A">
              <w:rPr>
                <w:rFonts w:ascii="Arial" w:hAnsi="Arial" w:cs="Arial"/>
                <w:sz w:val="22"/>
                <w:szCs w:val="22"/>
              </w:rPr>
              <w:t>If the budget figure is negative no mitigation is required for n</w:t>
            </w:r>
            <w:r w:rsidR="007A0F69">
              <w:rPr>
                <w:rFonts w:ascii="Arial" w:hAnsi="Arial" w:cs="Arial"/>
                <w:sz w:val="22"/>
                <w:szCs w:val="22"/>
              </w:rPr>
              <w:t>utrient impacts and the plan</w:t>
            </w:r>
            <w:r w:rsidRPr="00AB591A">
              <w:rPr>
                <w:rFonts w:ascii="Arial" w:hAnsi="Arial" w:cs="Arial"/>
                <w:sz w:val="22"/>
                <w:szCs w:val="22"/>
              </w:rPr>
              <w:t xml:space="preserve"> can be screened out of further assessment on nutrient aspects</w:t>
            </w:r>
            <w:r w:rsidR="007A0F69">
              <w:rPr>
                <w:rFonts w:ascii="Arial" w:hAnsi="Arial" w:cs="Arial"/>
                <w:sz w:val="22"/>
                <w:szCs w:val="22"/>
              </w:rPr>
              <w:t>.</w:t>
            </w:r>
          </w:p>
          <w:p w14:paraId="522BEAFD" w14:textId="77777777" w:rsidR="007A0F69" w:rsidRDefault="007A0F69" w:rsidP="00AB591A">
            <w:pPr>
              <w:spacing w:line="276" w:lineRule="auto"/>
              <w:rPr>
                <w:rFonts w:ascii="Arial" w:hAnsi="Arial" w:cs="Arial"/>
                <w:sz w:val="22"/>
                <w:szCs w:val="22"/>
              </w:rPr>
            </w:pPr>
          </w:p>
          <w:p w14:paraId="79E2DF5F" w14:textId="77777777" w:rsidR="007A0F69" w:rsidRDefault="002B1BB6" w:rsidP="00AB591A">
            <w:pPr>
              <w:spacing w:line="276" w:lineRule="auto"/>
              <w:rPr>
                <w:rFonts w:ascii="Arial" w:hAnsi="Arial" w:cs="Arial"/>
                <w:sz w:val="22"/>
                <w:szCs w:val="22"/>
              </w:rPr>
            </w:pPr>
            <w:r>
              <w:rPr>
                <w:rFonts w:ascii="Arial" w:hAnsi="Arial" w:cs="Arial"/>
                <w:sz w:val="22"/>
                <w:szCs w:val="22"/>
              </w:rPr>
              <w:t xml:space="preserve">The 16 dwellings at Long Copse Lane have a </w:t>
            </w:r>
            <w:r w:rsidR="00F400CA">
              <w:rPr>
                <w:rFonts w:ascii="Arial" w:hAnsi="Arial" w:cs="Arial"/>
                <w:sz w:val="22"/>
                <w:szCs w:val="22"/>
              </w:rPr>
              <w:t xml:space="preserve">planning </w:t>
            </w:r>
            <w:r>
              <w:rPr>
                <w:rFonts w:ascii="Arial" w:hAnsi="Arial" w:cs="Arial"/>
                <w:sz w:val="22"/>
                <w:szCs w:val="22"/>
              </w:rPr>
              <w:t>permission that pre-dates the change i</w:t>
            </w:r>
            <w:r w:rsidR="00BE13EB">
              <w:rPr>
                <w:rFonts w:ascii="Arial" w:hAnsi="Arial" w:cs="Arial"/>
                <w:sz w:val="22"/>
                <w:szCs w:val="22"/>
              </w:rPr>
              <w:t>n</w:t>
            </w:r>
            <w:r>
              <w:rPr>
                <w:rFonts w:ascii="Arial" w:hAnsi="Arial" w:cs="Arial"/>
                <w:sz w:val="22"/>
                <w:szCs w:val="22"/>
              </w:rPr>
              <w:t xml:space="preserve"> the condition status for Chichester Harbour.  The impact of the Neighbourhood Plan will therefore be the two allocations at Land to the West of Monk’s Hill and Land Adjacent to Chantry Hall.  The plan level nitrogen budget (i.e. for both these sites together), shows a negative overall budget of -</w:t>
            </w:r>
            <w:r w:rsidR="00473FE7">
              <w:rPr>
                <w:rFonts w:ascii="Arial" w:hAnsi="Arial" w:cs="Arial"/>
                <w:sz w:val="22"/>
                <w:szCs w:val="22"/>
              </w:rPr>
              <w:t>3</w:t>
            </w:r>
            <w:r>
              <w:rPr>
                <w:rFonts w:ascii="Arial" w:hAnsi="Arial" w:cs="Arial"/>
                <w:sz w:val="22"/>
                <w:szCs w:val="22"/>
              </w:rPr>
              <w:t xml:space="preserve"> kg TN/year</w:t>
            </w:r>
            <w:r w:rsidR="00F400CA">
              <w:rPr>
                <w:rFonts w:ascii="Arial" w:hAnsi="Arial" w:cs="Arial"/>
                <w:sz w:val="22"/>
                <w:szCs w:val="22"/>
              </w:rPr>
              <w:t xml:space="preserve"> (see Appendix)</w:t>
            </w:r>
            <w:r>
              <w:rPr>
                <w:rFonts w:ascii="Arial" w:hAnsi="Arial" w:cs="Arial"/>
                <w:sz w:val="22"/>
                <w:szCs w:val="22"/>
              </w:rPr>
              <w:t>.  Therefore no mitigation is required and this potential mechanism of impact can be screened out of further assessment as having no likely significant effect</w:t>
            </w:r>
            <w:r w:rsidR="00F400CA">
              <w:rPr>
                <w:rFonts w:ascii="Arial" w:hAnsi="Arial" w:cs="Arial"/>
                <w:sz w:val="22"/>
                <w:szCs w:val="22"/>
              </w:rPr>
              <w:t>.</w:t>
            </w:r>
          </w:p>
          <w:p w14:paraId="0FA03C32" w14:textId="77777777" w:rsidR="00D07736" w:rsidRDefault="00D07736" w:rsidP="00087B06">
            <w:pPr>
              <w:spacing w:line="276" w:lineRule="auto"/>
              <w:rPr>
                <w:rFonts w:ascii="Arial" w:hAnsi="Arial" w:cs="Arial"/>
                <w:sz w:val="22"/>
                <w:szCs w:val="22"/>
              </w:rPr>
            </w:pPr>
          </w:p>
          <w:p w14:paraId="1132073C" w14:textId="77777777" w:rsidR="00550C66" w:rsidRDefault="00D07736" w:rsidP="00087B06">
            <w:pPr>
              <w:spacing w:line="276" w:lineRule="auto"/>
              <w:rPr>
                <w:rFonts w:ascii="Arial" w:hAnsi="Arial" w:cs="Arial"/>
                <w:sz w:val="22"/>
                <w:szCs w:val="22"/>
              </w:rPr>
            </w:pPr>
            <w:r w:rsidRPr="00EF6014">
              <w:rPr>
                <w:rFonts w:ascii="Arial" w:hAnsi="Arial" w:cs="Arial"/>
                <w:sz w:val="22"/>
                <w:szCs w:val="22"/>
              </w:rPr>
              <w:t>For other potential mechanisms of impact</w:t>
            </w:r>
            <w:r w:rsidR="00805811">
              <w:rPr>
                <w:rFonts w:ascii="Arial" w:hAnsi="Arial" w:cs="Arial"/>
                <w:sz w:val="22"/>
                <w:szCs w:val="22"/>
              </w:rPr>
              <w:t>, including</w:t>
            </w:r>
            <w:r w:rsidR="0079103A">
              <w:rPr>
                <w:rFonts w:ascii="Arial" w:hAnsi="Arial" w:cs="Arial"/>
                <w:sz w:val="22"/>
                <w:szCs w:val="22"/>
              </w:rPr>
              <w:t xml:space="preserve"> on</w:t>
            </w:r>
            <w:r w:rsidR="00805811">
              <w:rPr>
                <w:rFonts w:ascii="Arial" w:hAnsi="Arial" w:cs="Arial"/>
                <w:sz w:val="22"/>
                <w:szCs w:val="22"/>
              </w:rPr>
              <w:t xml:space="preserve"> the </w:t>
            </w:r>
            <w:r w:rsidR="00E12FEB">
              <w:rPr>
                <w:rFonts w:ascii="Arial" w:hAnsi="Arial" w:cs="Arial"/>
                <w:sz w:val="22"/>
                <w:szCs w:val="22"/>
              </w:rPr>
              <w:t xml:space="preserve">SAC </w:t>
            </w:r>
            <w:r w:rsidR="00805811">
              <w:rPr>
                <w:rFonts w:ascii="Arial" w:hAnsi="Arial" w:cs="Arial"/>
                <w:sz w:val="22"/>
                <w:szCs w:val="22"/>
              </w:rPr>
              <w:t xml:space="preserve">habitat features </w:t>
            </w:r>
            <w:r w:rsidR="0079103A">
              <w:rPr>
                <w:rFonts w:ascii="Arial" w:hAnsi="Arial" w:cs="Arial"/>
                <w:sz w:val="22"/>
                <w:szCs w:val="22"/>
              </w:rPr>
              <w:t xml:space="preserve">of </w:t>
            </w:r>
            <w:r w:rsidR="00805811" w:rsidRPr="00804C91">
              <w:rPr>
                <w:rFonts w:ascii="Arial" w:hAnsi="Arial" w:cs="Arial"/>
                <w:sz w:val="22"/>
                <w:szCs w:val="22"/>
              </w:rPr>
              <w:t>intertidal mudflats, saltmarsh, sand and shingle spits and sand dunes</w:t>
            </w:r>
            <w:r w:rsidR="0079103A">
              <w:rPr>
                <w:rFonts w:ascii="Arial" w:hAnsi="Arial" w:cs="Arial"/>
                <w:sz w:val="22"/>
                <w:szCs w:val="22"/>
              </w:rPr>
              <w:t xml:space="preserve">, </w:t>
            </w:r>
            <w:r w:rsidRPr="00EF6014">
              <w:rPr>
                <w:rFonts w:ascii="Arial" w:hAnsi="Arial" w:cs="Arial"/>
                <w:sz w:val="22"/>
                <w:szCs w:val="22"/>
              </w:rPr>
              <w:t xml:space="preserve">(e.g. direct loss of habitat, water runoff etc.) does the evidence submitted show a likely significant effect, without mitigation measures (either alone or in-combination with other plans or projects)?  </w:t>
            </w:r>
            <w:r>
              <w:rPr>
                <w:rFonts w:ascii="Arial" w:hAnsi="Arial" w:cs="Arial"/>
                <w:b/>
                <w:sz w:val="22"/>
                <w:szCs w:val="22"/>
              </w:rPr>
              <w:t>No</w:t>
            </w:r>
            <w:r w:rsidR="007D680B">
              <w:rPr>
                <w:rFonts w:ascii="Arial" w:hAnsi="Arial" w:cs="Arial"/>
                <w:b/>
                <w:sz w:val="22"/>
                <w:szCs w:val="22"/>
              </w:rPr>
              <w:t xml:space="preserve"> and there is no loss of </w:t>
            </w:r>
            <w:r w:rsidR="00E12FEB">
              <w:rPr>
                <w:rFonts w:ascii="Arial" w:hAnsi="Arial" w:cs="Arial"/>
                <w:b/>
                <w:sz w:val="22"/>
                <w:szCs w:val="22"/>
              </w:rPr>
              <w:t>SAC</w:t>
            </w:r>
            <w:r w:rsidR="007D680B">
              <w:rPr>
                <w:rFonts w:ascii="Arial" w:hAnsi="Arial" w:cs="Arial"/>
                <w:b/>
                <w:sz w:val="22"/>
                <w:szCs w:val="22"/>
              </w:rPr>
              <w:t xml:space="preserve"> habitat, either direct or indirect through water quality impacts.</w:t>
            </w:r>
          </w:p>
          <w:p w14:paraId="474C3DB2" w14:textId="77777777" w:rsidR="00D07736" w:rsidRDefault="00D07736" w:rsidP="00087B06">
            <w:pPr>
              <w:spacing w:line="276" w:lineRule="auto"/>
              <w:rPr>
                <w:rFonts w:ascii="Arial" w:hAnsi="Arial" w:cs="Arial"/>
                <w:sz w:val="22"/>
                <w:szCs w:val="22"/>
                <w:highlight w:val="yellow"/>
              </w:rPr>
            </w:pPr>
          </w:p>
          <w:p w14:paraId="52E7B8A5" w14:textId="77777777" w:rsidR="002D0119" w:rsidRPr="002D0119" w:rsidRDefault="00F24559" w:rsidP="00087B06">
            <w:pPr>
              <w:spacing w:line="276" w:lineRule="auto"/>
              <w:rPr>
                <w:rFonts w:ascii="Arial" w:hAnsi="Arial" w:cs="Arial"/>
                <w:sz w:val="22"/>
                <w:szCs w:val="22"/>
              </w:rPr>
            </w:pPr>
            <w:r w:rsidRPr="000F309A">
              <w:rPr>
                <w:rFonts w:ascii="Arial" w:hAnsi="Arial" w:cs="Arial"/>
                <w:b/>
                <w:sz w:val="22"/>
                <w:szCs w:val="22"/>
              </w:rPr>
              <w:t xml:space="preserve">Stage 2 Conclusion </w:t>
            </w:r>
            <w:r w:rsidRPr="000F309A">
              <w:rPr>
                <w:rFonts w:ascii="Arial" w:hAnsi="Arial" w:cs="Arial"/>
                <w:sz w:val="22"/>
                <w:szCs w:val="22"/>
              </w:rPr>
              <w:t>-</w:t>
            </w:r>
            <w:r w:rsidR="005C571F" w:rsidRPr="000F309A">
              <w:rPr>
                <w:rFonts w:ascii="Arial" w:hAnsi="Arial" w:cs="Arial"/>
                <w:sz w:val="22"/>
                <w:szCs w:val="22"/>
              </w:rPr>
              <w:t xml:space="preserve"> Would the proposal lead to likely</w:t>
            </w:r>
            <w:r w:rsidR="00550C66" w:rsidRPr="000F309A">
              <w:rPr>
                <w:rFonts w:ascii="Arial" w:hAnsi="Arial" w:cs="Arial"/>
                <w:sz w:val="22"/>
                <w:szCs w:val="22"/>
              </w:rPr>
              <w:t xml:space="preserve"> significant effects on </w:t>
            </w:r>
            <w:r w:rsidR="005C571F" w:rsidRPr="000F309A">
              <w:rPr>
                <w:rFonts w:ascii="Arial" w:hAnsi="Arial" w:cs="Arial"/>
                <w:sz w:val="22"/>
                <w:szCs w:val="22"/>
              </w:rPr>
              <w:t xml:space="preserve">the integrity of a </w:t>
            </w:r>
            <w:r w:rsidR="00550C66" w:rsidRPr="000F309A">
              <w:rPr>
                <w:rFonts w:ascii="Arial" w:hAnsi="Arial" w:cs="Arial"/>
                <w:sz w:val="22"/>
                <w:szCs w:val="22"/>
              </w:rPr>
              <w:t xml:space="preserve">European Site? </w:t>
            </w:r>
            <w:r w:rsidR="00550C66" w:rsidRPr="000F309A">
              <w:rPr>
                <w:rFonts w:ascii="Arial" w:hAnsi="Arial" w:cs="Arial"/>
                <w:b/>
                <w:sz w:val="22"/>
                <w:szCs w:val="22"/>
              </w:rPr>
              <w:t>Yes</w:t>
            </w:r>
            <w:r w:rsidR="00F400CA">
              <w:rPr>
                <w:rFonts w:ascii="Arial" w:hAnsi="Arial" w:cs="Arial"/>
                <w:b/>
                <w:sz w:val="22"/>
                <w:szCs w:val="22"/>
              </w:rPr>
              <w:t xml:space="preserve"> (due to recreational disturbance)</w:t>
            </w:r>
          </w:p>
          <w:p w14:paraId="1EA369C2" w14:textId="77777777" w:rsidR="002D0119" w:rsidRPr="002D0119" w:rsidRDefault="002D0119" w:rsidP="00087B06">
            <w:pPr>
              <w:spacing w:line="276" w:lineRule="auto"/>
              <w:rPr>
                <w:rFonts w:ascii="Arial" w:hAnsi="Arial" w:cs="Arial"/>
                <w:sz w:val="22"/>
                <w:szCs w:val="22"/>
              </w:rPr>
            </w:pPr>
            <w:r w:rsidRPr="002D0119">
              <w:rPr>
                <w:rFonts w:ascii="Arial" w:hAnsi="Arial" w:cs="Arial"/>
                <w:sz w:val="22"/>
                <w:szCs w:val="22"/>
              </w:rPr>
              <w:t>(If yes,</w:t>
            </w:r>
            <w:r w:rsidR="0040778B">
              <w:rPr>
                <w:rFonts w:ascii="Arial" w:hAnsi="Arial" w:cs="Arial"/>
                <w:sz w:val="22"/>
                <w:szCs w:val="22"/>
              </w:rPr>
              <w:t xml:space="preserve"> </w:t>
            </w:r>
            <w:r w:rsidRPr="002D0119">
              <w:rPr>
                <w:rFonts w:ascii="Arial" w:hAnsi="Arial" w:cs="Arial"/>
                <w:sz w:val="22"/>
                <w:szCs w:val="22"/>
              </w:rPr>
              <w:t>continue to Stage 3)</w:t>
            </w:r>
          </w:p>
          <w:p w14:paraId="7E1D0CD1" w14:textId="77777777" w:rsidR="001071FC" w:rsidRPr="00B004AE" w:rsidRDefault="001071FC" w:rsidP="00087B06">
            <w:pPr>
              <w:spacing w:line="276" w:lineRule="auto"/>
              <w:rPr>
                <w:rFonts w:ascii="Arial" w:hAnsi="Arial" w:cs="Arial"/>
                <w:b/>
                <w:sz w:val="22"/>
                <w:szCs w:val="22"/>
              </w:rPr>
            </w:pPr>
          </w:p>
        </w:tc>
      </w:tr>
    </w:tbl>
    <w:p w14:paraId="785E212E" w14:textId="77777777" w:rsidR="00550C66" w:rsidRDefault="00550C66"/>
    <w:tbl>
      <w:tblPr>
        <w:tblW w:w="0" w:type="auto"/>
        <w:tblBorders>
          <w:top w:val="single" w:sz="12" w:space="0" w:color="0083BE"/>
          <w:left w:val="single" w:sz="12" w:space="0" w:color="0083BE"/>
          <w:bottom w:val="single" w:sz="12" w:space="0" w:color="0083BE"/>
          <w:right w:val="single" w:sz="12" w:space="0" w:color="0083BE"/>
          <w:insideH w:val="single" w:sz="4" w:space="0" w:color="0083BE"/>
          <w:insideV w:val="single" w:sz="4" w:space="0" w:color="0083BE"/>
        </w:tblBorders>
        <w:tblCellMar>
          <w:top w:w="57" w:type="dxa"/>
          <w:left w:w="57" w:type="dxa"/>
          <w:bottom w:w="57" w:type="dxa"/>
          <w:right w:w="57" w:type="dxa"/>
        </w:tblCellMar>
        <w:tblLook w:val="00A0" w:firstRow="1" w:lastRow="0" w:firstColumn="1" w:lastColumn="0" w:noHBand="0" w:noVBand="0"/>
      </w:tblPr>
      <w:tblGrid>
        <w:gridCol w:w="9752"/>
      </w:tblGrid>
      <w:tr w:rsidR="001071FC" w:rsidRPr="00EF6014" w14:paraId="0181629F" w14:textId="77777777" w:rsidTr="00EC279A">
        <w:tc>
          <w:tcPr>
            <w:tcW w:w="9752" w:type="dxa"/>
            <w:tcBorders>
              <w:top w:val="single" w:sz="12" w:space="0" w:color="0083BE"/>
            </w:tcBorders>
            <w:shd w:val="clear" w:color="auto" w:fill="0083BE"/>
          </w:tcPr>
          <w:p w14:paraId="4E2BCDC2" w14:textId="77777777" w:rsidR="001071FC" w:rsidRPr="00B73E13" w:rsidRDefault="001071FC" w:rsidP="00B73E13">
            <w:pPr>
              <w:pStyle w:val="Heading2"/>
              <w:spacing w:before="0"/>
              <w:rPr>
                <w:rFonts w:ascii="Arial" w:hAnsi="Arial" w:cs="Arial"/>
              </w:rPr>
            </w:pPr>
            <w:r w:rsidRPr="00B73E13">
              <w:rPr>
                <w:rFonts w:ascii="Arial" w:hAnsi="Arial" w:cs="Arial"/>
                <w:color w:val="FFFFFF" w:themeColor="background1"/>
                <w:sz w:val="22"/>
              </w:rPr>
              <w:t>Stage 3 - HRA – Appropriate Assessment</w:t>
            </w:r>
          </w:p>
        </w:tc>
      </w:tr>
      <w:tr w:rsidR="001071FC" w:rsidRPr="00EF6014" w14:paraId="36C20269" w14:textId="77777777" w:rsidTr="00B25729">
        <w:tc>
          <w:tcPr>
            <w:tcW w:w="9752" w:type="dxa"/>
            <w:shd w:val="clear" w:color="auto" w:fill="DAE7EE"/>
          </w:tcPr>
          <w:p w14:paraId="5BB12AC1" w14:textId="77777777" w:rsidR="001071FC" w:rsidRPr="00EF6014" w:rsidRDefault="00EA1319" w:rsidP="00EA1319">
            <w:pPr>
              <w:spacing w:line="276" w:lineRule="auto"/>
              <w:rPr>
                <w:rFonts w:ascii="Arial" w:hAnsi="Arial" w:cs="Arial"/>
                <w:sz w:val="22"/>
                <w:szCs w:val="22"/>
              </w:rPr>
            </w:pPr>
            <w:r w:rsidRPr="00EA1319">
              <w:rPr>
                <w:rFonts w:ascii="Arial" w:hAnsi="Arial" w:cs="Arial"/>
                <w:b/>
                <w:sz w:val="22"/>
                <w:szCs w:val="22"/>
              </w:rPr>
              <w:t>Test 2: The Integrity T</w:t>
            </w:r>
            <w:r w:rsidR="001071FC" w:rsidRPr="00EA1319">
              <w:rPr>
                <w:rFonts w:ascii="Arial" w:hAnsi="Arial" w:cs="Arial"/>
                <w:b/>
                <w:sz w:val="22"/>
                <w:szCs w:val="22"/>
              </w:rPr>
              <w:t>est</w:t>
            </w:r>
            <w:r w:rsidR="001071FC" w:rsidRPr="00EF6014">
              <w:rPr>
                <w:rFonts w:ascii="Arial" w:hAnsi="Arial" w:cs="Arial"/>
                <w:sz w:val="22"/>
                <w:szCs w:val="22"/>
              </w:rPr>
              <w:t xml:space="preserve"> – If there are any potential si</w:t>
            </w:r>
            <w:r w:rsidR="00F713F6" w:rsidRPr="00EF6014">
              <w:rPr>
                <w:rFonts w:ascii="Arial" w:hAnsi="Arial" w:cs="Arial"/>
                <w:sz w:val="22"/>
                <w:szCs w:val="22"/>
              </w:rPr>
              <w:t>gnificant impacts,</w:t>
            </w:r>
            <w:r w:rsidR="004C6ABC" w:rsidRPr="00EF6014">
              <w:rPr>
                <w:rFonts w:ascii="Arial" w:hAnsi="Arial" w:cs="Arial"/>
                <w:sz w:val="22"/>
                <w:szCs w:val="22"/>
              </w:rPr>
              <w:t xml:space="preserve"> the competent authority must be satisfied that adequate mitigation is in place to allow the AA to be carried out</w:t>
            </w:r>
            <w:r w:rsidR="00FB6696" w:rsidRPr="00EF6014">
              <w:rPr>
                <w:rFonts w:ascii="Arial" w:hAnsi="Arial" w:cs="Arial"/>
                <w:sz w:val="22"/>
                <w:szCs w:val="22"/>
              </w:rPr>
              <w:t>.</w:t>
            </w:r>
            <w:r w:rsidR="00F713F6" w:rsidRPr="00EF6014">
              <w:rPr>
                <w:rFonts w:ascii="Arial" w:hAnsi="Arial" w:cs="Arial"/>
                <w:sz w:val="22"/>
                <w:szCs w:val="22"/>
              </w:rPr>
              <w:t xml:space="preserve"> </w:t>
            </w:r>
            <w:r w:rsidR="004D6811" w:rsidRPr="00EF6014">
              <w:rPr>
                <w:rFonts w:ascii="Arial" w:hAnsi="Arial" w:cs="Arial"/>
                <w:sz w:val="22"/>
                <w:szCs w:val="22"/>
              </w:rPr>
              <w:t>Other than for Bird Aware Solent and the Joint Pagham Scheme of Mitigation, t</w:t>
            </w:r>
            <w:r w:rsidR="001071FC" w:rsidRPr="00EF6014">
              <w:rPr>
                <w:rFonts w:ascii="Arial" w:hAnsi="Arial" w:cs="Arial"/>
                <w:sz w:val="22"/>
                <w:szCs w:val="22"/>
              </w:rPr>
              <w:t xml:space="preserve">he </w:t>
            </w:r>
            <w:r w:rsidR="00A21F49" w:rsidRPr="00EF6014">
              <w:rPr>
                <w:rFonts w:ascii="Arial" w:hAnsi="Arial" w:cs="Arial"/>
                <w:sz w:val="22"/>
                <w:szCs w:val="22"/>
              </w:rPr>
              <w:t xml:space="preserve">competent authority </w:t>
            </w:r>
            <w:r w:rsidR="001071FC" w:rsidRPr="00EF6014">
              <w:rPr>
                <w:rFonts w:ascii="Arial" w:hAnsi="Arial" w:cs="Arial"/>
                <w:sz w:val="22"/>
                <w:szCs w:val="22"/>
              </w:rPr>
              <w:t>must also</w:t>
            </w:r>
            <w:r w:rsidR="00A21F49" w:rsidRPr="00EF6014">
              <w:rPr>
                <w:rFonts w:ascii="Arial" w:hAnsi="Arial" w:cs="Arial"/>
                <w:sz w:val="22"/>
                <w:szCs w:val="22"/>
              </w:rPr>
              <w:t xml:space="preserve"> be satisfied that all</w:t>
            </w:r>
            <w:r w:rsidR="001071FC" w:rsidRPr="00EF6014">
              <w:rPr>
                <w:rFonts w:ascii="Arial" w:hAnsi="Arial" w:cs="Arial"/>
                <w:sz w:val="22"/>
                <w:szCs w:val="22"/>
              </w:rPr>
              <w:t xml:space="preserve"> details which demonstrate any long term management, maintenance and funding of any solution</w:t>
            </w:r>
            <w:r w:rsidR="00A21F49" w:rsidRPr="00EF6014">
              <w:rPr>
                <w:rFonts w:ascii="Arial" w:hAnsi="Arial" w:cs="Arial"/>
                <w:sz w:val="22"/>
                <w:szCs w:val="22"/>
              </w:rPr>
              <w:t xml:space="preserve"> have been provided</w:t>
            </w:r>
            <w:r w:rsidR="001071FC" w:rsidRPr="00EF6014">
              <w:rPr>
                <w:rFonts w:ascii="Arial" w:hAnsi="Arial" w:cs="Arial"/>
                <w:sz w:val="22"/>
                <w:szCs w:val="22"/>
              </w:rPr>
              <w:t>.</w:t>
            </w:r>
          </w:p>
        </w:tc>
      </w:tr>
      <w:tr w:rsidR="001071FC" w:rsidRPr="00EF6014" w14:paraId="362CB7DE" w14:textId="77777777" w:rsidTr="00B25729">
        <w:tc>
          <w:tcPr>
            <w:tcW w:w="9752" w:type="dxa"/>
          </w:tcPr>
          <w:p w14:paraId="4BE34259" w14:textId="77777777" w:rsidR="00EA1319" w:rsidRDefault="00EA1319" w:rsidP="00B25729">
            <w:pPr>
              <w:spacing w:line="276" w:lineRule="auto"/>
              <w:rPr>
                <w:rFonts w:ascii="Arial" w:hAnsi="Arial" w:cs="Arial"/>
                <w:sz w:val="22"/>
                <w:szCs w:val="22"/>
              </w:rPr>
            </w:pPr>
            <w:r w:rsidRPr="00EE3E57">
              <w:rPr>
                <w:rFonts w:ascii="Arial" w:hAnsi="Arial" w:cs="Arial"/>
                <w:b/>
                <w:sz w:val="22"/>
                <w:szCs w:val="22"/>
              </w:rPr>
              <w:t xml:space="preserve">The </w:t>
            </w:r>
            <w:r w:rsidR="00804C91" w:rsidRPr="00EE3E57">
              <w:rPr>
                <w:rFonts w:ascii="Arial" w:hAnsi="Arial" w:cs="Arial"/>
                <w:b/>
                <w:sz w:val="22"/>
                <w:szCs w:val="22"/>
              </w:rPr>
              <w:t>reasons for the designation of</w:t>
            </w:r>
            <w:r w:rsidRPr="00EE3E57">
              <w:rPr>
                <w:rFonts w:ascii="Arial" w:hAnsi="Arial" w:cs="Arial"/>
                <w:b/>
                <w:sz w:val="22"/>
                <w:szCs w:val="22"/>
              </w:rPr>
              <w:t xml:space="preserve"> the Chichester and Langstone Harbours SPA / Ramsar are as follows</w:t>
            </w:r>
            <w:r>
              <w:rPr>
                <w:rFonts w:ascii="Arial" w:hAnsi="Arial" w:cs="Arial"/>
                <w:sz w:val="22"/>
                <w:szCs w:val="22"/>
              </w:rPr>
              <w:t xml:space="preserve">: </w:t>
            </w:r>
          </w:p>
          <w:p w14:paraId="68751FC1" w14:textId="77777777" w:rsidR="00EA1319" w:rsidRDefault="00EA1319" w:rsidP="00B25729">
            <w:pPr>
              <w:spacing w:line="276" w:lineRule="auto"/>
              <w:rPr>
                <w:rFonts w:ascii="Arial" w:hAnsi="Arial" w:cs="Arial"/>
                <w:sz w:val="22"/>
                <w:szCs w:val="22"/>
              </w:rPr>
            </w:pPr>
          </w:p>
          <w:p w14:paraId="70501DA1" w14:textId="77777777" w:rsidR="00C00210" w:rsidRDefault="00C00210" w:rsidP="00804C91">
            <w:pPr>
              <w:spacing w:line="276" w:lineRule="auto"/>
              <w:rPr>
                <w:rFonts w:ascii="Arial" w:hAnsi="Arial" w:cs="Arial"/>
                <w:sz w:val="22"/>
                <w:szCs w:val="22"/>
              </w:rPr>
            </w:pPr>
            <w:r>
              <w:rPr>
                <w:rFonts w:ascii="Arial" w:hAnsi="Arial" w:cs="Arial"/>
                <w:sz w:val="22"/>
                <w:szCs w:val="22"/>
              </w:rPr>
              <w:t>The SPA is designated for:</w:t>
            </w:r>
          </w:p>
          <w:p w14:paraId="4C8DA69E" w14:textId="77777777" w:rsidR="00804C91" w:rsidRPr="00804C91" w:rsidRDefault="00C00210" w:rsidP="00C00210">
            <w:pPr>
              <w:numPr>
                <w:ilvl w:val="0"/>
                <w:numId w:val="11"/>
              </w:numPr>
              <w:spacing w:line="276" w:lineRule="auto"/>
              <w:rPr>
                <w:rFonts w:ascii="Arial" w:hAnsi="Arial" w:cs="Arial"/>
                <w:sz w:val="22"/>
                <w:szCs w:val="22"/>
              </w:rPr>
            </w:pPr>
            <w:r>
              <w:rPr>
                <w:rFonts w:ascii="Arial" w:hAnsi="Arial" w:cs="Arial"/>
                <w:sz w:val="22"/>
                <w:szCs w:val="22"/>
              </w:rPr>
              <w:lastRenderedPageBreak/>
              <w:t>I</w:t>
            </w:r>
            <w:r w:rsidR="00804C91" w:rsidRPr="00804C91">
              <w:rPr>
                <w:rFonts w:ascii="Arial" w:hAnsi="Arial" w:cs="Arial"/>
                <w:sz w:val="22"/>
                <w:szCs w:val="22"/>
              </w:rPr>
              <w:t xml:space="preserve">nternationally important wintering populations of dark-bellied </w:t>
            </w:r>
            <w:proofErr w:type="spellStart"/>
            <w:r w:rsidR="00804C91" w:rsidRPr="00804C91">
              <w:rPr>
                <w:rFonts w:ascii="Arial" w:hAnsi="Arial" w:cs="Arial"/>
                <w:sz w:val="22"/>
                <w:szCs w:val="22"/>
              </w:rPr>
              <w:t>brent</w:t>
            </w:r>
            <w:proofErr w:type="spellEnd"/>
            <w:r w:rsidR="00804C91" w:rsidRPr="00804C91">
              <w:rPr>
                <w:rFonts w:ascii="Arial" w:hAnsi="Arial" w:cs="Arial"/>
                <w:sz w:val="22"/>
                <w:szCs w:val="22"/>
              </w:rPr>
              <w:t xml:space="preserve"> goose, pintail, </w:t>
            </w:r>
            <w:proofErr w:type="spellStart"/>
            <w:r w:rsidR="00804C91" w:rsidRPr="00804C91">
              <w:rPr>
                <w:rFonts w:ascii="Arial" w:hAnsi="Arial" w:cs="Arial"/>
                <w:sz w:val="22"/>
                <w:szCs w:val="22"/>
              </w:rPr>
              <w:t>shoveler</w:t>
            </w:r>
            <w:proofErr w:type="spellEnd"/>
            <w:r w:rsidR="00804C91" w:rsidRPr="00804C91">
              <w:rPr>
                <w:rFonts w:ascii="Arial" w:hAnsi="Arial" w:cs="Arial"/>
                <w:sz w:val="22"/>
                <w:szCs w:val="22"/>
              </w:rPr>
              <w:t>, teal,</w:t>
            </w:r>
            <w:r>
              <w:rPr>
                <w:rFonts w:ascii="Arial" w:hAnsi="Arial" w:cs="Arial"/>
                <w:sz w:val="22"/>
                <w:szCs w:val="22"/>
              </w:rPr>
              <w:t xml:space="preserve"> </w:t>
            </w:r>
            <w:proofErr w:type="spellStart"/>
            <w:r w:rsidR="00804C91" w:rsidRPr="00804C91">
              <w:rPr>
                <w:rFonts w:ascii="Arial" w:hAnsi="Arial" w:cs="Arial"/>
                <w:sz w:val="22"/>
                <w:szCs w:val="22"/>
              </w:rPr>
              <w:t>wigeon</w:t>
            </w:r>
            <w:proofErr w:type="spellEnd"/>
            <w:r w:rsidR="00804C91" w:rsidRPr="00804C91">
              <w:rPr>
                <w:rFonts w:ascii="Arial" w:hAnsi="Arial" w:cs="Arial"/>
                <w:sz w:val="22"/>
                <w:szCs w:val="22"/>
              </w:rPr>
              <w:t>, ruddy turnstone, sanderling, dunlin, ringed plover, bar-tailed godwit, whimbrel, red-breasted</w:t>
            </w:r>
            <w:r w:rsidR="00804C91">
              <w:rPr>
                <w:rFonts w:ascii="Arial" w:hAnsi="Arial" w:cs="Arial"/>
                <w:sz w:val="22"/>
                <w:szCs w:val="22"/>
              </w:rPr>
              <w:t xml:space="preserve"> </w:t>
            </w:r>
            <w:r w:rsidR="00804C91" w:rsidRPr="00804C91">
              <w:rPr>
                <w:rFonts w:ascii="Arial" w:hAnsi="Arial" w:cs="Arial"/>
                <w:sz w:val="22"/>
                <w:szCs w:val="22"/>
              </w:rPr>
              <w:t xml:space="preserve">merganser, grey plover, </w:t>
            </w:r>
            <w:proofErr w:type="spellStart"/>
            <w:r w:rsidR="00804C91" w:rsidRPr="00804C91">
              <w:rPr>
                <w:rFonts w:ascii="Arial" w:hAnsi="Arial" w:cs="Arial"/>
                <w:sz w:val="22"/>
                <w:szCs w:val="22"/>
              </w:rPr>
              <w:t>shelduck</w:t>
            </w:r>
            <w:proofErr w:type="spellEnd"/>
            <w:r w:rsidR="00804C91" w:rsidRPr="00804C91">
              <w:rPr>
                <w:rFonts w:ascii="Arial" w:hAnsi="Arial" w:cs="Arial"/>
                <w:sz w:val="22"/>
                <w:szCs w:val="22"/>
              </w:rPr>
              <w:t>, common redshank.</w:t>
            </w:r>
          </w:p>
          <w:p w14:paraId="713DE26C" w14:textId="77777777" w:rsidR="00804C91" w:rsidRPr="00804C91" w:rsidRDefault="00804C91" w:rsidP="00C00210">
            <w:pPr>
              <w:numPr>
                <w:ilvl w:val="0"/>
                <w:numId w:val="11"/>
              </w:numPr>
              <w:spacing w:line="276" w:lineRule="auto"/>
              <w:rPr>
                <w:rFonts w:ascii="Arial" w:hAnsi="Arial" w:cs="Arial"/>
                <w:sz w:val="22"/>
                <w:szCs w:val="22"/>
              </w:rPr>
            </w:pPr>
            <w:r w:rsidRPr="00804C91">
              <w:rPr>
                <w:rFonts w:ascii="Arial" w:hAnsi="Arial" w:cs="Arial"/>
                <w:sz w:val="22"/>
                <w:szCs w:val="22"/>
              </w:rPr>
              <w:t>Internationally important breeding population of little tern, common tern and sandwich tern.</w:t>
            </w:r>
          </w:p>
          <w:p w14:paraId="6E244011" w14:textId="77777777" w:rsidR="00804C91" w:rsidRDefault="00804C91" w:rsidP="00804C91">
            <w:pPr>
              <w:numPr>
                <w:ilvl w:val="0"/>
                <w:numId w:val="11"/>
              </w:numPr>
              <w:spacing w:line="276" w:lineRule="auto"/>
              <w:rPr>
                <w:rFonts w:ascii="Arial" w:hAnsi="Arial" w:cs="Arial"/>
                <w:sz w:val="22"/>
                <w:szCs w:val="22"/>
              </w:rPr>
            </w:pPr>
            <w:r w:rsidRPr="00C00210">
              <w:rPr>
                <w:rFonts w:ascii="Arial" w:hAnsi="Arial" w:cs="Arial"/>
                <w:sz w:val="22"/>
                <w:szCs w:val="22"/>
              </w:rPr>
              <w:t xml:space="preserve">Over winter the area regularly supports: 93230 waterfowl </w:t>
            </w:r>
          </w:p>
          <w:p w14:paraId="7FBACFAC" w14:textId="77777777" w:rsidR="00C00210" w:rsidRPr="00C00210" w:rsidRDefault="00C00210" w:rsidP="00C00210">
            <w:pPr>
              <w:spacing w:line="276" w:lineRule="auto"/>
              <w:ind w:left="774"/>
              <w:rPr>
                <w:rFonts w:ascii="Arial" w:hAnsi="Arial" w:cs="Arial"/>
                <w:sz w:val="22"/>
                <w:szCs w:val="22"/>
              </w:rPr>
            </w:pPr>
          </w:p>
          <w:p w14:paraId="3CBDF14C" w14:textId="77777777" w:rsidR="00804C91" w:rsidRPr="00804C91" w:rsidRDefault="00804C91" w:rsidP="00804C91">
            <w:pPr>
              <w:spacing w:line="276" w:lineRule="auto"/>
              <w:rPr>
                <w:rFonts w:ascii="Arial" w:hAnsi="Arial" w:cs="Arial"/>
                <w:sz w:val="22"/>
                <w:szCs w:val="22"/>
              </w:rPr>
            </w:pPr>
            <w:r w:rsidRPr="00804C91">
              <w:rPr>
                <w:rFonts w:ascii="Arial" w:hAnsi="Arial" w:cs="Arial"/>
                <w:sz w:val="22"/>
                <w:szCs w:val="22"/>
              </w:rPr>
              <w:t>The Ramsar site is designated for the following criterion:</w:t>
            </w:r>
          </w:p>
          <w:p w14:paraId="5DDEB52B" w14:textId="77777777" w:rsidR="00804C91" w:rsidRPr="00804C91" w:rsidRDefault="00804C91" w:rsidP="00C00210">
            <w:pPr>
              <w:numPr>
                <w:ilvl w:val="0"/>
                <w:numId w:val="12"/>
              </w:numPr>
              <w:spacing w:line="276" w:lineRule="auto"/>
              <w:rPr>
                <w:rFonts w:ascii="Arial" w:hAnsi="Arial" w:cs="Arial"/>
                <w:sz w:val="22"/>
                <w:szCs w:val="22"/>
              </w:rPr>
            </w:pPr>
            <w:r w:rsidRPr="00804C91">
              <w:rPr>
                <w:rFonts w:ascii="Arial" w:hAnsi="Arial" w:cs="Arial"/>
                <w:sz w:val="22"/>
                <w:szCs w:val="22"/>
              </w:rPr>
              <w:t xml:space="preserve">Two large estuarine basins linked by the channel which divides </w:t>
            </w:r>
            <w:proofErr w:type="spellStart"/>
            <w:r w:rsidRPr="00804C91">
              <w:rPr>
                <w:rFonts w:ascii="Arial" w:hAnsi="Arial" w:cs="Arial"/>
                <w:sz w:val="22"/>
                <w:szCs w:val="22"/>
              </w:rPr>
              <w:t>Hayling</w:t>
            </w:r>
            <w:proofErr w:type="spellEnd"/>
            <w:r w:rsidRPr="00804C91">
              <w:rPr>
                <w:rFonts w:ascii="Arial" w:hAnsi="Arial" w:cs="Arial"/>
                <w:sz w:val="22"/>
                <w:szCs w:val="22"/>
              </w:rPr>
              <w:t xml:space="preserve"> Island from the main Hampshire coastline. The</w:t>
            </w:r>
            <w:r>
              <w:rPr>
                <w:rFonts w:ascii="Arial" w:hAnsi="Arial" w:cs="Arial"/>
                <w:sz w:val="22"/>
                <w:szCs w:val="22"/>
              </w:rPr>
              <w:t xml:space="preserve"> </w:t>
            </w:r>
            <w:r w:rsidRPr="00804C91">
              <w:rPr>
                <w:rFonts w:ascii="Arial" w:hAnsi="Arial" w:cs="Arial"/>
                <w:sz w:val="22"/>
                <w:szCs w:val="22"/>
              </w:rPr>
              <w:t>site includes intertidal mudflats, saltmarsh, sand and shingle spits and sand dunes.</w:t>
            </w:r>
          </w:p>
          <w:p w14:paraId="43D9142E" w14:textId="77777777" w:rsidR="00804C91" w:rsidRPr="00804C91" w:rsidRDefault="00804C91" w:rsidP="00C00210">
            <w:pPr>
              <w:numPr>
                <w:ilvl w:val="0"/>
                <w:numId w:val="12"/>
              </w:numPr>
              <w:spacing w:line="276" w:lineRule="auto"/>
              <w:rPr>
                <w:rFonts w:ascii="Arial" w:hAnsi="Arial" w:cs="Arial"/>
                <w:sz w:val="22"/>
                <w:szCs w:val="22"/>
              </w:rPr>
            </w:pPr>
            <w:r w:rsidRPr="00804C91">
              <w:rPr>
                <w:rFonts w:ascii="Arial" w:hAnsi="Arial" w:cs="Arial"/>
                <w:sz w:val="22"/>
                <w:szCs w:val="22"/>
              </w:rPr>
              <w:t>Assemblages of international importance: Species with peak co</w:t>
            </w:r>
            <w:r>
              <w:rPr>
                <w:rFonts w:ascii="Arial" w:hAnsi="Arial" w:cs="Arial"/>
                <w:sz w:val="22"/>
                <w:szCs w:val="22"/>
              </w:rPr>
              <w:t>unts in winter: 76480 waterfowl</w:t>
            </w:r>
          </w:p>
          <w:p w14:paraId="79E7EF37" w14:textId="77777777" w:rsidR="00804C91" w:rsidRPr="002A1E7F" w:rsidRDefault="00804C91" w:rsidP="002A1E7F">
            <w:pPr>
              <w:numPr>
                <w:ilvl w:val="0"/>
                <w:numId w:val="12"/>
              </w:numPr>
              <w:spacing w:line="276" w:lineRule="auto"/>
              <w:rPr>
                <w:rFonts w:ascii="Arial" w:hAnsi="Arial" w:cs="Arial"/>
                <w:sz w:val="22"/>
                <w:szCs w:val="22"/>
              </w:rPr>
            </w:pPr>
            <w:r w:rsidRPr="002A1E7F">
              <w:rPr>
                <w:rFonts w:ascii="Arial" w:hAnsi="Arial" w:cs="Arial"/>
                <w:sz w:val="22"/>
                <w:szCs w:val="22"/>
              </w:rPr>
              <w:t>The following species/populations occurring at levels of international importance</w:t>
            </w:r>
            <w:r w:rsidR="002A1E7F">
              <w:rPr>
                <w:rFonts w:ascii="Arial" w:hAnsi="Arial" w:cs="Arial"/>
                <w:sz w:val="22"/>
                <w:szCs w:val="22"/>
              </w:rPr>
              <w:t>:</w:t>
            </w:r>
            <w:r w:rsidRPr="002A1E7F">
              <w:rPr>
                <w:rFonts w:ascii="Arial" w:hAnsi="Arial" w:cs="Arial"/>
                <w:sz w:val="22"/>
                <w:szCs w:val="22"/>
              </w:rPr>
              <w:t xml:space="preserve"> Ringed plover</w:t>
            </w:r>
            <w:r w:rsidR="002A1E7F">
              <w:rPr>
                <w:rFonts w:ascii="Arial" w:hAnsi="Arial" w:cs="Arial"/>
                <w:sz w:val="22"/>
                <w:szCs w:val="22"/>
              </w:rPr>
              <w:t>,</w:t>
            </w:r>
            <w:r w:rsidRPr="002A1E7F">
              <w:rPr>
                <w:rFonts w:ascii="Arial" w:hAnsi="Arial" w:cs="Arial"/>
                <w:sz w:val="22"/>
                <w:szCs w:val="22"/>
              </w:rPr>
              <w:t xml:space="preserve"> </w:t>
            </w:r>
            <w:r w:rsidR="002A1E7F">
              <w:rPr>
                <w:rFonts w:ascii="Arial" w:hAnsi="Arial" w:cs="Arial"/>
                <w:sz w:val="22"/>
                <w:szCs w:val="22"/>
              </w:rPr>
              <w:t>Black-tailed G</w:t>
            </w:r>
            <w:r w:rsidRPr="002A1E7F">
              <w:rPr>
                <w:rFonts w:ascii="Arial" w:hAnsi="Arial" w:cs="Arial"/>
                <w:sz w:val="22"/>
                <w:szCs w:val="22"/>
              </w:rPr>
              <w:t>odwit</w:t>
            </w:r>
            <w:r w:rsidR="002A1E7F">
              <w:rPr>
                <w:rFonts w:ascii="Arial" w:hAnsi="Arial" w:cs="Arial"/>
                <w:sz w:val="22"/>
                <w:szCs w:val="22"/>
              </w:rPr>
              <w:t>,</w:t>
            </w:r>
            <w:r w:rsidRPr="002A1E7F">
              <w:rPr>
                <w:rFonts w:ascii="Arial" w:hAnsi="Arial" w:cs="Arial"/>
                <w:sz w:val="22"/>
                <w:szCs w:val="22"/>
              </w:rPr>
              <w:t xml:space="preserve"> Common redshank </w:t>
            </w:r>
          </w:p>
          <w:p w14:paraId="51D10E43" w14:textId="77777777" w:rsidR="00804C91" w:rsidRPr="002A1E7F" w:rsidRDefault="00804C91" w:rsidP="00C00210">
            <w:pPr>
              <w:numPr>
                <w:ilvl w:val="0"/>
                <w:numId w:val="15"/>
              </w:numPr>
              <w:spacing w:line="276" w:lineRule="auto"/>
              <w:rPr>
                <w:rFonts w:ascii="Arial" w:hAnsi="Arial" w:cs="Arial"/>
                <w:sz w:val="22"/>
                <w:szCs w:val="22"/>
              </w:rPr>
            </w:pPr>
            <w:r w:rsidRPr="002A1E7F">
              <w:rPr>
                <w:rFonts w:ascii="Arial" w:hAnsi="Arial" w:cs="Arial"/>
                <w:sz w:val="22"/>
                <w:szCs w:val="22"/>
              </w:rPr>
              <w:t>Species with peak counts in winter:</w:t>
            </w:r>
            <w:r w:rsidR="002A1E7F" w:rsidRPr="002A1E7F">
              <w:rPr>
                <w:rFonts w:ascii="Arial" w:hAnsi="Arial" w:cs="Arial"/>
                <w:sz w:val="22"/>
                <w:szCs w:val="22"/>
              </w:rPr>
              <w:t xml:space="preserve"> Dark-bellied Brent Goose, </w:t>
            </w:r>
            <w:r w:rsidR="002A1E7F">
              <w:rPr>
                <w:rFonts w:ascii="Arial" w:hAnsi="Arial" w:cs="Arial"/>
                <w:sz w:val="22"/>
                <w:szCs w:val="22"/>
              </w:rPr>
              <w:t xml:space="preserve">Common </w:t>
            </w:r>
            <w:proofErr w:type="spellStart"/>
            <w:r w:rsidR="002A1E7F">
              <w:rPr>
                <w:rFonts w:ascii="Arial" w:hAnsi="Arial" w:cs="Arial"/>
                <w:sz w:val="22"/>
                <w:szCs w:val="22"/>
              </w:rPr>
              <w:t>S</w:t>
            </w:r>
            <w:r w:rsidRPr="002A1E7F">
              <w:rPr>
                <w:rFonts w:ascii="Arial" w:hAnsi="Arial" w:cs="Arial"/>
                <w:sz w:val="22"/>
                <w:szCs w:val="22"/>
              </w:rPr>
              <w:t>helduck</w:t>
            </w:r>
            <w:proofErr w:type="spellEnd"/>
            <w:r w:rsidR="002A1E7F" w:rsidRPr="002A1E7F">
              <w:rPr>
                <w:rFonts w:ascii="Arial" w:hAnsi="Arial" w:cs="Arial"/>
                <w:sz w:val="22"/>
                <w:szCs w:val="22"/>
              </w:rPr>
              <w:t xml:space="preserve">, </w:t>
            </w:r>
            <w:r w:rsidRPr="002A1E7F">
              <w:rPr>
                <w:rFonts w:ascii="Arial" w:hAnsi="Arial" w:cs="Arial"/>
                <w:sz w:val="22"/>
                <w:szCs w:val="22"/>
              </w:rPr>
              <w:t>Grey plover</w:t>
            </w:r>
            <w:r w:rsidR="002A1E7F">
              <w:rPr>
                <w:rFonts w:ascii="Arial" w:hAnsi="Arial" w:cs="Arial"/>
                <w:sz w:val="22"/>
                <w:szCs w:val="22"/>
              </w:rPr>
              <w:t xml:space="preserve">, </w:t>
            </w:r>
            <w:r w:rsidRPr="002A1E7F">
              <w:rPr>
                <w:rFonts w:ascii="Arial" w:hAnsi="Arial" w:cs="Arial"/>
                <w:sz w:val="22"/>
                <w:szCs w:val="22"/>
              </w:rPr>
              <w:t xml:space="preserve">Dunlin </w:t>
            </w:r>
          </w:p>
          <w:p w14:paraId="5C1CEECA" w14:textId="77777777" w:rsidR="00804C91" w:rsidRDefault="00804C91" w:rsidP="00C00210">
            <w:pPr>
              <w:numPr>
                <w:ilvl w:val="0"/>
                <w:numId w:val="16"/>
              </w:numPr>
              <w:spacing w:line="276" w:lineRule="auto"/>
              <w:rPr>
                <w:rFonts w:ascii="Arial" w:hAnsi="Arial" w:cs="Arial"/>
                <w:sz w:val="22"/>
                <w:szCs w:val="22"/>
              </w:rPr>
            </w:pPr>
            <w:r w:rsidRPr="002A1E7F">
              <w:rPr>
                <w:rFonts w:ascii="Arial" w:hAnsi="Arial" w:cs="Arial"/>
                <w:sz w:val="22"/>
                <w:szCs w:val="22"/>
              </w:rPr>
              <w:t>Species regularly supported during the breeding season:</w:t>
            </w:r>
            <w:r w:rsidR="002A1E7F">
              <w:rPr>
                <w:rFonts w:ascii="Arial" w:hAnsi="Arial" w:cs="Arial"/>
                <w:sz w:val="22"/>
                <w:szCs w:val="22"/>
              </w:rPr>
              <w:t xml:space="preserve"> </w:t>
            </w:r>
            <w:r w:rsidRPr="002A1E7F">
              <w:rPr>
                <w:rFonts w:ascii="Arial" w:hAnsi="Arial" w:cs="Arial"/>
                <w:sz w:val="22"/>
                <w:szCs w:val="22"/>
              </w:rPr>
              <w:t xml:space="preserve">Little tern </w:t>
            </w:r>
          </w:p>
          <w:p w14:paraId="5D019C0A" w14:textId="77777777" w:rsidR="00D07736" w:rsidRDefault="00D07736" w:rsidP="00D07736">
            <w:pPr>
              <w:spacing w:line="276" w:lineRule="auto"/>
              <w:rPr>
                <w:rFonts w:ascii="Arial" w:hAnsi="Arial" w:cs="Arial"/>
                <w:b/>
                <w:sz w:val="22"/>
                <w:szCs w:val="22"/>
              </w:rPr>
            </w:pPr>
          </w:p>
          <w:p w14:paraId="21CC119D" w14:textId="77777777" w:rsidR="00D07736" w:rsidRDefault="00D07736" w:rsidP="00D07736">
            <w:pPr>
              <w:spacing w:line="276" w:lineRule="auto"/>
              <w:rPr>
                <w:rFonts w:ascii="Arial" w:hAnsi="Arial" w:cs="Arial"/>
                <w:sz w:val="22"/>
                <w:szCs w:val="22"/>
              </w:rPr>
            </w:pPr>
            <w:r w:rsidRPr="00EE3E57">
              <w:rPr>
                <w:rFonts w:ascii="Arial" w:hAnsi="Arial" w:cs="Arial"/>
                <w:b/>
                <w:sz w:val="22"/>
                <w:szCs w:val="22"/>
              </w:rPr>
              <w:t>The site conservation objectives are</w:t>
            </w:r>
            <w:r>
              <w:rPr>
                <w:rFonts w:ascii="Arial" w:hAnsi="Arial" w:cs="Arial"/>
                <w:sz w:val="22"/>
                <w:szCs w:val="22"/>
              </w:rPr>
              <w:t>:</w:t>
            </w:r>
          </w:p>
          <w:p w14:paraId="2CCC6FAE" w14:textId="77777777" w:rsidR="00A73705" w:rsidRPr="00A73705" w:rsidRDefault="00A73705" w:rsidP="00A73705">
            <w:pPr>
              <w:spacing w:line="276" w:lineRule="auto"/>
              <w:rPr>
                <w:rFonts w:ascii="Arial" w:hAnsi="Arial" w:cs="Arial"/>
                <w:sz w:val="22"/>
                <w:szCs w:val="22"/>
              </w:rPr>
            </w:pPr>
          </w:p>
          <w:p w14:paraId="39E5302A"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Ensure that the integrity of the site is maintained or restored as appropriate, and ensure that the site contributes to achieving the aims of the Wild Birds Directive, by maintaining or restoring;</w:t>
            </w:r>
          </w:p>
          <w:p w14:paraId="28759FD0" w14:textId="77777777" w:rsidR="00A73705" w:rsidRPr="00A73705" w:rsidRDefault="00A73705" w:rsidP="00A73705">
            <w:pPr>
              <w:numPr>
                <w:ilvl w:val="0"/>
                <w:numId w:val="3"/>
              </w:numPr>
              <w:spacing w:line="276" w:lineRule="auto"/>
              <w:rPr>
                <w:rFonts w:ascii="Arial" w:hAnsi="Arial" w:cs="Arial"/>
                <w:sz w:val="22"/>
                <w:szCs w:val="22"/>
              </w:rPr>
            </w:pPr>
            <w:r w:rsidRPr="00A73705">
              <w:rPr>
                <w:rFonts w:ascii="Arial" w:hAnsi="Arial" w:cs="Arial"/>
                <w:sz w:val="22"/>
                <w:szCs w:val="22"/>
              </w:rPr>
              <w:t>The extent and distribution of the habitats of the qualifying features</w:t>
            </w:r>
          </w:p>
          <w:p w14:paraId="4380BF43" w14:textId="77777777" w:rsidR="00A73705" w:rsidRPr="00A73705" w:rsidRDefault="00A73705" w:rsidP="00A73705">
            <w:pPr>
              <w:numPr>
                <w:ilvl w:val="0"/>
                <w:numId w:val="3"/>
              </w:numPr>
              <w:spacing w:line="276" w:lineRule="auto"/>
              <w:rPr>
                <w:rFonts w:ascii="Arial" w:hAnsi="Arial" w:cs="Arial"/>
                <w:sz w:val="22"/>
                <w:szCs w:val="22"/>
              </w:rPr>
            </w:pPr>
            <w:r w:rsidRPr="00A73705">
              <w:rPr>
                <w:rFonts w:ascii="Arial" w:hAnsi="Arial" w:cs="Arial"/>
                <w:sz w:val="22"/>
                <w:szCs w:val="22"/>
              </w:rPr>
              <w:t>The structure and function of the habitats of the qualifying features</w:t>
            </w:r>
          </w:p>
          <w:p w14:paraId="3D3638DE" w14:textId="77777777" w:rsidR="00A73705" w:rsidRPr="00A73705" w:rsidRDefault="00A73705" w:rsidP="00A73705">
            <w:pPr>
              <w:numPr>
                <w:ilvl w:val="0"/>
                <w:numId w:val="3"/>
              </w:numPr>
              <w:spacing w:line="276" w:lineRule="auto"/>
              <w:rPr>
                <w:rFonts w:ascii="Arial" w:hAnsi="Arial" w:cs="Arial"/>
                <w:sz w:val="22"/>
                <w:szCs w:val="22"/>
              </w:rPr>
            </w:pPr>
            <w:r w:rsidRPr="00A73705">
              <w:rPr>
                <w:rFonts w:ascii="Arial" w:hAnsi="Arial" w:cs="Arial"/>
                <w:sz w:val="22"/>
                <w:szCs w:val="22"/>
              </w:rPr>
              <w:t>The supporting processes on which the habitats of the qualifying features rely</w:t>
            </w:r>
          </w:p>
          <w:p w14:paraId="64307A15" w14:textId="77777777" w:rsidR="00A73705" w:rsidRPr="00A73705" w:rsidRDefault="00A73705" w:rsidP="00A73705">
            <w:pPr>
              <w:numPr>
                <w:ilvl w:val="0"/>
                <w:numId w:val="3"/>
              </w:numPr>
              <w:spacing w:line="276" w:lineRule="auto"/>
              <w:rPr>
                <w:rFonts w:ascii="Arial" w:hAnsi="Arial" w:cs="Arial"/>
                <w:sz w:val="22"/>
                <w:szCs w:val="22"/>
              </w:rPr>
            </w:pPr>
            <w:r w:rsidRPr="00A73705">
              <w:rPr>
                <w:rFonts w:ascii="Arial" w:hAnsi="Arial" w:cs="Arial"/>
                <w:sz w:val="22"/>
                <w:szCs w:val="22"/>
              </w:rPr>
              <w:t>The population of each of the qualifying features, and,</w:t>
            </w:r>
          </w:p>
          <w:p w14:paraId="32C864E0" w14:textId="77777777" w:rsidR="00A73705" w:rsidRPr="00A73705" w:rsidRDefault="00A73705" w:rsidP="00A73705">
            <w:pPr>
              <w:numPr>
                <w:ilvl w:val="0"/>
                <w:numId w:val="3"/>
              </w:numPr>
              <w:spacing w:line="276" w:lineRule="auto"/>
              <w:rPr>
                <w:rFonts w:ascii="Arial" w:hAnsi="Arial" w:cs="Arial"/>
                <w:sz w:val="22"/>
                <w:szCs w:val="22"/>
              </w:rPr>
            </w:pPr>
            <w:r w:rsidRPr="00A73705">
              <w:rPr>
                <w:rFonts w:ascii="Arial" w:hAnsi="Arial" w:cs="Arial"/>
                <w:sz w:val="22"/>
                <w:szCs w:val="22"/>
              </w:rPr>
              <w:t>The distribution of the qualifying features within the site</w:t>
            </w:r>
          </w:p>
          <w:p w14:paraId="4CD2B8C5" w14:textId="77777777" w:rsidR="00A73705" w:rsidRPr="00A73705" w:rsidRDefault="00A73705" w:rsidP="00A73705">
            <w:pPr>
              <w:spacing w:line="276" w:lineRule="auto"/>
              <w:rPr>
                <w:rFonts w:ascii="Arial" w:hAnsi="Arial" w:cs="Arial"/>
                <w:sz w:val="22"/>
                <w:szCs w:val="22"/>
              </w:rPr>
            </w:pPr>
          </w:p>
          <w:p w14:paraId="4B073DC6"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Qualifying features (Chichester and Langstone Harbours SPA):</w:t>
            </w:r>
          </w:p>
          <w:p w14:paraId="6FD9B775" w14:textId="77777777" w:rsidR="00A73705" w:rsidRPr="00A73705" w:rsidRDefault="00A73705" w:rsidP="00A73705">
            <w:pPr>
              <w:spacing w:line="276" w:lineRule="auto"/>
              <w:rPr>
                <w:rFonts w:ascii="Arial" w:hAnsi="Arial" w:cs="Arial"/>
                <w:sz w:val="22"/>
                <w:szCs w:val="22"/>
              </w:rPr>
            </w:pPr>
          </w:p>
          <w:p w14:paraId="0E5FFE3D"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xml:space="preserve">A046a </w:t>
            </w:r>
            <w:proofErr w:type="spellStart"/>
            <w:r w:rsidRPr="00A73705">
              <w:rPr>
                <w:rFonts w:ascii="Arial" w:hAnsi="Arial" w:cs="Arial"/>
                <w:i/>
                <w:iCs/>
                <w:sz w:val="22"/>
                <w:szCs w:val="22"/>
              </w:rPr>
              <w:t>Branta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bernicla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bernicla</w:t>
            </w:r>
            <w:proofErr w:type="spellEnd"/>
            <w:r w:rsidRPr="00A73705">
              <w:rPr>
                <w:rFonts w:ascii="Arial" w:hAnsi="Arial" w:cs="Arial"/>
                <w:sz w:val="22"/>
                <w:szCs w:val="22"/>
              </w:rPr>
              <w:t xml:space="preserve">; Dark-bellied </w:t>
            </w:r>
            <w:proofErr w:type="spellStart"/>
            <w:r w:rsidRPr="00A73705">
              <w:rPr>
                <w:rFonts w:ascii="Arial" w:hAnsi="Arial" w:cs="Arial"/>
                <w:sz w:val="22"/>
                <w:szCs w:val="22"/>
              </w:rPr>
              <w:t>brent</w:t>
            </w:r>
            <w:proofErr w:type="spellEnd"/>
            <w:r w:rsidRPr="00A73705">
              <w:rPr>
                <w:rFonts w:ascii="Arial" w:hAnsi="Arial" w:cs="Arial"/>
                <w:sz w:val="22"/>
                <w:szCs w:val="22"/>
              </w:rPr>
              <w:t xml:space="preserve"> goose (Non-breeding)</w:t>
            </w:r>
            <w:r w:rsidRPr="00A73705">
              <w:rPr>
                <w:rFonts w:ascii="Arial" w:hAnsi="Arial" w:cs="Arial"/>
                <w:sz w:val="22"/>
                <w:szCs w:val="22"/>
              </w:rPr>
              <w:br/>
              <w:t xml:space="preserve">A048 </w:t>
            </w:r>
            <w:proofErr w:type="spellStart"/>
            <w:r w:rsidRPr="00A73705">
              <w:rPr>
                <w:rFonts w:ascii="Arial" w:hAnsi="Arial" w:cs="Arial"/>
                <w:i/>
                <w:iCs/>
                <w:sz w:val="22"/>
                <w:szCs w:val="22"/>
              </w:rPr>
              <w:t>Tadorna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tadorna</w:t>
            </w:r>
            <w:proofErr w:type="spellEnd"/>
            <w:r w:rsidRPr="00A73705">
              <w:rPr>
                <w:rFonts w:ascii="Arial" w:hAnsi="Arial" w:cs="Arial"/>
                <w:sz w:val="22"/>
                <w:szCs w:val="22"/>
              </w:rPr>
              <w:t xml:space="preserve">; Common </w:t>
            </w:r>
            <w:proofErr w:type="spellStart"/>
            <w:r w:rsidRPr="00A73705">
              <w:rPr>
                <w:rFonts w:ascii="Arial" w:hAnsi="Arial" w:cs="Arial"/>
                <w:sz w:val="22"/>
                <w:szCs w:val="22"/>
              </w:rPr>
              <w:t>shelduck</w:t>
            </w:r>
            <w:proofErr w:type="spellEnd"/>
            <w:r w:rsidRPr="00A73705">
              <w:rPr>
                <w:rFonts w:ascii="Arial" w:hAnsi="Arial" w:cs="Arial"/>
                <w:sz w:val="22"/>
                <w:szCs w:val="22"/>
              </w:rPr>
              <w:t xml:space="preserve"> (Non-breeding)</w:t>
            </w:r>
            <w:r w:rsidRPr="00A73705">
              <w:rPr>
                <w:rFonts w:ascii="Arial" w:hAnsi="Arial" w:cs="Arial"/>
                <w:sz w:val="22"/>
                <w:szCs w:val="22"/>
              </w:rPr>
              <w:br/>
              <w:t xml:space="preserve">A050 </w:t>
            </w:r>
            <w:proofErr w:type="spellStart"/>
            <w:r w:rsidRPr="00A73705">
              <w:rPr>
                <w:rFonts w:ascii="Arial" w:hAnsi="Arial" w:cs="Arial"/>
                <w:i/>
                <w:iCs/>
                <w:sz w:val="22"/>
                <w:szCs w:val="22"/>
              </w:rPr>
              <w:t>Anas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penelope</w:t>
            </w:r>
            <w:proofErr w:type="spellEnd"/>
            <w:r w:rsidRPr="00A73705">
              <w:rPr>
                <w:rFonts w:ascii="Arial" w:hAnsi="Arial" w:cs="Arial"/>
                <w:sz w:val="22"/>
                <w:szCs w:val="22"/>
              </w:rPr>
              <w:t xml:space="preserve">; Eurasian </w:t>
            </w:r>
            <w:proofErr w:type="spellStart"/>
            <w:r w:rsidRPr="00A73705">
              <w:rPr>
                <w:rFonts w:ascii="Arial" w:hAnsi="Arial" w:cs="Arial"/>
                <w:sz w:val="22"/>
                <w:szCs w:val="22"/>
              </w:rPr>
              <w:t>wigeon</w:t>
            </w:r>
            <w:proofErr w:type="spellEnd"/>
            <w:r w:rsidRPr="00A73705">
              <w:rPr>
                <w:rFonts w:ascii="Arial" w:hAnsi="Arial" w:cs="Arial"/>
                <w:sz w:val="22"/>
                <w:szCs w:val="22"/>
              </w:rPr>
              <w:t xml:space="preserve"> (Non-breeding)</w:t>
            </w:r>
            <w:r w:rsidRPr="00A73705">
              <w:rPr>
                <w:rFonts w:ascii="Arial" w:hAnsi="Arial" w:cs="Arial"/>
                <w:sz w:val="22"/>
                <w:szCs w:val="22"/>
              </w:rPr>
              <w:br/>
              <w:t xml:space="preserve">A052 </w:t>
            </w:r>
            <w:proofErr w:type="spellStart"/>
            <w:r w:rsidRPr="00A73705">
              <w:rPr>
                <w:rFonts w:ascii="Arial" w:hAnsi="Arial" w:cs="Arial"/>
                <w:i/>
                <w:iCs/>
                <w:sz w:val="22"/>
                <w:szCs w:val="22"/>
              </w:rPr>
              <w:t>Anas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crecca</w:t>
            </w:r>
            <w:proofErr w:type="spellEnd"/>
            <w:r w:rsidRPr="00A73705">
              <w:rPr>
                <w:rFonts w:ascii="Arial" w:hAnsi="Arial" w:cs="Arial"/>
                <w:sz w:val="22"/>
                <w:szCs w:val="22"/>
              </w:rPr>
              <w:t>; Eurasian teal (Non-breeding)</w:t>
            </w:r>
            <w:r w:rsidRPr="00A73705">
              <w:rPr>
                <w:rFonts w:ascii="Arial" w:hAnsi="Arial" w:cs="Arial"/>
                <w:sz w:val="22"/>
                <w:szCs w:val="22"/>
              </w:rPr>
              <w:br/>
              <w:t xml:space="preserve">A054 </w:t>
            </w:r>
            <w:proofErr w:type="spellStart"/>
            <w:r w:rsidRPr="00A73705">
              <w:rPr>
                <w:rFonts w:ascii="Arial" w:hAnsi="Arial" w:cs="Arial"/>
                <w:i/>
                <w:iCs/>
                <w:sz w:val="22"/>
                <w:szCs w:val="22"/>
              </w:rPr>
              <w:t>Anas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acuta</w:t>
            </w:r>
            <w:proofErr w:type="spellEnd"/>
            <w:r w:rsidRPr="00A73705">
              <w:rPr>
                <w:rFonts w:ascii="Arial" w:hAnsi="Arial" w:cs="Arial"/>
                <w:sz w:val="22"/>
                <w:szCs w:val="22"/>
              </w:rPr>
              <w:t>; Northern pintail (Non-breeding)</w:t>
            </w:r>
            <w:r w:rsidRPr="00A73705">
              <w:rPr>
                <w:rFonts w:ascii="Arial" w:hAnsi="Arial" w:cs="Arial"/>
                <w:sz w:val="22"/>
                <w:szCs w:val="22"/>
              </w:rPr>
              <w:br/>
              <w:t xml:space="preserve">A056 </w:t>
            </w:r>
            <w:proofErr w:type="spellStart"/>
            <w:r w:rsidRPr="00A73705">
              <w:rPr>
                <w:rFonts w:ascii="Arial" w:hAnsi="Arial" w:cs="Arial"/>
                <w:i/>
                <w:iCs/>
                <w:sz w:val="22"/>
                <w:szCs w:val="22"/>
              </w:rPr>
              <w:t>Anas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clypeata</w:t>
            </w:r>
            <w:proofErr w:type="spellEnd"/>
            <w:r w:rsidRPr="00A73705">
              <w:rPr>
                <w:rFonts w:ascii="Arial" w:hAnsi="Arial" w:cs="Arial"/>
                <w:sz w:val="22"/>
                <w:szCs w:val="22"/>
              </w:rPr>
              <w:t xml:space="preserve">; Northern </w:t>
            </w:r>
            <w:proofErr w:type="spellStart"/>
            <w:r w:rsidRPr="00A73705">
              <w:rPr>
                <w:rFonts w:ascii="Arial" w:hAnsi="Arial" w:cs="Arial"/>
                <w:sz w:val="22"/>
                <w:szCs w:val="22"/>
              </w:rPr>
              <w:t>shoveler</w:t>
            </w:r>
            <w:proofErr w:type="spellEnd"/>
            <w:r w:rsidRPr="00A73705">
              <w:rPr>
                <w:rFonts w:ascii="Arial" w:hAnsi="Arial" w:cs="Arial"/>
                <w:sz w:val="22"/>
                <w:szCs w:val="22"/>
              </w:rPr>
              <w:t xml:space="preserve"> (Non-breeding)</w:t>
            </w:r>
            <w:r w:rsidRPr="00A73705">
              <w:rPr>
                <w:rFonts w:ascii="Arial" w:hAnsi="Arial" w:cs="Arial"/>
                <w:sz w:val="22"/>
                <w:szCs w:val="22"/>
              </w:rPr>
              <w:br/>
              <w:t xml:space="preserve">A069 </w:t>
            </w:r>
            <w:proofErr w:type="spellStart"/>
            <w:r w:rsidRPr="00A73705">
              <w:rPr>
                <w:rFonts w:ascii="Arial" w:hAnsi="Arial" w:cs="Arial"/>
                <w:i/>
                <w:iCs/>
                <w:sz w:val="22"/>
                <w:szCs w:val="22"/>
              </w:rPr>
              <w:t>Mergus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serrator</w:t>
            </w:r>
            <w:proofErr w:type="spellEnd"/>
            <w:r w:rsidRPr="00A73705">
              <w:rPr>
                <w:rFonts w:ascii="Arial" w:hAnsi="Arial" w:cs="Arial"/>
                <w:sz w:val="22"/>
                <w:szCs w:val="22"/>
              </w:rPr>
              <w:t>; Red-breasted merganser (Non-breeding)</w:t>
            </w:r>
            <w:r w:rsidRPr="00A73705">
              <w:rPr>
                <w:rFonts w:ascii="Arial" w:hAnsi="Arial" w:cs="Arial"/>
                <w:sz w:val="22"/>
                <w:szCs w:val="22"/>
              </w:rPr>
              <w:br/>
              <w:t xml:space="preserve">A137 </w:t>
            </w:r>
            <w:proofErr w:type="spellStart"/>
            <w:r w:rsidRPr="00A73705">
              <w:rPr>
                <w:rFonts w:ascii="Arial" w:hAnsi="Arial" w:cs="Arial"/>
                <w:i/>
                <w:iCs/>
                <w:sz w:val="22"/>
                <w:szCs w:val="22"/>
              </w:rPr>
              <w:t>Charadrius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hiaticula</w:t>
            </w:r>
            <w:proofErr w:type="spellEnd"/>
            <w:r w:rsidRPr="00A73705">
              <w:rPr>
                <w:rFonts w:ascii="Arial" w:hAnsi="Arial" w:cs="Arial"/>
                <w:sz w:val="22"/>
                <w:szCs w:val="22"/>
              </w:rPr>
              <w:t>; Ringed plover (Non-breeding)</w:t>
            </w:r>
            <w:r w:rsidRPr="00A73705">
              <w:rPr>
                <w:rFonts w:ascii="Arial" w:hAnsi="Arial" w:cs="Arial"/>
                <w:sz w:val="22"/>
                <w:szCs w:val="22"/>
              </w:rPr>
              <w:br/>
              <w:t xml:space="preserve">A141 </w:t>
            </w:r>
            <w:proofErr w:type="spellStart"/>
            <w:r w:rsidRPr="00A73705">
              <w:rPr>
                <w:rFonts w:ascii="Arial" w:hAnsi="Arial" w:cs="Arial"/>
                <w:i/>
                <w:iCs/>
                <w:sz w:val="22"/>
                <w:szCs w:val="22"/>
              </w:rPr>
              <w:t>Pluvialis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squatarola</w:t>
            </w:r>
            <w:proofErr w:type="spellEnd"/>
            <w:r w:rsidRPr="00A73705">
              <w:rPr>
                <w:rFonts w:ascii="Arial" w:hAnsi="Arial" w:cs="Arial"/>
                <w:sz w:val="22"/>
                <w:szCs w:val="22"/>
              </w:rPr>
              <w:t>; Grey plover (Non-breeding)</w:t>
            </w:r>
            <w:r w:rsidRPr="00A73705">
              <w:rPr>
                <w:rFonts w:ascii="Arial" w:hAnsi="Arial" w:cs="Arial"/>
                <w:sz w:val="22"/>
                <w:szCs w:val="22"/>
              </w:rPr>
              <w:br/>
              <w:t xml:space="preserve">A144 </w:t>
            </w:r>
            <w:proofErr w:type="spellStart"/>
            <w:r w:rsidRPr="00A73705">
              <w:rPr>
                <w:rFonts w:ascii="Arial" w:hAnsi="Arial" w:cs="Arial"/>
                <w:i/>
                <w:iCs/>
                <w:sz w:val="22"/>
                <w:szCs w:val="22"/>
              </w:rPr>
              <w:t>Calidris</w:t>
            </w:r>
            <w:proofErr w:type="spellEnd"/>
            <w:r w:rsidRPr="00A73705">
              <w:rPr>
                <w:rFonts w:ascii="Arial" w:hAnsi="Arial" w:cs="Arial"/>
                <w:i/>
                <w:iCs/>
                <w:sz w:val="22"/>
                <w:szCs w:val="22"/>
              </w:rPr>
              <w:t xml:space="preserve"> alba</w:t>
            </w:r>
            <w:r w:rsidRPr="00A73705">
              <w:rPr>
                <w:rFonts w:ascii="Arial" w:hAnsi="Arial" w:cs="Arial"/>
                <w:sz w:val="22"/>
                <w:szCs w:val="22"/>
              </w:rPr>
              <w:t>; Sanderling (Non-breeding)</w:t>
            </w:r>
            <w:r w:rsidRPr="00A73705">
              <w:rPr>
                <w:rFonts w:ascii="Arial" w:hAnsi="Arial" w:cs="Arial"/>
                <w:sz w:val="22"/>
                <w:szCs w:val="22"/>
              </w:rPr>
              <w:br/>
              <w:t xml:space="preserve">A149 </w:t>
            </w:r>
            <w:proofErr w:type="spellStart"/>
            <w:r w:rsidRPr="00A73705">
              <w:rPr>
                <w:rFonts w:ascii="Arial" w:hAnsi="Arial" w:cs="Arial"/>
                <w:i/>
                <w:iCs/>
                <w:sz w:val="22"/>
                <w:szCs w:val="22"/>
              </w:rPr>
              <w:t>Calidris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alpina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alpina</w:t>
            </w:r>
            <w:proofErr w:type="spellEnd"/>
            <w:r w:rsidRPr="00A73705">
              <w:rPr>
                <w:rFonts w:ascii="Arial" w:hAnsi="Arial" w:cs="Arial"/>
                <w:sz w:val="22"/>
                <w:szCs w:val="22"/>
              </w:rPr>
              <w:t>; Dunlin (Non-breeding)</w:t>
            </w:r>
            <w:r w:rsidRPr="00A73705">
              <w:rPr>
                <w:rFonts w:ascii="Arial" w:hAnsi="Arial" w:cs="Arial"/>
                <w:sz w:val="22"/>
                <w:szCs w:val="22"/>
              </w:rPr>
              <w:br/>
              <w:t xml:space="preserve">A157 </w:t>
            </w:r>
            <w:proofErr w:type="spellStart"/>
            <w:r w:rsidRPr="00A73705">
              <w:rPr>
                <w:rFonts w:ascii="Arial" w:hAnsi="Arial" w:cs="Arial"/>
                <w:i/>
                <w:iCs/>
                <w:sz w:val="22"/>
                <w:szCs w:val="22"/>
              </w:rPr>
              <w:t>Limosa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lapponica</w:t>
            </w:r>
            <w:proofErr w:type="spellEnd"/>
            <w:r w:rsidRPr="00A73705">
              <w:rPr>
                <w:rFonts w:ascii="Arial" w:hAnsi="Arial" w:cs="Arial"/>
                <w:sz w:val="22"/>
                <w:szCs w:val="22"/>
              </w:rPr>
              <w:t>; Bar-tailed godwit (Non-breeding)</w:t>
            </w:r>
            <w:r w:rsidRPr="00A73705">
              <w:rPr>
                <w:rFonts w:ascii="Arial" w:hAnsi="Arial" w:cs="Arial"/>
                <w:sz w:val="22"/>
                <w:szCs w:val="22"/>
              </w:rPr>
              <w:br/>
              <w:t xml:space="preserve">A160 </w:t>
            </w:r>
            <w:proofErr w:type="spellStart"/>
            <w:r w:rsidRPr="00A73705">
              <w:rPr>
                <w:rFonts w:ascii="Arial" w:hAnsi="Arial" w:cs="Arial"/>
                <w:i/>
                <w:iCs/>
                <w:sz w:val="22"/>
                <w:szCs w:val="22"/>
              </w:rPr>
              <w:t>Numenius</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arquata</w:t>
            </w:r>
            <w:proofErr w:type="spellEnd"/>
            <w:r w:rsidRPr="00A73705">
              <w:rPr>
                <w:rFonts w:ascii="Arial" w:hAnsi="Arial" w:cs="Arial"/>
                <w:sz w:val="22"/>
                <w:szCs w:val="22"/>
              </w:rPr>
              <w:t>; Eurasian curlew (Non-breeding)</w:t>
            </w:r>
            <w:r w:rsidRPr="00A73705">
              <w:rPr>
                <w:rFonts w:ascii="Arial" w:hAnsi="Arial" w:cs="Arial"/>
                <w:sz w:val="22"/>
                <w:szCs w:val="22"/>
              </w:rPr>
              <w:br/>
              <w:t xml:space="preserve">A162 </w:t>
            </w:r>
            <w:proofErr w:type="spellStart"/>
            <w:r w:rsidRPr="00A73705">
              <w:rPr>
                <w:rFonts w:ascii="Arial" w:hAnsi="Arial" w:cs="Arial"/>
                <w:i/>
                <w:iCs/>
                <w:sz w:val="22"/>
                <w:szCs w:val="22"/>
              </w:rPr>
              <w:t>Tringa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totanus</w:t>
            </w:r>
            <w:proofErr w:type="spellEnd"/>
            <w:r w:rsidRPr="00A73705">
              <w:rPr>
                <w:rFonts w:ascii="Arial" w:hAnsi="Arial" w:cs="Arial"/>
                <w:sz w:val="22"/>
                <w:szCs w:val="22"/>
              </w:rPr>
              <w:t>; Common redshank (Non-breeding)</w:t>
            </w:r>
            <w:r w:rsidRPr="00A73705">
              <w:rPr>
                <w:rFonts w:ascii="Arial" w:hAnsi="Arial" w:cs="Arial"/>
                <w:sz w:val="22"/>
                <w:szCs w:val="22"/>
              </w:rPr>
              <w:br/>
              <w:t xml:space="preserve">A169 </w:t>
            </w:r>
            <w:proofErr w:type="spellStart"/>
            <w:r w:rsidRPr="00A73705">
              <w:rPr>
                <w:rFonts w:ascii="Arial" w:hAnsi="Arial" w:cs="Arial"/>
                <w:i/>
                <w:iCs/>
                <w:sz w:val="22"/>
                <w:szCs w:val="22"/>
              </w:rPr>
              <w:t>Arenaria</w:t>
            </w:r>
            <w:proofErr w:type="spellEnd"/>
            <w:r w:rsidRPr="00A73705">
              <w:rPr>
                <w:rFonts w:ascii="Arial" w:hAnsi="Arial" w:cs="Arial"/>
                <w:i/>
                <w:iCs/>
                <w:sz w:val="22"/>
                <w:szCs w:val="22"/>
              </w:rPr>
              <w:t xml:space="preserve"> </w:t>
            </w:r>
            <w:proofErr w:type="spellStart"/>
            <w:r w:rsidRPr="00A73705">
              <w:rPr>
                <w:rFonts w:ascii="Arial" w:hAnsi="Arial" w:cs="Arial"/>
                <w:i/>
                <w:iCs/>
                <w:sz w:val="22"/>
                <w:szCs w:val="22"/>
              </w:rPr>
              <w:t>interpres</w:t>
            </w:r>
            <w:proofErr w:type="spellEnd"/>
            <w:r w:rsidRPr="00A73705">
              <w:rPr>
                <w:rFonts w:ascii="Arial" w:hAnsi="Arial" w:cs="Arial"/>
                <w:sz w:val="22"/>
                <w:szCs w:val="22"/>
              </w:rPr>
              <w:t>; Ruddy turnstone (Non-breeding)</w:t>
            </w:r>
            <w:r w:rsidRPr="00A73705">
              <w:rPr>
                <w:rFonts w:ascii="Arial" w:hAnsi="Arial" w:cs="Arial"/>
                <w:sz w:val="22"/>
                <w:szCs w:val="22"/>
              </w:rPr>
              <w:br/>
              <w:t xml:space="preserve">A191 </w:t>
            </w:r>
            <w:r w:rsidRPr="00A73705">
              <w:rPr>
                <w:rFonts w:ascii="Arial" w:hAnsi="Arial" w:cs="Arial"/>
                <w:i/>
                <w:iCs/>
                <w:sz w:val="22"/>
                <w:szCs w:val="22"/>
              </w:rPr>
              <w:t xml:space="preserve">Sterna </w:t>
            </w:r>
            <w:proofErr w:type="spellStart"/>
            <w:r w:rsidRPr="00A73705">
              <w:rPr>
                <w:rFonts w:ascii="Arial" w:hAnsi="Arial" w:cs="Arial"/>
                <w:i/>
                <w:iCs/>
                <w:sz w:val="22"/>
                <w:szCs w:val="22"/>
              </w:rPr>
              <w:t>sandvicensis</w:t>
            </w:r>
            <w:proofErr w:type="spellEnd"/>
            <w:r w:rsidRPr="00A73705">
              <w:rPr>
                <w:rFonts w:ascii="Arial" w:hAnsi="Arial" w:cs="Arial"/>
                <w:sz w:val="22"/>
                <w:szCs w:val="22"/>
              </w:rPr>
              <w:t>; Sandwich tern (Breeding)</w:t>
            </w:r>
            <w:r w:rsidRPr="00A73705">
              <w:rPr>
                <w:rFonts w:ascii="Arial" w:hAnsi="Arial" w:cs="Arial"/>
                <w:sz w:val="22"/>
                <w:szCs w:val="22"/>
              </w:rPr>
              <w:br/>
              <w:t xml:space="preserve">A193 </w:t>
            </w:r>
            <w:r w:rsidRPr="00A73705">
              <w:rPr>
                <w:rFonts w:ascii="Arial" w:hAnsi="Arial" w:cs="Arial"/>
                <w:i/>
                <w:iCs/>
                <w:sz w:val="22"/>
                <w:szCs w:val="22"/>
              </w:rPr>
              <w:t xml:space="preserve">Sterna </w:t>
            </w:r>
            <w:proofErr w:type="spellStart"/>
            <w:r w:rsidRPr="00A73705">
              <w:rPr>
                <w:rFonts w:ascii="Arial" w:hAnsi="Arial" w:cs="Arial"/>
                <w:i/>
                <w:iCs/>
                <w:sz w:val="22"/>
                <w:szCs w:val="22"/>
              </w:rPr>
              <w:t>hirundo</w:t>
            </w:r>
            <w:proofErr w:type="spellEnd"/>
            <w:r w:rsidRPr="00A73705">
              <w:rPr>
                <w:rFonts w:ascii="Arial" w:hAnsi="Arial" w:cs="Arial"/>
                <w:sz w:val="22"/>
                <w:szCs w:val="22"/>
              </w:rPr>
              <w:t>; Common tern (Breeding)</w:t>
            </w:r>
            <w:r w:rsidRPr="00A73705">
              <w:rPr>
                <w:rFonts w:ascii="Arial" w:hAnsi="Arial" w:cs="Arial"/>
                <w:sz w:val="22"/>
                <w:szCs w:val="22"/>
              </w:rPr>
              <w:br/>
              <w:t xml:space="preserve">A195 </w:t>
            </w:r>
            <w:r w:rsidRPr="00A73705">
              <w:rPr>
                <w:rFonts w:ascii="Arial" w:hAnsi="Arial" w:cs="Arial"/>
                <w:i/>
                <w:iCs/>
                <w:sz w:val="22"/>
                <w:szCs w:val="22"/>
              </w:rPr>
              <w:t xml:space="preserve">Sterna </w:t>
            </w:r>
            <w:proofErr w:type="spellStart"/>
            <w:r w:rsidRPr="00A73705">
              <w:rPr>
                <w:rFonts w:ascii="Arial" w:hAnsi="Arial" w:cs="Arial"/>
                <w:i/>
                <w:iCs/>
                <w:sz w:val="22"/>
                <w:szCs w:val="22"/>
              </w:rPr>
              <w:t>albifrons</w:t>
            </w:r>
            <w:proofErr w:type="spellEnd"/>
            <w:r w:rsidRPr="00A73705">
              <w:rPr>
                <w:rFonts w:ascii="Arial" w:hAnsi="Arial" w:cs="Arial"/>
                <w:sz w:val="22"/>
                <w:szCs w:val="22"/>
              </w:rPr>
              <w:t>; Little tern (Breeding)</w:t>
            </w:r>
          </w:p>
          <w:p w14:paraId="13A93205" w14:textId="77777777" w:rsidR="002D5298" w:rsidRDefault="002D5298" w:rsidP="00EE3E57">
            <w:pPr>
              <w:spacing w:line="276" w:lineRule="auto"/>
              <w:rPr>
                <w:rFonts w:ascii="Arial" w:hAnsi="Arial" w:cs="Arial"/>
                <w:sz w:val="22"/>
                <w:szCs w:val="22"/>
                <w:highlight w:val="green"/>
              </w:rPr>
            </w:pPr>
          </w:p>
          <w:p w14:paraId="5CF0A4B5"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Assessment Matrix (Chichester and Langstone Harbours SPA</w:t>
            </w:r>
            <w:r w:rsidR="00247CE9">
              <w:rPr>
                <w:rFonts w:ascii="Arial" w:hAnsi="Arial" w:cs="Arial"/>
                <w:sz w:val="22"/>
                <w:szCs w:val="22"/>
              </w:rPr>
              <w:t>/Ramsar</w:t>
            </w:r>
            <w:r w:rsidRPr="00A73705">
              <w:rPr>
                <w:rFonts w:ascii="Arial" w:hAnsi="Arial" w:cs="Arial"/>
                <w:sz w:val="22"/>
                <w:szCs w:val="22"/>
              </w:rPr>
              <w:t>)</w:t>
            </w:r>
          </w:p>
          <w:p w14:paraId="16EBAB1E" w14:textId="77777777" w:rsidR="00A73705" w:rsidRPr="00A73705" w:rsidRDefault="00A73705" w:rsidP="00A73705">
            <w:pPr>
              <w:spacing w:line="276" w:lineRule="auto"/>
              <w:rPr>
                <w:rFonts w:ascii="Arial" w:hAnsi="Arial" w:cs="Arial"/>
                <w:sz w:val="22"/>
                <w:szCs w:val="22"/>
              </w:rPr>
            </w:pPr>
          </w:p>
          <w:p w14:paraId="6A105EEF"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Identification of the potential effects and their impacts on the Conservation Objectives</w:t>
            </w:r>
          </w:p>
          <w:p w14:paraId="1116EA24" w14:textId="77777777" w:rsidR="00A73705" w:rsidRPr="00A73705" w:rsidRDefault="00A73705" w:rsidP="00A73705">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1"/>
              <w:gridCol w:w="1922"/>
              <w:gridCol w:w="1921"/>
              <w:gridCol w:w="1944"/>
            </w:tblGrid>
            <w:tr w:rsidR="00A73705" w:rsidRPr="00A73705" w14:paraId="3878BD5D" w14:textId="77777777" w:rsidTr="00133C0F">
              <w:trPr>
                <w:cantSplit/>
                <w:tblHeader/>
              </w:trPr>
              <w:tc>
                <w:tcPr>
                  <w:tcW w:w="1924" w:type="dxa"/>
                  <w:shd w:val="clear" w:color="auto" w:fill="auto"/>
                </w:tcPr>
                <w:p w14:paraId="37212F76"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Potential Effect</w:t>
                  </w:r>
                </w:p>
              </w:tc>
              <w:tc>
                <w:tcPr>
                  <w:tcW w:w="1924" w:type="dxa"/>
                  <w:shd w:val="clear" w:color="auto" w:fill="auto"/>
                </w:tcPr>
                <w:p w14:paraId="0F26872E"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Site Conservation Objective(s)</w:t>
                  </w:r>
                </w:p>
              </w:tc>
              <w:tc>
                <w:tcPr>
                  <w:tcW w:w="1925" w:type="dxa"/>
                  <w:shd w:val="clear" w:color="auto" w:fill="auto"/>
                </w:tcPr>
                <w:p w14:paraId="541CA3DC"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Qualifying features</w:t>
                  </w:r>
                </w:p>
              </w:tc>
              <w:tc>
                <w:tcPr>
                  <w:tcW w:w="1925" w:type="dxa"/>
                  <w:shd w:val="clear" w:color="auto" w:fill="auto"/>
                </w:tcPr>
                <w:p w14:paraId="69C718F1"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Potential for Impact?</w:t>
                  </w:r>
                </w:p>
              </w:tc>
              <w:tc>
                <w:tcPr>
                  <w:tcW w:w="1925" w:type="dxa"/>
                  <w:shd w:val="clear" w:color="auto" w:fill="auto"/>
                </w:tcPr>
                <w:p w14:paraId="1614D695"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Relevant Mitigation Measures</w:t>
                  </w:r>
                </w:p>
              </w:tc>
            </w:tr>
            <w:tr w:rsidR="00A73705" w:rsidRPr="00A73705" w14:paraId="751D85FF" w14:textId="77777777" w:rsidTr="00133C0F">
              <w:tc>
                <w:tcPr>
                  <w:tcW w:w="1924" w:type="dxa"/>
                  <w:shd w:val="clear" w:color="auto" w:fill="auto"/>
                </w:tcPr>
                <w:p w14:paraId="0B056B36"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Decrease in survival rates and populations of over-wintering birds due to increase in disturbance, caused by increasing human population ( in combination with other plans and projects)</w:t>
                  </w:r>
                </w:p>
              </w:tc>
              <w:tc>
                <w:tcPr>
                  <w:tcW w:w="1924" w:type="dxa"/>
                  <w:shd w:val="clear" w:color="auto" w:fill="auto"/>
                </w:tcPr>
                <w:p w14:paraId="69EEA299"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Maintain or restore the population of each of the qualifying features.</w:t>
                  </w:r>
                </w:p>
                <w:p w14:paraId="02E0B954" w14:textId="77777777" w:rsidR="00A73705" w:rsidRPr="00A73705" w:rsidRDefault="00A73705" w:rsidP="00A73705">
                  <w:pPr>
                    <w:spacing w:line="276" w:lineRule="auto"/>
                    <w:rPr>
                      <w:rFonts w:ascii="Arial" w:hAnsi="Arial" w:cs="Arial"/>
                      <w:sz w:val="22"/>
                      <w:szCs w:val="22"/>
                    </w:rPr>
                  </w:pPr>
                </w:p>
                <w:p w14:paraId="023274A8"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Maintain or restore the distribution of the qualifying feature within the site.</w:t>
                  </w:r>
                </w:p>
              </w:tc>
              <w:tc>
                <w:tcPr>
                  <w:tcW w:w="1925" w:type="dxa"/>
                  <w:shd w:val="clear" w:color="auto" w:fill="auto"/>
                </w:tcPr>
                <w:p w14:paraId="64B1F9CB"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All for Chichester and Langstone Harbours SPA</w:t>
                  </w:r>
                  <w:r w:rsidR="00247CE9">
                    <w:rPr>
                      <w:rFonts w:ascii="Arial" w:hAnsi="Arial" w:cs="Arial"/>
                      <w:sz w:val="22"/>
                      <w:szCs w:val="22"/>
                    </w:rPr>
                    <w:t>/Ramsar</w:t>
                  </w:r>
                  <w:r w:rsidRPr="00A73705">
                    <w:rPr>
                      <w:rFonts w:ascii="Arial" w:hAnsi="Arial" w:cs="Arial"/>
                      <w:sz w:val="22"/>
                      <w:szCs w:val="22"/>
                    </w:rPr>
                    <w:t>.</w:t>
                  </w:r>
                </w:p>
              </w:tc>
              <w:tc>
                <w:tcPr>
                  <w:tcW w:w="1925" w:type="dxa"/>
                  <w:shd w:val="clear" w:color="auto" w:fill="auto"/>
                </w:tcPr>
                <w:p w14:paraId="1AC8CA65"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Yes.</w:t>
                  </w:r>
                </w:p>
                <w:p w14:paraId="240934DF"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Indirect impact.  Without mitigation, bird populations would be reduced and/or re-distributed by increased numbers of visitors leading to increased disturbance</w:t>
                  </w:r>
                </w:p>
              </w:tc>
              <w:tc>
                <w:tcPr>
                  <w:tcW w:w="1925" w:type="dxa"/>
                  <w:shd w:val="clear" w:color="auto" w:fill="auto"/>
                </w:tcPr>
                <w:p w14:paraId="103E20FD" w14:textId="77777777" w:rsidR="00A73705" w:rsidRPr="00A73705" w:rsidRDefault="0003566F" w:rsidP="00A73705">
                  <w:pPr>
                    <w:spacing w:line="276" w:lineRule="auto"/>
                    <w:rPr>
                      <w:rFonts w:ascii="Arial" w:hAnsi="Arial" w:cs="Arial"/>
                      <w:sz w:val="22"/>
                      <w:szCs w:val="22"/>
                    </w:rPr>
                  </w:pPr>
                  <w:hyperlink r:id="rId7" w:history="1">
                    <w:r w:rsidR="00A73705" w:rsidRPr="00A73705">
                      <w:rPr>
                        <w:rStyle w:val="Hyperlink"/>
                        <w:rFonts w:ascii="Arial" w:hAnsi="Arial" w:cs="Arial"/>
                        <w:sz w:val="22"/>
                        <w:szCs w:val="22"/>
                      </w:rPr>
                      <w:t>Bird Aware Solent Strategy</w:t>
                    </w:r>
                  </w:hyperlink>
                  <w:r w:rsidR="00A73705" w:rsidRPr="00A73705">
                    <w:rPr>
                      <w:rFonts w:ascii="Arial" w:hAnsi="Arial" w:cs="Arial"/>
                      <w:sz w:val="22"/>
                      <w:szCs w:val="22"/>
                    </w:rPr>
                    <w:t xml:space="preserve"> </w:t>
                  </w:r>
                </w:p>
                <w:p w14:paraId="3A843272" w14:textId="77777777" w:rsidR="00A73705" w:rsidRPr="00A73705" w:rsidRDefault="00A73705" w:rsidP="00A73705">
                  <w:pPr>
                    <w:spacing w:line="276" w:lineRule="auto"/>
                    <w:rPr>
                      <w:rFonts w:ascii="Arial" w:hAnsi="Arial" w:cs="Arial"/>
                      <w:sz w:val="22"/>
                      <w:szCs w:val="22"/>
                    </w:rPr>
                  </w:pPr>
                </w:p>
                <w:p w14:paraId="7C902384"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The Strategy proposes:-</w:t>
                  </w:r>
                </w:p>
                <w:p w14:paraId="40AF7291"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a team of 5-7 coastal rangers to advise people on how to avoid bird disturbance, liaise with landowners, host school visits, etc.;</w:t>
                  </w:r>
                </w:p>
                <w:p w14:paraId="25CB0902"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•communications, marketing and education initiatives;</w:t>
                  </w:r>
                </w:p>
                <w:p w14:paraId="79254D84"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initiatives to encourage responsible dog walking;</w:t>
                  </w:r>
                </w:p>
                <w:p w14:paraId="271BBF36"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preparation of codes of conduct for a variety of coastal activities;</w:t>
                  </w:r>
                </w:p>
                <w:p w14:paraId="6E8330A3"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site-specific projects to better manage visitors and provide secure habitats for the birds;</w:t>
                  </w:r>
                </w:p>
                <w:p w14:paraId="39EDDBFF"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 providing new/enhanced greenspaces as an alternative to visiting the coast;</w:t>
                  </w:r>
                </w:p>
              </w:tc>
            </w:tr>
            <w:tr w:rsidR="00A73705" w:rsidRPr="00A73705" w14:paraId="666D4D32" w14:textId="77777777" w:rsidTr="00133C0F">
              <w:tc>
                <w:tcPr>
                  <w:tcW w:w="1924" w:type="dxa"/>
                  <w:shd w:val="clear" w:color="auto" w:fill="auto"/>
                </w:tcPr>
                <w:p w14:paraId="08AA88F7"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Direct loss of habitat</w:t>
                  </w:r>
                </w:p>
              </w:tc>
              <w:tc>
                <w:tcPr>
                  <w:tcW w:w="1924" w:type="dxa"/>
                  <w:shd w:val="clear" w:color="auto" w:fill="auto"/>
                </w:tcPr>
                <w:p w14:paraId="115532FE"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Maintain or restore the extent and distribution of the habitats of the qualifying features.</w:t>
                  </w:r>
                </w:p>
              </w:tc>
              <w:tc>
                <w:tcPr>
                  <w:tcW w:w="1925" w:type="dxa"/>
                  <w:shd w:val="clear" w:color="auto" w:fill="auto"/>
                </w:tcPr>
                <w:p w14:paraId="0C91E3CA"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All for Chichester and Langstone Harbours SPA</w:t>
                  </w:r>
                  <w:r w:rsidR="00247CE9">
                    <w:rPr>
                      <w:rFonts w:ascii="Arial" w:hAnsi="Arial" w:cs="Arial"/>
                      <w:sz w:val="22"/>
                      <w:szCs w:val="22"/>
                    </w:rPr>
                    <w:t>/Ramsar</w:t>
                  </w:r>
                  <w:r w:rsidRPr="00A73705">
                    <w:rPr>
                      <w:rFonts w:ascii="Arial" w:hAnsi="Arial" w:cs="Arial"/>
                      <w:sz w:val="22"/>
                      <w:szCs w:val="22"/>
                    </w:rPr>
                    <w:t>.</w:t>
                  </w:r>
                </w:p>
              </w:tc>
              <w:tc>
                <w:tcPr>
                  <w:tcW w:w="1925" w:type="dxa"/>
                  <w:shd w:val="clear" w:color="auto" w:fill="auto"/>
                </w:tcPr>
                <w:p w14:paraId="53DC619F" w14:textId="77777777" w:rsidR="00077C15" w:rsidRPr="00077C15" w:rsidRDefault="00077C15" w:rsidP="00077C15">
                  <w:pPr>
                    <w:rPr>
                      <w:rFonts w:ascii="Arial" w:hAnsi="Arial" w:cs="Arial"/>
                      <w:sz w:val="22"/>
                      <w:szCs w:val="22"/>
                    </w:rPr>
                  </w:pPr>
                  <w:r w:rsidRPr="00077C15">
                    <w:rPr>
                      <w:rFonts w:ascii="Arial" w:hAnsi="Arial" w:cs="Arial"/>
                      <w:sz w:val="22"/>
                      <w:szCs w:val="22"/>
                    </w:rPr>
                    <w:t>No, development within the zone of influence but outside the SPA boundary will not lead to loss of habitat, either alone or in combination. (Direct Effect)</w:t>
                  </w:r>
                </w:p>
                <w:p w14:paraId="555F3562" w14:textId="77777777" w:rsidR="00A73705" w:rsidRPr="00A73705" w:rsidRDefault="00A73705" w:rsidP="00A73705">
                  <w:pPr>
                    <w:spacing w:line="276" w:lineRule="auto"/>
                    <w:rPr>
                      <w:rFonts w:ascii="Arial" w:hAnsi="Arial" w:cs="Arial"/>
                      <w:sz w:val="22"/>
                      <w:szCs w:val="22"/>
                    </w:rPr>
                  </w:pPr>
                </w:p>
              </w:tc>
              <w:tc>
                <w:tcPr>
                  <w:tcW w:w="1925" w:type="dxa"/>
                  <w:shd w:val="clear" w:color="auto" w:fill="auto"/>
                </w:tcPr>
                <w:p w14:paraId="408FC45F" w14:textId="77777777" w:rsidR="00A73705" w:rsidRPr="00A73705" w:rsidRDefault="00A73705" w:rsidP="00A73705">
                  <w:pPr>
                    <w:spacing w:line="276" w:lineRule="auto"/>
                    <w:rPr>
                      <w:rFonts w:ascii="Arial" w:hAnsi="Arial" w:cs="Arial"/>
                      <w:sz w:val="22"/>
                      <w:szCs w:val="22"/>
                    </w:rPr>
                  </w:pPr>
                  <w:r w:rsidRPr="00A73705">
                    <w:rPr>
                      <w:rFonts w:ascii="Arial" w:hAnsi="Arial" w:cs="Arial"/>
                      <w:sz w:val="22"/>
                      <w:szCs w:val="22"/>
                    </w:rPr>
                    <w:t>N/a. No impact so no mitigation can be provided.</w:t>
                  </w:r>
                </w:p>
              </w:tc>
            </w:tr>
          </w:tbl>
          <w:p w14:paraId="0A376B75" w14:textId="77777777" w:rsidR="002A1E7F" w:rsidRPr="002A1E7F" w:rsidRDefault="002A1E7F" w:rsidP="002A1E7F">
            <w:pPr>
              <w:spacing w:line="276" w:lineRule="auto"/>
              <w:rPr>
                <w:rFonts w:ascii="Arial" w:hAnsi="Arial" w:cs="Arial"/>
                <w:sz w:val="22"/>
                <w:szCs w:val="22"/>
              </w:rPr>
            </w:pPr>
          </w:p>
          <w:p w14:paraId="0B221763" w14:textId="77777777" w:rsidR="002A1E7F" w:rsidRPr="00EE3E57" w:rsidRDefault="002A1E7F" w:rsidP="002A1E7F">
            <w:pPr>
              <w:spacing w:line="276" w:lineRule="auto"/>
              <w:rPr>
                <w:rFonts w:ascii="Arial" w:hAnsi="Arial" w:cs="Arial"/>
                <w:b/>
                <w:sz w:val="22"/>
                <w:szCs w:val="22"/>
              </w:rPr>
            </w:pPr>
            <w:r w:rsidRPr="00EE3E57">
              <w:rPr>
                <w:rFonts w:ascii="Arial" w:hAnsi="Arial" w:cs="Arial"/>
                <w:b/>
                <w:sz w:val="22"/>
                <w:szCs w:val="22"/>
              </w:rPr>
              <w:t>Relevant Mitigation Measures</w:t>
            </w:r>
          </w:p>
          <w:p w14:paraId="35E7E710" w14:textId="77777777" w:rsidR="002A1E7F" w:rsidRDefault="002A1E7F" w:rsidP="002A1E7F">
            <w:pPr>
              <w:spacing w:line="276" w:lineRule="auto"/>
              <w:rPr>
                <w:rFonts w:ascii="Arial" w:hAnsi="Arial" w:cs="Arial"/>
                <w:sz w:val="22"/>
                <w:szCs w:val="22"/>
              </w:rPr>
            </w:pPr>
          </w:p>
          <w:p w14:paraId="1C983033" w14:textId="77777777" w:rsidR="002A1E7F" w:rsidRDefault="002A1E7F" w:rsidP="002A1E7F">
            <w:pPr>
              <w:spacing w:line="276" w:lineRule="auto"/>
              <w:rPr>
                <w:rFonts w:ascii="Arial" w:hAnsi="Arial" w:cs="Arial"/>
                <w:sz w:val="22"/>
                <w:szCs w:val="22"/>
              </w:rPr>
            </w:pPr>
            <w:r>
              <w:rPr>
                <w:rFonts w:ascii="Arial" w:hAnsi="Arial" w:cs="Arial"/>
                <w:sz w:val="22"/>
                <w:szCs w:val="22"/>
              </w:rPr>
              <w:lastRenderedPageBreak/>
              <w:t>Chichester District Council and the South Downs National Park Authority along with other Authorities within the zone of influence adopted the Solent Recreation Mitigation Strategy in 2018.  The SRM</w:t>
            </w:r>
            <w:r w:rsidR="00EE3E57">
              <w:rPr>
                <w:rFonts w:ascii="Arial" w:hAnsi="Arial" w:cs="Arial"/>
                <w:sz w:val="22"/>
                <w:szCs w:val="22"/>
              </w:rPr>
              <w:t xml:space="preserve"> provides a strategic solution to ensure the requirements of the Habitats Regulations are met with regard to the in-combination effects of increased recreational pressure on the Solent SPAs arising from new residential development.  This strategy represents a partnership approach to the issue which has been endorsed by Natural England.</w:t>
            </w:r>
          </w:p>
          <w:p w14:paraId="157DD0C6" w14:textId="77777777" w:rsidR="00EE3E57" w:rsidRDefault="00EE3E57" w:rsidP="002A1E7F">
            <w:pPr>
              <w:spacing w:line="276" w:lineRule="auto"/>
              <w:rPr>
                <w:rFonts w:ascii="Arial" w:hAnsi="Arial" w:cs="Arial"/>
                <w:sz w:val="22"/>
                <w:szCs w:val="22"/>
              </w:rPr>
            </w:pPr>
          </w:p>
          <w:p w14:paraId="16BEF0E8" w14:textId="2FC544A8" w:rsidR="001071FC" w:rsidRPr="00EF6014" w:rsidRDefault="00EE3E57" w:rsidP="0003566F">
            <w:pPr>
              <w:spacing w:line="276" w:lineRule="auto"/>
              <w:rPr>
                <w:rFonts w:ascii="Arial" w:hAnsi="Arial" w:cs="Arial"/>
                <w:sz w:val="22"/>
                <w:szCs w:val="22"/>
              </w:rPr>
            </w:pPr>
            <w:r>
              <w:rPr>
                <w:rFonts w:ascii="Arial" w:hAnsi="Arial" w:cs="Arial"/>
                <w:sz w:val="22"/>
                <w:szCs w:val="22"/>
              </w:rPr>
              <w:t xml:space="preserve">As set out in the Solent Recreation Mitigation Strategy, </w:t>
            </w:r>
            <w:r w:rsidR="00CD6B3F">
              <w:rPr>
                <w:rFonts w:ascii="Arial" w:hAnsi="Arial" w:cs="Arial"/>
                <w:sz w:val="22"/>
                <w:szCs w:val="22"/>
              </w:rPr>
              <w:t>developers can make financial contributions towards implementing the Bird Aware Solent Strategy, see</w:t>
            </w:r>
            <w:r>
              <w:rPr>
                <w:rFonts w:ascii="Arial" w:hAnsi="Arial" w:cs="Arial"/>
                <w:sz w:val="22"/>
                <w:szCs w:val="22"/>
              </w:rPr>
              <w:t xml:space="preserve"> </w:t>
            </w:r>
            <w:hyperlink r:id="rId8" w:history="1">
              <w:r w:rsidR="00CD6B3F" w:rsidRPr="005300A5">
                <w:rPr>
                  <w:rStyle w:val="Hyperlink"/>
                  <w:rFonts w:ascii="Arial" w:hAnsi="Arial" w:cs="Arial"/>
                  <w:sz w:val="22"/>
                  <w:szCs w:val="22"/>
                </w:rPr>
                <w:t>http://www.birdaware.org/article/28101/Developer-contributions</w:t>
              </w:r>
            </w:hyperlink>
            <w:r w:rsidR="00CD6B3F">
              <w:rPr>
                <w:rFonts w:ascii="Arial" w:hAnsi="Arial" w:cs="Arial"/>
                <w:sz w:val="22"/>
                <w:szCs w:val="22"/>
              </w:rPr>
              <w:t xml:space="preserve"> for further details. </w:t>
            </w:r>
            <w:r>
              <w:rPr>
                <w:rFonts w:ascii="Arial" w:hAnsi="Arial" w:cs="Arial"/>
                <w:sz w:val="22"/>
                <w:szCs w:val="22"/>
              </w:rPr>
              <w:t>A legal agreement is necessary to secure the mitigation package.  As long as that legal agreement is secured</w:t>
            </w:r>
            <w:r w:rsidR="00A73705">
              <w:rPr>
                <w:rFonts w:ascii="Arial" w:hAnsi="Arial" w:cs="Arial"/>
                <w:sz w:val="22"/>
                <w:szCs w:val="22"/>
              </w:rPr>
              <w:t xml:space="preserve"> at the time of permission being granted</w:t>
            </w:r>
            <w:r>
              <w:rPr>
                <w:rFonts w:ascii="Arial" w:hAnsi="Arial" w:cs="Arial"/>
                <w:sz w:val="22"/>
                <w:szCs w:val="22"/>
              </w:rPr>
              <w:t xml:space="preserve">, the proposed development will not affect the status and distribution of key bird species and therefore act against the conservation objectives of the sites. </w:t>
            </w:r>
          </w:p>
        </w:tc>
      </w:tr>
      <w:tr w:rsidR="001071FC" w:rsidRPr="00EF6014" w14:paraId="679F6CAF" w14:textId="77777777" w:rsidTr="005C7960">
        <w:tc>
          <w:tcPr>
            <w:tcW w:w="9752" w:type="dxa"/>
            <w:tcBorders>
              <w:top w:val="single" w:sz="12" w:space="0" w:color="0083BE"/>
            </w:tcBorders>
            <w:shd w:val="clear" w:color="auto" w:fill="0083BE"/>
          </w:tcPr>
          <w:p w14:paraId="6C969357" w14:textId="77777777" w:rsidR="001071FC" w:rsidRPr="00B73E13" w:rsidRDefault="001071FC" w:rsidP="00B73E13">
            <w:pPr>
              <w:pStyle w:val="Heading2"/>
              <w:spacing w:before="0"/>
              <w:rPr>
                <w:rFonts w:ascii="Arial" w:hAnsi="Arial" w:cs="Arial"/>
              </w:rPr>
            </w:pPr>
            <w:r w:rsidRPr="00B73E13">
              <w:rPr>
                <w:rFonts w:ascii="Arial" w:hAnsi="Arial" w:cs="Arial"/>
                <w:color w:val="FFFFFF" w:themeColor="background1"/>
                <w:sz w:val="22"/>
              </w:rPr>
              <w:lastRenderedPageBreak/>
              <w:t>Stage 4 – Summary of the Appropriate Assessment (To be carried out by the Competent Authority (the local planning authority) in liaison with Natural England</w:t>
            </w:r>
          </w:p>
        </w:tc>
      </w:tr>
      <w:tr w:rsidR="001071FC" w:rsidRPr="00EF6014" w14:paraId="3421D719" w14:textId="77777777" w:rsidTr="00B25729">
        <w:tc>
          <w:tcPr>
            <w:tcW w:w="9752" w:type="dxa"/>
          </w:tcPr>
          <w:p w14:paraId="6A196DFB" w14:textId="77777777" w:rsidR="00F05BF7" w:rsidRPr="00F05BF7" w:rsidRDefault="00F05BF7" w:rsidP="00B25729">
            <w:pPr>
              <w:spacing w:line="276" w:lineRule="auto"/>
              <w:rPr>
                <w:rFonts w:ascii="Arial" w:hAnsi="Arial" w:cs="Arial"/>
                <w:b/>
                <w:sz w:val="22"/>
                <w:szCs w:val="22"/>
              </w:rPr>
            </w:pPr>
            <w:r w:rsidRPr="00F05BF7">
              <w:rPr>
                <w:rFonts w:ascii="Arial" w:hAnsi="Arial" w:cs="Arial"/>
                <w:b/>
                <w:sz w:val="22"/>
                <w:szCs w:val="22"/>
              </w:rPr>
              <w:t>Conclusion</w:t>
            </w:r>
          </w:p>
          <w:p w14:paraId="6C9D326A" w14:textId="77777777" w:rsidR="00F05BF7" w:rsidRDefault="00F05BF7" w:rsidP="00B25729">
            <w:pPr>
              <w:spacing w:line="276" w:lineRule="auto"/>
              <w:rPr>
                <w:rFonts w:ascii="Arial" w:hAnsi="Arial" w:cs="Arial"/>
                <w:sz w:val="22"/>
                <w:szCs w:val="22"/>
              </w:rPr>
            </w:pPr>
            <w:r>
              <w:rPr>
                <w:rFonts w:ascii="Arial" w:hAnsi="Arial" w:cs="Arial"/>
                <w:sz w:val="22"/>
                <w:szCs w:val="22"/>
              </w:rPr>
              <w:t xml:space="preserve">The Westbourne Neighbourhood Plan </w:t>
            </w:r>
            <w:r w:rsidR="00055330">
              <w:rPr>
                <w:rFonts w:ascii="Arial" w:hAnsi="Arial" w:cs="Arial"/>
                <w:sz w:val="22"/>
                <w:szCs w:val="22"/>
              </w:rPr>
              <w:t xml:space="preserve">will have a </w:t>
            </w:r>
            <w:r>
              <w:rPr>
                <w:rFonts w:ascii="Arial" w:hAnsi="Arial" w:cs="Arial"/>
                <w:sz w:val="22"/>
                <w:szCs w:val="22"/>
              </w:rPr>
              <w:t>li</w:t>
            </w:r>
            <w:r w:rsidR="00D22C91">
              <w:rPr>
                <w:rFonts w:ascii="Arial" w:hAnsi="Arial" w:cs="Arial"/>
                <w:sz w:val="22"/>
                <w:szCs w:val="22"/>
              </w:rPr>
              <w:t>kely</w:t>
            </w:r>
            <w:r>
              <w:rPr>
                <w:rFonts w:ascii="Arial" w:hAnsi="Arial" w:cs="Arial"/>
                <w:sz w:val="22"/>
                <w:szCs w:val="22"/>
              </w:rPr>
              <w:t xml:space="preserve"> significant effect</w:t>
            </w:r>
            <w:r w:rsidR="00055330">
              <w:rPr>
                <w:rFonts w:ascii="Arial" w:hAnsi="Arial" w:cs="Arial"/>
                <w:sz w:val="22"/>
                <w:szCs w:val="22"/>
              </w:rPr>
              <w:t xml:space="preserve"> in combination with other proposals in the zone of influence</w:t>
            </w:r>
            <w:r>
              <w:rPr>
                <w:rFonts w:ascii="Arial" w:hAnsi="Arial" w:cs="Arial"/>
                <w:sz w:val="22"/>
                <w:szCs w:val="22"/>
              </w:rPr>
              <w:t xml:space="preserve"> </w:t>
            </w:r>
            <w:r w:rsidR="00D22C91">
              <w:rPr>
                <w:rFonts w:ascii="Arial" w:hAnsi="Arial" w:cs="Arial"/>
                <w:sz w:val="22"/>
                <w:szCs w:val="22"/>
              </w:rPr>
              <w:t>on the following sites:</w:t>
            </w:r>
          </w:p>
          <w:p w14:paraId="65A3EC7D" w14:textId="77777777" w:rsidR="00D22C91" w:rsidRDefault="00D22C91" w:rsidP="00D22C91">
            <w:pPr>
              <w:numPr>
                <w:ilvl w:val="0"/>
                <w:numId w:val="17"/>
              </w:numPr>
              <w:spacing w:line="276" w:lineRule="auto"/>
              <w:rPr>
                <w:rFonts w:ascii="Arial" w:hAnsi="Arial" w:cs="Arial"/>
                <w:sz w:val="22"/>
                <w:szCs w:val="22"/>
              </w:rPr>
            </w:pPr>
            <w:r>
              <w:rPr>
                <w:rFonts w:ascii="Arial" w:hAnsi="Arial" w:cs="Arial"/>
                <w:sz w:val="22"/>
                <w:szCs w:val="22"/>
              </w:rPr>
              <w:t>Chichester and Langstone Harbours SPA</w:t>
            </w:r>
            <w:r w:rsidR="00102635">
              <w:rPr>
                <w:rFonts w:ascii="Arial" w:hAnsi="Arial" w:cs="Arial"/>
                <w:sz w:val="22"/>
                <w:szCs w:val="22"/>
              </w:rPr>
              <w:t>/Ramsar</w:t>
            </w:r>
            <w:r>
              <w:rPr>
                <w:rFonts w:ascii="Arial" w:hAnsi="Arial" w:cs="Arial"/>
                <w:sz w:val="22"/>
                <w:szCs w:val="22"/>
              </w:rPr>
              <w:t xml:space="preserve"> / </w:t>
            </w:r>
          </w:p>
          <w:p w14:paraId="5CB46B79" w14:textId="77777777" w:rsidR="00D22C91" w:rsidRDefault="00D22C91" w:rsidP="00D22C91">
            <w:pPr>
              <w:spacing w:line="276" w:lineRule="auto"/>
              <w:rPr>
                <w:rFonts w:ascii="Arial" w:hAnsi="Arial" w:cs="Arial"/>
                <w:sz w:val="22"/>
                <w:szCs w:val="22"/>
              </w:rPr>
            </w:pPr>
          </w:p>
          <w:p w14:paraId="108BE8A9" w14:textId="77777777" w:rsidR="0066051D" w:rsidRDefault="00EA77FD" w:rsidP="00B25729">
            <w:pPr>
              <w:spacing w:line="276" w:lineRule="auto"/>
              <w:rPr>
                <w:rFonts w:ascii="Arial" w:hAnsi="Arial" w:cs="Arial"/>
                <w:b/>
                <w:sz w:val="22"/>
                <w:szCs w:val="22"/>
              </w:rPr>
            </w:pPr>
            <w:r>
              <w:rPr>
                <w:rFonts w:ascii="Arial" w:hAnsi="Arial" w:cs="Arial"/>
                <w:sz w:val="22"/>
                <w:szCs w:val="22"/>
              </w:rPr>
              <w:t>However, h</w:t>
            </w:r>
            <w:r w:rsidR="00024A10" w:rsidRPr="00EF6014">
              <w:rPr>
                <w:rFonts w:ascii="Arial" w:hAnsi="Arial" w:cs="Arial"/>
                <w:sz w:val="22"/>
                <w:szCs w:val="22"/>
              </w:rPr>
              <w:t>aving considered the mitigation measures to be provided in-perpetuity through the secured contribution</w:t>
            </w:r>
            <w:r w:rsidR="00077DF3" w:rsidRPr="00EF6014">
              <w:rPr>
                <w:rFonts w:ascii="Arial" w:hAnsi="Arial" w:cs="Arial"/>
                <w:sz w:val="22"/>
                <w:szCs w:val="22"/>
              </w:rPr>
              <w:t>s</w:t>
            </w:r>
            <w:r w:rsidR="00024A10" w:rsidRPr="00EF6014">
              <w:rPr>
                <w:rFonts w:ascii="Arial" w:hAnsi="Arial" w:cs="Arial"/>
                <w:sz w:val="22"/>
                <w:szCs w:val="22"/>
              </w:rPr>
              <w:t xml:space="preserve"> to the </w:t>
            </w:r>
            <w:r w:rsidR="006228AA">
              <w:rPr>
                <w:rFonts w:ascii="Arial" w:hAnsi="Arial" w:cs="Arial"/>
                <w:sz w:val="22"/>
                <w:szCs w:val="22"/>
              </w:rPr>
              <w:t>Solent Recreation Mitigation Strategy</w:t>
            </w:r>
            <w:r w:rsidR="00024A10" w:rsidRPr="00EF6014">
              <w:rPr>
                <w:rFonts w:ascii="Arial" w:hAnsi="Arial" w:cs="Arial"/>
                <w:sz w:val="22"/>
                <w:szCs w:val="22"/>
              </w:rPr>
              <w:t>, Chichester District Council conclude</w:t>
            </w:r>
            <w:r>
              <w:rPr>
                <w:rFonts w:ascii="Arial" w:hAnsi="Arial" w:cs="Arial"/>
                <w:sz w:val="22"/>
                <w:szCs w:val="22"/>
              </w:rPr>
              <w:t>s</w:t>
            </w:r>
            <w:r w:rsidR="00024A10" w:rsidRPr="00EF6014">
              <w:rPr>
                <w:rFonts w:ascii="Arial" w:hAnsi="Arial" w:cs="Arial"/>
                <w:sz w:val="22"/>
                <w:szCs w:val="22"/>
              </w:rPr>
              <w:t xml:space="preserve"> that the </w:t>
            </w:r>
            <w:r w:rsidR="006228AA">
              <w:rPr>
                <w:rFonts w:ascii="Arial" w:hAnsi="Arial" w:cs="Arial"/>
                <w:sz w:val="22"/>
                <w:szCs w:val="22"/>
              </w:rPr>
              <w:t>Westbourne</w:t>
            </w:r>
            <w:r w:rsidR="00FB6696" w:rsidRPr="00EF6014">
              <w:rPr>
                <w:rFonts w:ascii="Arial" w:hAnsi="Arial" w:cs="Arial"/>
                <w:sz w:val="22"/>
                <w:szCs w:val="22"/>
              </w:rPr>
              <w:t xml:space="preserve"> N</w:t>
            </w:r>
            <w:r w:rsidR="0077209D" w:rsidRPr="00EF6014">
              <w:rPr>
                <w:rFonts w:ascii="Arial" w:hAnsi="Arial" w:cs="Arial"/>
                <w:sz w:val="22"/>
                <w:szCs w:val="22"/>
              </w:rPr>
              <w:t xml:space="preserve">eighbourhood </w:t>
            </w:r>
            <w:r w:rsidR="00FB6696" w:rsidRPr="00EF6014">
              <w:rPr>
                <w:rFonts w:ascii="Arial" w:hAnsi="Arial" w:cs="Arial"/>
                <w:sz w:val="22"/>
                <w:szCs w:val="22"/>
              </w:rPr>
              <w:t>P</w:t>
            </w:r>
            <w:r w:rsidR="00024A10" w:rsidRPr="00EF6014">
              <w:rPr>
                <w:rFonts w:ascii="Arial" w:hAnsi="Arial" w:cs="Arial"/>
                <w:sz w:val="22"/>
                <w:szCs w:val="22"/>
              </w:rPr>
              <w:t xml:space="preserve">lan </w:t>
            </w:r>
            <w:r w:rsidR="006228AA" w:rsidRPr="006228AA">
              <w:rPr>
                <w:rFonts w:ascii="Arial" w:hAnsi="Arial" w:cs="Arial"/>
                <w:b/>
                <w:sz w:val="22"/>
                <w:szCs w:val="22"/>
              </w:rPr>
              <w:t>will not</w:t>
            </w:r>
            <w:r w:rsidR="00CD6B3F">
              <w:rPr>
                <w:rFonts w:ascii="Arial" w:hAnsi="Arial" w:cs="Arial"/>
                <w:b/>
                <w:sz w:val="22"/>
                <w:szCs w:val="22"/>
              </w:rPr>
              <w:t xml:space="preserve"> lead to </w:t>
            </w:r>
            <w:r w:rsidR="006228AA" w:rsidRPr="006228AA">
              <w:rPr>
                <w:rFonts w:ascii="Arial" w:hAnsi="Arial" w:cs="Arial"/>
                <w:b/>
                <w:sz w:val="22"/>
                <w:szCs w:val="22"/>
              </w:rPr>
              <w:t>an</w:t>
            </w:r>
            <w:r w:rsidR="00CD6B3F">
              <w:rPr>
                <w:rFonts w:ascii="Arial" w:hAnsi="Arial" w:cs="Arial"/>
                <w:b/>
                <w:sz w:val="22"/>
                <w:szCs w:val="22"/>
              </w:rPr>
              <w:t>y significant or</w:t>
            </w:r>
            <w:r w:rsidR="006228AA" w:rsidRPr="006228AA">
              <w:rPr>
                <w:rFonts w:ascii="Arial" w:hAnsi="Arial" w:cs="Arial"/>
                <w:b/>
                <w:sz w:val="22"/>
                <w:szCs w:val="22"/>
              </w:rPr>
              <w:t xml:space="preserve"> a</w:t>
            </w:r>
            <w:r w:rsidR="00B0319A" w:rsidRPr="006228AA">
              <w:rPr>
                <w:rFonts w:ascii="Arial" w:hAnsi="Arial" w:cs="Arial"/>
                <w:b/>
                <w:sz w:val="22"/>
                <w:szCs w:val="22"/>
              </w:rPr>
              <w:t>dver</w:t>
            </w:r>
            <w:r w:rsidR="00024A10" w:rsidRPr="006228AA">
              <w:rPr>
                <w:rFonts w:ascii="Arial" w:hAnsi="Arial" w:cs="Arial"/>
                <w:b/>
                <w:sz w:val="22"/>
                <w:szCs w:val="22"/>
              </w:rPr>
              <w:t xml:space="preserve">se </w:t>
            </w:r>
            <w:r w:rsidR="006228AA" w:rsidRPr="006228AA">
              <w:rPr>
                <w:rFonts w:ascii="Arial" w:hAnsi="Arial" w:cs="Arial"/>
                <w:b/>
                <w:sz w:val="22"/>
                <w:szCs w:val="22"/>
              </w:rPr>
              <w:t>e</w:t>
            </w:r>
            <w:r w:rsidR="00024A10" w:rsidRPr="006228AA">
              <w:rPr>
                <w:rFonts w:ascii="Arial" w:hAnsi="Arial" w:cs="Arial"/>
                <w:b/>
                <w:sz w:val="22"/>
                <w:szCs w:val="22"/>
              </w:rPr>
              <w:t>ffect</w:t>
            </w:r>
            <w:r w:rsidR="00CD6B3F">
              <w:rPr>
                <w:rFonts w:ascii="Arial" w:hAnsi="Arial" w:cs="Arial"/>
                <w:b/>
                <w:sz w:val="22"/>
                <w:szCs w:val="22"/>
              </w:rPr>
              <w:t>s</w:t>
            </w:r>
            <w:r w:rsidR="00024A10" w:rsidRPr="006228AA">
              <w:rPr>
                <w:rFonts w:ascii="Arial" w:hAnsi="Arial" w:cs="Arial"/>
                <w:b/>
                <w:sz w:val="22"/>
                <w:szCs w:val="22"/>
              </w:rPr>
              <w:t xml:space="preserve"> on</w:t>
            </w:r>
            <w:r w:rsidR="006228AA" w:rsidRPr="006228AA">
              <w:rPr>
                <w:rFonts w:ascii="Arial" w:hAnsi="Arial" w:cs="Arial"/>
                <w:b/>
                <w:sz w:val="22"/>
                <w:szCs w:val="22"/>
              </w:rPr>
              <w:t xml:space="preserve"> the i</w:t>
            </w:r>
            <w:r w:rsidR="00024A10" w:rsidRPr="006228AA">
              <w:rPr>
                <w:rFonts w:ascii="Arial" w:hAnsi="Arial" w:cs="Arial"/>
                <w:b/>
                <w:sz w:val="22"/>
                <w:szCs w:val="22"/>
              </w:rPr>
              <w:t>ntegrity of the</w:t>
            </w:r>
            <w:r w:rsidR="00024A10" w:rsidRPr="00EF6014">
              <w:rPr>
                <w:rFonts w:ascii="Arial" w:hAnsi="Arial" w:cs="Arial"/>
                <w:sz w:val="22"/>
                <w:szCs w:val="22"/>
              </w:rPr>
              <w:t xml:space="preserve"> </w:t>
            </w:r>
            <w:r w:rsidR="006228AA" w:rsidRPr="00EE3E57">
              <w:rPr>
                <w:rFonts w:ascii="Arial" w:hAnsi="Arial" w:cs="Arial"/>
                <w:b/>
                <w:sz w:val="22"/>
                <w:szCs w:val="22"/>
              </w:rPr>
              <w:t xml:space="preserve">Chichester and Langstone Harbours SPA / Ramsar </w:t>
            </w:r>
            <w:r w:rsidR="006228AA">
              <w:rPr>
                <w:rFonts w:ascii="Arial" w:hAnsi="Arial" w:cs="Arial"/>
                <w:b/>
                <w:sz w:val="22"/>
                <w:szCs w:val="22"/>
              </w:rPr>
              <w:t>Site</w:t>
            </w:r>
            <w:r w:rsidR="00CD6B3F">
              <w:rPr>
                <w:rFonts w:ascii="Arial" w:hAnsi="Arial" w:cs="Arial"/>
                <w:b/>
                <w:sz w:val="22"/>
                <w:szCs w:val="22"/>
              </w:rPr>
              <w:t xml:space="preserve">. </w:t>
            </w:r>
          </w:p>
          <w:p w14:paraId="62695DDB" w14:textId="77777777" w:rsidR="006228AA" w:rsidRPr="00EF6014" w:rsidRDefault="006228AA" w:rsidP="00B25729">
            <w:pPr>
              <w:spacing w:line="276" w:lineRule="auto"/>
              <w:rPr>
                <w:rFonts w:ascii="Arial" w:hAnsi="Arial" w:cs="Arial"/>
                <w:sz w:val="22"/>
                <w:szCs w:val="22"/>
              </w:rPr>
            </w:pPr>
          </w:p>
          <w:p w14:paraId="7F4278D1" w14:textId="77777777" w:rsidR="001071FC" w:rsidRPr="00EF6014" w:rsidRDefault="00024A10" w:rsidP="00EE6CDE">
            <w:pPr>
              <w:spacing w:line="276" w:lineRule="auto"/>
              <w:rPr>
                <w:rFonts w:ascii="Arial" w:hAnsi="Arial" w:cs="Arial"/>
                <w:sz w:val="22"/>
                <w:szCs w:val="22"/>
              </w:rPr>
            </w:pPr>
            <w:r w:rsidRPr="00EA4091">
              <w:rPr>
                <w:rFonts w:ascii="Arial" w:hAnsi="Arial" w:cs="Arial"/>
                <w:sz w:val="22"/>
                <w:szCs w:val="22"/>
              </w:rPr>
              <w:t xml:space="preserve">Having made this assessment and having consulted Natural England and fully considered any representation received </w:t>
            </w:r>
            <w:r w:rsidR="00F05BF7" w:rsidRPr="00EA4091">
              <w:rPr>
                <w:rFonts w:ascii="Arial" w:hAnsi="Arial" w:cs="Arial"/>
                <w:sz w:val="22"/>
                <w:szCs w:val="22"/>
              </w:rPr>
              <w:t xml:space="preserve">from them </w:t>
            </w:r>
            <w:r w:rsidRPr="00EA4091">
              <w:rPr>
                <w:rFonts w:ascii="Arial" w:hAnsi="Arial" w:cs="Arial"/>
                <w:sz w:val="22"/>
                <w:szCs w:val="22"/>
              </w:rPr>
              <w:t>(see below), the authority may now agree</w:t>
            </w:r>
            <w:r w:rsidR="001F4065" w:rsidRPr="00EA4091">
              <w:rPr>
                <w:rFonts w:ascii="Arial" w:hAnsi="Arial" w:cs="Arial"/>
                <w:sz w:val="22"/>
                <w:szCs w:val="22"/>
              </w:rPr>
              <w:t xml:space="preserve"> to the </w:t>
            </w:r>
            <w:r w:rsidR="006228AA" w:rsidRPr="00EA4091">
              <w:rPr>
                <w:rFonts w:ascii="Arial" w:hAnsi="Arial" w:cs="Arial"/>
                <w:sz w:val="22"/>
                <w:szCs w:val="22"/>
              </w:rPr>
              <w:t>Westbourne</w:t>
            </w:r>
            <w:r w:rsidR="001F4065" w:rsidRPr="00CD6B3F">
              <w:rPr>
                <w:rFonts w:ascii="Arial" w:hAnsi="Arial" w:cs="Arial"/>
                <w:i/>
                <w:sz w:val="22"/>
                <w:szCs w:val="22"/>
              </w:rPr>
              <w:t xml:space="preserve"> </w:t>
            </w:r>
            <w:r w:rsidR="001F4065" w:rsidRPr="00EA4091">
              <w:rPr>
                <w:rFonts w:ascii="Arial" w:hAnsi="Arial" w:cs="Arial"/>
                <w:sz w:val="22"/>
                <w:szCs w:val="22"/>
              </w:rPr>
              <w:t>Neighbourhood P</w:t>
            </w:r>
            <w:r w:rsidR="0077209D" w:rsidRPr="00EA4091">
              <w:rPr>
                <w:rFonts w:ascii="Arial" w:hAnsi="Arial" w:cs="Arial"/>
                <w:sz w:val="22"/>
                <w:szCs w:val="22"/>
              </w:rPr>
              <w:t xml:space="preserve">lan </w:t>
            </w:r>
            <w:r w:rsidR="006228AA" w:rsidRPr="00EA4091">
              <w:rPr>
                <w:rFonts w:ascii="Arial" w:hAnsi="Arial" w:cs="Arial"/>
                <w:sz w:val="22"/>
                <w:szCs w:val="22"/>
              </w:rPr>
              <w:t xml:space="preserve">under </w:t>
            </w:r>
            <w:r w:rsidR="0066051D" w:rsidRPr="00EA4091">
              <w:rPr>
                <w:rFonts w:ascii="Arial" w:hAnsi="Arial" w:cs="Arial"/>
                <w:sz w:val="22"/>
                <w:szCs w:val="22"/>
              </w:rPr>
              <w:t>the Conservation of Habitats and Species Regulations 2017.</w:t>
            </w:r>
            <w:r w:rsidR="006228AA" w:rsidRPr="00CD6B3F">
              <w:rPr>
                <w:rFonts w:ascii="Arial" w:hAnsi="Arial" w:cs="Arial"/>
                <w:i/>
                <w:sz w:val="22"/>
                <w:szCs w:val="22"/>
              </w:rPr>
              <w:t xml:space="preserve">  </w:t>
            </w:r>
          </w:p>
        </w:tc>
      </w:tr>
      <w:tr w:rsidR="001071FC" w:rsidRPr="00EF6014" w14:paraId="38148D6D" w14:textId="77777777" w:rsidTr="00B25729">
        <w:tc>
          <w:tcPr>
            <w:tcW w:w="9752" w:type="dxa"/>
            <w:shd w:val="clear" w:color="auto" w:fill="DAE7EE"/>
          </w:tcPr>
          <w:p w14:paraId="1145A696" w14:textId="77777777" w:rsidR="001071FC" w:rsidRPr="00EF6014" w:rsidRDefault="001071FC" w:rsidP="00B25729">
            <w:pPr>
              <w:spacing w:line="276" w:lineRule="auto"/>
              <w:rPr>
                <w:rFonts w:ascii="Arial" w:hAnsi="Arial" w:cs="Arial"/>
                <w:b/>
                <w:sz w:val="22"/>
                <w:szCs w:val="22"/>
              </w:rPr>
            </w:pPr>
            <w:r w:rsidRPr="00EF6014">
              <w:rPr>
                <w:rFonts w:ascii="Arial" w:hAnsi="Arial" w:cs="Arial"/>
                <w:sz w:val="22"/>
                <w:szCs w:val="22"/>
              </w:rPr>
              <w:t>Natural England Officer:</w:t>
            </w:r>
          </w:p>
        </w:tc>
      </w:tr>
      <w:tr w:rsidR="001071FC" w:rsidRPr="00EF6014" w14:paraId="3EFC0B52" w14:textId="77777777" w:rsidTr="00B25729">
        <w:tc>
          <w:tcPr>
            <w:tcW w:w="9752" w:type="dxa"/>
            <w:tcBorders>
              <w:bottom w:val="single" w:sz="12" w:space="0" w:color="0083BE"/>
            </w:tcBorders>
          </w:tcPr>
          <w:p w14:paraId="07826CA3" w14:textId="77777777" w:rsidR="001071FC" w:rsidRPr="00EF6014" w:rsidRDefault="001071FC" w:rsidP="00B25729">
            <w:pPr>
              <w:spacing w:line="276" w:lineRule="auto"/>
              <w:rPr>
                <w:rFonts w:ascii="Arial" w:hAnsi="Arial" w:cs="Arial"/>
                <w:sz w:val="22"/>
                <w:szCs w:val="22"/>
              </w:rPr>
            </w:pPr>
            <w:r w:rsidRPr="00EF6014">
              <w:rPr>
                <w:rFonts w:ascii="Arial" w:hAnsi="Arial" w:cs="Arial"/>
                <w:sz w:val="22"/>
                <w:szCs w:val="22"/>
              </w:rPr>
              <w:t>Summary of Natural England’s comments:</w:t>
            </w:r>
          </w:p>
          <w:p w14:paraId="318E5B1E" w14:textId="77777777" w:rsidR="001071FC" w:rsidRDefault="001071FC" w:rsidP="00B25729">
            <w:pPr>
              <w:spacing w:line="276" w:lineRule="auto"/>
              <w:rPr>
                <w:rFonts w:ascii="Arial" w:hAnsi="Arial" w:cs="Arial"/>
                <w:sz w:val="22"/>
                <w:szCs w:val="22"/>
              </w:rPr>
            </w:pPr>
          </w:p>
          <w:p w14:paraId="3D4A66B0" w14:textId="01E67B59" w:rsidR="009D79C8" w:rsidRDefault="009D79C8" w:rsidP="00B25729">
            <w:pPr>
              <w:spacing w:line="276" w:lineRule="auto"/>
              <w:rPr>
                <w:rFonts w:ascii="Arial" w:hAnsi="Arial" w:cs="Arial"/>
                <w:sz w:val="22"/>
                <w:szCs w:val="22"/>
              </w:rPr>
            </w:pPr>
            <w:r>
              <w:rPr>
                <w:rFonts w:ascii="Arial" w:hAnsi="Arial" w:cs="Arial"/>
                <w:sz w:val="22"/>
                <w:szCs w:val="22"/>
              </w:rPr>
              <w:t xml:space="preserve">Natural England agrees </w:t>
            </w:r>
            <w:r w:rsidR="004F54B5">
              <w:rPr>
                <w:rFonts w:ascii="Arial" w:hAnsi="Arial" w:cs="Arial"/>
                <w:sz w:val="22"/>
                <w:szCs w:val="22"/>
              </w:rPr>
              <w:t xml:space="preserve">that likely significant effects due to water quality can be ruled out as there will be an overall net reduction in nutrients entering the European sites as a result of the NP. We also agree with </w:t>
            </w:r>
            <w:r>
              <w:rPr>
                <w:rFonts w:ascii="Arial" w:hAnsi="Arial" w:cs="Arial"/>
                <w:sz w:val="22"/>
                <w:szCs w:val="22"/>
              </w:rPr>
              <w:t>the conclusion of the Appropriate Assessment, that the Neighbourhood Plan will not have an adverse effect on the integrity of the Chichester and Langstone Harbours SPA/Ramsar site</w:t>
            </w:r>
            <w:r w:rsidR="004F54B5">
              <w:rPr>
                <w:rFonts w:ascii="Arial" w:hAnsi="Arial" w:cs="Arial"/>
                <w:sz w:val="22"/>
                <w:szCs w:val="22"/>
              </w:rPr>
              <w:t xml:space="preserve"> due to the recreational disturbance mitigation measures secured</w:t>
            </w:r>
            <w:r>
              <w:rPr>
                <w:rFonts w:ascii="Arial" w:hAnsi="Arial" w:cs="Arial"/>
                <w:sz w:val="22"/>
                <w:szCs w:val="22"/>
              </w:rPr>
              <w:t xml:space="preserve">. </w:t>
            </w:r>
          </w:p>
          <w:p w14:paraId="6A525124" w14:textId="77777777" w:rsidR="001478CB" w:rsidRDefault="001478CB" w:rsidP="00B25729">
            <w:pPr>
              <w:spacing w:line="276" w:lineRule="auto"/>
              <w:rPr>
                <w:rFonts w:ascii="Arial" w:hAnsi="Arial" w:cs="Arial"/>
                <w:sz w:val="22"/>
                <w:szCs w:val="22"/>
              </w:rPr>
            </w:pPr>
          </w:p>
          <w:p w14:paraId="72FFBECC" w14:textId="77777777" w:rsidR="001478CB" w:rsidRDefault="001478CB" w:rsidP="00B25729">
            <w:pPr>
              <w:spacing w:line="276" w:lineRule="auto"/>
              <w:rPr>
                <w:rFonts w:ascii="Arial" w:hAnsi="Arial" w:cs="Arial"/>
                <w:sz w:val="22"/>
                <w:szCs w:val="22"/>
              </w:rPr>
            </w:pPr>
            <w:r>
              <w:rPr>
                <w:rFonts w:ascii="Arial" w:hAnsi="Arial" w:cs="Arial"/>
                <w:sz w:val="22"/>
                <w:szCs w:val="22"/>
              </w:rPr>
              <w:t>Alison Giacomelli</w:t>
            </w:r>
          </w:p>
          <w:p w14:paraId="58478774" w14:textId="77777777" w:rsidR="001478CB" w:rsidRDefault="001478CB" w:rsidP="00B25729">
            <w:pPr>
              <w:spacing w:line="276" w:lineRule="auto"/>
              <w:rPr>
                <w:rFonts w:ascii="Arial" w:hAnsi="Arial" w:cs="Arial"/>
                <w:sz w:val="22"/>
                <w:szCs w:val="22"/>
              </w:rPr>
            </w:pPr>
            <w:r>
              <w:rPr>
                <w:rFonts w:ascii="Arial" w:hAnsi="Arial" w:cs="Arial"/>
                <w:sz w:val="22"/>
                <w:szCs w:val="22"/>
              </w:rPr>
              <w:t>Lead Adviser</w:t>
            </w:r>
          </w:p>
          <w:p w14:paraId="4B2443FB" w14:textId="26F967DF" w:rsidR="001071FC" w:rsidRPr="00EF6014" w:rsidRDefault="00F52C4E" w:rsidP="00B25729">
            <w:pPr>
              <w:spacing w:line="276" w:lineRule="auto"/>
              <w:rPr>
                <w:rFonts w:ascii="Arial" w:hAnsi="Arial" w:cs="Arial"/>
                <w:sz w:val="22"/>
                <w:szCs w:val="22"/>
              </w:rPr>
            </w:pPr>
            <w:r>
              <w:rPr>
                <w:rFonts w:ascii="Arial" w:hAnsi="Arial" w:cs="Arial"/>
                <w:sz w:val="22"/>
                <w:szCs w:val="22"/>
              </w:rPr>
              <w:t>8 September</w:t>
            </w:r>
            <w:r w:rsidR="004F54B5">
              <w:rPr>
                <w:rFonts w:ascii="Arial" w:hAnsi="Arial" w:cs="Arial"/>
                <w:sz w:val="22"/>
                <w:szCs w:val="22"/>
              </w:rPr>
              <w:t xml:space="preserve"> 2020</w:t>
            </w:r>
          </w:p>
          <w:p w14:paraId="4950E207" w14:textId="77777777" w:rsidR="001071FC" w:rsidRPr="00EF6014" w:rsidRDefault="001071FC" w:rsidP="00B25729">
            <w:pPr>
              <w:spacing w:line="276" w:lineRule="auto"/>
              <w:rPr>
                <w:rFonts w:ascii="Arial" w:hAnsi="Arial" w:cs="Arial"/>
                <w:sz w:val="22"/>
                <w:szCs w:val="22"/>
              </w:rPr>
            </w:pPr>
          </w:p>
        </w:tc>
      </w:tr>
      <w:tr w:rsidR="00C44EC6" w:rsidRPr="00EF6014" w14:paraId="39344425" w14:textId="77777777" w:rsidTr="00F62DBB">
        <w:tc>
          <w:tcPr>
            <w:tcW w:w="9752" w:type="dxa"/>
            <w:tcBorders>
              <w:bottom w:val="single" w:sz="12" w:space="0" w:color="0083BE"/>
            </w:tcBorders>
          </w:tcPr>
          <w:p w14:paraId="664B2E64" w14:textId="77777777" w:rsidR="00DC691C" w:rsidRPr="00EF6014" w:rsidRDefault="00C44EC6" w:rsidP="00F62DBB">
            <w:pPr>
              <w:spacing w:line="276" w:lineRule="auto"/>
              <w:rPr>
                <w:rFonts w:ascii="Arial" w:hAnsi="Arial" w:cs="Arial"/>
                <w:sz w:val="22"/>
                <w:szCs w:val="22"/>
              </w:rPr>
            </w:pPr>
            <w:r w:rsidRPr="00EF6014">
              <w:rPr>
                <w:rFonts w:ascii="Arial" w:hAnsi="Arial" w:cs="Arial"/>
                <w:sz w:val="22"/>
                <w:szCs w:val="22"/>
              </w:rPr>
              <w:t xml:space="preserve">Does the </w:t>
            </w:r>
            <w:r w:rsidR="006228AA">
              <w:rPr>
                <w:rFonts w:ascii="Arial" w:hAnsi="Arial" w:cs="Arial"/>
                <w:sz w:val="22"/>
                <w:szCs w:val="22"/>
              </w:rPr>
              <w:t>Westbourne</w:t>
            </w:r>
            <w:r w:rsidR="000A2933" w:rsidRPr="00EF6014">
              <w:rPr>
                <w:rFonts w:ascii="Arial" w:hAnsi="Arial" w:cs="Arial"/>
                <w:sz w:val="22"/>
                <w:szCs w:val="22"/>
              </w:rPr>
              <w:t xml:space="preserve"> </w:t>
            </w:r>
            <w:r w:rsidR="006228AA">
              <w:rPr>
                <w:rFonts w:ascii="Arial" w:hAnsi="Arial" w:cs="Arial"/>
                <w:sz w:val="22"/>
                <w:szCs w:val="22"/>
              </w:rPr>
              <w:t>N</w:t>
            </w:r>
            <w:r w:rsidRPr="00EF6014">
              <w:rPr>
                <w:rFonts w:ascii="Arial" w:hAnsi="Arial" w:cs="Arial"/>
                <w:sz w:val="22"/>
                <w:szCs w:val="22"/>
              </w:rPr>
              <w:t xml:space="preserve">eighbourhood </w:t>
            </w:r>
            <w:r w:rsidR="006228AA">
              <w:rPr>
                <w:rFonts w:ascii="Arial" w:hAnsi="Arial" w:cs="Arial"/>
                <w:sz w:val="22"/>
                <w:szCs w:val="22"/>
              </w:rPr>
              <w:t>P</w:t>
            </w:r>
            <w:r w:rsidRPr="00EF6014">
              <w:rPr>
                <w:rFonts w:ascii="Arial" w:hAnsi="Arial" w:cs="Arial"/>
                <w:sz w:val="22"/>
                <w:szCs w:val="22"/>
              </w:rPr>
              <w:t>lan require amending as a result of Natural England’s comments?</w:t>
            </w:r>
            <w:r w:rsidR="00A73705">
              <w:rPr>
                <w:rFonts w:ascii="Arial" w:hAnsi="Arial" w:cs="Arial"/>
                <w:sz w:val="22"/>
                <w:szCs w:val="22"/>
              </w:rPr>
              <w:t xml:space="preserve"> No</w:t>
            </w:r>
          </w:p>
          <w:p w14:paraId="4F778ACA" w14:textId="77777777" w:rsidR="008B15C8" w:rsidRDefault="008B15C8" w:rsidP="00F62DBB">
            <w:pPr>
              <w:spacing w:line="276" w:lineRule="auto"/>
              <w:rPr>
                <w:rFonts w:ascii="Arial" w:hAnsi="Arial" w:cs="Arial"/>
                <w:sz w:val="22"/>
                <w:szCs w:val="22"/>
              </w:rPr>
            </w:pPr>
          </w:p>
          <w:p w14:paraId="2532E0BB" w14:textId="77777777" w:rsidR="00C44EC6" w:rsidRPr="00EF6014" w:rsidRDefault="00DC691C" w:rsidP="00F62DBB">
            <w:pPr>
              <w:spacing w:line="276" w:lineRule="auto"/>
              <w:rPr>
                <w:rFonts w:ascii="Arial" w:hAnsi="Arial" w:cs="Arial"/>
                <w:sz w:val="22"/>
                <w:szCs w:val="22"/>
              </w:rPr>
            </w:pPr>
            <w:r w:rsidRPr="00EF6014">
              <w:rPr>
                <w:rFonts w:ascii="Arial" w:hAnsi="Arial" w:cs="Arial"/>
                <w:sz w:val="22"/>
                <w:szCs w:val="22"/>
              </w:rPr>
              <w:t>If ‘YES’, what needs to change?</w:t>
            </w:r>
          </w:p>
          <w:p w14:paraId="27852048" w14:textId="77777777" w:rsidR="00C44EC6" w:rsidRPr="00EF6014" w:rsidRDefault="00C44EC6" w:rsidP="00F62DBB">
            <w:pPr>
              <w:spacing w:line="276" w:lineRule="auto"/>
              <w:rPr>
                <w:rFonts w:ascii="Arial" w:hAnsi="Arial" w:cs="Arial"/>
                <w:sz w:val="22"/>
                <w:szCs w:val="22"/>
              </w:rPr>
            </w:pPr>
          </w:p>
        </w:tc>
      </w:tr>
    </w:tbl>
    <w:p w14:paraId="25271F0D" w14:textId="77777777" w:rsidR="00F400CA" w:rsidRDefault="00F400CA">
      <w:pPr>
        <w:rPr>
          <w:sz w:val="22"/>
          <w:szCs w:val="22"/>
        </w:rPr>
      </w:pPr>
      <w:r>
        <w:rPr>
          <w:sz w:val="22"/>
          <w:szCs w:val="22"/>
        </w:rPr>
        <w:br w:type="page"/>
      </w:r>
    </w:p>
    <w:p w14:paraId="68DF06DE" w14:textId="77777777" w:rsidR="00F400CA" w:rsidRDefault="00F400CA" w:rsidP="00791C55">
      <w:pPr>
        <w:pStyle w:val="Heading2"/>
        <w:spacing w:after="240"/>
        <w:rPr>
          <w:rFonts w:ascii="Arial" w:hAnsi="Arial" w:cs="Arial"/>
          <w:color w:val="auto"/>
          <w:sz w:val="22"/>
        </w:rPr>
      </w:pPr>
      <w:r w:rsidRPr="00B73E13">
        <w:rPr>
          <w:rFonts w:ascii="Arial" w:hAnsi="Arial" w:cs="Arial"/>
          <w:color w:val="auto"/>
          <w:sz w:val="22"/>
        </w:rPr>
        <w:lastRenderedPageBreak/>
        <w:t>Appendix – Nutrient Budget Calculation</w:t>
      </w:r>
    </w:p>
    <w:p w14:paraId="09D7B0BD" w14:textId="1B7B7A41" w:rsidR="00791C55" w:rsidRDefault="00791C55" w:rsidP="00791C55">
      <w:pPr>
        <w:rPr>
          <w:rFonts w:asciiTheme="minorHAnsi" w:hAnsiTheme="minorHAnsi" w:cstheme="minorHAnsi"/>
          <w:b/>
          <w:bCs/>
          <w:sz w:val="22"/>
          <w:szCs w:val="22"/>
          <w:u w:val="single"/>
        </w:rPr>
      </w:pPr>
      <w:r w:rsidRPr="00F400CA">
        <w:rPr>
          <w:rFonts w:asciiTheme="minorHAnsi" w:hAnsiTheme="minorHAnsi" w:cstheme="minorHAnsi"/>
          <w:b/>
          <w:bCs/>
          <w:sz w:val="22"/>
          <w:szCs w:val="22"/>
          <w:u w:val="single"/>
        </w:rPr>
        <w:t>NET CHANGE IN NITROGEN LOAD FROM DEVELOPMENT</w:t>
      </w:r>
      <w:r>
        <w:rPr>
          <w:rFonts w:asciiTheme="minorHAnsi" w:hAnsiTheme="minorHAnsi" w:cstheme="minorHAnsi"/>
          <w:b/>
          <w:bCs/>
          <w:sz w:val="22"/>
          <w:szCs w:val="22"/>
          <w:u w:val="single"/>
        </w:rPr>
        <w:t xml:space="preserve"> - </w:t>
      </w:r>
      <w:r w:rsidRPr="00F400CA">
        <w:rPr>
          <w:rFonts w:asciiTheme="minorHAnsi" w:hAnsiTheme="minorHAnsi" w:cstheme="minorHAnsi"/>
          <w:b/>
          <w:bCs/>
          <w:sz w:val="22"/>
          <w:szCs w:val="22"/>
          <w:u w:val="single"/>
        </w:rPr>
        <w:t>AT SITE ALLOCATIONS IN WESTBOURNE NEIGHBOURHOOD PLAN (FINAL SUBMISSION APRIL 2017)</w:t>
      </w:r>
    </w:p>
    <w:p w14:paraId="6BCAF859" w14:textId="77777777" w:rsidR="00791C55" w:rsidRPr="00791C55" w:rsidRDefault="00791C55" w:rsidP="00791C55"/>
    <w:tbl>
      <w:tblPr>
        <w:tblStyle w:val="TableGrid"/>
        <w:tblW w:w="0" w:type="auto"/>
        <w:tblLook w:val="04A0" w:firstRow="1" w:lastRow="0" w:firstColumn="1" w:lastColumn="0" w:noHBand="0" w:noVBand="1"/>
        <w:tblCaption w:val="Nutrient Budget Calculation Table"/>
      </w:tblPr>
      <w:tblGrid>
        <w:gridCol w:w="5097"/>
        <w:gridCol w:w="2328"/>
        <w:gridCol w:w="2429"/>
      </w:tblGrid>
      <w:tr w:rsidR="00F400CA" w:rsidRPr="00F400CA" w14:paraId="61247AC6" w14:textId="77777777" w:rsidTr="0003566F">
        <w:trPr>
          <w:trHeight w:val="289"/>
          <w:tblHeader/>
        </w:trPr>
        <w:tc>
          <w:tcPr>
            <w:tcW w:w="5097" w:type="dxa"/>
            <w:tcBorders>
              <w:top w:val="single" w:sz="12" w:space="0" w:color="auto"/>
              <w:left w:val="single" w:sz="12" w:space="0" w:color="auto"/>
              <w:bottom w:val="single" w:sz="8" w:space="0" w:color="auto"/>
            </w:tcBorders>
            <w:hideMark/>
          </w:tcPr>
          <w:p w14:paraId="2A532B86" w14:textId="77777777" w:rsidR="00F400CA" w:rsidRPr="00F400CA" w:rsidRDefault="00F400CA" w:rsidP="00F400CA">
            <w:pPr>
              <w:spacing w:line="276" w:lineRule="auto"/>
              <w:rPr>
                <w:rFonts w:asciiTheme="minorHAnsi" w:hAnsiTheme="minorHAnsi" w:cstheme="minorHAnsi"/>
                <w:b/>
                <w:bCs/>
                <w:sz w:val="22"/>
                <w:szCs w:val="22"/>
              </w:rPr>
            </w:pPr>
            <w:r w:rsidRPr="00F400CA">
              <w:rPr>
                <w:rFonts w:asciiTheme="minorHAnsi" w:hAnsiTheme="minorHAnsi" w:cstheme="minorHAnsi"/>
                <w:b/>
                <w:bCs/>
                <w:sz w:val="22"/>
                <w:szCs w:val="22"/>
              </w:rPr>
              <w:t>SITE ALLOCATION</w:t>
            </w:r>
          </w:p>
        </w:tc>
        <w:tc>
          <w:tcPr>
            <w:tcW w:w="2328" w:type="dxa"/>
            <w:tcBorders>
              <w:top w:val="single" w:sz="12" w:space="0" w:color="auto"/>
              <w:bottom w:val="single" w:sz="8" w:space="0" w:color="auto"/>
            </w:tcBorders>
            <w:noWrap/>
            <w:hideMark/>
          </w:tcPr>
          <w:p w14:paraId="53B97C0F" w14:textId="77777777" w:rsidR="00F400CA" w:rsidRPr="00F400CA" w:rsidRDefault="00F400CA" w:rsidP="00F400CA">
            <w:pPr>
              <w:spacing w:line="276" w:lineRule="auto"/>
              <w:rPr>
                <w:rFonts w:asciiTheme="minorHAnsi" w:hAnsiTheme="minorHAnsi" w:cstheme="minorHAnsi"/>
                <w:b/>
                <w:bCs/>
                <w:sz w:val="22"/>
                <w:szCs w:val="22"/>
              </w:rPr>
            </w:pPr>
            <w:r w:rsidRPr="00F400CA">
              <w:rPr>
                <w:rFonts w:asciiTheme="minorHAnsi" w:hAnsiTheme="minorHAnsi" w:cstheme="minorHAnsi"/>
                <w:b/>
                <w:bCs/>
                <w:sz w:val="22"/>
                <w:szCs w:val="22"/>
              </w:rPr>
              <w:t>Land to West of Monk's Hill</w:t>
            </w:r>
          </w:p>
        </w:tc>
        <w:tc>
          <w:tcPr>
            <w:tcW w:w="2429" w:type="dxa"/>
            <w:tcBorders>
              <w:top w:val="single" w:sz="12" w:space="0" w:color="auto"/>
              <w:bottom w:val="single" w:sz="8" w:space="0" w:color="auto"/>
              <w:right w:val="single" w:sz="12" w:space="0" w:color="auto"/>
            </w:tcBorders>
            <w:noWrap/>
            <w:hideMark/>
          </w:tcPr>
          <w:p w14:paraId="0DD93720" w14:textId="77777777" w:rsidR="00F400CA" w:rsidRPr="00F400CA" w:rsidRDefault="00F400CA" w:rsidP="00F400CA">
            <w:pPr>
              <w:spacing w:line="276" w:lineRule="auto"/>
              <w:rPr>
                <w:rFonts w:asciiTheme="minorHAnsi" w:hAnsiTheme="minorHAnsi" w:cstheme="minorHAnsi"/>
                <w:b/>
                <w:bCs/>
                <w:sz w:val="22"/>
                <w:szCs w:val="22"/>
              </w:rPr>
            </w:pPr>
            <w:r w:rsidRPr="00F400CA">
              <w:rPr>
                <w:rFonts w:asciiTheme="minorHAnsi" w:hAnsiTheme="minorHAnsi" w:cstheme="minorHAnsi"/>
                <w:b/>
                <w:bCs/>
                <w:sz w:val="22"/>
                <w:szCs w:val="22"/>
              </w:rPr>
              <w:t xml:space="preserve">Land adjacent to Chantry Hall, </w:t>
            </w:r>
            <w:proofErr w:type="spellStart"/>
            <w:r w:rsidRPr="00F400CA">
              <w:rPr>
                <w:rFonts w:asciiTheme="minorHAnsi" w:hAnsiTheme="minorHAnsi" w:cstheme="minorHAnsi"/>
                <w:b/>
                <w:bCs/>
                <w:sz w:val="22"/>
                <w:szCs w:val="22"/>
              </w:rPr>
              <w:t>Foxbury</w:t>
            </w:r>
            <w:proofErr w:type="spellEnd"/>
            <w:r w:rsidRPr="00F400CA">
              <w:rPr>
                <w:rFonts w:asciiTheme="minorHAnsi" w:hAnsiTheme="minorHAnsi" w:cstheme="minorHAnsi"/>
                <w:b/>
                <w:bCs/>
                <w:sz w:val="22"/>
                <w:szCs w:val="22"/>
              </w:rPr>
              <w:t xml:space="preserve"> Lane</w:t>
            </w:r>
          </w:p>
        </w:tc>
      </w:tr>
      <w:tr w:rsidR="00F400CA" w:rsidRPr="00F400CA" w14:paraId="414F92F5" w14:textId="77777777" w:rsidTr="0003566F">
        <w:trPr>
          <w:trHeight w:val="289"/>
        </w:trPr>
        <w:tc>
          <w:tcPr>
            <w:tcW w:w="5097" w:type="dxa"/>
            <w:tcBorders>
              <w:top w:val="single" w:sz="8" w:space="0" w:color="auto"/>
              <w:left w:val="single" w:sz="12" w:space="0" w:color="auto"/>
            </w:tcBorders>
            <w:noWrap/>
            <w:hideMark/>
          </w:tcPr>
          <w:p w14:paraId="3910713C"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Receiving Water body for WWTW</w:t>
            </w:r>
          </w:p>
        </w:tc>
        <w:tc>
          <w:tcPr>
            <w:tcW w:w="2328" w:type="dxa"/>
            <w:tcBorders>
              <w:top w:val="single" w:sz="8" w:space="0" w:color="auto"/>
            </w:tcBorders>
            <w:noWrap/>
            <w:hideMark/>
          </w:tcPr>
          <w:p w14:paraId="46D4D62D"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Chichester Harbour</w:t>
            </w:r>
          </w:p>
        </w:tc>
        <w:tc>
          <w:tcPr>
            <w:tcW w:w="2429" w:type="dxa"/>
            <w:tcBorders>
              <w:top w:val="single" w:sz="8" w:space="0" w:color="auto"/>
              <w:right w:val="single" w:sz="12" w:space="0" w:color="auto"/>
            </w:tcBorders>
            <w:noWrap/>
            <w:hideMark/>
          </w:tcPr>
          <w:p w14:paraId="6E294BD8"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Chichester</w:t>
            </w:r>
            <w:r>
              <w:rPr>
                <w:rFonts w:asciiTheme="minorHAnsi" w:hAnsiTheme="minorHAnsi" w:cstheme="minorHAnsi"/>
                <w:sz w:val="22"/>
                <w:szCs w:val="22"/>
              </w:rPr>
              <w:t xml:space="preserve"> Harbour</w:t>
            </w:r>
          </w:p>
        </w:tc>
      </w:tr>
      <w:tr w:rsidR="00F400CA" w:rsidRPr="00F400CA" w14:paraId="726BEE5A" w14:textId="77777777" w:rsidTr="0003566F">
        <w:trPr>
          <w:trHeight w:val="289"/>
        </w:trPr>
        <w:tc>
          <w:tcPr>
            <w:tcW w:w="5097" w:type="dxa"/>
            <w:tcBorders>
              <w:left w:val="single" w:sz="12" w:space="0" w:color="auto"/>
              <w:bottom w:val="single" w:sz="8" w:space="0" w:color="auto"/>
            </w:tcBorders>
            <w:noWrap/>
            <w:hideMark/>
          </w:tcPr>
          <w:p w14:paraId="24C593A7"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Receiving Water body for Surface Water</w:t>
            </w:r>
          </w:p>
        </w:tc>
        <w:tc>
          <w:tcPr>
            <w:tcW w:w="2328" w:type="dxa"/>
            <w:tcBorders>
              <w:bottom w:val="single" w:sz="8" w:space="0" w:color="auto"/>
            </w:tcBorders>
            <w:noWrap/>
            <w:hideMark/>
          </w:tcPr>
          <w:p w14:paraId="4ABE2E8E"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River Ems - Chichester Harbour</w:t>
            </w:r>
          </w:p>
        </w:tc>
        <w:tc>
          <w:tcPr>
            <w:tcW w:w="2429" w:type="dxa"/>
            <w:tcBorders>
              <w:bottom w:val="single" w:sz="8" w:space="0" w:color="auto"/>
              <w:right w:val="single" w:sz="12" w:space="0" w:color="auto"/>
            </w:tcBorders>
            <w:noWrap/>
            <w:hideMark/>
          </w:tcPr>
          <w:p w14:paraId="7D0CE2F6"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River Ems - Chichester Harbour</w:t>
            </w:r>
          </w:p>
        </w:tc>
      </w:tr>
      <w:tr w:rsidR="00F400CA" w:rsidRPr="00F400CA" w14:paraId="104AAD02" w14:textId="77777777" w:rsidTr="0003566F">
        <w:trPr>
          <w:trHeight w:val="289"/>
        </w:trPr>
        <w:tc>
          <w:tcPr>
            <w:tcW w:w="5097" w:type="dxa"/>
            <w:tcBorders>
              <w:top w:val="single" w:sz="8" w:space="0" w:color="auto"/>
              <w:left w:val="single" w:sz="12" w:space="0" w:color="auto"/>
            </w:tcBorders>
            <w:noWrap/>
            <w:hideMark/>
          </w:tcPr>
          <w:p w14:paraId="268B499F"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 xml:space="preserve">STEP/MEASUREMENT: </w:t>
            </w:r>
          </w:p>
        </w:tc>
        <w:tc>
          <w:tcPr>
            <w:tcW w:w="2328" w:type="dxa"/>
            <w:tcBorders>
              <w:top w:val="single" w:sz="8" w:space="0" w:color="auto"/>
            </w:tcBorders>
            <w:noWrap/>
            <w:hideMark/>
          </w:tcPr>
          <w:p w14:paraId="48942DA8" w14:textId="77777777" w:rsidR="00F400CA" w:rsidRPr="00F400CA" w:rsidRDefault="00F400CA" w:rsidP="00F400CA">
            <w:pPr>
              <w:spacing w:line="276" w:lineRule="auto"/>
              <w:rPr>
                <w:rFonts w:asciiTheme="minorHAnsi" w:hAnsiTheme="minorHAnsi" w:cstheme="minorHAnsi"/>
                <w:sz w:val="22"/>
                <w:szCs w:val="22"/>
              </w:rPr>
            </w:pPr>
          </w:p>
        </w:tc>
        <w:tc>
          <w:tcPr>
            <w:tcW w:w="2429" w:type="dxa"/>
            <w:tcBorders>
              <w:top w:val="single" w:sz="8" w:space="0" w:color="auto"/>
              <w:right w:val="single" w:sz="12" w:space="0" w:color="auto"/>
            </w:tcBorders>
            <w:noWrap/>
            <w:hideMark/>
          </w:tcPr>
          <w:p w14:paraId="77A85826" w14:textId="77777777" w:rsidR="00F400CA" w:rsidRPr="00F400CA" w:rsidRDefault="00F400CA" w:rsidP="00F400CA">
            <w:pPr>
              <w:spacing w:line="276" w:lineRule="auto"/>
              <w:rPr>
                <w:rFonts w:asciiTheme="minorHAnsi" w:hAnsiTheme="minorHAnsi" w:cstheme="minorHAnsi"/>
                <w:sz w:val="22"/>
                <w:szCs w:val="22"/>
              </w:rPr>
            </w:pPr>
          </w:p>
        </w:tc>
      </w:tr>
      <w:tr w:rsidR="00F400CA" w:rsidRPr="00F400CA" w14:paraId="0CFD5E6A" w14:textId="77777777" w:rsidTr="0003566F">
        <w:trPr>
          <w:trHeight w:val="289"/>
        </w:trPr>
        <w:tc>
          <w:tcPr>
            <w:tcW w:w="5097" w:type="dxa"/>
            <w:tcBorders>
              <w:left w:val="single" w:sz="12" w:space="0" w:color="auto"/>
            </w:tcBorders>
            <w:hideMark/>
          </w:tcPr>
          <w:p w14:paraId="2D4C1C7C" w14:textId="77777777" w:rsidR="00F400CA" w:rsidRPr="00F400CA" w:rsidRDefault="00F400CA" w:rsidP="00F400CA">
            <w:pPr>
              <w:spacing w:line="276" w:lineRule="auto"/>
              <w:rPr>
                <w:rFonts w:asciiTheme="minorHAnsi" w:hAnsiTheme="minorHAnsi" w:cstheme="minorHAnsi"/>
                <w:i/>
                <w:iCs/>
                <w:sz w:val="22"/>
                <w:szCs w:val="22"/>
              </w:rPr>
            </w:pPr>
            <w:r w:rsidRPr="00F400CA">
              <w:rPr>
                <w:rFonts w:asciiTheme="minorHAnsi" w:hAnsiTheme="minorHAnsi" w:cstheme="minorHAnsi"/>
                <w:i/>
                <w:iCs/>
                <w:sz w:val="22"/>
                <w:szCs w:val="22"/>
              </w:rPr>
              <w:t>Nitro</w:t>
            </w:r>
            <w:r>
              <w:rPr>
                <w:rFonts w:asciiTheme="minorHAnsi" w:hAnsiTheme="minorHAnsi" w:cstheme="minorHAnsi"/>
                <w:i/>
                <w:iCs/>
                <w:sz w:val="22"/>
                <w:szCs w:val="22"/>
              </w:rPr>
              <w:t xml:space="preserve">gen load - current land use (Kg </w:t>
            </w:r>
            <w:r w:rsidRPr="00F400CA">
              <w:rPr>
                <w:rFonts w:asciiTheme="minorHAnsi" w:hAnsiTheme="minorHAnsi" w:cstheme="minorHAnsi"/>
                <w:i/>
                <w:iCs/>
                <w:sz w:val="22"/>
                <w:szCs w:val="22"/>
              </w:rPr>
              <w:t>N/</w:t>
            </w:r>
            <w:proofErr w:type="spellStart"/>
            <w:r w:rsidRPr="00F400CA">
              <w:rPr>
                <w:rFonts w:asciiTheme="minorHAnsi" w:hAnsiTheme="minorHAnsi" w:cstheme="minorHAnsi"/>
                <w:i/>
                <w:iCs/>
                <w:sz w:val="22"/>
                <w:szCs w:val="22"/>
              </w:rPr>
              <w:t>yr</w:t>
            </w:r>
            <w:proofErr w:type="spellEnd"/>
            <w:r w:rsidRPr="00F400CA">
              <w:rPr>
                <w:rFonts w:asciiTheme="minorHAnsi" w:hAnsiTheme="minorHAnsi" w:cstheme="minorHAnsi"/>
                <w:i/>
                <w:iCs/>
                <w:sz w:val="22"/>
                <w:szCs w:val="22"/>
              </w:rPr>
              <w:t>)</w:t>
            </w:r>
          </w:p>
        </w:tc>
        <w:tc>
          <w:tcPr>
            <w:tcW w:w="2328" w:type="dxa"/>
            <w:noWrap/>
            <w:hideMark/>
          </w:tcPr>
          <w:p w14:paraId="5BED8B99" w14:textId="16792410" w:rsidR="00F400CA" w:rsidRPr="00F400CA" w:rsidRDefault="007239DF" w:rsidP="007239DF">
            <w:pPr>
              <w:tabs>
                <w:tab w:val="center" w:pos="1056"/>
              </w:tabs>
              <w:spacing w:line="276" w:lineRule="auto"/>
              <w:rPr>
                <w:rFonts w:asciiTheme="minorHAnsi" w:hAnsiTheme="minorHAnsi" w:cstheme="minorHAnsi"/>
                <w:sz w:val="22"/>
                <w:szCs w:val="22"/>
              </w:rPr>
            </w:pPr>
            <w:r>
              <w:rPr>
                <w:rFonts w:asciiTheme="minorHAnsi" w:hAnsiTheme="minorHAnsi" w:cstheme="minorHAnsi"/>
                <w:sz w:val="22"/>
                <w:szCs w:val="22"/>
              </w:rPr>
              <w:t>12.93</w:t>
            </w:r>
          </w:p>
        </w:tc>
        <w:tc>
          <w:tcPr>
            <w:tcW w:w="2429" w:type="dxa"/>
            <w:tcBorders>
              <w:right w:val="single" w:sz="12" w:space="0" w:color="auto"/>
            </w:tcBorders>
            <w:noWrap/>
            <w:hideMark/>
          </w:tcPr>
          <w:p w14:paraId="43116285" w14:textId="7455B37D"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17.93</w:t>
            </w:r>
          </w:p>
        </w:tc>
      </w:tr>
      <w:tr w:rsidR="00F400CA" w:rsidRPr="00F400CA" w14:paraId="7B4858C6" w14:textId="77777777" w:rsidTr="0003566F">
        <w:trPr>
          <w:trHeight w:val="289"/>
        </w:trPr>
        <w:tc>
          <w:tcPr>
            <w:tcW w:w="5097" w:type="dxa"/>
            <w:tcBorders>
              <w:left w:val="single" w:sz="12" w:space="0" w:color="auto"/>
              <w:bottom w:val="single" w:sz="8" w:space="0" w:color="auto"/>
            </w:tcBorders>
            <w:hideMark/>
          </w:tcPr>
          <w:p w14:paraId="6F1BB0AB" w14:textId="77777777" w:rsidR="00F400CA" w:rsidRPr="00F400CA" w:rsidRDefault="00F400CA" w:rsidP="00F400CA">
            <w:pPr>
              <w:spacing w:line="276" w:lineRule="auto"/>
              <w:rPr>
                <w:rFonts w:asciiTheme="minorHAnsi" w:hAnsiTheme="minorHAnsi" w:cstheme="minorHAnsi"/>
                <w:i/>
                <w:iCs/>
                <w:sz w:val="22"/>
                <w:szCs w:val="22"/>
              </w:rPr>
            </w:pPr>
            <w:r w:rsidRPr="00F400CA">
              <w:rPr>
                <w:rFonts w:asciiTheme="minorHAnsi" w:hAnsiTheme="minorHAnsi" w:cstheme="minorHAnsi"/>
                <w:i/>
                <w:iCs/>
                <w:sz w:val="22"/>
                <w:szCs w:val="22"/>
              </w:rPr>
              <w:t>Nitro</w:t>
            </w:r>
            <w:r>
              <w:rPr>
                <w:rFonts w:asciiTheme="minorHAnsi" w:hAnsiTheme="minorHAnsi" w:cstheme="minorHAnsi"/>
                <w:i/>
                <w:iCs/>
                <w:sz w:val="22"/>
                <w:szCs w:val="22"/>
              </w:rPr>
              <w:t xml:space="preserve">gen load - future land uses (Kg </w:t>
            </w:r>
            <w:r w:rsidRPr="00F400CA">
              <w:rPr>
                <w:rFonts w:asciiTheme="minorHAnsi" w:hAnsiTheme="minorHAnsi" w:cstheme="minorHAnsi"/>
                <w:i/>
                <w:iCs/>
                <w:sz w:val="22"/>
                <w:szCs w:val="22"/>
              </w:rPr>
              <w:t>N/</w:t>
            </w:r>
            <w:proofErr w:type="spellStart"/>
            <w:r w:rsidRPr="00F400CA">
              <w:rPr>
                <w:rFonts w:asciiTheme="minorHAnsi" w:hAnsiTheme="minorHAnsi" w:cstheme="minorHAnsi"/>
                <w:i/>
                <w:iCs/>
                <w:sz w:val="22"/>
                <w:szCs w:val="22"/>
              </w:rPr>
              <w:t>yr</w:t>
            </w:r>
            <w:proofErr w:type="spellEnd"/>
            <w:r w:rsidRPr="00F400CA">
              <w:rPr>
                <w:rFonts w:asciiTheme="minorHAnsi" w:hAnsiTheme="minorHAnsi" w:cstheme="minorHAnsi"/>
                <w:i/>
                <w:iCs/>
                <w:sz w:val="22"/>
                <w:szCs w:val="22"/>
              </w:rPr>
              <w:t>)</w:t>
            </w:r>
          </w:p>
        </w:tc>
        <w:tc>
          <w:tcPr>
            <w:tcW w:w="2328" w:type="dxa"/>
            <w:tcBorders>
              <w:bottom w:val="single" w:sz="8" w:space="0" w:color="auto"/>
            </w:tcBorders>
            <w:noWrap/>
            <w:hideMark/>
          </w:tcPr>
          <w:p w14:paraId="145577C0" w14:textId="0EEFC4B3"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9.52</w:t>
            </w:r>
          </w:p>
        </w:tc>
        <w:tc>
          <w:tcPr>
            <w:tcW w:w="2429" w:type="dxa"/>
            <w:tcBorders>
              <w:bottom w:val="single" w:sz="8" w:space="0" w:color="auto"/>
              <w:right w:val="single" w:sz="12" w:space="0" w:color="auto"/>
            </w:tcBorders>
            <w:noWrap/>
            <w:hideMark/>
          </w:tcPr>
          <w:p w14:paraId="2DDFBC52" w14:textId="7EA56434"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10.08</w:t>
            </w:r>
          </w:p>
        </w:tc>
      </w:tr>
      <w:tr w:rsidR="00F400CA" w:rsidRPr="00F400CA" w14:paraId="5A7518B2" w14:textId="77777777" w:rsidTr="0003566F">
        <w:trPr>
          <w:trHeight w:val="289"/>
        </w:trPr>
        <w:tc>
          <w:tcPr>
            <w:tcW w:w="5097" w:type="dxa"/>
            <w:tcBorders>
              <w:left w:val="single" w:sz="12" w:space="0" w:color="auto"/>
            </w:tcBorders>
            <w:noWrap/>
            <w:hideMark/>
          </w:tcPr>
          <w:p w14:paraId="334A22DF"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 xml:space="preserve">STEP/MEASUREMENT: </w:t>
            </w:r>
          </w:p>
        </w:tc>
        <w:tc>
          <w:tcPr>
            <w:tcW w:w="2328" w:type="dxa"/>
            <w:noWrap/>
            <w:hideMark/>
          </w:tcPr>
          <w:p w14:paraId="3E288719" w14:textId="77777777" w:rsidR="00F400CA" w:rsidRPr="00F400CA" w:rsidRDefault="00F400CA" w:rsidP="00F400CA">
            <w:pPr>
              <w:spacing w:line="276" w:lineRule="auto"/>
              <w:rPr>
                <w:rFonts w:asciiTheme="minorHAnsi" w:hAnsiTheme="minorHAnsi" w:cstheme="minorHAnsi"/>
                <w:sz w:val="22"/>
                <w:szCs w:val="22"/>
              </w:rPr>
            </w:pPr>
          </w:p>
        </w:tc>
        <w:tc>
          <w:tcPr>
            <w:tcW w:w="2429" w:type="dxa"/>
            <w:tcBorders>
              <w:right w:val="single" w:sz="12" w:space="0" w:color="auto"/>
            </w:tcBorders>
            <w:noWrap/>
            <w:hideMark/>
          </w:tcPr>
          <w:p w14:paraId="33D3ABDD" w14:textId="77777777" w:rsidR="00F400CA" w:rsidRPr="00F400CA" w:rsidRDefault="00F400CA" w:rsidP="00F400CA">
            <w:pPr>
              <w:spacing w:line="276" w:lineRule="auto"/>
              <w:rPr>
                <w:rFonts w:asciiTheme="minorHAnsi" w:hAnsiTheme="minorHAnsi" w:cstheme="minorHAnsi"/>
                <w:sz w:val="22"/>
                <w:szCs w:val="22"/>
              </w:rPr>
            </w:pPr>
          </w:p>
        </w:tc>
      </w:tr>
      <w:tr w:rsidR="00F400CA" w:rsidRPr="00F400CA" w14:paraId="06F0294F" w14:textId="77777777" w:rsidTr="0003566F">
        <w:trPr>
          <w:trHeight w:val="289"/>
        </w:trPr>
        <w:tc>
          <w:tcPr>
            <w:tcW w:w="5097" w:type="dxa"/>
            <w:tcBorders>
              <w:left w:val="single" w:sz="12" w:space="0" w:color="auto"/>
            </w:tcBorders>
            <w:hideMark/>
          </w:tcPr>
          <w:p w14:paraId="60E15AAA"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Identify was</w:t>
            </w:r>
            <w:r>
              <w:rPr>
                <w:rFonts w:asciiTheme="minorHAnsi" w:hAnsiTheme="minorHAnsi" w:cstheme="minorHAnsi"/>
                <w:sz w:val="22"/>
                <w:szCs w:val="22"/>
              </w:rPr>
              <w:t xml:space="preserve">tewater total nitrogen load (kg </w:t>
            </w:r>
            <w:r w:rsidRPr="00F400CA">
              <w:rPr>
                <w:rFonts w:asciiTheme="minorHAnsi" w:hAnsiTheme="minorHAnsi" w:cstheme="minorHAnsi"/>
                <w:sz w:val="22"/>
                <w:szCs w:val="22"/>
              </w:rPr>
              <w:t>N/</w:t>
            </w:r>
            <w:proofErr w:type="spellStart"/>
            <w:r w:rsidRPr="00F400CA">
              <w:rPr>
                <w:rFonts w:asciiTheme="minorHAnsi" w:hAnsiTheme="minorHAnsi" w:cstheme="minorHAnsi"/>
                <w:sz w:val="22"/>
                <w:szCs w:val="22"/>
              </w:rPr>
              <w:t>yr</w:t>
            </w:r>
            <w:proofErr w:type="spellEnd"/>
            <w:r w:rsidRPr="00F400CA">
              <w:rPr>
                <w:rFonts w:asciiTheme="minorHAnsi" w:hAnsiTheme="minorHAnsi" w:cstheme="minorHAnsi"/>
                <w:sz w:val="22"/>
                <w:szCs w:val="22"/>
              </w:rPr>
              <w:t>)</w:t>
            </w:r>
          </w:p>
        </w:tc>
        <w:tc>
          <w:tcPr>
            <w:tcW w:w="2328" w:type="dxa"/>
            <w:noWrap/>
            <w:hideMark/>
          </w:tcPr>
          <w:p w14:paraId="40600D9D" w14:textId="691EDB55"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4.05</w:t>
            </w:r>
          </w:p>
        </w:tc>
        <w:tc>
          <w:tcPr>
            <w:tcW w:w="2429" w:type="dxa"/>
            <w:tcBorders>
              <w:right w:val="single" w:sz="12" w:space="0" w:color="auto"/>
            </w:tcBorders>
            <w:noWrap/>
            <w:hideMark/>
          </w:tcPr>
          <w:p w14:paraId="3FF7226B" w14:textId="456322DB"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4.05</w:t>
            </w:r>
          </w:p>
        </w:tc>
      </w:tr>
      <w:tr w:rsidR="00F400CA" w:rsidRPr="00F400CA" w14:paraId="3FE934CA" w14:textId="77777777" w:rsidTr="0003566F">
        <w:trPr>
          <w:trHeight w:val="582"/>
        </w:trPr>
        <w:tc>
          <w:tcPr>
            <w:tcW w:w="5097" w:type="dxa"/>
            <w:tcBorders>
              <w:left w:val="single" w:sz="12" w:space="0" w:color="auto"/>
            </w:tcBorders>
            <w:hideMark/>
          </w:tcPr>
          <w:p w14:paraId="466D6549"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Calculate net change in Nitrogen from land use change by deducting current land uses nitrogen load from fut</w:t>
            </w:r>
            <w:r>
              <w:rPr>
                <w:rFonts w:asciiTheme="minorHAnsi" w:hAnsiTheme="minorHAnsi" w:cstheme="minorHAnsi"/>
                <w:sz w:val="22"/>
                <w:szCs w:val="22"/>
              </w:rPr>
              <w:t xml:space="preserve">ure land uses nitrogen load (Kg </w:t>
            </w:r>
            <w:r w:rsidRPr="00F400CA">
              <w:rPr>
                <w:rFonts w:asciiTheme="minorHAnsi" w:hAnsiTheme="minorHAnsi" w:cstheme="minorHAnsi"/>
                <w:sz w:val="22"/>
                <w:szCs w:val="22"/>
              </w:rPr>
              <w:t>N/</w:t>
            </w:r>
            <w:proofErr w:type="spellStart"/>
            <w:r w:rsidRPr="00F400CA">
              <w:rPr>
                <w:rFonts w:asciiTheme="minorHAnsi" w:hAnsiTheme="minorHAnsi" w:cstheme="minorHAnsi"/>
                <w:sz w:val="22"/>
                <w:szCs w:val="22"/>
              </w:rPr>
              <w:t>yr</w:t>
            </w:r>
            <w:proofErr w:type="spellEnd"/>
            <w:r w:rsidRPr="00F400CA">
              <w:rPr>
                <w:rFonts w:asciiTheme="minorHAnsi" w:hAnsiTheme="minorHAnsi" w:cstheme="minorHAnsi"/>
                <w:sz w:val="22"/>
                <w:szCs w:val="22"/>
              </w:rPr>
              <w:t>)</w:t>
            </w:r>
          </w:p>
        </w:tc>
        <w:tc>
          <w:tcPr>
            <w:tcW w:w="2328" w:type="dxa"/>
            <w:noWrap/>
            <w:hideMark/>
          </w:tcPr>
          <w:p w14:paraId="6DD37417" w14:textId="6610AF4B"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-3.41</w:t>
            </w:r>
          </w:p>
        </w:tc>
        <w:tc>
          <w:tcPr>
            <w:tcW w:w="2429" w:type="dxa"/>
            <w:tcBorders>
              <w:right w:val="single" w:sz="12" w:space="0" w:color="auto"/>
            </w:tcBorders>
            <w:noWrap/>
            <w:hideMark/>
          </w:tcPr>
          <w:p w14:paraId="641976A3" w14:textId="3E4785D3"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7.85</w:t>
            </w:r>
          </w:p>
        </w:tc>
      </w:tr>
      <w:tr w:rsidR="00F400CA" w:rsidRPr="00F400CA" w14:paraId="0447BC7E" w14:textId="77777777" w:rsidTr="0003566F">
        <w:trPr>
          <w:trHeight w:val="1159"/>
        </w:trPr>
        <w:tc>
          <w:tcPr>
            <w:tcW w:w="5097" w:type="dxa"/>
            <w:tcBorders>
              <w:left w:val="single" w:sz="12" w:space="0" w:color="auto"/>
            </w:tcBorders>
            <w:hideMark/>
          </w:tcPr>
          <w:p w14:paraId="709B0099" w14:textId="77777777" w:rsidR="00F400CA" w:rsidRPr="00F400CA" w:rsidRDefault="00F400CA" w:rsidP="00F400CA">
            <w:pPr>
              <w:spacing w:line="276" w:lineRule="auto"/>
              <w:rPr>
                <w:rFonts w:asciiTheme="minorHAnsi" w:hAnsiTheme="minorHAnsi" w:cstheme="minorHAnsi"/>
                <w:sz w:val="22"/>
                <w:szCs w:val="22"/>
              </w:rPr>
            </w:pPr>
            <w:r>
              <w:rPr>
                <w:rFonts w:asciiTheme="minorHAnsi" w:hAnsiTheme="minorHAnsi" w:cstheme="minorHAnsi"/>
                <w:sz w:val="22"/>
                <w:szCs w:val="22"/>
              </w:rPr>
              <w:t xml:space="preserve">Determine nitrogen budget (Kg </w:t>
            </w:r>
            <w:r w:rsidRPr="00F400CA">
              <w:rPr>
                <w:rFonts w:asciiTheme="minorHAnsi" w:hAnsiTheme="minorHAnsi" w:cstheme="minorHAnsi"/>
                <w:sz w:val="22"/>
                <w:szCs w:val="22"/>
              </w:rPr>
              <w:t>N/</w:t>
            </w:r>
            <w:proofErr w:type="spellStart"/>
            <w:r w:rsidRPr="00F400CA">
              <w:rPr>
                <w:rFonts w:asciiTheme="minorHAnsi" w:hAnsiTheme="minorHAnsi" w:cstheme="minorHAnsi"/>
                <w:sz w:val="22"/>
                <w:szCs w:val="22"/>
              </w:rPr>
              <w:t>yr</w:t>
            </w:r>
            <w:proofErr w:type="spellEnd"/>
            <w:r w:rsidRPr="00F400CA">
              <w:rPr>
                <w:rFonts w:asciiTheme="minorHAnsi" w:hAnsiTheme="minorHAnsi" w:cstheme="minorHAnsi"/>
                <w:sz w:val="22"/>
                <w:szCs w:val="22"/>
              </w:rPr>
              <w:t xml:space="preserve">) </w:t>
            </w:r>
            <w:r w:rsidRPr="00F400CA">
              <w:rPr>
                <w:rFonts w:asciiTheme="minorHAnsi" w:hAnsiTheme="minorHAnsi" w:cstheme="minorHAnsi"/>
                <w:i/>
                <w:iCs/>
                <w:sz w:val="22"/>
                <w:szCs w:val="22"/>
              </w:rPr>
              <w:t>(This is the total Nitrogen wastewater load for the proposed development plus the change in Nitrogen load from land use change.  A positive figure indicates the change in land use will generate more nitrogen whilst a negative figure will generate less nitrogen)</w:t>
            </w:r>
          </w:p>
        </w:tc>
        <w:tc>
          <w:tcPr>
            <w:tcW w:w="2328" w:type="dxa"/>
            <w:noWrap/>
            <w:hideMark/>
          </w:tcPr>
          <w:p w14:paraId="0572D7E9" w14:textId="7A5B5C12"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0.64</w:t>
            </w:r>
          </w:p>
        </w:tc>
        <w:tc>
          <w:tcPr>
            <w:tcW w:w="2429" w:type="dxa"/>
            <w:tcBorders>
              <w:right w:val="single" w:sz="12" w:space="0" w:color="auto"/>
            </w:tcBorders>
            <w:noWrap/>
            <w:hideMark/>
          </w:tcPr>
          <w:p w14:paraId="21D1AF88" w14:textId="50600AAE"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-3.80</w:t>
            </w:r>
          </w:p>
        </w:tc>
      </w:tr>
      <w:tr w:rsidR="00F400CA" w:rsidRPr="00F400CA" w14:paraId="2F67A6AE" w14:textId="77777777" w:rsidTr="0003566F">
        <w:trPr>
          <w:trHeight w:val="330"/>
        </w:trPr>
        <w:tc>
          <w:tcPr>
            <w:tcW w:w="5097" w:type="dxa"/>
            <w:tcBorders>
              <w:left w:val="single" w:sz="12" w:space="0" w:color="auto"/>
            </w:tcBorders>
            <w:hideMark/>
          </w:tcPr>
          <w:p w14:paraId="4F16D735"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Where TN budget is positive, build in precautionary buffer of 20%</w:t>
            </w:r>
            <w:r w:rsidRPr="00F400CA">
              <w:rPr>
                <w:rFonts w:asciiTheme="minorHAnsi" w:hAnsiTheme="minorHAnsi" w:cstheme="minorHAnsi"/>
                <w:sz w:val="22"/>
                <w:szCs w:val="22"/>
                <w:vertAlign w:val="superscript"/>
              </w:rPr>
              <w:t>1</w:t>
            </w:r>
            <w:r>
              <w:rPr>
                <w:rFonts w:asciiTheme="minorHAnsi" w:hAnsiTheme="minorHAnsi" w:cstheme="minorHAnsi"/>
                <w:sz w:val="22"/>
                <w:szCs w:val="22"/>
              </w:rPr>
              <w:t xml:space="preserve"> (Kg </w:t>
            </w:r>
            <w:r w:rsidRPr="00F400CA">
              <w:rPr>
                <w:rFonts w:asciiTheme="minorHAnsi" w:hAnsiTheme="minorHAnsi" w:cstheme="minorHAnsi"/>
                <w:sz w:val="22"/>
                <w:szCs w:val="22"/>
              </w:rPr>
              <w:t>N/</w:t>
            </w:r>
            <w:proofErr w:type="spellStart"/>
            <w:r w:rsidRPr="00F400CA">
              <w:rPr>
                <w:rFonts w:asciiTheme="minorHAnsi" w:hAnsiTheme="minorHAnsi" w:cstheme="minorHAnsi"/>
                <w:sz w:val="22"/>
                <w:szCs w:val="22"/>
              </w:rPr>
              <w:t>yr</w:t>
            </w:r>
            <w:proofErr w:type="spellEnd"/>
            <w:r w:rsidRPr="00F400CA">
              <w:rPr>
                <w:rFonts w:asciiTheme="minorHAnsi" w:hAnsiTheme="minorHAnsi" w:cstheme="minorHAnsi"/>
                <w:sz w:val="22"/>
                <w:szCs w:val="22"/>
              </w:rPr>
              <w:t>)</w:t>
            </w:r>
          </w:p>
        </w:tc>
        <w:tc>
          <w:tcPr>
            <w:tcW w:w="2328" w:type="dxa"/>
            <w:noWrap/>
            <w:hideMark/>
          </w:tcPr>
          <w:p w14:paraId="3A4AF741" w14:textId="5A55BD0B"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0.13</w:t>
            </w:r>
          </w:p>
        </w:tc>
        <w:tc>
          <w:tcPr>
            <w:tcW w:w="2429" w:type="dxa"/>
            <w:tcBorders>
              <w:right w:val="single" w:sz="12" w:space="0" w:color="auto"/>
            </w:tcBorders>
            <w:noWrap/>
            <w:hideMark/>
          </w:tcPr>
          <w:p w14:paraId="68FC3AC6" w14:textId="77777777" w:rsidR="00F400CA" w:rsidRPr="00F400CA" w:rsidRDefault="00F400CA" w:rsidP="00F400CA">
            <w:pPr>
              <w:spacing w:line="276" w:lineRule="auto"/>
              <w:rPr>
                <w:rFonts w:asciiTheme="minorHAnsi" w:hAnsiTheme="minorHAnsi" w:cstheme="minorHAnsi"/>
                <w:sz w:val="22"/>
                <w:szCs w:val="22"/>
              </w:rPr>
            </w:pPr>
          </w:p>
        </w:tc>
      </w:tr>
      <w:tr w:rsidR="00F400CA" w:rsidRPr="00F400CA" w14:paraId="7C1EE3F5" w14:textId="77777777" w:rsidTr="0003566F">
        <w:trPr>
          <w:trHeight w:val="289"/>
        </w:trPr>
        <w:tc>
          <w:tcPr>
            <w:tcW w:w="5097" w:type="dxa"/>
            <w:tcBorders>
              <w:left w:val="single" w:sz="12" w:space="0" w:color="auto"/>
              <w:bottom w:val="single" w:sz="8" w:space="0" w:color="auto"/>
            </w:tcBorders>
            <w:hideMark/>
          </w:tcPr>
          <w:p w14:paraId="36723881" w14:textId="77777777" w:rsidR="00F400CA" w:rsidRPr="00F400CA" w:rsidRDefault="00F400CA" w:rsidP="00F400CA">
            <w:pPr>
              <w:spacing w:line="276" w:lineRule="auto"/>
              <w:rPr>
                <w:rFonts w:asciiTheme="minorHAnsi" w:hAnsiTheme="minorHAnsi" w:cstheme="minorHAnsi"/>
                <w:sz w:val="22"/>
                <w:szCs w:val="22"/>
              </w:rPr>
            </w:pPr>
            <w:r w:rsidRPr="00F400CA">
              <w:rPr>
                <w:rFonts w:asciiTheme="minorHAnsi" w:hAnsiTheme="minorHAnsi" w:cstheme="minorHAnsi"/>
                <w:sz w:val="22"/>
                <w:szCs w:val="22"/>
              </w:rPr>
              <w:t>Add precautionary buffer to d</w:t>
            </w:r>
            <w:r>
              <w:rPr>
                <w:rFonts w:asciiTheme="minorHAnsi" w:hAnsiTheme="minorHAnsi" w:cstheme="minorHAnsi"/>
                <w:sz w:val="22"/>
                <w:szCs w:val="22"/>
              </w:rPr>
              <w:t xml:space="preserve">etermined Nitrogen budget (Kg </w:t>
            </w:r>
            <w:r w:rsidRPr="00F400CA">
              <w:rPr>
                <w:rFonts w:asciiTheme="minorHAnsi" w:hAnsiTheme="minorHAnsi" w:cstheme="minorHAnsi"/>
                <w:sz w:val="22"/>
                <w:szCs w:val="22"/>
              </w:rPr>
              <w:t>N/</w:t>
            </w:r>
            <w:proofErr w:type="spellStart"/>
            <w:r w:rsidRPr="00F400CA">
              <w:rPr>
                <w:rFonts w:asciiTheme="minorHAnsi" w:hAnsiTheme="minorHAnsi" w:cstheme="minorHAnsi"/>
                <w:sz w:val="22"/>
                <w:szCs w:val="22"/>
              </w:rPr>
              <w:t>yr</w:t>
            </w:r>
            <w:proofErr w:type="spellEnd"/>
            <w:r w:rsidRPr="00F400CA">
              <w:rPr>
                <w:rFonts w:asciiTheme="minorHAnsi" w:hAnsiTheme="minorHAnsi" w:cstheme="minorHAnsi"/>
                <w:sz w:val="22"/>
                <w:szCs w:val="22"/>
              </w:rPr>
              <w:t>)</w:t>
            </w:r>
          </w:p>
        </w:tc>
        <w:tc>
          <w:tcPr>
            <w:tcW w:w="2328" w:type="dxa"/>
            <w:tcBorders>
              <w:bottom w:val="single" w:sz="8" w:space="0" w:color="auto"/>
            </w:tcBorders>
            <w:noWrap/>
            <w:hideMark/>
          </w:tcPr>
          <w:p w14:paraId="56EE77CA" w14:textId="09FCA8F6"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0.77</w:t>
            </w:r>
          </w:p>
        </w:tc>
        <w:tc>
          <w:tcPr>
            <w:tcW w:w="2429" w:type="dxa"/>
            <w:tcBorders>
              <w:bottom w:val="single" w:sz="8" w:space="0" w:color="auto"/>
              <w:right w:val="single" w:sz="12" w:space="0" w:color="auto"/>
            </w:tcBorders>
            <w:noWrap/>
            <w:hideMark/>
          </w:tcPr>
          <w:p w14:paraId="157672CD" w14:textId="52DCD905" w:rsidR="00F400CA" w:rsidRPr="00F400CA" w:rsidRDefault="007239DF" w:rsidP="00F400CA">
            <w:pPr>
              <w:spacing w:line="276" w:lineRule="auto"/>
              <w:rPr>
                <w:rFonts w:asciiTheme="minorHAnsi" w:hAnsiTheme="minorHAnsi" w:cstheme="minorHAnsi"/>
                <w:sz w:val="22"/>
                <w:szCs w:val="22"/>
              </w:rPr>
            </w:pPr>
            <w:r>
              <w:rPr>
                <w:rFonts w:asciiTheme="minorHAnsi" w:hAnsiTheme="minorHAnsi" w:cstheme="minorHAnsi"/>
                <w:sz w:val="22"/>
                <w:szCs w:val="22"/>
              </w:rPr>
              <w:t>-3.80</w:t>
            </w:r>
          </w:p>
        </w:tc>
      </w:tr>
      <w:tr w:rsidR="00F400CA" w:rsidRPr="00F400CA" w14:paraId="1AB2068B" w14:textId="77777777" w:rsidTr="0003566F">
        <w:trPr>
          <w:trHeight w:val="289"/>
        </w:trPr>
        <w:tc>
          <w:tcPr>
            <w:tcW w:w="5097" w:type="dxa"/>
            <w:tcBorders>
              <w:left w:val="single" w:sz="12" w:space="0" w:color="auto"/>
              <w:bottom w:val="single" w:sz="8" w:space="0" w:color="auto"/>
            </w:tcBorders>
            <w:hideMark/>
          </w:tcPr>
          <w:p w14:paraId="6F2FAAC0" w14:textId="77777777" w:rsidR="00F400CA" w:rsidRPr="00F400CA" w:rsidRDefault="00F400CA" w:rsidP="00F400CA">
            <w:pPr>
              <w:spacing w:line="276" w:lineRule="auto"/>
              <w:rPr>
                <w:rFonts w:asciiTheme="minorHAnsi" w:hAnsiTheme="minorHAnsi" w:cstheme="minorHAnsi"/>
                <w:b/>
                <w:bCs/>
                <w:sz w:val="22"/>
                <w:szCs w:val="22"/>
              </w:rPr>
            </w:pPr>
            <w:r w:rsidRPr="00F400CA">
              <w:rPr>
                <w:rFonts w:asciiTheme="minorHAnsi" w:hAnsiTheme="minorHAnsi" w:cstheme="minorHAnsi"/>
                <w:b/>
                <w:bCs/>
                <w:sz w:val="22"/>
                <w:szCs w:val="22"/>
              </w:rPr>
              <w:t>Nitr</w:t>
            </w:r>
            <w:r>
              <w:rPr>
                <w:rFonts w:asciiTheme="minorHAnsi" w:hAnsiTheme="minorHAnsi" w:cstheme="minorHAnsi"/>
                <w:b/>
                <w:bCs/>
                <w:sz w:val="22"/>
                <w:szCs w:val="22"/>
              </w:rPr>
              <w:t>ogen Budget with 20% buffer (Kg T</w:t>
            </w:r>
            <w:r w:rsidRPr="00F400CA">
              <w:rPr>
                <w:rFonts w:asciiTheme="minorHAnsi" w:hAnsiTheme="minorHAnsi" w:cstheme="minorHAnsi"/>
                <w:b/>
                <w:bCs/>
                <w:sz w:val="22"/>
                <w:szCs w:val="22"/>
              </w:rPr>
              <w:t>N/</w:t>
            </w:r>
            <w:proofErr w:type="spellStart"/>
            <w:r w:rsidRPr="00F400CA">
              <w:rPr>
                <w:rFonts w:asciiTheme="minorHAnsi" w:hAnsiTheme="minorHAnsi" w:cstheme="minorHAnsi"/>
                <w:b/>
                <w:bCs/>
                <w:sz w:val="22"/>
                <w:szCs w:val="22"/>
              </w:rPr>
              <w:t>yr</w:t>
            </w:r>
            <w:proofErr w:type="spellEnd"/>
            <w:r w:rsidRPr="00F400CA">
              <w:rPr>
                <w:rFonts w:asciiTheme="minorHAnsi" w:hAnsiTheme="minorHAnsi" w:cstheme="minorHAnsi"/>
                <w:b/>
                <w:bCs/>
                <w:sz w:val="22"/>
                <w:szCs w:val="22"/>
              </w:rPr>
              <w:t>)</w:t>
            </w:r>
          </w:p>
        </w:tc>
        <w:tc>
          <w:tcPr>
            <w:tcW w:w="2328" w:type="dxa"/>
            <w:tcBorders>
              <w:bottom w:val="single" w:sz="8" w:space="0" w:color="auto"/>
            </w:tcBorders>
            <w:noWrap/>
            <w:hideMark/>
          </w:tcPr>
          <w:p w14:paraId="12B6711A" w14:textId="772FBBC0" w:rsidR="00F400CA" w:rsidRPr="00F400CA" w:rsidRDefault="007239DF" w:rsidP="00F400CA">
            <w:pPr>
              <w:spacing w:line="276" w:lineRule="auto"/>
              <w:rPr>
                <w:rFonts w:asciiTheme="minorHAnsi" w:hAnsiTheme="minorHAnsi" w:cstheme="minorHAnsi"/>
                <w:b/>
                <w:bCs/>
                <w:sz w:val="22"/>
                <w:szCs w:val="22"/>
              </w:rPr>
            </w:pPr>
            <w:r>
              <w:rPr>
                <w:rFonts w:asciiTheme="minorHAnsi" w:hAnsiTheme="minorHAnsi" w:cstheme="minorHAnsi"/>
                <w:b/>
                <w:bCs/>
                <w:sz w:val="22"/>
                <w:szCs w:val="22"/>
              </w:rPr>
              <w:t>0.8</w:t>
            </w:r>
          </w:p>
        </w:tc>
        <w:tc>
          <w:tcPr>
            <w:tcW w:w="2429" w:type="dxa"/>
            <w:tcBorders>
              <w:bottom w:val="single" w:sz="8" w:space="0" w:color="auto"/>
              <w:right w:val="single" w:sz="12" w:space="0" w:color="auto"/>
            </w:tcBorders>
            <w:noWrap/>
            <w:hideMark/>
          </w:tcPr>
          <w:p w14:paraId="7C1DB4E7" w14:textId="7D42A61D" w:rsidR="00F400CA" w:rsidRPr="00F400CA" w:rsidRDefault="00F400CA" w:rsidP="00F400CA">
            <w:pPr>
              <w:spacing w:line="276" w:lineRule="auto"/>
              <w:rPr>
                <w:rFonts w:asciiTheme="minorHAnsi" w:hAnsiTheme="minorHAnsi" w:cstheme="minorHAnsi"/>
                <w:b/>
                <w:bCs/>
                <w:sz w:val="22"/>
                <w:szCs w:val="22"/>
              </w:rPr>
            </w:pPr>
            <w:r w:rsidRPr="00F400CA">
              <w:rPr>
                <w:rFonts w:asciiTheme="minorHAnsi" w:hAnsiTheme="minorHAnsi" w:cstheme="minorHAnsi"/>
                <w:b/>
                <w:bCs/>
                <w:sz w:val="22"/>
                <w:szCs w:val="22"/>
              </w:rPr>
              <w:t>-</w:t>
            </w:r>
            <w:r w:rsidR="007239DF">
              <w:rPr>
                <w:rFonts w:asciiTheme="minorHAnsi" w:hAnsiTheme="minorHAnsi" w:cstheme="minorHAnsi"/>
                <w:b/>
                <w:bCs/>
                <w:sz w:val="22"/>
                <w:szCs w:val="22"/>
              </w:rPr>
              <w:t>3.</w:t>
            </w:r>
            <w:r w:rsidRPr="00F400CA">
              <w:rPr>
                <w:rFonts w:asciiTheme="minorHAnsi" w:hAnsiTheme="minorHAnsi" w:cstheme="minorHAnsi"/>
                <w:b/>
                <w:bCs/>
                <w:sz w:val="22"/>
                <w:szCs w:val="22"/>
              </w:rPr>
              <w:t>8</w:t>
            </w:r>
          </w:p>
        </w:tc>
      </w:tr>
      <w:tr w:rsidR="00F400CA" w:rsidRPr="00F400CA" w14:paraId="1B1791D7" w14:textId="77777777" w:rsidTr="0003566F">
        <w:trPr>
          <w:trHeight w:val="289"/>
        </w:trPr>
        <w:tc>
          <w:tcPr>
            <w:tcW w:w="5097" w:type="dxa"/>
            <w:tcBorders>
              <w:top w:val="single" w:sz="8" w:space="0" w:color="auto"/>
              <w:left w:val="single" w:sz="12" w:space="0" w:color="auto"/>
              <w:bottom w:val="single" w:sz="12" w:space="0" w:color="auto"/>
            </w:tcBorders>
            <w:hideMark/>
          </w:tcPr>
          <w:p w14:paraId="5A9BC9EC" w14:textId="77777777" w:rsidR="00F400CA" w:rsidRPr="00F400CA" w:rsidRDefault="00F400CA" w:rsidP="00F400CA">
            <w:pPr>
              <w:spacing w:line="276" w:lineRule="auto"/>
              <w:rPr>
                <w:rFonts w:asciiTheme="minorHAnsi" w:hAnsiTheme="minorHAnsi" w:cstheme="minorHAnsi"/>
                <w:i/>
                <w:iCs/>
                <w:sz w:val="22"/>
                <w:szCs w:val="22"/>
              </w:rPr>
            </w:pPr>
            <w:r w:rsidRPr="00F400CA">
              <w:rPr>
                <w:rFonts w:asciiTheme="minorHAnsi" w:hAnsiTheme="minorHAnsi" w:cstheme="minorHAnsi"/>
                <w:i/>
                <w:iCs/>
                <w:sz w:val="22"/>
                <w:szCs w:val="22"/>
                <w:vertAlign w:val="superscript"/>
              </w:rPr>
              <w:t>1</w:t>
            </w:r>
            <w:r w:rsidRPr="00F400CA">
              <w:rPr>
                <w:rFonts w:asciiTheme="minorHAnsi" w:hAnsiTheme="minorHAnsi" w:cstheme="minorHAnsi"/>
                <w:i/>
                <w:iCs/>
                <w:sz w:val="22"/>
                <w:szCs w:val="22"/>
              </w:rPr>
              <w:t>To recognise uncertainty with these figures, Natural England recommends a 20% precautionary buffer is built into the calculation.</w:t>
            </w:r>
          </w:p>
        </w:tc>
        <w:tc>
          <w:tcPr>
            <w:tcW w:w="2328" w:type="dxa"/>
            <w:tcBorders>
              <w:top w:val="single" w:sz="8" w:space="0" w:color="auto"/>
              <w:bottom w:val="single" w:sz="12" w:space="0" w:color="auto"/>
            </w:tcBorders>
            <w:noWrap/>
            <w:hideMark/>
          </w:tcPr>
          <w:p w14:paraId="259E3C33" w14:textId="77777777" w:rsidR="00F400CA" w:rsidRPr="00F400CA" w:rsidRDefault="00F400CA" w:rsidP="00F400CA">
            <w:pPr>
              <w:spacing w:line="276" w:lineRule="auto"/>
              <w:rPr>
                <w:rFonts w:asciiTheme="minorHAnsi" w:hAnsiTheme="minorHAnsi" w:cstheme="minorHAnsi"/>
                <w:sz w:val="22"/>
                <w:szCs w:val="22"/>
              </w:rPr>
            </w:pPr>
          </w:p>
        </w:tc>
        <w:tc>
          <w:tcPr>
            <w:tcW w:w="2429" w:type="dxa"/>
            <w:tcBorders>
              <w:top w:val="single" w:sz="8" w:space="0" w:color="auto"/>
              <w:bottom w:val="single" w:sz="12" w:space="0" w:color="auto"/>
              <w:right w:val="single" w:sz="12" w:space="0" w:color="auto"/>
            </w:tcBorders>
            <w:noWrap/>
            <w:hideMark/>
          </w:tcPr>
          <w:p w14:paraId="427845B9" w14:textId="77777777" w:rsidR="00F400CA" w:rsidRPr="00F400CA" w:rsidRDefault="00F400CA" w:rsidP="00F400CA">
            <w:pPr>
              <w:spacing w:line="276" w:lineRule="auto"/>
              <w:rPr>
                <w:rFonts w:asciiTheme="minorHAnsi" w:hAnsiTheme="minorHAnsi" w:cstheme="minorHAnsi"/>
                <w:sz w:val="22"/>
                <w:szCs w:val="22"/>
              </w:rPr>
            </w:pPr>
          </w:p>
        </w:tc>
      </w:tr>
    </w:tbl>
    <w:p w14:paraId="7242B174" w14:textId="77777777" w:rsidR="00F400CA" w:rsidRPr="00F400CA" w:rsidRDefault="00F400CA" w:rsidP="00491DBE">
      <w:pPr>
        <w:spacing w:line="276" w:lineRule="auto"/>
        <w:rPr>
          <w:rFonts w:asciiTheme="minorHAnsi" w:hAnsiTheme="minorHAnsi" w:cstheme="minorHAnsi"/>
          <w:sz w:val="22"/>
          <w:szCs w:val="22"/>
        </w:rPr>
      </w:pPr>
    </w:p>
    <w:sectPr w:rsidR="00F400CA" w:rsidRPr="00F400CA" w:rsidSect="006969DF">
      <w:pgSz w:w="11906" w:h="16838"/>
      <w:pgMar w:top="567" w:right="1134" w:bottom="567"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0AEB5" w15:done="0"/>
  <w15:commentEx w15:paraId="1E7B61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30F7"/>
    <w:multiLevelType w:val="hybridMultilevel"/>
    <w:tmpl w:val="540E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B842BA"/>
    <w:multiLevelType w:val="hybridMultilevel"/>
    <w:tmpl w:val="1A6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34F0D"/>
    <w:multiLevelType w:val="hybridMultilevel"/>
    <w:tmpl w:val="EC8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F4FFD"/>
    <w:multiLevelType w:val="hybridMultilevel"/>
    <w:tmpl w:val="DD9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E49B5"/>
    <w:multiLevelType w:val="hybridMultilevel"/>
    <w:tmpl w:val="3BBC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831B9F"/>
    <w:multiLevelType w:val="hybridMultilevel"/>
    <w:tmpl w:val="98E884A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nsid w:val="362E35D2"/>
    <w:multiLevelType w:val="hybridMultilevel"/>
    <w:tmpl w:val="02DE4C1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3CF669FE"/>
    <w:multiLevelType w:val="hybridMultilevel"/>
    <w:tmpl w:val="A334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E46DB"/>
    <w:multiLevelType w:val="hybridMultilevel"/>
    <w:tmpl w:val="2A5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978C2"/>
    <w:multiLevelType w:val="hybridMultilevel"/>
    <w:tmpl w:val="10A0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8661C2"/>
    <w:multiLevelType w:val="hybridMultilevel"/>
    <w:tmpl w:val="2FD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EA6488"/>
    <w:multiLevelType w:val="hybridMultilevel"/>
    <w:tmpl w:val="1E0E55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nsid w:val="63FF064F"/>
    <w:multiLevelType w:val="hybridMultilevel"/>
    <w:tmpl w:val="6B84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6F70B1"/>
    <w:multiLevelType w:val="hybridMultilevel"/>
    <w:tmpl w:val="13E8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AC744D"/>
    <w:multiLevelType w:val="hybridMultilevel"/>
    <w:tmpl w:val="10A29B42"/>
    <w:lvl w:ilvl="0" w:tplc="7BFC1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8270D8"/>
    <w:multiLevelType w:val="hybridMultilevel"/>
    <w:tmpl w:val="D7C65186"/>
    <w:lvl w:ilvl="0" w:tplc="DD6AE270">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E95CD6"/>
    <w:multiLevelType w:val="hybridMultilevel"/>
    <w:tmpl w:val="6B8C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3"/>
  </w:num>
  <w:num w:numId="5">
    <w:abstractNumId w:val="8"/>
  </w:num>
  <w:num w:numId="6">
    <w:abstractNumId w:val="5"/>
  </w:num>
  <w:num w:numId="7">
    <w:abstractNumId w:val="6"/>
  </w:num>
  <w:num w:numId="8">
    <w:abstractNumId w:val="10"/>
  </w:num>
  <w:num w:numId="9">
    <w:abstractNumId w:val="0"/>
  </w:num>
  <w:num w:numId="10">
    <w:abstractNumId w:val="13"/>
  </w:num>
  <w:num w:numId="11">
    <w:abstractNumId w:val="11"/>
  </w:num>
  <w:num w:numId="12">
    <w:abstractNumId w:val="4"/>
  </w:num>
  <w:num w:numId="13">
    <w:abstractNumId w:val="14"/>
  </w:num>
  <w:num w:numId="14">
    <w:abstractNumId w:val="16"/>
  </w:num>
  <w:num w:numId="15">
    <w:abstractNumId w:val="7"/>
  </w:num>
  <w:num w:numId="16">
    <w:abstractNumId w:val="2"/>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comelli, Alison (NE)">
    <w15:presenceInfo w15:providerId="AD" w15:userId="S-1-5-21-2460336825-3585246265-3150112067-204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9F"/>
    <w:rsid w:val="000111A2"/>
    <w:rsid w:val="00024352"/>
    <w:rsid w:val="00024A10"/>
    <w:rsid w:val="0003566F"/>
    <w:rsid w:val="00055330"/>
    <w:rsid w:val="00062512"/>
    <w:rsid w:val="00077C15"/>
    <w:rsid w:val="00077DF3"/>
    <w:rsid w:val="00081F8C"/>
    <w:rsid w:val="00087B06"/>
    <w:rsid w:val="00096423"/>
    <w:rsid w:val="000A0DB3"/>
    <w:rsid w:val="000A2933"/>
    <w:rsid w:val="000A569D"/>
    <w:rsid w:val="000B45AE"/>
    <w:rsid w:val="000D0A48"/>
    <w:rsid w:val="000D4B48"/>
    <w:rsid w:val="000F309A"/>
    <w:rsid w:val="00102635"/>
    <w:rsid w:val="001071FC"/>
    <w:rsid w:val="00133C0F"/>
    <w:rsid w:val="00135E14"/>
    <w:rsid w:val="001419F6"/>
    <w:rsid w:val="00141C02"/>
    <w:rsid w:val="00143529"/>
    <w:rsid w:val="001478CB"/>
    <w:rsid w:val="00160247"/>
    <w:rsid w:val="0016538A"/>
    <w:rsid w:val="0018660E"/>
    <w:rsid w:val="001A371F"/>
    <w:rsid w:val="001A4750"/>
    <w:rsid w:val="001C09D8"/>
    <w:rsid w:val="001D02A6"/>
    <w:rsid w:val="001D73F7"/>
    <w:rsid w:val="001E2CD0"/>
    <w:rsid w:val="001F4065"/>
    <w:rsid w:val="001F5C37"/>
    <w:rsid w:val="00202382"/>
    <w:rsid w:val="002051F0"/>
    <w:rsid w:val="00224C1B"/>
    <w:rsid w:val="00246ECA"/>
    <w:rsid w:val="00247CE9"/>
    <w:rsid w:val="002535FA"/>
    <w:rsid w:val="00273115"/>
    <w:rsid w:val="00287505"/>
    <w:rsid w:val="002921B1"/>
    <w:rsid w:val="002A1E7F"/>
    <w:rsid w:val="002B1BB6"/>
    <w:rsid w:val="002D0119"/>
    <w:rsid w:val="002D054F"/>
    <w:rsid w:val="002D5298"/>
    <w:rsid w:val="002D6815"/>
    <w:rsid w:val="002F4F1A"/>
    <w:rsid w:val="003004D8"/>
    <w:rsid w:val="003023CE"/>
    <w:rsid w:val="003069C1"/>
    <w:rsid w:val="003420FB"/>
    <w:rsid w:val="003518DF"/>
    <w:rsid w:val="00351BDE"/>
    <w:rsid w:val="00372532"/>
    <w:rsid w:val="003C179A"/>
    <w:rsid w:val="003C7415"/>
    <w:rsid w:val="003F1EE3"/>
    <w:rsid w:val="003F4E87"/>
    <w:rsid w:val="0040778B"/>
    <w:rsid w:val="0042395A"/>
    <w:rsid w:val="00424598"/>
    <w:rsid w:val="00426314"/>
    <w:rsid w:val="00427571"/>
    <w:rsid w:val="00443E22"/>
    <w:rsid w:val="004504C4"/>
    <w:rsid w:val="00451B04"/>
    <w:rsid w:val="0045426F"/>
    <w:rsid w:val="0046018A"/>
    <w:rsid w:val="004717F0"/>
    <w:rsid w:val="00473FE7"/>
    <w:rsid w:val="004859EB"/>
    <w:rsid w:val="00491DBE"/>
    <w:rsid w:val="00494FA2"/>
    <w:rsid w:val="004961E8"/>
    <w:rsid w:val="004A533D"/>
    <w:rsid w:val="004A6D6B"/>
    <w:rsid w:val="004B5887"/>
    <w:rsid w:val="004C09D5"/>
    <w:rsid w:val="004C6ABC"/>
    <w:rsid w:val="004D03AF"/>
    <w:rsid w:val="004D55DD"/>
    <w:rsid w:val="004D6811"/>
    <w:rsid w:val="004E746D"/>
    <w:rsid w:val="004F13D0"/>
    <w:rsid w:val="004F2033"/>
    <w:rsid w:val="004F21D0"/>
    <w:rsid w:val="004F54B5"/>
    <w:rsid w:val="0050602C"/>
    <w:rsid w:val="005149A2"/>
    <w:rsid w:val="00526E73"/>
    <w:rsid w:val="00550C66"/>
    <w:rsid w:val="00556FCD"/>
    <w:rsid w:val="00557F25"/>
    <w:rsid w:val="00571198"/>
    <w:rsid w:val="00581A79"/>
    <w:rsid w:val="005A2A3C"/>
    <w:rsid w:val="005B6305"/>
    <w:rsid w:val="005C571F"/>
    <w:rsid w:val="005C7960"/>
    <w:rsid w:val="005D15C5"/>
    <w:rsid w:val="005D2C30"/>
    <w:rsid w:val="005D59FD"/>
    <w:rsid w:val="006228AA"/>
    <w:rsid w:val="006355A5"/>
    <w:rsid w:val="00642F34"/>
    <w:rsid w:val="00644FE5"/>
    <w:rsid w:val="0066051D"/>
    <w:rsid w:val="006803F8"/>
    <w:rsid w:val="00684D6D"/>
    <w:rsid w:val="006969DF"/>
    <w:rsid w:val="006979A7"/>
    <w:rsid w:val="006A42CC"/>
    <w:rsid w:val="006B364C"/>
    <w:rsid w:val="006B6DA8"/>
    <w:rsid w:val="006C203D"/>
    <w:rsid w:val="006E1048"/>
    <w:rsid w:val="006E3B23"/>
    <w:rsid w:val="006E4E16"/>
    <w:rsid w:val="0070006E"/>
    <w:rsid w:val="00702325"/>
    <w:rsid w:val="00707464"/>
    <w:rsid w:val="007239DF"/>
    <w:rsid w:val="0072715E"/>
    <w:rsid w:val="0072797F"/>
    <w:rsid w:val="00731195"/>
    <w:rsid w:val="00750549"/>
    <w:rsid w:val="007527CE"/>
    <w:rsid w:val="00755FCC"/>
    <w:rsid w:val="00762D6B"/>
    <w:rsid w:val="0077209D"/>
    <w:rsid w:val="00787BFB"/>
    <w:rsid w:val="0079103A"/>
    <w:rsid w:val="00791A45"/>
    <w:rsid w:val="00791C55"/>
    <w:rsid w:val="007A0F69"/>
    <w:rsid w:val="007A4CEC"/>
    <w:rsid w:val="007B59DF"/>
    <w:rsid w:val="007B5D18"/>
    <w:rsid w:val="007C1D3E"/>
    <w:rsid w:val="007D680B"/>
    <w:rsid w:val="007E67DF"/>
    <w:rsid w:val="008007C7"/>
    <w:rsid w:val="00804C25"/>
    <w:rsid w:val="00804C91"/>
    <w:rsid w:val="00805811"/>
    <w:rsid w:val="0083011F"/>
    <w:rsid w:val="00831D2D"/>
    <w:rsid w:val="008350E5"/>
    <w:rsid w:val="00855F6C"/>
    <w:rsid w:val="00863B1A"/>
    <w:rsid w:val="00865713"/>
    <w:rsid w:val="00865F31"/>
    <w:rsid w:val="008767AA"/>
    <w:rsid w:val="008867D9"/>
    <w:rsid w:val="008B15C8"/>
    <w:rsid w:val="008B3776"/>
    <w:rsid w:val="008B74A9"/>
    <w:rsid w:val="0090302F"/>
    <w:rsid w:val="00920971"/>
    <w:rsid w:val="00963658"/>
    <w:rsid w:val="00977712"/>
    <w:rsid w:val="00997024"/>
    <w:rsid w:val="009A49CD"/>
    <w:rsid w:val="009B537B"/>
    <w:rsid w:val="009C47F8"/>
    <w:rsid w:val="009D79C8"/>
    <w:rsid w:val="009E27AB"/>
    <w:rsid w:val="00A21F49"/>
    <w:rsid w:val="00A3448D"/>
    <w:rsid w:val="00A3715C"/>
    <w:rsid w:val="00A6503B"/>
    <w:rsid w:val="00A73705"/>
    <w:rsid w:val="00A751B8"/>
    <w:rsid w:val="00AA55C5"/>
    <w:rsid w:val="00AB55E3"/>
    <w:rsid w:val="00AB591A"/>
    <w:rsid w:val="00AC12EA"/>
    <w:rsid w:val="00AE2054"/>
    <w:rsid w:val="00AE4A0E"/>
    <w:rsid w:val="00B004AE"/>
    <w:rsid w:val="00B0319A"/>
    <w:rsid w:val="00B0615C"/>
    <w:rsid w:val="00B12E34"/>
    <w:rsid w:val="00B16FEB"/>
    <w:rsid w:val="00B174DB"/>
    <w:rsid w:val="00B25729"/>
    <w:rsid w:val="00B54683"/>
    <w:rsid w:val="00B67AB8"/>
    <w:rsid w:val="00B72ED0"/>
    <w:rsid w:val="00B73E13"/>
    <w:rsid w:val="00B8450A"/>
    <w:rsid w:val="00B87BC3"/>
    <w:rsid w:val="00BA76E9"/>
    <w:rsid w:val="00BD340C"/>
    <w:rsid w:val="00BD5311"/>
    <w:rsid w:val="00BE13EB"/>
    <w:rsid w:val="00C00210"/>
    <w:rsid w:val="00C03E01"/>
    <w:rsid w:val="00C1045F"/>
    <w:rsid w:val="00C33A96"/>
    <w:rsid w:val="00C34120"/>
    <w:rsid w:val="00C35324"/>
    <w:rsid w:val="00C44EC6"/>
    <w:rsid w:val="00C45B36"/>
    <w:rsid w:val="00C53D8C"/>
    <w:rsid w:val="00C56A9C"/>
    <w:rsid w:val="00C6619F"/>
    <w:rsid w:val="00C679E0"/>
    <w:rsid w:val="00C707B7"/>
    <w:rsid w:val="00C73EDB"/>
    <w:rsid w:val="00C7639A"/>
    <w:rsid w:val="00C90DBD"/>
    <w:rsid w:val="00CA6898"/>
    <w:rsid w:val="00CB2201"/>
    <w:rsid w:val="00CC248F"/>
    <w:rsid w:val="00CD3586"/>
    <w:rsid w:val="00CD6B3F"/>
    <w:rsid w:val="00CE087F"/>
    <w:rsid w:val="00CE53C5"/>
    <w:rsid w:val="00CF65D3"/>
    <w:rsid w:val="00D0108B"/>
    <w:rsid w:val="00D031A8"/>
    <w:rsid w:val="00D03D67"/>
    <w:rsid w:val="00D07736"/>
    <w:rsid w:val="00D10529"/>
    <w:rsid w:val="00D22C91"/>
    <w:rsid w:val="00D47F3F"/>
    <w:rsid w:val="00D5043E"/>
    <w:rsid w:val="00D5369B"/>
    <w:rsid w:val="00D540C5"/>
    <w:rsid w:val="00D63980"/>
    <w:rsid w:val="00D702C8"/>
    <w:rsid w:val="00D9258F"/>
    <w:rsid w:val="00DB7BEC"/>
    <w:rsid w:val="00DC691C"/>
    <w:rsid w:val="00DD79D4"/>
    <w:rsid w:val="00E12FEB"/>
    <w:rsid w:val="00E31B62"/>
    <w:rsid w:val="00E3736C"/>
    <w:rsid w:val="00E40565"/>
    <w:rsid w:val="00E545B0"/>
    <w:rsid w:val="00E60AEF"/>
    <w:rsid w:val="00E7065A"/>
    <w:rsid w:val="00E82C13"/>
    <w:rsid w:val="00E84B10"/>
    <w:rsid w:val="00E9380A"/>
    <w:rsid w:val="00EA06C4"/>
    <w:rsid w:val="00EA1319"/>
    <w:rsid w:val="00EA4091"/>
    <w:rsid w:val="00EA71EA"/>
    <w:rsid w:val="00EA77FD"/>
    <w:rsid w:val="00EB5C3C"/>
    <w:rsid w:val="00EC279A"/>
    <w:rsid w:val="00EC28E9"/>
    <w:rsid w:val="00EE3E57"/>
    <w:rsid w:val="00EE6CDE"/>
    <w:rsid w:val="00EE72E8"/>
    <w:rsid w:val="00EF3A33"/>
    <w:rsid w:val="00EF4C84"/>
    <w:rsid w:val="00EF6014"/>
    <w:rsid w:val="00F02E04"/>
    <w:rsid w:val="00F05BF7"/>
    <w:rsid w:val="00F07829"/>
    <w:rsid w:val="00F177A2"/>
    <w:rsid w:val="00F23414"/>
    <w:rsid w:val="00F24559"/>
    <w:rsid w:val="00F276A0"/>
    <w:rsid w:val="00F400CA"/>
    <w:rsid w:val="00F52C4E"/>
    <w:rsid w:val="00F54F0D"/>
    <w:rsid w:val="00F615EA"/>
    <w:rsid w:val="00F62DBB"/>
    <w:rsid w:val="00F713F6"/>
    <w:rsid w:val="00F87465"/>
    <w:rsid w:val="00FB4B34"/>
    <w:rsid w:val="00FB6696"/>
    <w:rsid w:val="00FD32BA"/>
    <w:rsid w:val="00FD6E36"/>
    <w:rsid w:val="00FF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9F"/>
    <w:rPr>
      <w:rFonts w:ascii="Times New Roman" w:hAnsi="Times New Roman"/>
      <w:sz w:val="24"/>
      <w:szCs w:val="24"/>
    </w:rPr>
  </w:style>
  <w:style w:type="paragraph" w:styleId="Heading1">
    <w:name w:val="heading 1"/>
    <w:basedOn w:val="Normal"/>
    <w:next w:val="Normal"/>
    <w:link w:val="Heading1Char"/>
    <w:qFormat/>
    <w:locked/>
    <w:rsid w:val="00B73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B73E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619F"/>
    <w:rPr>
      <w:rFonts w:ascii="Tahoma" w:hAnsi="Tahoma" w:cs="Tahoma"/>
      <w:sz w:val="16"/>
      <w:szCs w:val="16"/>
    </w:rPr>
  </w:style>
  <w:style w:type="character" w:customStyle="1" w:styleId="BalloonTextChar">
    <w:name w:val="Balloon Text Char"/>
    <w:link w:val="BalloonText"/>
    <w:uiPriority w:val="99"/>
    <w:semiHidden/>
    <w:locked/>
    <w:rsid w:val="00C6619F"/>
    <w:rPr>
      <w:rFonts w:ascii="Tahoma" w:hAnsi="Tahoma" w:cs="Tahoma"/>
      <w:sz w:val="16"/>
      <w:szCs w:val="16"/>
      <w:lang w:val="x-none" w:eastAsia="en-GB"/>
    </w:rPr>
  </w:style>
  <w:style w:type="character" w:styleId="Hyperlink">
    <w:name w:val="Hyperlink"/>
    <w:uiPriority w:val="99"/>
    <w:rsid w:val="001A371F"/>
    <w:rPr>
      <w:rFonts w:cs="Times New Roman"/>
      <w:color w:val="0000FF"/>
      <w:u w:val="single"/>
    </w:rPr>
  </w:style>
  <w:style w:type="paragraph" w:styleId="ListParagraph">
    <w:name w:val="List Paragraph"/>
    <w:basedOn w:val="Normal"/>
    <w:uiPriority w:val="99"/>
    <w:qFormat/>
    <w:rsid w:val="00831D2D"/>
    <w:pPr>
      <w:ind w:left="720"/>
      <w:contextualSpacing/>
    </w:pPr>
  </w:style>
  <w:style w:type="character" w:styleId="CommentReference">
    <w:name w:val="annotation reference"/>
    <w:uiPriority w:val="99"/>
    <w:semiHidden/>
    <w:unhideWhenUsed/>
    <w:rsid w:val="00D0108B"/>
    <w:rPr>
      <w:sz w:val="16"/>
      <w:szCs w:val="16"/>
    </w:rPr>
  </w:style>
  <w:style w:type="paragraph" w:styleId="CommentText">
    <w:name w:val="annotation text"/>
    <w:basedOn w:val="Normal"/>
    <w:link w:val="CommentTextChar"/>
    <w:uiPriority w:val="99"/>
    <w:semiHidden/>
    <w:unhideWhenUsed/>
    <w:rsid w:val="00D0108B"/>
    <w:rPr>
      <w:sz w:val="20"/>
      <w:szCs w:val="20"/>
    </w:rPr>
  </w:style>
  <w:style w:type="character" w:customStyle="1" w:styleId="CommentTextChar">
    <w:name w:val="Comment Text Char"/>
    <w:link w:val="CommentText"/>
    <w:uiPriority w:val="99"/>
    <w:semiHidden/>
    <w:rsid w:val="00D0108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0108B"/>
    <w:rPr>
      <w:b/>
      <w:bCs/>
    </w:rPr>
  </w:style>
  <w:style w:type="character" w:customStyle="1" w:styleId="CommentSubjectChar">
    <w:name w:val="Comment Subject Char"/>
    <w:link w:val="CommentSubject"/>
    <w:uiPriority w:val="99"/>
    <w:semiHidden/>
    <w:rsid w:val="00D0108B"/>
    <w:rPr>
      <w:rFonts w:ascii="Times New Roman" w:hAnsi="Times New Roman"/>
      <w:b/>
      <w:bCs/>
    </w:rPr>
  </w:style>
  <w:style w:type="paragraph" w:styleId="Title">
    <w:name w:val="Title"/>
    <w:basedOn w:val="Normal"/>
    <w:next w:val="Normal"/>
    <w:link w:val="TitleChar"/>
    <w:qFormat/>
    <w:locked/>
    <w:rsid w:val="00B73E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73E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73E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3E1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9F"/>
    <w:rPr>
      <w:rFonts w:ascii="Times New Roman" w:hAnsi="Times New Roman"/>
      <w:sz w:val="24"/>
      <w:szCs w:val="24"/>
    </w:rPr>
  </w:style>
  <w:style w:type="paragraph" w:styleId="Heading1">
    <w:name w:val="heading 1"/>
    <w:basedOn w:val="Normal"/>
    <w:next w:val="Normal"/>
    <w:link w:val="Heading1Char"/>
    <w:qFormat/>
    <w:locked/>
    <w:rsid w:val="00B73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B73E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619F"/>
    <w:rPr>
      <w:rFonts w:ascii="Tahoma" w:hAnsi="Tahoma" w:cs="Tahoma"/>
      <w:sz w:val="16"/>
      <w:szCs w:val="16"/>
    </w:rPr>
  </w:style>
  <w:style w:type="character" w:customStyle="1" w:styleId="BalloonTextChar">
    <w:name w:val="Balloon Text Char"/>
    <w:link w:val="BalloonText"/>
    <w:uiPriority w:val="99"/>
    <w:semiHidden/>
    <w:locked/>
    <w:rsid w:val="00C6619F"/>
    <w:rPr>
      <w:rFonts w:ascii="Tahoma" w:hAnsi="Tahoma" w:cs="Tahoma"/>
      <w:sz w:val="16"/>
      <w:szCs w:val="16"/>
      <w:lang w:val="x-none" w:eastAsia="en-GB"/>
    </w:rPr>
  </w:style>
  <w:style w:type="character" w:styleId="Hyperlink">
    <w:name w:val="Hyperlink"/>
    <w:uiPriority w:val="99"/>
    <w:rsid w:val="001A371F"/>
    <w:rPr>
      <w:rFonts w:cs="Times New Roman"/>
      <w:color w:val="0000FF"/>
      <w:u w:val="single"/>
    </w:rPr>
  </w:style>
  <w:style w:type="paragraph" w:styleId="ListParagraph">
    <w:name w:val="List Paragraph"/>
    <w:basedOn w:val="Normal"/>
    <w:uiPriority w:val="99"/>
    <w:qFormat/>
    <w:rsid w:val="00831D2D"/>
    <w:pPr>
      <w:ind w:left="720"/>
      <w:contextualSpacing/>
    </w:pPr>
  </w:style>
  <w:style w:type="character" w:styleId="CommentReference">
    <w:name w:val="annotation reference"/>
    <w:uiPriority w:val="99"/>
    <w:semiHidden/>
    <w:unhideWhenUsed/>
    <w:rsid w:val="00D0108B"/>
    <w:rPr>
      <w:sz w:val="16"/>
      <w:szCs w:val="16"/>
    </w:rPr>
  </w:style>
  <w:style w:type="paragraph" w:styleId="CommentText">
    <w:name w:val="annotation text"/>
    <w:basedOn w:val="Normal"/>
    <w:link w:val="CommentTextChar"/>
    <w:uiPriority w:val="99"/>
    <w:semiHidden/>
    <w:unhideWhenUsed/>
    <w:rsid w:val="00D0108B"/>
    <w:rPr>
      <w:sz w:val="20"/>
      <w:szCs w:val="20"/>
    </w:rPr>
  </w:style>
  <w:style w:type="character" w:customStyle="1" w:styleId="CommentTextChar">
    <w:name w:val="Comment Text Char"/>
    <w:link w:val="CommentText"/>
    <w:uiPriority w:val="99"/>
    <w:semiHidden/>
    <w:rsid w:val="00D0108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0108B"/>
    <w:rPr>
      <w:b/>
      <w:bCs/>
    </w:rPr>
  </w:style>
  <w:style w:type="character" w:customStyle="1" w:styleId="CommentSubjectChar">
    <w:name w:val="Comment Subject Char"/>
    <w:link w:val="CommentSubject"/>
    <w:uiPriority w:val="99"/>
    <w:semiHidden/>
    <w:rsid w:val="00D0108B"/>
    <w:rPr>
      <w:rFonts w:ascii="Times New Roman" w:hAnsi="Times New Roman"/>
      <w:b/>
      <w:bCs/>
    </w:rPr>
  </w:style>
  <w:style w:type="paragraph" w:styleId="Title">
    <w:name w:val="Title"/>
    <w:basedOn w:val="Normal"/>
    <w:next w:val="Normal"/>
    <w:link w:val="TitleChar"/>
    <w:qFormat/>
    <w:locked/>
    <w:rsid w:val="00B73E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73E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73E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3E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3666">
      <w:bodyDiv w:val="1"/>
      <w:marLeft w:val="0"/>
      <w:marRight w:val="0"/>
      <w:marTop w:val="0"/>
      <w:marBottom w:val="0"/>
      <w:divBdr>
        <w:top w:val="none" w:sz="0" w:space="0" w:color="auto"/>
        <w:left w:val="none" w:sz="0" w:space="0" w:color="auto"/>
        <w:bottom w:val="none" w:sz="0" w:space="0" w:color="auto"/>
        <w:right w:val="none" w:sz="0" w:space="0" w:color="auto"/>
      </w:divBdr>
    </w:div>
    <w:div w:id="623772078">
      <w:bodyDiv w:val="1"/>
      <w:marLeft w:val="0"/>
      <w:marRight w:val="0"/>
      <w:marTop w:val="0"/>
      <w:marBottom w:val="0"/>
      <w:divBdr>
        <w:top w:val="none" w:sz="0" w:space="0" w:color="auto"/>
        <w:left w:val="none" w:sz="0" w:space="0" w:color="auto"/>
        <w:bottom w:val="none" w:sz="0" w:space="0" w:color="auto"/>
        <w:right w:val="none" w:sz="0" w:space="0" w:color="auto"/>
      </w:divBdr>
    </w:div>
    <w:div w:id="17011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article/28101/Developer-contributions" TargetMode="External"/><Relationship Id="rId3" Type="http://schemas.microsoft.com/office/2007/relationships/stylesWithEffects" Target="stylesWithEffects.xml"/><Relationship Id="rId7" Type="http://schemas.openxmlformats.org/officeDocument/2006/relationships/hyperlink" Target="http://www.birdaware.org/CHttpHandler.ashx?id=29372&amp;p=0"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sh.gov.uk/wp-content/uploads/2020/03/Advice-on-Achieving-Nutrient-Neutrality-for-New-Deveopment-in-the-Solent-Region-March-2020.pdf"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2578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Habitat Regulation Assessment (HRA) screening matrix</vt:lpstr>
    </vt:vector>
  </TitlesOfParts>
  <Company>Portsmouth City Council</Company>
  <LinksUpToDate>false</LinksUpToDate>
  <CharactersWithSpaces>17866</CharactersWithSpaces>
  <SharedDoc>false</SharedDoc>
  <HLinks>
    <vt:vector size="12" baseType="variant">
      <vt:variant>
        <vt:i4>8257651</vt:i4>
      </vt:variant>
      <vt:variant>
        <vt:i4>3</vt:i4>
      </vt:variant>
      <vt:variant>
        <vt:i4>0</vt:i4>
      </vt:variant>
      <vt:variant>
        <vt:i4>5</vt:i4>
      </vt:variant>
      <vt:variant>
        <vt:lpwstr>http://www.birdaware.org/article/28101/Developer-contributions</vt:lpwstr>
      </vt:variant>
      <vt:variant>
        <vt:lpwstr/>
      </vt:variant>
      <vt:variant>
        <vt:i4>3473470</vt:i4>
      </vt:variant>
      <vt:variant>
        <vt:i4>0</vt:i4>
      </vt:variant>
      <vt:variant>
        <vt:i4>0</vt:i4>
      </vt:variant>
      <vt:variant>
        <vt:i4>5</vt:i4>
      </vt:variant>
      <vt:variant>
        <vt:lpwstr>http://www.birdaware.org/CHttpHandler.ashx?id=29372&amp;p=0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Regulation Assessment (HRA) screening matrix</dc:title>
  <dc:creator>David Hayward</dc:creator>
  <cp:lastModifiedBy>Gillian Stevens</cp:lastModifiedBy>
  <cp:revision>3</cp:revision>
  <cp:lastPrinted>2019-02-18T13:58:00Z</cp:lastPrinted>
  <dcterms:created xsi:type="dcterms:W3CDTF">2020-10-08T09:21:00Z</dcterms:created>
  <dcterms:modified xsi:type="dcterms:W3CDTF">2020-10-08T09:42:00Z</dcterms:modified>
</cp:coreProperties>
</file>