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 ContentType="image/tif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3479" w:rsidRPr="00CA47B9" w:rsidRDefault="00663479" w:rsidP="00AD1AAD"/>
    <w:p w:rsidR="00663479" w:rsidRPr="00CA47B9" w:rsidRDefault="00663479" w:rsidP="00E5388D">
      <w:pPr>
        <w:pStyle w:val="Referencetext8pt"/>
        <w:rPr>
          <w:rFonts w:ascii="ArialMT" w:hAnsi="ArialMT"/>
        </w:rPr>
      </w:pPr>
    </w:p>
    <w:p w:rsidR="00A10F6F" w:rsidRPr="00CA47B9" w:rsidRDefault="00BB0BD7" w:rsidP="00A54ECA">
      <w:pPr>
        <w:pStyle w:val="SubheadBlue12"/>
      </w:pPr>
      <w:r w:rsidRPr="00CA47B9">
        <w:rPr>
          <w:noProof/>
          <w:lang w:eastAsia="en-GB"/>
        </w:rPr>
        <mc:AlternateContent>
          <mc:Choice Requires="wps">
            <w:drawing>
              <wp:anchor distT="0" distB="0" distL="114300" distR="114300" simplePos="0" relativeHeight="251661312" behindDoc="1" locked="1" layoutInCell="1" allowOverlap="1" wp14:anchorId="55CD1774" wp14:editId="38099183">
                <wp:simplePos x="0" y="0"/>
                <wp:positionH relativeFrom="page">
                  <wp:posOffset>900430</wp:posOffset>
                </wp:positionH>
                <wp:positionV relativeFrom="page">
                  <wp:posOffset>1332230</wp:posOffset>
                </wp:positionV>
                <wp:extent cx="6156000" cy="8085600"/>
                <wp:effectExtent l="0" t="0" r="0" b="0"/>
                <wp:wrapNone/>
                <wp:docPr id="7" name="Snip Single Corner Rectangle 7"/>
                <wp:cNvGraphicFramePr/>
                <a:graphic xmlns:a="http://schemas.openxmlformats.org/drawingml/2006/main">
                  <a:graphicData uri="http://schemas.microsoft.com/office/word/2010/wordprocessingShape">
                    <wps:wsp>
                      <wps:cNvSpPr/>
                      <wps:spPr>
                        <a:xfrm rot="10800000" flipV="1">
                          <a:off x="0" y="0"/>
                          <a:ext cx="6156000" cy="8085600"/>
                        </a:xfrm>
                        <a:prstGeom prst="snip1Rect">
                          <a:avLst>
                            <a:gd name="adj" fmla="val 5167"/>
                          </a:avLst>
                        </a:prstGeom>
                        <a:solidFill>
                          <a:srgbClr val="E0E4E4"/>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1"/>
                        </a:lnRef>
                        <a:fillRef idx="3">
                          <a:schemeClr val="accent1"/>
                        </a:fillRef>
                        <a:effectRef idx="2">
                          <a:schemeClr val="accent1"/>
                        </a:effectRef>
                        <a:fontRef idx="minor">
                          <a:schemeClr val="lt1"/>
                        </a:fontRef>
                      </wps:style>
                      <wps:txbx>
                        <w:txbxContent>
                          <w:tbl>
                            <w:tblPr>
                              <w:tblW w:w="0" w:type="auto"/>
                              <w:tblInd w:w="284" w:type="dxa"/>
                              <w:tblLayout w:type="fixed"/>
                              <w:tblLook w:val="04A0" w:firstRow="1" w:lastRow="0" w:firstColumn="1" w:lastColumn="0" w:noHBand="0" w:noVBand="1"/>
                            </w:tblPr>
                            <w:tblGrid>
                              <w:gridCol w:w="4644"/>
                            </w:tblGrid>
                            <w:tr w:rsidR="00D23B55" w:rsidRPr="00CA47B9" w:rsidTr="00AE3770">
                              <w:trPr>
                                <w:trHeight w:val="1588"/>
                              </w:trPr>
                              <w:tc>
                                <w:tcPr>
                                  <w:tcW w:w="4644" w:type="dxa"/>
                                  <w:hideMark/>
                                </w:tcPr>
                                <w:p w:rsidR="00D23B55" w:rsidRPr="00CA47B9" w:rsidRDefault="00D23B55" w:rsidP="00CF74BA">
                                  <w:pPr>
                                    <w:pStyle w:val="ReportTitle"/>
                                  </w:pPr>
                                  <w:r w:rsidRPr="00CA47B9">
                                    <w:t>Chichester Housing and Economic Development Needs Assessment</w:t>
                                  </w:r>
                                </w:p>
                              </w:tc>
                            </w:tr>
                            <w:tr w:rsidR="00D23B55" w:rsidRPr="00CA47B9" w:rsidTr="00AE3770">
                              <w:trPr>
                                <w:trHeight w:val="2098"/>
                              </w:trPr>
                              <w:tc>
                                <w:tcPr>
                                  <w:tcW w:w="4644" w:type="dxa"/>
                                </w:tcPr>
                                <w:p w:rsidR="00D23B55" w:rsidRPr="00CA47B9" w:rsidRDefault="00D23B55" w:rsidP="00CF74BA">
                                  <w:pPr>
                                    <w:pStyle w:val="NameofClient"/>
                                  </w:pPr>
                                </w:p>
                                <w:p w:rsidR="00D23B55" w:rsidRPr="00CA47B9" w:rsidRDefault="00D23B55" w:rsidP="00AE3770">
                                  <w:pPr>
                                    <w:pStyle w:val="NameofClient"/>
                                    <w:ind w:firstLine="30"/>
                                  </w:pPr>
                                  <w:r w:rsidRPr="00CA47B9">
                                    <w:t>Chichester District Council</w:t>
                                  </w:r>
                                </w:p>
                                <w:p w:rsidR="00D23B55" w:rsidRPr="00CA47B9" w:rsidRDefault="00D23B55" w:rsidP="00CF74BA">
                                  <w:pPr>
                                    <w:pStyle w:val="NameofClient"/>
                                  </w:pPr>
                                </w:p>
                                <w:p w:rsidR="00D23B55" w:rsidRPr="00CA47B9" w:rsidRDefault="00D23B55" w:rsidP="00AE3770">
                                  <w:pPr>
                                    <w:pStyle w:val="NameofClient"/>
                                    <w:ind w:firstLine="30"/>
                                  </w:pPr>
                                  <w:r>
                                    <w:t>Final</w:t>
                                  </w:r>
                                  <w:r w:rsidRPr="00CA47B9">
                                    <w:t xml:space="preserve"> Report</w:t>
                                  </w:r>
                                </w:p>
                                <w:p w:rsidR="00D23B55" w:rsidRPr="00CA47B9" w:rsidRDefault="00D23B55" w:rsidP="00CF74BA">
                                  <w:pPr>
                                    <w:pStyle w:val="Dateofreport"/>
                                  </w:pPr>
                                </w:p>
                              </w:tc>
                            </w:tr>
                            <w:tr w:rsidR="00D23B55" w:rsidRPr="00CA47B9" w:rsidTr="00AE3770">
                              <w:trPr>
                                <w:trHeight w:val="340"/>
                              </w:trPr>
                              <w:tc>
                                <w:tcPr>
                                  <w:tcW w:w="4644" w:type="dxa"/>
                                  <w:hideMark/>
                                </w:tcPr>
                                <w:p w:rsidR="00D23B55" w:rsidRPr="00CA47B9" w:rsidRDefault="00D23B55" w:rsidP="00AE3770">
                                  <w:pPr>
                                    <w:pStyle w:val="Dateofreport"/>
                                    <w:ind w:firstLine="30"/>
                                  </w:pPr>
                                  <w:r>
                                    <w:t>September</w:t>
                                  </w:r>
                                  <w:r w:rsidRPr="00CA47B9">
                                    <w:t xml:space="preserve"> 20</w:t>
                                  </w:r>
                                  <w:r>
                                    <w:t>20</w:t>
                                  </w:r>
                                </w:p>
                              </w:tc>
                            </w:tr>
                            <w:tr w:rsidR="00D23B55" w:rsidRPr="00CA47B9" w:rsidTr="00AE3770">
                              <w:trPr>
                                <w:trHeight w:val="2523"/>
                              </w:trPr>
                              <w:tc>
                                <w:tcPr>
                                  <w:tcW w:w="4644" w:type="dxa"/>
                                </w:tcPr>
                                <w:p w:rsidR="00D23B55" w:rsidRPr="00CA47B9" w:rsidRDefault="00D23B55" w:rsidP="00CF74BA">
                                  <w:pPr>
                                    <w:pStyle w:val="12SubheadGrey"/>
                                    <w:rPr>
                                      <w:color w:val="E0E4E4"/>
                                    </w:rPr>
                                  </w:pPr>
                                </w:p>
                              </w:tc>
                            </w:tr>
                            <w:tr w:rsidR="00D23B55" w:rsidRPr="00CA47B9" w:rsidTr="00AE3770">
                              <w:trPr>
                                <w:trHeight w:val="3227"/>
                              </w:trPr>
                              <w:tc>
                                <w:tcPr>
                                  <w:tcW w:w="4644" w:type="dxa"/>
                                </w:tcPr>
                                <w:p w:rsidR="00D23B55" w:rsidRPr="00CA47B9" w:rsidRDefault="00D23B55" w:rsidP="00AE3770">
                                  <w:pPr>
                                    <w:pStyle w:val="12SubheadGreyCoverpage"/>
                                    <w:ind w:firstLine="30"/>
                                  </w:pPr>
                                  <w:r w:rsidRPr="00CA47B9">
                                    <w:t>Prepared by</w:t>
                                  </w:r>
                                </w:p>
                                <w:p w:rsidR="00D23B55" w:rsidRPr="00CA47B9" w:rsidRDefault="00D23B55" w:rsidP="00CF74BA">
                                  <w:pPr>
                                    <w:pStyle w:val="12SubheadGreyCoverpage"/>
                                  </w:pPr>
                                </w:p>
                                <w:p w:rsidR="00D23B55" w:rsidRPr="00CA47B9" w:rsidRDefault="00D23B55" w:rsidP="00AE3770">
                                  <w:pPr>
                                    <w:pStyle w:val="12SubheadGreyCoverpage"/>
                                    <w:ind w:firstLine="0"/>
                                  </w:pPr>
                                  <w:r w:rsidRPr="00CA47B9">
                                    <w:t>GL Hearn</w:t>
                                  </w:r>
                                </w:p>
                                <w:p w:rsidR="00D23B55" w:rsidRPr="00CA47B9" w:rsidRDefault="00D23B55" w:rsidP="00CF74BA">
                                  <w:pPr>
                                    <w:pStyle w:val="12SubheadGreyCoverpage"/>
                                  </w:pPr>
                                </w:p>
                                <w:p w:rsidR="00D23B55" w:rsidRPr="00CA47B9" w:rsidRDefault="00D23B55" w:rsidP="00CF74BA">
                                  <w:pPr>
                                    <w:pStyle w:val="12SubheadGrey"/>
                                  </w:pPr>
                                  <w:r w:rsidRPr="00CA47B9">
                                    <w:t xml:space="preserve">65 Gresham St </w:t>
                                  </w:r>
                                </w:p>
                                <w:p w:rsidR="00D23B55" w:rsidRPr="00CA47B9" w:rsidRDefault="00D23B55" w:rsidP="00CF74BA">
                                  <w:pPr>
                                    <w:pStyle w:val="12SubheadGrey"/>
                                  </w:pPr>
                                  <w:r w:rsidRPr="00CA47B9">
                                    <w:t>London EC2V 7NQ</w:t>
                                  </w:r>
                                </w:p>
                                <w:p w:rsidR="00D23B55" w:rsidRPr="00CA47B9" w:rsidRDefault="00D23B55" w:rsidP="00CF74BA">
                                  <w:pPr>
                                    <w:pStyle w:val="12SubheadGrey"/>
                                  </w:pPr>
                                </w:p>
                                <w:p w:rsidR="00D23B55" w:rsidRPr="00CA47B9" w:rsidRDefault="00D23B55" w:rsidP="00CF74BA">
                                  <w:pPr>
                                    <w:pStyle w:val="12SubheadGrey"/>
                                    <w:tabs>
                                      <w:tab w:val="left" w:pos="323"/>
                                    </w:tabs>
                                  </w:pPr>
                                  <w:r w:rsidRPr="00CA47B9">
                                    <w:t>T</w:t>
                                  </w:r>
                                  <w:r w:rsidRPr="00CA47B9">
                                    <w:tab/>
                                    <w:t>+44 (0)20 7851 4900</w:t>
                                  </w:r>
                                </w:p>
                                <w:p w:rsidR="00D23B55" w:rsidRPr="00CA47B9" w:rsidRDefault="00D23B55" w:rsidP="00AE3770">
                                  <w:pPr>
                                    <w:pStyle w:val="12SubheadGreyCoverpage"/>
                                    <w:ind w:firstLine="0"/>
                                    <w:rPr>
                                      <w:color w:val="auto"/>
                                      <w:sz w:val="20"/>
                                      <w:szCs w:val="20"/>
                                    </w:rPr>
                                  </w:pPr>
                                  <w:r w:rsidRPr="00CA47B9">
                                    <w:t>glhearn.com</w:t>
                                  </w:r>
                                </w:p>
                                <w:p w:rsidR="00D23B55" w:rsidRPr="00CA47B9" w:rsidRDefault="00D23B55" w:rsidP="00CF74BA">
                                  <w:pPr>
                                    <w:pStyle w:val="12SubheadGreyCoverpage"/>
                                  </w:pPr>
                                </w:p>
                              </w:tc>
                            </w:tr>
                          </w:tbl>
                          <w:p w:rsidR="00D23B55" w:rsidRDefault="00D23B55" w:rsidP="00CF74BA">
                            <w:pPr>
                              <w:jc w:val="center"/>
                            </w:pP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ingle Corner Rectangle 7" o:spid="_x0000_s1026" style="position:absolute;left:0;text-align:left;margin-left:70.9pt;margin-top:104.9pt;width:484.7pt;height:636.65pt;rotation:180;flip:y;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156000,8085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" adj="-11796480,,5400" path="m,l5837919,r318081,318081l6156000,8085600,,8085600,,xe" fillcolor="#e0e4e4" stroked="f">
                <v:stroke joinstyle="miter"/>
                <v:formulas/>
                <v:path arrowok="t" o:connecttype="custom" o:connectlocs="0,0;5837919,0;6156000,318081;6156000,8085600;0,8085600;0,0" o:connectangles="0,0,0,0,0,0" textboxrect="0,0,6156000,8085600"/>
                <v:textbox inset=",,,0">
                  <w:txbxContent>
                    <w:tbl>
                      <w:tblPr>
                        <w:tblW w:w="0" w:type="auto"/>
                        <w:tblInd w:w="284" w:type="dxa"/>
                        <w:tblLayout w:type="fixed"/>
                        <w:tblLook w:val="04A0" w:firstRow="1" w:lastRow="0" w:firstColumn="1" w:lastColumn="0" w:noHBand="0" w:noVBand="1"/>
                      </w:tblPr>
                      <w:tblGrid>
                        <w:gridCol w:w="4644"/>
                      </w:tblGrid>
                      <w:tr w:rsidR="00D23B55" w:rsidRPr="00CA47B9" w:rsidTr="00AE3770">
                        <w:trPr>
                          <w:trHeight w:val="1588"/>
                        </w:trPr>
                        <w:tc>
                          <w:tcPr>
                            <w:tcW w:w="4644" w:type="dxa"/>
                            <w:hideMark/>
                          </w:tcPr>
                          <w:p w:rsidR="00D23B55" w:rsidRPr="00CA47B9" w:rsidRDefault="00D23B55" w:rsidP="00CF74BA">
                            <w:pPr>
                              <w:pStyle w:val="ReportTitle"/>
                            </w:pPr>
                            <w:r w:rsidRPr="00CA47B9">
                              <w:t>Chichester Housing and Economic Development Needs Assessment</w:t>
                            </w:r>
                          </w:p>
                        </w:tc>
                      </w:tr>
                      <w:tr w:rsidR="00D23B55" w:rsidRPr="00CA47B9" w:rsidTr="00AE3770">
                        <w:trPr>
                          <w:trHeight w:val="2098"/>
                        </w:trPr>
                        <w:tc>
                          <w:tcPr>
                            <w:tcW w:w="4644" w:type="dxa"/>
                          </w:tcPr>
                          <w:p w:rsidR="00D23B55" w:rsidRPr="00CA47B9" w:rsidRDefault="00D23B55" w:rsidP="00CF74BA">
                            <w:pPr>
                              <w:pStyle w:val="NameofClient"/>
                            </w:pPr>
                          </w:p>
                          <w:p w:rsidR="00D23B55" w:rsidRPr="00CA47B9" w:rsidRDefault="00D23B55" w:rsidP="00AE3770">
                            <w:pPr>
                              <w:pStyle w:val="NameofClient"/>
                              <w:ind w:firstLine="30"/>
                            </w:pPr>
                            <w:r w:rsidRPr="00CA47B9">
                              <w:t>Chichester District Council</w:t>
                            </w:r>
                          </w:p>
                          <w:p w:rsidR="00D23B55" w:rsidRPr="00CA47B9" w:rsidRDefault="00D23B55" w:rsidP="00CF74BA">
                            <w:pPr>
                              <w:pStyle w:val="NameofClient"/>
                            </w:pPr>
                          </w:p>
                          <w:p w:rsidR="00D23B55" w:rsidRPr="00CA47B9" w:rsidRDefault="00D23B55" w:rsidP="00AE3770">
                            <w:pPr>
                              <w:pStyle w:val="NameofClient"/>
                              <w:ind w:firstLine="30"/>
                            </w:pPr>
                            <w:r>
                              <w:t>Final</w:t>
                            </w:r>
                            <w:r w:rsidRPr="00CA47B9">
                              <w:t xml:space="preserve"> Report</w:t>
                            </w:r>
                          </w:p>
                          <w:p w:rsidR="00D23B55" w:rsidRPr="00CA47B9" w:rsidRDefault="00D23B55" w:rsidP="00CF74BA">
                            <w:pPr>
                              <w:pStyle w:val="Dateofreport"/>
                            </w:pPr>
                          </w:p>
                        </w:tc>
                      </w:tr>
                      <w:tr w:rsidR="00D23B55" w:rsidRPr="00CA47B9" w:rsidTr="00AE3770">
                        <w:trPr>
                          <w:trHeight w:val="340"/>
                        </w:trPr>
                        <w:tc>
                          <w:tcPr>
                            <w:tcW w:w="4644" w:type="dxa"/>
                            <w:hideMark/>
                          </w:tcPr>
                          <w:p w:rsidR="00D23B55" w:rsidRPr="00CA47B9" w:rsidRDefault="00D23B55" w:rsidP="00AE3770">
                            <w:pPr>
                              <w:pStyle w:val="Dateofreport"/>
                              <w:ind w:firstLine="30"/>
                            </w:pPr>
                            <w:r>
                              <w:t>September</w:t>
                            </w:r>
                            <w:r w:rsidRPr="00CA47B9">
                              <w:t xml:space="preserve"> 20</w:t>
                            </w:r>
                            <w:r>
                              <w:t>20</w:t>
                            </w:r>
                          </w:p>
                        </w:tc>
                      </w:tr>
                      <w:tr w:rsidR="00D23B55" w:rsidRPr="00CA47B9" w:rsidTr="00AE3770">
                        <w:trPr>
                          <w:trHeight w:val="2523"/>
                        </w:trPr>
                        <w:tc>
                          <w:tcPr>
                            <w:tcW w:w="4644" w:type="dxa"/>
                          </w:tcPr>
                          <w:p w:rsidR="00D23B55" w:rsidRPr="00CA47B9" w:rsidRDefault="00D23B55" w:rsidP="00CF74BA">
                            <w:pPr>
                              <w:pStyle w:val="12SubheadGrey"/>
                              <w:rPr>
                                <w:color w:val="E0E4E4"/>
                              </w:rPr>
                            </w:pPr>
                          </w:p>
                        </w:tc>
                      </w:tr>
                      <w:tr w:rsidR="00D23B55" w:rsidRPr="00CA47B9" w:rsidTr="00AE3770">
                        <w:trPr>
                          <w:trHeight w:val="3227"/>
                        </w:trPr>
                        <w:tc>
                          <w:tcPr>
                            <w:tcW w:w="4644" w:type="dxa"/>
                          </w:tcPr>
                          <w:p w:rsidR="00D23B55" w:rsidRPr="00CA47B9" w:rsidRDefault="00D23B55" w:rsidP="00AE3770">
                            <w:pPr>
                              <w:pStyle w:val="12SubheadGreyCoverpage"/>
                              <w:ind w:firstLine="30"/>
                            </w:pPr>
                            <w:r w:rsidRPr="00CA47B9">
                              <w:t>Prepared by</w:t>
                            </w:r>
                          </w:p>
                          <w:p w:rsidR="00D23B55" w:rsidRPr="00CA47B9" w:rsidRDefault="00D23B55" w:rsidP="00CF74BA">
                            <w:pPr>
                              <w:pStyle w:val="12SubheadGreyCoverpage"/>
                            </w:pPr>
                          </w:p>
                          <w:p w:rsidR="00D23B55" w:rsidRPr="00CA47B9" w:rsidRDefault="00D23B55" w:rsidP="00AE3770">
                            <w:pPr>
                              <w:pStyle w:val="12SubheadGreyCoverpage"/>
                              <w:ind w:firstLine="0"/>
                            </w:pPr>
                            <w:r w:rsidRPr="00CA47B9">
                              <w:t>GL Hearn</w:t>
                            </w:r>
                          </w:p>
                          <w:p w:rsidR="00D23B55" w:rsidRPr="00CA47B9" w:rsidRDefault="00D23B55" w:rsidP="00CF74BA">
                            <w:pPr>
                              <w:pStyle w:val="12SubheadGreyCoverpage"/>
                            </w:pPr>
                          </w:p>
                          <w:p w:rsidR="00D23B55" w:rsidRPr="00CA47B9" w:rsidRDefault="00D23B55" w:rsidP="00CF74BA">
                            <w:pPr>
                              <w:pStyle w:val="12SubheadGrey"/>
                            </w:pPr>
                            <w:r w:rsidRPr="00CA47B9">
                              <w:t xml:space="preserve">65 Gresham St </w:t>
                            </w:r>
                          </w:p>
                          <w:p w:rsidR="00D23B55" w:rsidRPr="00CA47B9" w:rsidRDefault="00D23B55" w:rsidP="00CF74BA">
                            <w:pPr>
                              <w:pStyle w:val="12SubheadGrey"/>
                            </w:pPr>
                            <w:r w:rsidRPr="00CA47B9">
                              <w:t>London EC2V 7NQ</w:t>
                            </w:r>
                          </w:p>
                          <w:p w:rsidR="00D23B55" w:rsidRPr="00CA47B9" w:rsidRDefault="00D23B55" w:rsidP="00CF74BA">
                            <w:pPr>
                              <w:pStyle w:val="12SubheadGrey"/>
                            </w:pPr>
                          </w:p>
                          <w:p w:rsidR="00D23B55" w:rsidRPr="00CA47B9" w:rsidRDefault="00D23B55" w:rsidP="00CF74BA">
                            <w:pPr>
                              <w:pStyle w:val="12SubheadGrey"/>
                              <w:tabs>
                                <w:tab w:val="left" w:pos="323"/>
                              </w:tabs>
                            </w:pPr>
                            <w:r w:rsidRPr="00CA47B9">
                              <w:t>T</w:t>
                            </w:r>
                            <w:r w:rsidRPr="00CA47B9">
                              <w:tab/>
                              <w:t>+44 (0)20 7851 4900</w:t>
                            </w:r>
                          </w:p>
                          <w:p w:rsidR="00D23B55" w:rsidRPr="00CA47B9" w:rsidRDefault="00D23B55" w:rsidP="00AE3770">
                            <w:pPr>
                              <w:pStyle w:val="12SubheadGreyCoverpage"/>
                              <w:ind w:firstLine="0"/>
                              <w:rPr>
                                <w:color w:val="auto"/>
                                <w:sz w:val="20"/>
                                <w:szCs w:val="20"/>
                              </w:rPr>
                            </w:pPr>
                            <w:r w:rsidRPr="00CA47B9">
                              <w:t>glhearn.com</w:t>
                            </w:r>
                          </w:p>
                          <w:p w:rsidR="00D23B55" w:rsidRPr="00CA47B9" w:rsidRDefault="00D23B55" w:rsidP="00CF74BA">
                            <w:pPr>
                              <w:pStyle w:val="12SubheadGreyCoverpage"/>
                            </w:pPr>
                          </w:p>
                        </w:tc>
                      </w:tr>
                    </w:tbl>
                    <w:p w:rsidR="00D23B55" w:rsidRDefault="00D23B55" w:rsidP="00CF74BA">
                      <w:pPr>
                        <w:jc w:val="center"/>
                      </w:pPr>
                    </w:p>
                  </w:txbxContent>
                </v:textbox>
                <w10:wrap anchorx="page" anchory="page"/>
                <w10:anchorlock/>
              </v:shape>
            </w:pict>
          </mc:Fallback>
        </mc:AlternateContent>
      </w:r>
    </w:p>
    <w:p w:rsidR="00A10F6F" w:rsidRPr="00CA47B9" w:rsidRDefault="00A10F6F" w:rsidP="00A10F6F">
      <w:pPr>
        <w:tabs>
          <w:tab w:val="left" w:pos="1760"/>
        </w:tabs>
        <w:sectPr w:rsidR="00A10F6F" w:rsidRPr="00CA47B9" w:rsidSect="00440C91">
          <w:headerReference w:type="default" r:id="rId9"/>
          <w:footerReference w:type="default" r:id="rId10"/>
          <w:headerReference w:type="first" r:id="rId11"/>
          <w:footerReference w:type="first" r:id="rId12"/>
          <w:type w:val="continuous"/>
          <w:pgSz w:w="11900" w:h="16840"/>
          <w:pgMar w:top="2438" w:right="851" w:bottom="1418" w:left="1985" w:header="709" w:footer="709" w:gutter="0"/>
          <w:cols w:space="720"/>
          <w:formProt w:val="0"/>
          <w:titlePg/>
        </w:sectPr>
      </w:pPr>
    </w:p>
    <w:p w:rsidR="00A10F6F" w:rsidRPr="00CF74BA" w:rsidRDefault="007E5934" w:rsidP="0081555E">
      <w:pPr>
        <w:pStyle w:val="Headingbold"/>
      </w:pPr>
      <w:r w:rsidRPr="00CF74BA">
        <w:lastRenderedPageBreak/>
        <w:t>Contents</w:t>
      </w:r>
      <w:r w:rsidR="004B41A2" w:rsidRPr="00CF74BA">
        <w:t xml:space="preserve"> </w:t>
      </w:r>
    </w:p>
    <w:p w:rsidR="007E5934" w:rsidRPr="00CF74BA" w:rsidRDefault="007E5934" w:rsidP="007E5934">
      <w:pPr>
        <w:pStyle w:val="Headingbold"/>
      </w:pPr>
    </w:p>
    <w:p w:rsidR="00923C8D" w:rsidRPr="00CA47B9" w:rsidRDefault="007E5934" w:rsidP="000365DF">
      <w:pPr>
        <w:pStyle w:val="BoldBodytext"/>
        <w:tabs>
          <w:tab w:val="right" w:pos="9072"/>
        </w:tabs>
      </w:pPr>
      <w:r w:rsidRPr="00CF74BA">
        <w:rPr>
          <w:sz w:val="24"/>
          <w:szCs w:val="24"/>
        </w:rPr>
        <w:t>Section</w:t>
      </w:r>
      <w:r w:rsidRPr="00CF74BA">
        <w:rPr>
          <w:sz w:val="24"/>
          <w:szCs w:val="24"/>
        </w:rPr>
        <w:tab/>
        <w:t>Page</w:t>
      </w:r>
    </w:p>
    <w:p w:rsidR="00E54308" w:rsidRPr="00CF74BA" w:rsidRDefault="00DB1498">
      <w:pPr>
        <w:pStyle w:val="TOC1"/>
        <w:rPr>
          <w:rFonts w:asciiTheme="minorHAnsi" w:hAnsiTheme="minorHAnsi" w:cstheme="minorBidi"/>
          <w:b w:val="0"/>
          <w:bCs w:val="0"/>
          <w:caps w:val="0"/>
          <w:color w:val="auto"/>
          <w:sz w:val="28"/>
          <w:szCs w:val="28"/>
          <w:lang w:eastAsia="en-GB"/>
        </w:rPr>
      </w:pPr>
      <w:r w:rsidRPr="00CF74BA">
        <w:rPr>
          <w:noProof w:val="0"/>
          <w:sz w:val="24"/>
          <w:szCs w:val="24"/>
        </w:rPr>
        <w:fldChar w:fldCharType="begin"/>
      </w:r>
      <w:r w:rsidRPr="00CF74BA">
        <w:rPr>
          <w:noProof w:val="0"/>
          <w:sz w:val="24"/>
          <w:szCs w:val="24"/>
        </w:rPr>
        <w:instrText xml:space="preserve"> TOC \t "1 Body text,1" </w:instrText>
      </w:r>
      <w:r w:rsidRPr="00CF74BA">
        <w:rPr>
          <w:noProof w:val="0"/>
          <w:sz w:val="24"/>
          <w:szCs w:val="24"/>
        </w:rPr>
        <w:fldChar w:fldCharType="separate"/>
      </w:r>
      <w:r w:rsidR="00E54308" w:rsidRPr="00CF74BA">
        <w:rPr>
          <w:sz w:val="24"/>
          <w:szCs w:val="24"/>
        </w:rPr>
        <w:t>Executive summary</w:t>
      </w:r>
      <w:r w:rsidR="00E54308" w:rsidRPr="00CF74BA">
        <w:rPr>
          <w:sz w:val="24"/>
          <w:szCs w:val="24"/>
        </w:rPr>
        <w:tab/>
      </w:r>
      <w:r w:rsidR="00E54308" w:rsidRPr="00CF74BA">
        <w:rPr>
          <w:sz w:val="24"/>
          <w:szCs w:val="24"/>
        </w:rPr>
        <w:fldChar w:fldCharType="begin"/>
      </w:r>
      <w:r w:rsidR="00E54308" w:rsidRPr="00CF74BA">
        <w:rPr>
          <w:sz w:val="24"/>
          <w:szCs w:val="24"/>
        </w:rPr>
        <w:instrText xml:space="preserve"> PAGEREF _Toc51600007 \h </w:instrText>
      </w:r>
      <w:r w:rsidR="00E54308" w:rsidRPr="00CF74BA">
        <w:rPr>
          <w:sz w:val="24"/>
          <w:szCs w:val="24"/>
        </w:rPr>
      </w:r>
      <w:r w:rsidR="00E54308" w:rsidRPr="00CF74BA">
        <w:rPr>
          <w:sz w:val="24"/>
          <w:szCs w:val="24"/>
        </w:rPr>
        <w:fldChar w:fldCharType="separate"/>
      </w:r>
      <w:r w:rsidR="002C0791">
        <w:rPr>
          <w:sz w:val="24"/>
          <w:szCs w:val="24"/>
        </w:rPr>
        <w:t>4</w:t>
      </w:r>
      <w:r w:rsidR="00E54308" w:rsidRPr="00CF74BA">
        <w:rPr>
          <w:sz w:val="24"/>
          <w:szCs w:val="24"/>
        </w:rPr>
        <w:fldChar w:fldCharType="end"/>
      </w:r>
    </w:p>
    <w:p w:rsidR="00E54308" w:rsidRPr="00CF74BA" w:rsidRDefault="00E54308">
      <w:pPr>
        <w:pStyle w:val="TOC1"/>
        <w:rPr>
          <w:rFonts w:asciiTheme="minorHAnsi" w:hAnsiTheme="minorHAnsi" w:cstheme="minorBidi"/>
          <w:b w:val="0"/>
          <w:bCs w:val="0"/>
          <w:caps w:val="0"/>
          <w:color w:val="auto"/>
          <w:sz w:val="28"/>
          <w:szCs w:val="28"/>
          <w:lang w:eastAsia="en-GB"/>
        </w:rPr>
      </w:pPr>
      <w:r w:rsidRPr="00CF74BA">
        <w:rPr>
          <w:rFonts w:cstheme="minorHAnsi"/>
          <w:color w:val="auto"/>
          <w:sz w:val="24"/>
          <w:szCs w:val="24"/>
        </w:rPr>
        <w:t>1</w:t>
      </w:r>
      <w:r w:rsidRPr="00CF74BA">
        <w:rPr>
          <w:rFonts w:asciiTheme="minorHAnsi" w:hAnsiTheme="minorHAnsi" w:cstheme="minorBidi"/>
          <w:b w:val="0"/>
          <w:bCs w:val="0"/>
          <w:caps w:val="0"/>
          <w:color w:val="auto"/>
          <w:sz w:val="28"/>
          <w:szCs w:val="28"/>
          <w:lang w:eastAsia="en-GB"/>
        </w:rPr>
        <w:tab/>
      </w:r>
      <w:r w:rsidRPr="00CF74BA">
        <w:rPr>
          <w:rFonts w:asciiTheme="minorHAnsi" w:hAnsiTheme="minorHAnsi" w:cstheme="minorHAnsi"/>
          <w:sz w:val="24"/>
          <w:szCs w:val="24"/>
        </w:rPr>
        <w:t>introduction</w:t>
      </w:r>
      <w:r w:rsidRPr="00CF74BA">
        <w:rPr>
          <w:sz w:val="24"/>
          <w:szCs w:val="24"/>
        </w:rPr>
        <w:tab/>
      </w:r>
      <w:r w:rsidRPr="00CF74BA">
        <w:rPr>
          <w:sz w:val="24"/>
          <w:szCs w:val="24"/>
        </w:rPr>
        <w:fldChar w:fldCharType="begin"/>
      </w:r>
      <w:r w:rsidRPr="00CF74BA">
        <w:rPr>
          <w:sz w:val="24"/>
          <w:szCs w:val="24"/>
        </w:rPr>
        <w:instrText xml:space="preserve"> PAGEREF _Toc51600008 \h </w:instrText>
      </w:r>
      <w:r w:rsidRPr="00CF74BA">
        <w:rPr>
          <w:sz w:val="24"/>
          <w:szCs w:val="24"/>
        </w:rPr>
      </w:r>
      <w:r w:rsidRPr="00CF74BA">
        <w:rPr>
          <w:sz w:val="24"/>
          <w:szCs w:val="24"/>
        </w:rPr>
        <w:fldChar w:fldCharType="separate"/>
      </w:r>
      <w:r w:rsidR="002C0791">
        <w:rPr>
          <w:sz w:val="24"/>
          <w:szCs w:val="24"/>
        </w:rPr>
        <w:t>12</w:t>
      </w:r>
      <w:r w:rsidRPr="00CF74BA">
        <w:rPr>
          <w:sz w:val="24"/>
          <w:szCs w:val="24"/>
        </w:rPr>
        <w:fldChar w:fldCharType="end"/>
      </w:r>
    </w:p>
    <w:p w:rsidR="00E54308" w:rsidRPr="00CF74BA" w:rsidRDefault="00E54308">
      <w:pPr>
        <w:pStyle w:val="TOC1"/>
        <w:rPr>
          <w:rFonts w:asciiTheme="minorHAnsi" w:hAnsiTheme="minorHAnsi" w:cstheme="minorBidi"/>
          <w:b w:val="0"/>
          <w:bCs w:val="0"/>
          <w:caps w:val="0"/>
          <w:color w:val="auto"/>
          <w:sz w:val="28"/>
          <w:szCs w:val="28"/>
          <w:lang w:eastAsia="en-GB"/>
        </w:rPr>
      </w:pPr>
      <w:r w:rsidRPr="00CF74BA">
        <w:rPr>
          <w:rFonts w:cstheme="minorHAnsi"/>
          <w:color w:val="auto"/>
          <w:sz w:val="24"/>
          <w:szCs w:val="24"/>
        </w:rPr>
        <w:t>2</w:t>
      </w:r>
      <w:r w:rsidRPr="00CF74BA">
        <w:rPr>
          <w:rFonts w:asciiTheme="minorHAnsi" w:hAnsiTheme="minorHAnsi" w:cstheme="minorBidi"/>
          <w:b w:val="0"/>
          <w:bCs w:val="0"/>
          <w:caps w:val="0"/>
          <w:color w:val="auto"/>
          <w:sz w:val="28"/>
          <w:szCs w:val="28"/>
          <w:lang w:eastAsia="en-GB"/>
        </w:rPr>
        <w:tab/>
      </w:r>
      <w:r w:rsidRPr="00CF74BA">
        <w:rPr>
          <w:rFonts w:asciiTheme="minorHAnsi" w:hAnsiTheme="minorHAnsi" w:cstheme="minorHAnsi"/>
          <w:sz w:val="24"/>
          <w:szCs w:val="24"/>
        </w:rPr>
        <w:t>HOUSING MARKET DYNAMICS</w:t>
      </w:r>
      <w:r w:rsidRPr="00CF74BA">
        <w:rPr>
          <w:sz w:val="24"/>
          <w:szCs w:val="24"/>
        </w:rPr>
        <w:tab/>
      </w:r>
      <w:r w:rsidRPr="00CF74BA">
        <w:rPr>
          <w:sz w:val="24"/>
          <w:szCs w:val="24"/>
        </w:rPr>
        <w:fldChar w:fldCharType="begin"/>
      </w:r>
      <w:r w:rsidRPr="00CF74BA">
        <w:rPr>
          <w:sz w:val="24"/>
          <w:szCs w:val="24"/>
        </w:rPr>
        <w:instrText xml:space="preserve"> PAGEREF _Toc51600009 \h </w:instrText>
      </w:r>
      <w:r w:rsidRPr="00CF74BA">
        <w:rPr>
          <w:sz w:val="24"/>
          <w:szCs w:val="24"/>
        </w:rPr>
      </w:r>
      <w:r w:rsidRPr="00CF74BA">
        <w:rPr>
          <w:sz w:val="24"/>
          <w:szCs w:val="24"/>
        </w:rPr>
        <w:fldChar w:fldCharType="separate"/>
      </w:r>
      <w:r w:rsidR="002C0791">
        <w:rPr>
          <w:sz w:val="24"/>
          <w:szCs w:val="24"/>
        </w:rPr>
        <w:t>19</w:t>
      </w:r>
      <w:r w:rsidRPr="00CF74BA">
        <w:rPr>
          <w:sz w:val="24"/>
          <w:szCs w:val="24"/>
        </w:rPr>
        <w:fldChar w:fldCharType="end"/>
      </w:r>
    </w:p>
    <w:p w:rsidR="00E54308" w:rsidRPr="00CF74BA" w:rsidRDefault="00E54308">
      <w:pPr>
        <w:pStyle w:val="TOC1"/>
        <w:rPr>
          <w:rFonts w:asciiTheme="minorHAnsi" w:hAnsiTheme="minorHAnsi" w:cstheme="minorBidi"/>
          <w:b w:val="0"/>
          <w:bCs w:val="0"/>
          <w:caps w:val="0"/>
          <w:color w:val="auto"/>
          <w:sz w:val="28"/>
          <w:szCs w:val="28"/>
          <w:lang w:eastAsia="en-GB"/>
        </w:rPr>
      </w:pPr>
      <w:r w:rsidRPr="00CF74BA">
        <w:rPr>
          <w:rFonts w:cstheme="minorHAnsi"/>
          <w:color w:val="auto"/>
          <w:sz w:val="24"/>
          <w:szCs w:val="24"/>
        </w:rPr>
        <w:t>3</w:t>
      </w:r>
      <w:r w:rsidRPr="00CF74BA">
        <w:rPr>
          <w:rFonts w:asciiTheme="minorHAnsi" w:hAnsiTheme="minorHAnsi" w:cstheme="minorBidi"/>
          <w:b w:val="0"/>
          <w:bCs w:val="0"/>
          <w:caps w:val="0"/>
          <w:color w:val="auto"/>
          <w:sz w:val="28"/>
          <w:szCs w:val="28"/>
          <w:lang w:eastAsia="en-GB"/>
        </w:rPr>
        <w:tab/>
      </w:r>
      <w:r w:rsidRPr="00CF74BA">
        <w:rPr>
          <w:rFonts w:asciiTheme="minorHAnsi" w:hAnsiTheme="minorHAnsi" w:cstheme="minorHAnsi"/>
          <w:sz w:val="24"/>
          <w:szCs w:val="24"/>
        </w:rPr>
        <w:t>demographic Profile &amp; HOUSING NEED</w:t>
      </w:r>
      <w:r w:rsidRPr="00CF74BA">
        <w:rPr>
          <w:sz w:val="24"/>
          <w:szCs w:val="24"/>
        </w:rPr>
        <w:tab/>
      </w:r>
      <w:r w:rsidRPr="00CF74BA">
        <w:rPr>
          <w:sz w:val="24"/>
          <w:szCs w:val="24"/>
        </w:rPr>
        <w:fldChar w:fldCharType="begin"/>
      </w:r>
      <w:r w:rsidRPr="00CF74BA">
        <w:rPr>
          <w:sz w:val="24"/>
          <w:szCs w:val="24"/>
        </w:rPr>
        <w:instrText xml:space="preserve"> PAGEREF _Toc51600010 \h </w:instrText>
      </w:r>
      <w:r w:rsidRPr="00CF74BA">
        <w:rPr>
          <w:sz w:val="24"/>
          <w:szCs w:val="24"/>
        </w:rPr>
      </w:r>
      <w:r w:rsidRPr="00CF74BA">
        <w:rPr>
          <w:sz w:val="24"/>
          <w:szCs w:val="24"/>
        </w:rPr>
        <w:fldChar w:fldCharType="separate"/>
      </w:r>
      <w:r w:rsidR="002C0791">
        <w:rPr>
          <w:sz w:val="24"/>
          <w:szCs w:val="24"/>
        </w:rPr>
        <w:t>45</w:t>
      </w:r>
      <w:r w:rsidRPr="00CF74BA">
        <w:rPr>
          <w:sz w:val="24"/>
          <w:szCs w:val="24"/>
        </w:rPr>
        <w:fldChar w:fldCharType="end"/>
      </w:r>
    </w:p>
    <w:p w:rsidR="00E54308" w:rsidRPr="00CF74BA" w:rsidRDefault="00E54308">
      <w:pPr>
        <w:pStyle w:val="TOC1"/>
        <w:rPr>
          <w:rFonts w:asciiTheme="minorHAnsi" w:hAnsiTheme="minorHAnsi" w:cstheme="minorBidi"/>
          <w:b w:val="0"/>
          <w:bCs w:val="0"/>
          <w:caps w:val="0"/>
          <w:color w:val="auto"/>
          <w:sz w:val="28"/>
          <w:szCs w:val="28"/>
          <w:lang w:eastAsia="en-GB"/>
        </w:rPr>
      </w:pPr>
      <w:r w:rsidRPr="00CF74BA">
        <w:rPr>
          <w:rFonts w:cstheme="minorHAnsi"/>
          <w:color w:val="auto"/>
          <w:sz w:val="24"/>
          <w:szCs w:val="24"/>
        </w:rPr>
        <w:t>4</w:t>
      </w:r>
      <w:r w:rsidRPr="00CF74BA">
        <w:rPr>
          <w:rFonts w:asciiTheme="minorHAnsi" w:hAnsiTheme="minorHAnsi" w:cstheme="minorBidi"/>
          <w:b w:val="0"/>
          <w:bCs w:val="0"/>
          <w:caps w:val="0"/>
          <w:color w:val="auto"/>
          <w:sz w:val="28"/>
          <w:szCs w:val="28"/>
          <w:lang w:eastAsia="en-GB"/>
        </w:rPr>
        <w:tab/>
      </w:r>
      <w:r w:rsidRPr="00CF74BA">
        <w:rPr>
          <w:rFonts w:asciiTheme="minorHAnsi" w:hAnsiTheme="minorHAnsi" w:cstheme="minorHAnsi"/>
          <w:sz w:val="24"/>
          <w:szCs w:val="24"/>
        </w:rPr>
        <w:t>The Economy and Labour Market</w:t>
      </w:r>
      <w:r w:rsidRPr="00CF74BA">
        <w:rPr>
          <w:sz w:val="24"/>
          <w:szCs w:val="24"/>
        </w:rPr>
        <w:tab/>
      </w:r>
      <w:r w:rsidRPr="00CF74BA">
        <w:rPr>
          <w:sz w:val="24"/>
          <w:szCs w:val="24"/>
        </w:rPr>
        <w:fldChar w:fldCharType="begin"/>
      </w:r>
      <w:r w:rsidRPr="00CF74BA">
        <w:rPr>
          <w:sz w:val="24"/>
          <w:szCs w:val="24"/>
        </w:rPr>
        <w:instrText xml:space="preserve"> PAGEREF _Toc51600011 \h </w:instrText>
      </w:r>
      <w:r w:rsidRPr="00CF74BA">
        <w:rPr>
          <w:sz w:val="24"/>
          <w:szCs w:val="24"/>
        </w:rPr>
      </w:r>
      <w:r w:rsidRPr="00CF74BA">
        <w:rPr>
          <w:sz w:val="24"/>
          <w:szCs w:val="24"/>
        </w:rPr>
        <w:fldChar w:fldCharType="separate"/>
      </w:r>
      <w:r w:rsidR="002C0791">
        <w:rPr>
          <w:sz w:val="24"/>
          <w:szCs w:val="24"/>
        </w:rPr>
        <w:t>60</w:t>
      </w:r>
      <w:r w:rsidRPr="00CF74BA">
        <w:rPr>
          <w:sz w:val="24"/>
          <w:szCs w:val="24"/>
        </w:rPr>
        <w:fldChar w:fldCharType="end"/>
      </w:r>
    </w:p>
    <w:p w:rsidR="00E54308" w:rsidRPr="00CF74BA" w:rsidRDefault="00E54308">
      <w:pPr>
        <w:pStyle w:val="TOC1"/>
        <w:rPr>
          <w:rFonts w:asciiTheme="minorHAnsi" w:hAnsiTheme="minorHAnsi" w:cstheme="minorBidi"/>
          <w:b w:val="0"/>
          <w:bCs w:val="0"/>
          <w:caps w:val="0"/>
          <w:color w:val="auto"/>
          <w:sz w:val="28"/>
          <w:szCs w:val="28"/>
          <w:lang w:eastAsia="en-GB"/>
        </w:rPr>
      </w:pPr>
      <w:r w:rsidRPr="00CF74BA">
        <w:rPr>
          <w:rFonts w:cstheme="minorHAnsi"/>
          <w:color w:val="auto"/>
          <w:sz w:val="24"/>
          <w:szCs w:val="24"/>
        </w:rPr>
        <w:t>5</w:t>
      </w:r>
      <w:r w:rsidRPr="00CF74BA">
        <w:rPr>
          <w:rFonts w:asciiTheme="minorHAnsi" w:hAnsiTheme="minorHAnsi" w:cstheme="minorBidi"/>
          <w:b w:val="0"/>
          <w:bCs w:val="0"/>
          <w:caps w:val="0"/>
          <w:color w:val="auto"/>
          <w:sz w:val="28"/>
          <w:szCs w:val="28"/>
          <w:lang w:eastAsia="en-GB"/>
        </w:rPr>
        <w:tab/>
      </w:r>
      <w:r w:rsidRPr="00CF74BA">
        <w:rPr>
          <w:rFonts w:asciiTheme="minorHAnsi" w:hAnsiTheme="minorHAnsi" w:cstheme="minorHAnsi"/>
          <w:sz w:val="24"/>
          <w:szCs w:val="24"/>
        </w:rPr>
        <w:t>Employment Forecasts</w:t>
      </w:r>
      <w:r w:rsidRPr="00CF74BA">
        <w:rPr>
          <w:sz w:val="24"/>
          <w:szCs w:val="24"/>
        </w:rPr>
        <w:tab/>
      </w:r>
      <w:r w:rsidRPr="00CF74BA">
        <w:rPr>
          <w:sz w:val="24"/>
          <w:szCs w:val="24"/>
        </w:rPr>
        <w:fldChar w:fldCharType="begin"/>
      </w:r>
      <w:r w:rsidRPr="00CF74BA">
        <w:rPr>
          <w:sz w:val="24"/>
          <w:szCs w:val="24"/>
        </w:rPr>
        <w:instrText xml:space="preserve"> PAGEREF _Toc51600012 \h </w:instrText>
      </w:r>
      <w:r w:rsidRPr="00CF74BA">
        <w:rPr>
          <w:sz w:val="24"/>
          <w:szCs w:val="24"/>
        </w:rPr>
      </w:r>
      <w:r w:rsidRPr="00CF74BA">
        <w:rPr>
          <w:sz w:val="24"/>
          <w:szCs w:val="24"/>
        </w:rPr>
        <w:fldChar w:fldCharType="separate"/>
      </w:r>
      <w:r w:rsidR="002C0791">
        <w:rPr>
          <w:sz w:val="24"/>
          <w:szCs w:val="24"/>
        </w:rPr>
        <w:t>72</w:t>
      </w:r>
      <w:r w:rsidRPr="00CF74BA">
        <w:rPr>
          <w:sz w:val="24"/>
          <w:szCs w:val="24"/>
        </w:rPr>
        <w:fldChar w:fldCharType="end"/>
      </w:r>
    </w:p>
    <w:p w:rsidR="00E54308" w:rsidRPr="00CF74BA" w:rsidRDefault="00E54308">
      <w:pPr>
        <w:pStyle w:val="TOC1"/>
        <w:rPr>
          <w:rFonts w:asciiTheme="minorHAnsi" w:hAnsiTheme="minorHAnsi" w:cstheme="minorBidi"/>
          <w:b w:val="0"/>
          <w:bCs w:val="0"/>
          <w:caps w:val="0"/>
          <w:color w:val="auto"/>
          <w:sz w:val="28"/>
          <w:szCs w:val="28"/>
          <w:lang w:eastAsia="en-GB"/>
        </w:rPr>
      </w:pPr>
      <w:r w:rsidRPr="00CF74BA">
        <w:rPr>
          <w:color w:val="auto"/>
          <w:sz w:val="24"/>
          <w:szCs w:val="24"/>
        </w:rPr>
        <w:t>6</w:t>
      </w:r>
      <w:r w:rsidRPr="00CF74BA">
        <w:rPr>
          <w:rFonts w:asciiTheme="minorHAnsi" w:hAnsiTheme="minorHAnsi" w:cstheme="minorBidi"/>
          <w:b w:val="0"/>
          <w:bCs w:val="0"/>
          <w:caps w:val="0"/>
          <w:color w:val="auto"/>
          <w:sz w:val="28"/>
          <w:szCs w:val="28"/>
          <w:lang w:eastAsia="en-GB"/>
        </w:rPr>
        <w:tab/>
      </w:r>
      <w:r w:rsidRPr="00CF74BA">
        <w:rPr>
          <w:sz w:val="24"/>
          <w:szCs w:val="24"/>
        </w:rPr>
        <w:t>Economic need led by housing growth</w:t>
      </w:r>
      <w:r w:rsidRPr="00CF74BA">
        <w:rPr>
          <w:sz w:val="24"/>
          <w:szCs w:val="24"/>
        </w:rPr>
        <w:tab/>
      </w:r>
      <w:r w:rsidRPr="00CF74BA">
        <w:rPr>
          <w:sz w:val="24"/>
          <w:szCs w:val="24"/>
        </w:rPr>
        <w:fldChar w:fldCharType="begin"/>
      </w:r>
      <w:r w:rsidRPr="00CF74BA">
        <w:rPr>
          <w:sz w:val="24"/>
          <w:szCs w:val="24"/>
        </w:rPr>
        <w:instrText xml:space="preserve"> PAGEREF _Toc51600014 \h </w:instrText>
      </w:r>
      <w:r w:rsidRPr="00CF74BA">
        <w:rPr>
          <w:sz w:val="24"/>
          <w:szCs w:val="24"/>
        </w:rPr>
      </w:r>
      <w:r w:rsidRPr="00CF74BA">
        <w:rPr>
          <w:sz w:val="24"/>
          <w:szCs w:val="24"/>
        </w:rPr>
        <w:fldChar w:fldCharType="separate"/>
      </w:r>
      <w:r w:rsidR="002C0791">
        <w:rPr>
          <w:sz w:val="24"/>
          <w:szCs w:val="24"/>
        </w:rPr>
        <w:t>84</w:t>
      </w:r>
      <w:r w:rsidRPr="00CF74BA">
        <w:rPr>
          <w:sz w:val="24"/>
          <w:szCs w:val="24"/>
        </w:rPr>
        <w:fldChar w:fldCharType="end"/>
      </w:r>
    </w:p>
    <w:p w:rsidR="00E54308" w:rsidRPr="00CF74BA" w:rsidRDefault="00E54308">
      <w:pPr>
        <w:pStyle w:val="TOC1"/>
        <w:rPr>
          <w:rFonts w:asciiTheme="minorHAnsi" w:hAnsiTheme="minorHAnsi" w:cstheme="minorBidi"/>
          <w:b w:val="0"/>
          <w:bCs w:val="0"/>
          <w:caps w:val="0"/>
          <w:color w:val="auto"/>
          <w:sz w:val="28"/>
          <w:szCs w:val="28"/>
          <w:lang w:eastAsia="en-GB"/>
        </w:rPr>
      </w:pPr>
      <w:r w:rsidRPr="00CF74BA">
        <w:rPr>
          <w:rFonts w:cstheme="minorHAnsi"/>
          <w:color w:val="auto"/>
          <w:sz w:val="24"/>
          <w:szCs w:val="24"/>
        </w:rPr>
        <w:t>7</w:t>
      </w:r>
      <w:r w:rsidRPr="00CF74BA">
        <w:rPr>
          <w:rFonts w:asciiTheme="minorHAnsi" w:hAnsiTheme="minorHAnsi" w:cstheme="minorBidi"/>
          <w:b w:val="0"/>
          <w:bCs w:val="0"/>
          <w:caps w:val="0"/>
          <w:color w:val="auto"/>
          <w:sz w:val="28"/>
          <w:szCs w:val="28"/>
          <w:lang w:eastAsia="en-GB"/>
        </w:rPr>
        <w:tab/>
      </w:r>
      <w:r w:rsidRPr="00CF74BA">
        <w:rPr>
          <w:rFonts w:asciiTheme="minorHAnsi" w:hAnsiTheme="minorHAnsi" w:cstheme="minorHAnsi"/>
          <w:sz w:val="24"/>
          <w:szCs w:val="24"/>
        </w:rPr>
        <w:t>Affordable Housing Need</w:t>
      </w:r>
      <w:r w:rsidRPr="00CF74BA">
        <w:rPr>
          <w:sz w:val="24"/>
          <w:szCs w:val="24"/>
        </w:rPr>
        <w:tab/>
      </w:r>
      <w:r w:rsidRPr="00CF74BA">
        <w:rPr>
          <w:sz w:val="24"/>
          <w:szCs w:val="24"/>
        </w:rPr>
        <w:fldChar w:fldCharType="begin"/>
      </w:r>
      <w:r w:rsidRPr="00CF74BA">
        <w:rPr>
          <w:sz w:val="24"/>
          <w:szCs w:val="24"/>
        </w:rPr>
        <w:instrText xml:space="preserve"> PAGEREF _Toc51600015 \h </w:instrText>
      </w:r>
      <w:r w:rsidRPr="00CF74BA">
        <w:rPr>
          <w:sz w:val="24"/>
          <w:szCs w:val="24"/>
        </w:rPr>
      </w:r>
      <w:r w:rsidRPr="00CF74BA">
        <w:rPr>
          <w:sz w:val="24"/>
          <w:szCs w:val="24"/>
        </w:rPr>
        <w:fldChar w:fldCharType="separate"/>
      </w:r>
      <w:r w:rsidR="002C0791">
        <w:rPr>
          <w:sz w:val="24"/>
          <w:szCs w:val="24"/>
        </w:rPr>
        <w:t>91</w:t>
      </w:r>
      <w:r w:rsidRPr="00CF74BA">
        <w:rPr>
          <w:sz w:val="24"/>
          <w:szCs w:val="24"/>
        </w:rPr>
        <w:fldChar w:fldCharType="end"/>
      </w:r>
    </w:p>
    <w:p w:rsidR="00E54308" w:rsidRPr="00CF74BA" w:rsidRDefault="00E54308">
      <w:pPr>
        <w:pStyle w:val="TOC1"/>
        <w:rPr>
          <w:rFonts w:asciiTheme="minorHAnsi" w:hAnsiTheme="minorHAnsi" w:cstheme="minorBidi"/>
          <w:b w:val="0"/>
          <w:bCs w:val="0"/>
          <w:caps w:val="0"/>
          <w:color w:val="auto"/>
          <w:sz w:val="28"/>
          <w:szCs w:val="28"/>
          <w:lang w:eastAsia="en-GB"/>
        </w:rPr>
      </w:pPr>
      <w:r w:rsidRPr="00CF74BA">
        <w:rPr>
          <w:color w:val="auto"/>
          <w:sz w:val="24"/>
          <w:szCs w:val="24"/>
        </w:rPr>
        <w:t>8</w:t>
      </w:r>
      <w:r w:rsidRPr="00CF74BA">
        <w:rPr>
          <w:rFonts w:asciiTheme="minorHAnsi" w:hAnsiTheme="minorHAnsi" w:cstheme="minorBidi"/>
          <w:b w:val="0"/>
          <w:bCs w:val="0"/>
          <w:caps w:val="0"/>
          <w:color w:val="auto"/>
          <w:sz w:val="28"/>
          <w:szCs w:val="28"/>
          <w:lang w:eastAsia="en-GB"/>
        </w:rPr>
        <w:tab/>
      </w:r>
      <w:r w:rsidRPr="00CF74BA">
        <w:rPr>
          <w:sz w:val="24"/>
          <w:szCs w:val="24"/>
        </w:rPr>
        <w:t>Need for Different Sizes of Homes</w:t>
      </w:r>
      <w:r w:rsidRPr="00CF74BA">
        <w:rPr>
          <w:sz w:val="24"/>
          <w:szCs w:val="24"/>
        </w:rPr>
        <w:tab/>
      </w:r>
      <w:r w:rsidRPr="00CF74BA">
        <w:rPr>
          <w:sz w:val="24"/>
          <w:szCs w:val="24"/>
        </w:rPr>
        <w:fldChar w:fldCharType="begin"/>
      </w:r>
      <w:r w:rsidRPr="00CF74BA">
        <w:rPr>
          <w:sz w:val="24"/>
          <w:szCs w:val="24"/>
        </w:rPr>
        <w:instrText xml:space="preserve"> PAGEREF _Toc51600016 \h </w:instrText>
      </w:r>
      <w:r w:rsidRPr="00CF74BA">
        <w:rPr>
          <w:sz w:val="24"/>
          <w:szCs w:val="24"/>
        </w:rPr>
      </w:r>
      <w:r w:rsidRPr="00CF74BA">
        <w:rPr>
          <w:sz w:val="24"/>
          <w:szCs w:val="24"/>
        </w:rPr>
        <w:fldChar w:fldCharType="separate"/>
      </w:r>
      <w:r w:rsidR="002C0791">
        <w:rPr>
          <w:sz w:val="24"/>
          <w:szCs w:val="24"/>
        </w:rPr>
        <w:t>113</w:t>
      </w:r>
      <w:r w:rsidRPr="00CF74BA">
        <w:rPr>
          <w:sz w:val="24"/>
          <w:szCs w:val="24"/>
        </w:rPr>
        <w:fldChar w:fldCharType="end"/>
      </w:r>
    </w:p>
    <w:p w:rsidR="00E54308" w:rsidRPr="00CF74BA" w:rsidRDefault="00E54308">
      <w:pPr>
        <w:pStyle w:val="TOC1"/>
        <w:rPr>
          <w:rFonts w:asciiTheme="minorHAnsi" w:hAnsiTheme="minorHAnsi" w:cstheme="minorBidi"/>
          <w:b w:val="0"/>
          <w:bCs w:val="0"/>
          <w:caps w:val="0"/>
          <w:color w:val="auto"/>
          <w:sz w:val="28"/>
          <w:szCs w:val="28"/>
          <w:lang w:eastAsia="en-GB"/>
        </w:rPr>
      </w:pPr>
      <w:r w:rsidRPr="00CF74BA">
        <w:rPr>
          <w:rFonts w:cstheme="minorHAnsi"/>
          <w:color w:val="auto"/>
          <w:sz w:val="24"/>
          <w:szCs w:val="24"/>
        </w:rPr>
        <w:t>9</w:t>
      </w:r>
      <w:r w:rsidRPr="00CF74BA">
        <w:rPr>
          <w:rFonts w:asciiTheme="minorHAnsi" w:hAnsiTheme="minorHAnsi" w:cstheme="minorBidi"/>
          <w:b w:val="0"/>
          <w:bCs w:val="0"/>
          <w:caps w:val="0"/>
          <w:color w:val="auto"/>
          <w:sz w:val="28"/>
          <w:szCs w:val="28"/>
          <w:lang w:eastAsia="en-GB"/>
        </w:rPr>
        <w:tab/>
      </w:r>
      <w:r w:rsidRPr="00CF74BA">
        <w:rPr>
          <w:rFonts w:asciiTheme="minorHAnsi" w:hAnsiTheme="minorHAnsi" w:cstheme="minorHAnsi"/>
          <w:sz w:val="24"/>
          <w:szCs w:val="24"/>
        </w:rPr>
        <w:t>Needs of SPECIFIC Groups</w:t>
      </w:r>
      <w:r w:rsidRPr="00CF74BA">
        <w:rPr>
          <w:sz w:val="24"/>
          <w:szCs w:val="24"/>
        </w:rPr>
        <w:tab/>
      </w:r>
      <w:r w:rsidRPr="00CF74BA">
        <w:rPr>
          <w:sz w:val="24"/>
          <w:szCs w:val="24"/>
        </w:rPr>
        <w:fldChar w:fldCharType="begin"/>
      </w:r>
      <w:r w:rsidRPr="00CF74BA">
        <w:rPr>
          <w:sz w:val="24"/>
          <w:szCs w:val="24"/>
        </w:rPr>
        <w:instrText xml:space="preserve"> PAGEREF _Toc51600017 \h </w:instrText>
      </w:r>
      <w:r w:rsidRPr="00CF74BA">
        <w:rPr>
          <w:sz w:val="24"/>
          <w:szCs w:val="24"/>
        </w:rPr>
      </w:r>
      <w:r w:rsidRPr="00CF74BA">
        <w:rPr>
          <w:sz w:val="24"/>
          <w:szCs w:val="24"/>
        </w:rPr>
        <w:fldChar w:fldCharType="separate"/>
      </w:r>
      <w:r w:rsidR="002C0791">
        <w:rPr>
          <w:sz w:val="24"/>
          <w:szCs w:val="24"/>
        </w:rPr>
        <w:t>125</w:t>
      </w:r>
      <w:r w:rsidRPr="00CF74BA">
        <w:rPr>
          <w:sz w:val="24"/>
          <w:szCs w:val="24"/>
        </w:rPr>
        <w:fldChar w:fldCharType="end"/>
      </w:r>
    </w:p>
    <w:p w:rsidR="00E54308" w:rsidRPr="00CF74BA" w:rsidRDefault="00E54308">
      <w:pPr>
        <w:pStyle w:val="TOC1"/>
        <w:rPr>
          <w:rFonts w:asciiTheme="minorHAnsi" w:hAnsiTheme="minorHAnsi" w:cstheme="minorBidi"/>
          <w:b w:val="0"/>
          <w:bCs w:val="0"/>
          <w:caps w:val="0"/>
          <w:color w:val="auto"/>
          <w:sz w:val="28"/>
          <w:szCs w:val="28"/>
          <w:lang w:eastAsia="en-GB"/>
        </w:rPr>
      </w:pPr>
      <w:r w:rsidRPr="00CF74BA">
        <w:rPr>
          <w:rFonts w:cstheme="minorHAnsi"/>
          <w:color w:val="auto"/>
          <w:sz w:val="24"/>
          <w:szCs w:val="24"/>
        </w:rPr>
        <w:t>10</w:t>
      </w:r>
      <w:r w:rsidRPr="00CF74BA">
        <w:rPr>
          <w:rFonts w:asciiTheme="minorHAnsi" w:hAnsiTheme="minorHAnsi" w:cstheme="minorBidi"/>
          <w:b w:val="0"/>
          <w:bCs w:val="0"/>
          <w:caps w:val="0"/>
          <w:color w:val="auto"/>
          <w:sz w:val="28"/>
          <w:szCs w:val="28"/>
          <w:lang w:eastAsia="en-GB"/>
        </w:rPr>
        <w:tab/>
      </w:r>
      <w:r w:rsidRPr="00CF74BA">
        <w:rPr>
          <w:rFonts w:asciiTheme="minorHAnsi" w:hAnsiTheme="minorHAnsi" w:cstheme="minorHAnsi"/>
          <w:sz w:val="24"/>
          <w:szCs w:val="24"/>
        </w:rPr>
        <w:t>Commercial Property Market</w:t>
      </w:r>
      <w:r w:rsidRPr="00CF74BA">
        <w:rPr>
          <w:sz w:val="24"/>
          <w:szCs w:val="24"/>
        </w:rPr>
        <w:tab/>
      </w:r>
      <w:r w:rsidRPr="00CF74BA">
        <w:rPr>
          <w:sz w:val="24"/>
          <w:szCs w:val="24"/>
        </w:rPr>
        <w:fldChar w:fldCharType="begin"/>
      </w:r>
      <w:r w:rsidRPr="00CF74BA">
        <w:rPr>
          <w:sz w:val="24"/>
          <w:szCs w:val="24"/>
        </w:rPr>
        <w:instrText xml:space="preserve"> PAGEREF _Toc51600018 \h </w:instrText>
      </w:r>
      <w:r w:rsidRPr="00CF74BA">
        <w:rPr>
          <w:sz w:val="24"/>
          <w:szCs w:val="24"/>
        </w:rPr>
      </w:r>
      <w:r w:rsidRPr="00CF74BA">
        <w:rPr>
          <w:sz w:val="24"/>
          <w:szCs w:val="24"/>
        </w:rPr>
        <w:fldChar w:fldCharType="separate"/>
      </w:r>
      <w:r w:rsidR="002C0791">
        <w:rPr>
          <w:sz w:val="24"/>
          <w:szCs w:val="24"/>
        </w:rPr>
        <w:t>152</w:t>
      </w:r>
      <w:r w:rsidRPr="00CF74BA">
        <w:rPr>
          <w:sz w:val="24"/>
          <w:szCs w:val="24"/>
        </w:rPr>
        <w:fldChar w:fldCharType="end"/>
      </w:r>
    </w:p>
    <w:p w:rsidR="00E54308" w:rsidRPr="00CF74BA" w:rsidRDefault="00E54308">
      <w:pPr>
        <w:pStyle w:val="TOC1"/>
        <w:rPr>
          <w:rFonts w:asciiTheme="minorHAnsi" w:hAnsiTheme="minorHAnsi" w:cstheme="minorBidi"/>
          <w:b w:val="0"/>
          <w:bCs w:val="0"/>
          <w:caps w:val="0"/>
          <w:color w:val="auto"/>
          <w:sz w:val="28"/>
          <w:szCs w:val="28"/>
          <w:lang w:eastAsia="en-GB"/>
        </w:rPr>
      </w:pPr>
      <w:r w:rsidRPr="00CF74BA">
        <w:rPr>
          <w:color w:val="auto"/>
          <w:sz w:val="24"/>
          <w:szCs w:val="24"/>
        </w:rPr>
        <w:t>11</w:t>
      </w:r>
      <w:r w:rsidRPr="00CF74BA">
        <w:rPr>
          <w:rFonts w:asciiTheme="minorHAnsi" w:hAnsiTheme="minorHAnsi" w:cstheme="minorBidi"/>
          <w:b w:val="0"/>
          <w:bCs w:val="0"/>
          <w:caps w:val="0"/>
          <w:color w:val="auto"/>
          <w:sz w:val="28"/>
          <w:szCs w:val="28"/>
          <w:lang w:eastAsia="en-GB"/>
        </w:rPr>
        <w:tab/>
      </w:r>
      <w:r w:rsidRPr="00CF74BA">
        <w:rPr>
          <w:sz w:val="24"/>
          <w:szCs w:val="24"/>
        </w:rPr>
        <w:t>Employment Land Requirements</w:t>
      </w:r>
      <w:r w:rsidRPr="00CF74BA">
        <w:rPr>
          <w:sz w:val="24"/>
          <w:szCs w:val="24"/>
        </w:rPr>
        <w:tab/>
      </w:r>
      <w:r w:rsidRPr="00CF74BA">
        <w:rPr>
          <w:sz w:val="24"/>
          <w:szCs w:val="24"/>
        </w:rPr>
        <w:fldChar w:fldCharType="begin"/>
      </w:r>
      <w:r w:rsidRPr="00CF74BA">
        <w:rPr>
          <w:sz w:val="24"/>
          <w:szCs w:val="24"/>
        </w:rPr>
        <w:instrText xml:space="preserve"> PAGEREF _Toc51600019 \h </w:instrText>
      </w:r>
      <w:r w:rsidRPr="00CF74BA">
        <w:rPr>
          <w:sz w:val="24"/>
          <w:szCs w:val="24"/>
        </w:rPr>
      </w:r>
      <w:r w:rsidRPr="00CF74BA">
        <w:rPr>
          <w:sz w:val="24"/>
          <w:szCs w:val="24"/>
        </w:rPr>
        <w:fldChar w:fldCharType="separate"/>
      </w:r>
      <w:r w:rsidR="002C0791">
        <w:rPr>
          <w:sz w:val="24"/>
          <w:szCs w:val="24"/>
        </w:rPr>
        <w:t>169</w:t>
      </w:r>
      <w:r w:rsidRPr="00CF74BA">
        <w:rPr>
          <w:sz w:val="24"/>
          <w:szCs w:val="24"/>
        </w:rPr>
        <w:fldChar w:fldCharType="end"/>
      </w:r>
    </w:p>
    <w:p w:rsidR="00E54308" w:rsidRPr="00CF74BA" w:rsidRDefault="00E54308">
      <w:pPr>
        <w:pStyle w:val="TOC1"/>
        <w:rPr>
          <w:rFonts w:asciiTheme="minorHAnsi" w:hAnsiTheme="minorHAnsi" w:cstheme="minorBidi"/>
          <w:b w:val="0"/>
          <w:bCs w:val="0"/>
          <w:caps w:val="0"/>
          <w:color w:val="auto"/>
          <w:sz w:val="28"/>
          <w:szCs w:val="28"/>
          <w:lang w:eastAsia="en-GB"/>
        </w:rPr>
      </w:pPr>
      <w:r w:rsidRPr="00CF74BA">
        <w:rPr>
          <w:color w:val="auto"/>
          <w:sz w:val="24"/>
          <w:szCs w:val="24"/>
        </w:rPr>
        <w:t>12</w:t>
      </w:r>
      <w:r w:rsidRPr="00CF74BA">
        <w:rPr>
          <w:rFonts w:asciiTheme="minorHAnsi" w:hAnsiTheme="minorHAnsi" w:cstheme="minorBidi"/>
          <w:b w:val="0"/>
          <w:bCs w:val="0"/>
          <w:caps w:val="0"/>
          <w:color w:val="auto"/>
          <w:sz w:val="28"/>
          <w:szCs w:val="28"/>
          <w:lang w:eastAsia="en-GB"/>
        </w:rPr>
        <w:tab/>
      </w:r>
      <w:r w:rsidRPr="00CF74BA">
        <w:rPr>
          <w:sz w:val="24"/>
          <w:szCs w:val="24"/>
        </w:rPr>
        <w:t>Conclusions</w:t>
      </w:r>
      <w:r w:rsidRPr="00CF74BA">
        <w:rPr>
          <w:sz w:val="24"/>
          <w:szCs w:val="24"/>
        </w:rPr>
        <w:tab/>
      </w:r>
      <w:r w:rsidRPr="00CF74BA">
        <w:rPr>
          <w:sz w:val="24"/>
          <w:szCs w:val="24"/>
        </w:rPr>
        <w:fldChar w:fldCharType="begin"/>
      </w:r>
      <w:r w:rsidRPr="00CF74BA">
        <w:rPr>
          <w:sz w:val="24"/>
          <w:szCs w:val="24"/>
        </w:rPr>
        <w:instrText xml:space="preserve"> PAGEREF _Toc51600020 \h </w:instrText>
      </w:r>
      <w:r w:rsidRPr="00CF74BA">
        <w:rPr>
          <w:sz w:val="24"/>
          <w:szCs w:val="24"/>
        </w:rPr>
      </w:r>
      <w:r w:rsidRPr="00CF74BA">
        <w:rPr>
          <w:sz w:val="24"/>
          <w:szCs w:val="24"/>
        </w:rPr>
        <w:fldChar w:fldCharType="separate"/>
      </w:r>
      <w:r w:rsidR="002C0791">
        <w:rPr>
          <w:sz w:val="24"/>
          <w:szCs w:val="24"/>
        </w:rPr>
        <w:t>194</w:t>
      </w:r>
      <w:r w:rsidRPr="00CF74BA">
        <w:rPr>
          <w:sz w:val="24"/>
          <w:szCs w:val="24"/>
        </w:rPr>
        <w:fldChar w:fldCharType="end"/>
      </w:r>
    </w:p>
    <w:p w:rsidR="00BF481C" w:rsidRPr="00CF74BA" w:rsidRDefault="00DB1498" w:rsidP="005A1256">
      <w:pPr>
        <w:pStyle w:val="BodyText1"/>
        <w:rPr>
          <w:sz w:val="24"/>
          <w:szCs w:val="22"/>
        </w:rPr>
      </w:pPr>
      <w:r w:rsidRPr="00CF74BA">
        <w:rPr>
          <w:sz w:val="24"/>
          <w:szCs w:val="22"/>
        </w:rPr>
        <w:fldChar w:fldCharType="end"/>
      </w:r>
    </w:p>
    <w:p w:rsidR="005A1256" w:rsidRPr="00CF74BA" w:rsidRDefault="005A1256" w:rsidP="005A1256">
      <w:pPr>
        <w:pStyle w:val="BodyText1"/>
        <w:rPr>
          <w:sz w:val="24"/>
          <w:szCs w:val="22"/>
        </w:rPr>
      </w:pPr>
      <w:bookmarkStart w:id="0" w:name="_GoBack"/>
      <w:bookmarkEnd w:id="0"/>
    </w:p>
    <w:p w:rsidR="00B778CF" w:rsidRPr="00CF74BA" w:rsidRDefault="00B778CF">
      <w:pPr>
        <w:spacing w:after="200"/>
        <w:rPr>
          <w:b/>
          <w:bCs/>
          <w:sz w:val="32"/>
          <w:szCs w:val="32"/>
        </w:rPr>
      </w:pPr>
      <w:bookmarkStart w:id="1" w:name="_Toc192318293"/>
      <w:r w:rsidRPr="00CF74BA">
        <w:rPr>
          <w:sz w:val="24"/>
          <w:szCs w:val="24"/>
        </w:rPr>
        <w:br w:type="page"/>
      </w:r>
    </w:p>
    <w:p w:rsidR="005C1EB2" w:rsidRPr="00CA47B9" w:rsidRDefault="005C1EB2" w:rsidP="00F67C02">
      <w:pPr>
        <w:pStyle w:val="Headingbold"/>
        <w:suppressLineNumbers/>
      </w:pPr>
      <w:r w:rsidRPr="00CA47B9">
        <w:lastRenderedPageBreak/>
        <w:t>Quality</w:t>
      </w:r>
      <w:r w:rsidR="004B41A2" w:rsidRPr="00CA47B9">
        <w:t xml:space="preserve"> </w:t>
      </w:r>
      <w:r w:rsidRPr="00CA47B9">
        <w:t>Standards</w:t>
      </w:r>
      <w:r w:rsidR="004B41A2" w:rsidRPr="00CA47B9">
        <w:t xml:space="preserve"> </w:t>
      </w:r>
      <w:r w:rsidRPr="00CA47B9">
        <w:t>Control</w:t>
      </w:r>
      <w:bookmarkEnd w:id="1"/>
    </w:p>
    <w:p w:rsidR="00923C8D" w:rsidRPr="00CA47B9" w:rsidRDefault="00923C8D" w:rsidP="00F67C02">
      <w:pPr>
        <w:pStyle w:val="Headingbold"/>
        <w:suppressLineNumbers/>
      </w:pPr>
    </w:p>
    <w:tbl>
      <w:tblPr>
        <w:tblW w:w="9639" w:type="dxa"/>
        <w:tblLayout w:type="fixed"/>
        <w:tblCellMar>
          <w:left w:w="0" w:type="dxa"/>
          <w:right w:w="0" w:type="dxa"/>
        </w:tblCellMar>
        <w:tblLook w:val="04A0" w:firstRow="1" w:lastRow="0" w:firstColumn="1" w:lastColumn="0" w:noHBand="0" w:noVBand="1"/>
      </w:tblPr>
      <w:tblGrid>
        <w:gridCol w:w="2268"/>
        <w:gridCol w:w="3261"/>
        <w:gridCol w:w="708"/>
        <w:gridCol w:w="3402"/>
      </w:tblGrid>
      <w:tr w:rsidR="00D034A2" w:rsidRPr="00CA47B9" w:rsidTr="00CF74BA">
        <w:trPr>
          <w:trHeight w:hRule="exact" w:val="2670"/>
        </w:trPr>
        <w:tc>
          <w:tcPr>
            <w:tcW w:w="9639" w:type="dxa"/>
            <w:gridSpan w:val="4"/>
          </w:tcPr>
          <w:p w:rsidR="00D034A2" w:rsidRDefault="00D034A2" w:rsidP="00D034A2">
            <w:pPr>
              <w:pStyle w:val="BodyText1"/>
              <w:suppressLineNumbers/>
              <w:rPr>
                <w:sz w:val="24"/>
                <w:szCs w:val="22"/>
              </w:rPr>
            </w:pPr>
            <w:r w:rsidRPr="00CF74BA">
              <w:rPr>
                <w:sz w:val="24"/>
                <w:szCs w:val="22"/>
              </w:rPr>
              <w:t>The</w:t>
            </w:r>
            <w:r w:rsidR="004B41A2" w:rsidRPr="00CF74BA">
              <w:rPr>
                <w:sz w:val="24"/>
                <w:szCs w:val="22"/>
              </w:rPr>
              <w:t xml:space="preserve"> </w:t>
            </w:r>
            <w:r w:rsidRPr="00CF74BA">
              <w:rPr>
                <w:sz w:val="24"/>
                <w:szCs w:val="22"/>
              </w:rPr>
              <w:t>signatories</w:t>
            </w:r>
            <w:r w:rsidR="004B41A2" w:rsidRPr="00CF74BA">
              <w:rPr>
                <w:sz w:val="24"/>
                <w:szCs w:val="22"/>
              </w:rPr>
              <w:t xml:space="preserve"> </w:t>
            </w:r>
            <w:r w:rsidRPr="00CF74BA">
              <w:rPr>
                <w:sz w:val="24"/>
                <w:szCs w:val="22"/>
              </w:rPr>
              <w:t>below</w:t>
            </w:r>
            <w:r w:rsidR="004B41A2" w:rsidRPr="00CF74BA">
              <w:rPr>
                <w:sz w:val="24"/>
                <w:szCs w:val="22"/>
              </w:rPr>
              <w:t xml:space="preserve"> </w:t>
            </w:r>
            <w:r w:rsidRPr="00CF74BA">
              <w:rPr>
                <w:sz w:val="24"/>
                <w:szCs w:val="22"/>
              </w:rPr>
              <w:t>verify</w:t>
            </w:r>
            <w:r w:rsidR="004B41A2" w:rsidRPr="00CF74BA">
              <w:rPr>
                <w:sz w:val="24"/>
                <w:szCs w:val="22"/>
              </w:rPr>
              <w:t xml:space="preserve"> </w:t>
            </w:r>
            <w:r w:rsidRPr="00CF74BA">
              <w:rPr>
                <w:sz w:val="24"/>
                <w:szCs w:val="22"/>
              </w:rPr>
              <w:t>that</w:t>
            </w:r>
            <w:r w:rsidR="004B41A2" w:rsidRPr="00CF74BA">
              <w:rPr>
                <w:sz w:val="24"/>
                <w:szCs w:val="22"/>
              </w:rPr>
              <w:t xml:space="preserve"> </w:t>
            </w:r>
            <w:r w:rsidRPr="00CF74BA">
              <w:rPr>
                <w:sz w:val="24"/>
                <w:szCs w:val="22"/>
              </w:rPr>
              <w:t>this</w:t>
            </w:r>
            <w:r w:rsidR="004B41A2" w:rsidRPr="00CF74BA">
              <w:rPr>
                <w:sz w:val="24"/>
                <w:szCs w:val="22"/>
              </w:rPr>
              <w:t xml:space="preserve"> </w:t>
            </w:r>
            <w:r w:rsidRPr="00CF74BA">
              <w:rPr>
                <w:sz w:val="24"/>
                <w:szCs w:val="22"/>
              </w:rPr>
              <w:t>document</w:t>
            </w:r>
            <w:r w:rsidR="004B41A2" w:rsidRPr="00CF74BA">
              <w:rPr>
                <w:sz w:val="24"/>
                <w:szCs w:val="22"/>
              </w:rPr>
              <w:t xml:space="preserve"> </w:t>
            </w:r>
            <w:r w:rsidRPr="00CF74BA">
              <w:rPr>
                <w:sz w:val="24"/>
                <w:szCs w:val="22"/>
              </w:rPr>
              <w:t>has</w:t>
            </w:r>
            <w:r w:rsidR="004B41A2" w:rsidRPr="00CF74BA">
              <w:rPr>
                <w:sz w:val="24"/>
                <w:szCs w:val="22"/>
              </w:rPr>
              <w:t xml:space="preserve"> </w:t>
            </w:r>
            <w:r w:rsidRPr="00CF74BA">
              <w:rPr>
                <w:sz w:val="24"/>
                <w:szCs w:val="22"/>
              </w:rPr>
              <w:t>been</w:t>
            </w:r>
            <w:r w:rsidR="004B41A2" w:rsidRPr="00CF74BA">
              <w:rPr>
                <w:sz w:val="24"/>
                <w:szCs w:val="22"/>
              </w:rPr>
              <w:t xml:space="preserve"> </w:t>
            </w:r>
            <w:r w:rsidRPr="00CF74BA">
              <w:rPr>
                <w:sz w:val="24"/>
                <w:szCs w:val="22"/>
              </w:rPr>
              <w:t>prepared</w:t>
            </w:r>
            <w:r w:rsidR="004B41A2" w:rsidRPr="00CF74BA">
              <w:rPr>
                <w:sz w:val="24"/>
                <w:szCs w:val="22"/>
              </w:rPr>
              <w:t xml:space="preserve"> </w:t>
            </w:r>
            <w:r w:rsidRPr="00CF74BA">
              <w:rPr>
                <w:sz w:val="24"/>
                <w:szCs w:val="22"/>
              </w:rPr>
              <w:t>in</w:t>
            </w:r>
            <w:r w:rsidR="004B41A2" w:rsidRPr="00CF74BA">
              <w:rPr>
                <w:sz w:val="24"/>
                <w:szCs w:val="22"/>
              </w:rPr>
              <w:t xml:space="preserve"> </w:t>
            </w:r>
            <w:r w:rsidRPr="00CF74BA">
              <w:rPr>
                <w:sz w:val="24"/>
                <w:szCs w:val="22"/>
              </w:rPr>
              <w:t>accordance</w:t>
            </w:r>
            <w:r w:rsidR="004B41A2" w:rsidRPr="00CF74BA">
              <w:rPr>
                <w:sz w:val="24"/>
                <w:szCs w:val="22"/>
              </w:rPr>
              <w:t xml:space="preserve"> </w:t>
            </w:r>
            <w:r w:rsidRPr="00CF74BA">
              <w:rPr>
                <w:sz w:val="24"/>
                <w:szCs w:val="22"/>
              </w:rPr>
              <w:t>with</w:t>
            </w:r>
            <w:r w:rsidR="004B41A2" w:rsidRPr="00CF74BA">
              <w:rPr>
                <w:sz w:val="24"/>
                <w:szCs w:val="22"/>
              </w:rPr>
              <w:t xml:space="preserve"> </w:t>
            </w:r>
            <w:r w:rsidRPr="00CF74BA">
              <w:rPr>
                <w:sz w:val="24"/>
                <w:szCs w:val="22"/>
              </w:rPr>
              <w:t>our</w:t>
            </w:r>
            <w:r w:rsidR="004B41A2" w:rsidRPr="00CF74BA">
              <w:rPr>
                <w:sz w:val="24"/>
                <w:szCs w:val="22"/>
              </w:rPr>
              <w:t xml:space="preserve"> </w:t>
            </w:r>
            <w:r w:rsidRPr="00CF74BA">
              <w:rPr>
                <w:sz w:val="24"/>
                <w:szCs w:val="22"/>
              </w:rPr>
              <w:t>quality</w:t>
            </w:r>
            <w:r w:rsidR="004B41A2" w:rsidRPr="00CF74BA">
              <w:rPr>
                <w:sz w:val="24"/>
                <w:szCs w:val="22"/>
              </w:rPr>
              <w:t xml:space="preserve"> </w:t>
            </w:r>
            <w:r w:rsidRPr="00CF74BA">
              <w:rPr>
                <w:sz w:val="24"/>
                <w:szCs w:val="22"/>
              </w:rPr>
              <w:t>control</w:t>
            </w:r>
            <w:r w:rsidR="004B41A2" w:rsidRPr="00CF74BA">
              <w:rPr>
                <w:sz w:val="24"/>
                <w:szCs w:val="22"/>
              </w:rPr>
              <w:t xml:space="preserve"> </w:t>
            </w:r>
            <w:r w:rsidRPr="00CF74BA">
              <w:rPr>
                <w:sz w:val="24"/>
                <w:szCs w:val="22"/>
              </w:rPr>
              <w:t>requirements.</w:t>
            </w:r>
            <w:r w:rsidR="004B41A2" w:rsidRPr="00CF74BA">
              <w:rPr>
                <w:sz w:val="24"/>
                <w:szCs w:val="22"/>
              </w:rPr>
              <w:t xml:space="preserve"> </w:t>
            </w:r>
            <w:r w:rsidRPr="00CF74BA">
              <w:rPr>
                <w:sz w:val="24"/>
                <w:szCs w:val="22"/>
              </w:rPr>
              <w:t>These</w:t>
            </w:r>
            <w:r w:rsidR="004B41A2" w:rsidRPr="00CF74BA">
              <w:rPr>
                <w:sz w:val="24"/>
                <w:szCs w:val="22"/>
              </w:rPr>
              <w:t xml:space="preserve"> </w:t>
            </w:r>
            <w:r w:rsidRPr="00CF74BA">
              <w:rPr>
                <w:sz w:val="24"/>
                <w:szCs w:val="22"/>
              </w:rPr>
              <w:t>procedures</w:t>
            </w:r>
            <w:r w:rsidR="004B41A2" w:rsidRPr="00CF74BA">
              <w:rPr>
                <w:sz w:val="24"/>
                <w:szCs w:val="22"/>
              </w:rPr>
              <w:t xml:space="preserve"> </w:t>
            </w:r>
            <w:r w:rsidRPr="00CF74BA">
              <w:rPr>
                <w:sz w:val="24"/>
                <w:szCs w:val="22"/>
              </w:rPr>
              <w:t>do</w:t>
            </w:r>
            <w:r w:rsidR="004B41A2" w:rsidRPr="00CF74BA">
              <w:rPr>
                <w:sz w:val="24"/>
                <w:szCs w:val="22"/>
              </w:rPr>
              <w:t xml:space="preserve"> </w:t>
            </w:r>
            <w:r w:rsidRPr="00CF74BA">
              <w:rPr>
                <w:sz w:val="24"/>
                <w:szCs w:val="22"/>
              </w:rPr>
              <w:t>not</w:t>
            </w:r>
            <w:r w:rsidR="004B41A2" w:rsidRPr="00CF74BA">
              <w:rPr>
                <w:sz w:val="24"/>
                <w:szCs w:val="22"/>
              </w:rPr>
              <w:t xml:space="preserve"> </w:t>
            </w:r>
            <w:r w:rsidRPr="00CF74BA">
              <w:rPr>
                <w:sz w:val="24"/>
                <w:szCs w:val="22"/>
              </w:rPr>
              <w:t>affect</w:t>
            </w:r>
            <w:r w:rsidR="004B41A2" w:rsidRPr="00CF74BA">
              <w:rPr>
                <w:sz w:val="24"/>
                <w:szCs w:val="22"/>
              </w:rPr>
              <w:t xml:space="preserve"> </w:t>
            </w:r>
            <w:r w:rsidRPr="00CF74BA">
              <w:rPr>
                <w:sz w:val="24"/>
                <w:szCs w:val="22"/>
              </w:rPr>
              <w:t>the</w:t>
            </w:r>
            <w:r w:rsidR="004B41A2" w:rsidRPr="00CF74BA">
              <w:rPr>
                <w:sz w:val="24"/>
                <w:szCs w:val="22"/>
              </w:rPr>
              <w:t xml:space="preserve"> </w:t>
            </w:r>
            <w:r w:rsidRPr="00CF74BA">
              <w:rPr>
                <w:sz w:val="24"/>
                <w:szCs w:val="22"/>
              </w:rPr>
              <w:t>content</w:t>
            </w:r>
            <w:r w:rsidR="004B41A2" w:rsidRPr="00CF74BA">
              <w:rPr>
                <w:sz w:val="24"/>
                <w:szCs w:val="22"/>
              </w:rPr>
              <w:t xml:space="preserve"> </w:t>
            </w:r>
            <w:r w:rsidRPr="00CF74BA">
              <w:rPr>
                <w:sz w:val="24"/>
                <w:szCs w:val="22"/>
              </w:rPr>
              <w:t>and</w:t>
            </w:r>
            <w:r w:rsidR="004B41A2" w:rsidRPr="00CF74BA">
              <w:rPr>
                <w:sz w:val="24"/>
                <w:szCs w:val="22"/>
              </w:rPr>
              <w:t xml:space="preserve"> </w:t>
            </w:r>
            <w:r w:rsidRPr="00CF74BA">
              <w:rPr>
                <w:sz w:val="24"/>
                <w:szCs w:val="22"/>
              </w:rPr>
              <w:t>views</w:t>
            </w:r>
            <w:r w:rsidR="004B41A2" w:rsidRPr="00CF74BA">
              <w:rPr>
                <w:sz w:val="24"/>
                <w:szCs w:val="22"/>
              </w:rPr>
              <w:t xml:space="preserve"> </w:t>
            </w:r>
            <w:r w:rsidRPr="00CF74BA">
              <w:rPr>
                <w:sz w:val="24"/>
                <w:szCs w:val="22"/>
              </w:rPr>
              <w:t>expressed</w:t>
            </w:r>
            <w:r w:rsidR="004B41A2" w:rsidRPr="00CF74BA">
              <w:rPr>
                <w:sz w:val="24"/>
                <w:szCs w:val="22"/>
              </w:rPr>
              <w:t xml:space="preserve"> </w:t>
            </w:r>
            <w:r w:rsidRPr="00CF74BA">
              <w:rPr>
                <w:sz w:val="24"/>
                <w:szCs w:val="22"/>
              </w:rPr>
              <w:t>by</w:t>
            </w:r>
            <w:r w:rsidR="004B41A2" w:rsidRPr="00CF74BA">
              <w:rPr>
                <w:sz w:val="24"/>
                <w:szCs w:val="22"/>
              </w:rPr>
              <w:t xml:space="preserve"> </w:t>
            </w:r>
            <w:r w:rsidRPr="00CF74BA">
              <w:rPr>
                <w:sz w:val="24"/>
                <w:szCs w:val="22"/>
              </w:rPr>
              <w:t>the</w:t>
            </w:r>
            <w:r w:rsidR="004B41A2" w:rsidRPr="00CF74BA">
              <w:rPr>
                <w:sz w:val="24"/>
                <w:szCs w:val="22"/>
              </w:rPr>
              <w:t xml:space="preserve"> </w:t>
            </w:r>
            <w:r w:rsidRPr="00CF74BA">
              <w:rPr>
                <w:sz w:val="24"/>
                <w:szCs w:val="22"/>
              </w:rPr>
              <w:t>originator.</w:t>
            </w:r>
          </w:p>
          <w:p w:rsidR="00CF74BA" w:rsidRPr="00CF74BA" w:rsidRDefault="00CF74BA" w:rsidP="00D034A2">
            <w:pPr>
              <w:pStyle w:val="BodyText1"/>
              <w:suppressLineNumbers/>
              <w:rPr>
                <w:sz w:val="24"/>
                <w:szCs w:val="22"/>
              </w:rPr>
            </w:pPr>
          </w:p>
          <w:p w:rsidR="00D034A2" w:rsidRPr="00CA47B9" w:rsidRDefault="00D034A2" w:rsidP="00F67C02">
            <w:pPr>
              <w:pStyle w:val="BodyText1"/>
              <w:suppressLineNumbers/>
            </w:pPr>
            <w:r w:rsidRPr="00CF74BA">
              <w:rPr>
                <w:sz w:val="24"/>
                <w:szCs w:val="22"/>
              </w:rPr>
              <w:t>This</w:t>
            </w:r>
            <w:r w:rsidR="004B41A2" w:rsidRPr="00CF74BA">
              <w:rPr>
                <w:sz w:val="24"/>
                <w:szCs w:val="22"/>
              </w:rPr>
              <w:t xml:space="preserve"> </w:t>
            </w:r>
            <w:r w:rsidRPr="00CF74BA">
              <w:rPr>
                <w:sz w:val="24"/>
                <w:szCs w:val="22"/>
              </w:rPr>
              <w:t>document</w:t>
            </w:r>
            <w:r w:rsidR="004B41A2" w:rsidRPr="00CF74BA">
              <w:rPr>
                <w:sz w:val="24"/>
                <w:szCs w:val="22"/>
              </w:rPr>
              <w:t xml:space="preserve"> </w:t>
            </w:r>
            <w:r w:rsidRPr="00CF74BA">
              <w:rPr>
                <w:sz w:val="24"/>
                <w:szCs w:val="22"/>
              </w:rPr>
              <w:t>must</w:t>
            </w:r>
            <w:r w:rsidR="004B41A2" w:rsidRPr="00CF74BA">
              <w:rPr>
                <w:sz w:val="24"/>
                <w:szCs w:val="22"/>
              </w:rPr>
              <w:t xml:space="preserve"> </w:t>
            </w:r>
            <w:r w:rsidRPr="00CF74BA">
              <w:rPr>
                <w:sz w:val="24"/>
                <w:szCs w:val="22"/>
              </w:rPr>
              <w:t>only</w:t>
            </w:r>
            <w:r w:rsidR="004B41A2" w:rsidRPr="00CF74BA">
              <w:rPr>
                <w:sz w:val="24"/>
                <w:szCs w:val="22"/>
              </w:rPr>
              <w:t xml:space="preserve"> </w:t>
            </w:r>
            <w:r w:rsidRPr="00CF74BA">
              <w:rPr>
                <w:sz w:val="24"/>
                <w:szCs w:val="22"/>
              </w:rPr>
              <w:t>be</w:t>
            </w:r>
            <w:r w:rsidR="004B41A2" w:rsidRPr="00CF74BA">
              <w:rPr>
                <w:sz w:val="24"/>
                <w:szCs w:val="22"/>
              </w:rPr>
              <w:t xml:space="preserve"> </w:t>
            </w:r>
            <w:r w:rsidRPr="00CF74BA">
              <w:rPr>
                <w:sz w:val="24"/>
                <w:szCs w:val="22"/>
              </w:rPr>
              <w:t>treated</w:t>
            </w:r>
            <w:r w:rsidR="004B41A2" w:rsidRPr="00CF74BA">
              <w:rPr>
                <w:sz w:val="24"/>
                <w:szCs w:val="22"/>
              </w:rPr>
              <w:t xml:space="preserve"> </w:t>
            </w:r>
            <w:r w:rsidRPr="00CF74BA">
              <w:rPr>
                <w:sz w:val="24"/>
                <w:szCs w:val="22"/>
              </w:rPr>
              <w:t>as</w:t>
            </w:r>
            <w:r w:rsidR="004B41A2" w:rsidRPr="00CF74BA">
              <w:rPr>
                <w:sz w:val="24"/>
                <w:szCs w:val="22"/>
              </w:rPr>
              <w:t xml:space="preserve"> </w:t>
            </w:r>
            <w:r w:rsidRPr="00CF74BA">
              <w:rPr>
                <w:sz w:val="24"/>
                <w:szCs w:val="22"/>
              </w:rPr>
              <w:t>a</w:t>
            </w:r>
            <w:r w:rsidR="004B41A2" w:rsidRPr="00CF74BA">
              <w:rPr>
                <w:sz w:val="24"/>
                <w:szCs w:val="22"/>
              </w:rPr>
              <w:t xml:space="preserve"> </w:t>
            </w:r>
            <w:r w:rsidRPr="00CF74BA">
              <w:rPr>
                <w:sz w:val="24"/>
                <w:szCs w:val="22"/>
              </w:rPr>
              <w:t>draft</w:t>
            </w:r>
            <w:r w:rsidR="004B41A2" w:rsidRPr="00CF74BA">
              <w:rPr>
                <w:sz w:val="24"/>
                <w:szCs w:val="22"/>
              </w:rPr>
              <w:t xml:space="preserve"> </w:t>
            </w:r>
            <w:r w:rsidRPr="00CF74BA">
              <w:rPr>
                <w:sz w:val="24"/>
                <w:szCs w:val="22"/>
              </w:rPr>
              <w:t>unless</w:t>
            </w:r>
            <w:r w:rsidR="004B41A2" w:rsidRPr="00CF74BA">
              <w:rPr>
                <w:sz w:val="24"/>
                <w:szCs w:val="22"/>
              </w:rPr>
              <w:t xml:space="preserve"> </w:t>
            </w:r>
            <w:r w:rsidRPr="00CF74BA">
              <w:rPr>
                <w:sz w:val="24"/>
                <w:szCs w:val="22"/>
              </w:rPr>
              <w:t>it</w:t>
            </w:r>
            <w:r w:rsidR="004B41A2" w:rsidRPr="00CF74BA">
              <w:rPr>
                <w:sz w:val="24"/>
                <w:szCs w:val="22"/>
              </w:rPr>
              <w:t xml:space="preserve"> </w:t>
            </w:r>
            <w:r w:rsidRPr="00CF74BA">
              <w:rPr>
                <w:sz w:val="24"/>
                <w:szCs w:val="22"/>
              </w:rPr>
              <w:t>has</w:t>
            </w:r>
            <w:r w:rsidR="004B41A2" w:rsidRPr="00CF74BA">
              <w:rPr>
                <w:sz w:val="24"/>
                <w:szCs w:val="22"/>
              </w:rPr>
              <w:t xml:space="preserve"> </w:t>
            </w:r>
            <w:r w:rsidRPr="00CF74BA">
              <w:rPr>
                <w:sz w:val="24"/>
                <w:szCs w:val="22"/>
              </w:rPr>
              <w:t>been</w:t>
            </w:r>
            <w:r w:rsidR="004B41A2" w:rsidRPr="00CF74BA">
              <w:rPr>
                <w:sz w:val="24"/>
                <w:szCs w:val="22"/>
              </w:rPr>
              <w:t xml:space="preserve"> </w:t>
            </w:r>
            <w:r w:rsidRPr="00CF74BA">
              <w:rPr>
                <w:sz w:val="24"/>
                <w:szCs w:val="22"/>
              </w:rPr>
              <w:t>signed</w:t>
            </w:r>
            <w:r w:rsidR="004B41A2" w:rsidRPr="00CF74BA">
              <w:rPr>
                <w:sz w:val="24"/>
                <w:szCs w:val="22"/>
              </w:rPr>
              <w:t xml:space="preserve"> </w:t>
            </w:r>
            <w:r w:rsidRPr="00CF74BA">
              <w:rPr>
                <w:sz w:val="24"/>
                <w:szCs w:val="22"/>
              </w:rPr>
              <w:t>by</w:t>
            </w:r>
            <w:r w:rsidR="004B41A2" w:rsidRPr="00CF74BA">
              <w:rPr>
                <w:sz w:val="24"/>
                <w:szCs w:val="22"/>
              </w:rPr>
              <w:t xml:space="preserve"> </w:t>
            </w:r>
            <w:r w:rsidRPr="00CF74BA">
              <w:rPr>
                <w:sz w:val="24"/>
                <w:szCs w:val="22"/>
              </w:rPr>
              <w:t>the</w:t>
            </w:r>
            <w:r w:rsidR="004B41A2" w:rsidRPr="00CF74BA">
              <w:rPr>
                <w:sz w:val="24"/>
                <w:szCs w:val="22"/>
              </w:rPr>
              <w:t xml:space="preserve"> </w:t>
            </w:r>
            <w:r w:rsidRPr="00CF74BA">
              <w:rPr>
                <w:sz w:val="24"/>
                <w:szCs w:val="22"/>
              </w:rPr>
              <w:t>Originators</w:t>
            </w:r>
            <w:r w:rsidR="004B41A2" w:rsidRPr="00CF74BA">
              <w:rPr>
                <w:sz w:val="24"/>
                <w:szCs w:val="22"/>
              </w:rPr>
              <w:t xml:space="preserve"> </w:t>
            </w:r>
            <w:r w:rsidRPr="00CF74BA">
              <w:rPr>
                <w:sz w:val="24"/>
                <w:szCs w:val="22"/>
              </w:rPr>
              <w:t>and</w:t>
            </w:r>
            <w:r w:rsidR="004B41A2" w:rsidRPr="00CF74BA">
              <w:rPr>
                <w:sz w:val="24"/>
                <w:szCs w:val="22"/>
              </w:rPr>
              <w:t xml:space="preserve"> </w:t>
            </w:r>
            <w:r w:rsidRPr="00CF74BA">
              <w:rPr>
                <w:sz w:val="24"/>
                <w:szCs w:val="22"/>
              </w:rPr>
              <w:t>approved</w:t>
            </w:r>
            <w:r w:rsidR="004B41A2" w:rsidRPr="00CF74BA">
              <w:rPr>
                <w:sz w:val="24"/>
                <w:szCs w:val="22"/>
              </w:rPr>
              <w:t xml:space="preserve"> </w:t>
            </w:r>
            <w:r w:rsidRPr="00CF74BA">
              <w:rPr>
                <w:sz w:val="24"/>
                <w:szCs w:val="22"/>
              </w:rPr>
              <w:t>by</w:t>
            </w:r>
            <w:r w:rsidR="004B41A2" w:rsidRPr="00CF74BA">
              <w:rPr>
                <w:sz w:val="24"/>
                <w:szCs w:val="22"/>
              </w:rPr>
              <w:t xml:space="preserve"> </w:t>
            </w:r>
            <w:r w:rsidRPr="00CF74BA">
              <w:rPr>
                <w:sz w:val="24"/>
                <w:szCs w:val="22"/>
              </w:rPr>
              <w:t>a</w:t>
            </w:r>
            <w:r w:rsidR="004B41A2" w:rsidRPr="00CF74BA">
              <w:rPr>
                <w:sz w:val="24"/>
                <w:szCs w:val="22"/>
              </w:rPr>
              <w:t xml:space="preserve"> </w:t>
            </w:r>
            <w:r w:rsidRPr="00CF74BA">
              <w:rPr>
                <w:sz w:val="24"/>
                <w:szCs w:val="22"/>
              </w:rPr>
              <w:t>Business</w:t>
            </w:r>
            <w:r w:rsidR="004B41A2" w:rsidRPr="00CF74BA">
              <w:rPr>
                <w:sz w:val="24"/>
                <w:szCs w:val="22"/>
              </w:rPr>
              <w:t xml:space="preserve"> </w:t>
            </w:r>
            <w:r w:rsidRPr="00CF74BA">
              <w:rPr>
                <w:sz w:val="24"/>
                <w:szCs w:val="22"/>
              </w:rPr>
              <w:t>or</w:t>
            </w:r>
            <w:r w:rsidR="004B41A2" w:rsidRPr="00CF74BA">
              <w:rPr>
                <w:sz w:val="24"/>
                <w:szCs w:val="22"/>
              </w:rPr>
              <w:t xml:space="preserve"> </w:t>
            </w:r>
            <w:r w:rsidRPr="00CF74BA">
              <w:rPr>
                <w:sz w:val="24"/>
                <w:szCs w:val="22"/>
              </w:rPr>
              <w:t>Associate</w:t>
            </w:r>
            <w:r w:rsidR="004B41A2" w:rsidRPr="00CF74BA">
              <w:rPr>
                <w:sz w:val="24"/>
                <w:szCs w:val="22"/>
              </w:rPr>
              <w:t xml:space="preserve"> </w:t>
            </w:r>
            <w:r w:rsidRPr="00CF74BA">
              <w:rPr>
                <w:sz w:val="24"/>
                <w:szCs w:val="22"/>
              </w:rPr>
              <w:t>Director.</w:t>
            </w:r>
          </w:p>
        </w:tc>
      </w:tr>
      <w:tr w:rsidR="00230584" w:rsidRPr="00CA47B9" w:rsidTr="00747875">
        <w:trPr>
          <w:trHeight w:hRule="exact" w:val="312"/>
        </w:trPr>
        <w:tc>
          <w:tcPr>
            <w:tcW w:w="2268" w:type="dxa"/>
            <w:vAlign w:val="center"/>
          </w:tcPr>
          <w:p w:rsidR="00230584" w:rsidRPr="00CF74BA" w:rsidRDefault="00230584" w:rsidP="00F67C02">
            <w:pPr>
              <w:pStyle w:val="BodyText1"/>
              <w:suppressLineNumbers/>
              <w:rPr>
                <w:sz w:val="24"/>
                <w:szCs w:val="22"/>
              </w:rPr>
            </w:pPr>
            <w:r w:rsidRPr="00CF74BA">
              <w:rPr>
                <w:sz w:val="24"/>
                <w:szCs w:val="22"/>
              </w:rPr>
              <w:t>DATE</w:t>
            </w:r>
          </w:p>
        </w:tc>
        <w:tc>
          <w:tcPr>
            <w:tcW w:w="3261" w:type="dxa"/>
            <w:vAlign w:val="center"/>
          </w:tcPr>
          <w:p w:rsidR="00230584" w:rsidRPr="00CF74BA" w:rsidRDefault="00230584" w:rsidP="00F67C02">
            <w:pPr>
              <w:pStyle w:val="BodyText1"/>
              <w:suppressLineNumbers/>
              <w:rPr>
                <w:sz w:val="24"/>
                <w:szCs w:val="22"/>
              </w:rPr>
            </w:pPr>
            <w:r w:rsidRPr="00CF74BA">
              <w:rPr>
                <w:sz w:val="24"/>
                <w:szCs w:val="22"/>
              </w:rPr>
              <w:t>ORIGINATORS</w:t>
            </w:r>
          </w:p>
        </w:tc>
        <w:tc>
          <w:tcPr>
            <w:tcW w:w="708" w:type="dxa"/>
            <w:vAlign w:val="center"/>
          </w:tcPr>
          <w:p w:rsidR="00230584" w:rsidRPr="00CF74BA" w:rsidRDefault="00230584" w:rsidP="00F67C02">
            <w:pPr>
              <w:pStyle w:val="BodyText1"/>
              <w:suppressLineNumbers/>
              <w:rPr>
                <w:sz w:val="24"/>
                <w:szCs w:val="22"/>
              </w:rPr>
            </w:pPr>
          </w:p>
        </w:tc>
        <w:tc>
          <w:tcPr>
            <w:tcW w:w="3402" w:type="dxa"/>
            <w:vAlign w:val="center"/>
          </w:tcPr>
          <w:p w:rsidR="00230584" w:rsidRPr="00CF74BA" w:rsidRDefault="00230584" w:rsidP="00F67C02">
            <w:pPr>
              <w:pStyle w:val="BodyText1"/>
              <w:suppressLineNumbers/>
              <w:rPr>
                <w:sz w:val="24"/>
                <w:szCs w:val="22"/>
              </w:rPr>
            </w:pPr>
            <w:r w:rsidRPr="00CF74BA">
              <w:rPr>
                <w:sz w:val="24"/>
                <w:szCs w:val="22"/>
              </w:rPr>
              <w:t>APPROVED</w:t>
            </w:r>
          </w:p>
        </w:tc>
      </w:tr>
      <w:tr w:rsidR="00230584" w:rsidRPr="00CA47B9" w:rsidTr="00747875">
        <w:trPr>
          <w:trHeight w:hRule="exact" w:val="284"/>
        </w:trPr>
        <w:tc>
          <w:tcPr>
            <w:tcW w:w="2268" w:type="dxa"/>
            <w:vAlign w:val="center"/>
          </w:tcPr>
          <w:p w:rsidR="00230584" w:rsidRPr="00CF74BA" w:rsidRDefault="00657772" w:rsidP="00516122">
            <w:pPr>
              <w:pStyle w:val="BodyText1"/>
              <w:rPr>
                <w:sz w:val="24"/>
                <w:szCs w:val="22"/>
              </w:rPr>
            </w:pPr>
            <w:r>
              <w:rPr>
                <w:sz w:val="24"/>
                <w:szCs w:val="22"/>
              </w:rPr>
              <w:t>October</w:t>
            </w:r>
            <w:r w:rsidR="00CA2B71" w:rsidRPr="00CF74BA">
              <w:rPr>
                <w:sz w:val="24"/>
                <w:szCs w:val="22"/>
              </w:rPr>
              <w:t xml:space="preserve"> </w:t>
            </w:r>
            <w:r w:rsidR="00873A34" w:rsidRPr="00CF74BA">
              <w:rPr>
                <w:sz w:val="24"/>
                <w:szCs w:val="22"/>
              </w:rPr>
              <w:t>20</w:t>
            </w:r>
            <w:r w:rsidR="00AA2C52" w:rsidRPr="00CF74BA">
              <w:rPr>
                <w:sz w:val="24"/>
                <w:szCs w:val="22"/>
              </w:rPr>
              <w:t>20</w:t>
            </w:r>
          </w:p>
        </w:tc>
        <w:tc>
          <w:tcPr>
            <w:tcW w:w="3261" w:type="dxa"/>
            <w:vAlign w:val="center"/>
          </w:tcPr>
          <w:p w:rsidR="00230584" w:rsidRPr="00CF74BA" w:rsidRDefault="003F5F77" w:rsidP="00F67C02">
            <w:pPr>
              <w:pStyle w:val="BodyText1"/>
              <w:suppressLineNumbers/>
              <w:rPr>
                <w:sz w:val="24"/>
                <w:szCs w:val="22"/>
              </w:rPr>
            </w:pPr>
            <w:r w:rsidRPr="00CF74BA">
              <w:rPr>
                <w:sz w:val="24"/>
                <w:szCs w:val="22"/>
              </w:rPr>
              <w:t>David Leyden</w:t>
            </w:r>
          </w:p>
        </w:tc>
        <w:tc>
          <w:tcPr>
            <w:tcW w:w="708" w:type="dxa"/>
            <w:vAlign w:val="center"/>
          </w:tcPr>
          <w:p w:rsidR="00230584" w:rsidRPr="00CF74BA" w:rsidRDefault="00230584" w:rsidP="00F67C02">
            <w:pPr>
              <w:pStyle w:val="BodyText1"/>
              <w:suppressLineNumbers/>
              <w:rPr>
                <w:sz w:val="24"/>
                <w:szCs w:val="22"/>
              </w:rPr>
            </w:pPr>
          </w:p>
        </w:tc>
        <w:tc>
          <w:tcPr>
            <w:tcW w:w="3402" w:type="dxa"/>
            <w:vAlign w:val="center"/>
          </w:tcPr>
          <w:p w:rsidR="00230584" w:rsidRPr="00CF74BA" w:rsidRDefault="001E5136" w:rsidP="00F67C02">
            <w:pPr>
              <w:pStyle w:val="BodyText1"/>
              <w:suppressLineNumbers/>
              <w:rPr>
                <w:sz w:val="24"/>
                <w:szCs w:val="22"/>
              </w:rPr>
            </w:pPr>
            <w:r w:rsidRPr="00CF74BA">
              <w:rPr>
                <w:sz w:val="24"/>
                <w:szCs w:val="22"/>
              </w:rPr>
              <w:t>Paul</w:t>
            </w:r>
            <w:r w:rsidR="004B41A2" w:rsidRPr="00CF74BA">
              <w:rPr>
                <w:sz w:val="24"/>
                <w:szCs w:val="22"/>
              </w:rPr>
              <w:t xml:space="preserve"> </w:t>
            </w:r>
            <w:r w:rsidRPr="00CF74BA">
              <w:rPr>
                <w:sz w:val="24"/>
                <w:szCs w:val="22"/>
              </w:rPr>
              <w:t>McColgan</w:t>
            </w:r>
          </w:p>
        </w:tc>
      </w:tr>
      <w:tr w:rsidR="00230584" w:rsidRPr="00CA47B9" w:rsidTr="00747875">
        <w:trPr>
          <w:trHeight w:hRule="exact" w:val="284"/>
        </w:trPr>
        <w:tc>
          <w:tcPr>
            <w:tcW w:w="2268" w:type="dxa"/>
            <w:vAlign w:val="center"/>
          </w:tcPr>
          <w:p w:rsidR="00230584" w:rsidRPr="00CF74BA" w:rsidRDefault="00230584" w:rsidP="00F67C02">
            <w:pPr>
              <w:pStyle w:val="BodyText1"/>
              <w:suppressLineNumbers/>
              <w:rPr>
                <w:sz w:val="24"/>
                <w:szCs w:val="22"/>
              </w:rPr>
            </w:pPr>
          </w:p>
        </w:tc>
        <w:tc>
          <w:tcPr>
            <w:tcW w:w="3261" w:type="dxa"/>
            <w:vAlign w:val="center"/>
          </w:tcPr>
          <w:p w:rsidR="00230584" w:rsidRPr="00CF74BA" w:rsidRDefault="001E5136" w:rsidP="00F67C02">
            <w:pPr>
              <w:pStyle w:val="BodyText1"/>
              <w:suppressLineNumbers/>
              <w:rPr>
                <w:sz w:val="24"/>
                <w:szCs w:val="22"/>
              </w:rPr>
            </w:pPr>
            <w:r w:rsidRPr="00CF74BA">
              <w:rPr>
                <w:sz w:val="24"/>
                <w:szCs w:val="22"/>
              </w:rPr>
              <w:t>Planner</w:t>
            </w:r>
          </w:p>
        </w:tc>
        <w:tc>
          <w:tcPr>
            <w:tcW w:w="708" w:type="dxa"/>
            <w:vAlign w:val="center"/>
          </w:tcPr>
          <w:p w:rsidR="00230584" w:rsidRPr="00CF74BA" w:rsidRDefault="00230584" w:rsidP="00F67C02">
            <w:pPr>
              <w:pStyle w:val="BodyText1"/>
              <w:suppressLineNumbers/>
              <w:rPr>
                <w:sz w:val="24"/>
                <w:szCs w:val="22"/>
              </w:rPr>
            </w:pPr>
          </w:p>
        </w:tc>
        <w:tc>
          <w:tcPr>
            <w:tcW w:w="3402" w:type="dxa"/>
            <w:vAlign w:val="center"/>
          </w:tcPr>
          <w:p w:rsidR="00230584" w:rsidRPr="00CF74BA" w:rsidRDefault="001E5136" w:rsidP="00F67C02">
            <w:pPr>
              <w:pStyle w:val="BodyText1"/>
              <w:suppressLineNumbers/>
              <w:rPr>
                <w:sz w:val="24"/>
                <w:szCs w:val="22"/>
              </w:rPr>
            </w:pPr>
            <w:r w:rsidRPr="00CF74BA">
              <w:rPr>
                <w:sz w:val="24"/>
                <w:szCs w:val="22"/>
              </w:rPr>
              <w:t>Director</w:t>
            </w:r>
          </w:p>
        </w:tc>
      </w:tr>
      <w:tr w:rsidR="00230584" w:rsidRPr="00CA47B9" w:rsidTr="00747875">
        <w:trPr>
          <w:trHeight w:hRule="exact" w:val="1174"/>
        </w:trPr>
        <w:tc>
          <w:tcPr>
            <w:tcW w:w="2268" w:type="dxa"/>
          </w:tcPr>
          <w:p w:rsidR="00230584" w:rsidRPr="00CF74BA" w:rsidRDefault="00230584" w:rsidP="00F67C02">
            <w:pPr>
              <w:pStyle w:val="BodyText1"/>
              <w:suppressLineNumbers/>
              <w:rPr>
                <w:sz w:val="24"/>
                <w:szCs w:val="22"/>
              </w:rPr>
            </w:pPr>
          </w:p>
        </w:tc>
        <w:tc>
          <w:tcPr>
            <w:tcW w:w="3261" w:type="dxa"/>
            <w:tcBorders>
              <w:bottom w:val="single" w:sz="2" w:space="0" w:color="000000" w:themeColor="text1"/>
            </w:tcBorders>
          </w:tcPr>
          <w:p w:rsidR="00230584" w:rsidRPr="00CF74BA" w:rsidRDefault="00F46457" w:rsidP="001E5136">
            <w:pPr>
              <w:pStyle w:val="BodyText1"/>
              <w:suppressLineNumbers/>
              <w:rPr>
                <w:sz w:val="24"/>
                <w:szCs w:val="22"/>
              </w:rPr>
            </w:pPr>
            <w:r w:rsidRPr="00CF74BA">
              <w:rPr>
                <w:noProof/>
                <w:sz w:val="24"/>
                <w:szCs w:val="22"/>
                <w:lang w:eastAsia="en-GB"/>
              </w:rPr>
              <w:drawing>
                <wp:inline distT="0" distB="0" distL="0" distR="0" wp14:anchorId="6220164B" wp14:editId="040434EF">
                  <wp:extent cx="1365662" cy="636229"/>
                  <wp:effectExtent l="0" t="0" r="6350" b="0"/>
                  <wp:docPr id="227" name="Picture 227" descr="David Leyde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8443" cy="642184"/>
                          </a:xfrm>
                          <a:prstGeom prst="rect">
                            <a:avLst/>
                          </a:prstGeom>
                          <a:noFill/>
                          <a:ln>
                            <a:noFill/>
                          </a:ln>
                        </pic:spPr>
                      </pic:pic>
                    </a:graphicData>
                  </a:graphic>
                </wp:inline>
              </w:drawing>
            </w:r>
          </w:p>
        </w:tc>
        <w:tc>
          <w:tcPr>
            <w:tcW w:w="708" w:type="dxa"/>
          </w:tcPr>
          <w:p w:rsidR="00230584" w:rsidRPr="00CF74BA" w:rsidRDefault="00230584" w:rsidP="00F67C02">
            <w:pPr>
              <w:pStyle w:val="BodyText1"/>
              <w:suppressLineNumbers/>
              <w:rPr>
                <w:sz w:val="24"/>
                <w:szCs w:val="22"/>
              </w:rPr>
            </w:pPr>
          </w:p>
        </w:tc>
        <w:tc>
          <w:tcPr>
            <w:tcW w:w="3402" w:type="dxa"/>
            <w:tcBorders>
              <w:bottom w:val="single" w:sz="2" w:space="0" w:color="auto"/>
            </w:tcBorders>
          </w:tcPr>
          <w:p w:rsidR="00230584" w:rsidRPr="00CF74BA" w:rsidRDefault="001E5136" w:rsidP="00F67C02">
            <w:pPr>
              <w:pStyle w:val="BodyText1"/>
              <w:suppressLineNumbers/>
              <w:rPr>
                <w:sz w:val="24"/>
                <w:szCs w:val="22"/>
              </w:rPr>
            </w:pPr>
            <w:r w:rsidRPr="00CF74BA">
              <w:rPr>
                <w:noProof/>
                <w:sz w:val="24"/>
                <w:szCs w:val="22"/>
                <w:lang w:eastAsia="en-GB"/>
              </w:rPr>
              <w:drawing>
                <wp:inline distT="0" distB="0" distL="0" distR="0" wp14:anchorId="306F67B4" wp14:editId="3CEA24AE">
                  <wp:extent cx="1696720" cy="745490"/>
                  <wp:effectExtent l="0" t="0" r="0" b="0"/>
                  <wp:docPr id="231" name="Picture 231" descr="Paul McColga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 McColgan Signature.jpg"/>
                          <pic:cNvPicPr/>
                        </pic:nvPicPr>
                        <pic:blipFill>
                          <a:blip r:embed="rId14">
                            <a:extLst>
                              <a:ext uri="{28A0092B-C50C-407E-A947-70E740481C1C}">
                                <a14:useLocalDpi xmlns:a14="http://schemas.microsoft.com/office/drawing/2010/main" val="0"/>
                              </a:ext>
                            </a:extLst>
                          </a:blip>
                          <a:stretch>
                            <a:fillRect/>
                          </a:stretch>
                        </pic:blipFill>
                        <pic:spPr>
                          <a:xfrm>
                            <a:off x="0" y="0"/>
                            <a:ext cx="1696720" cy="745490"/>
                          </a:xfrm>
                          <a:prstGeom prst="rect">
                            <a:avLst/>
                          </a:prstGeom>
                        </pic:spPr>
                      </pic:pic>
                    </a:graphicData>
                  </a:graphic>
                </wp:inline>
              </w:drawing>
            </w:r>
          </w:p>
        </w:tc>
      </w:tr>
      <w:tr w:rsidR="003F5F77" w:rsidRPr="00CA47B9" w:rsidTr="003F5F77">
        <w:trPr>
          <w:trHeight w:hRule="exact" w:val="1781"/>
        </w:trPr>
        <w:tc>
          <w:tcPr>
            <w:tcW w:w="2268" w:type="dxa"/>
          </w:tcPr>
          <w:p w:rsidR="003F5F77" w:rsidRPr="00CF74BA" w:rsidRDefault="003F5F77" w:rsidP="00F67C02">
            <w:pPr>
              <w:pStyle w:val="BodyText1"/>
              <w:suppressLineNumbers/>
              <w:rPr>
                <w:sz w:val="24"/>
                <w:szCs w:val="22"/>
              </w:rPr>
            </w:pPr>
          </w:p>
          <w:p w:rsidR="003F5F77" w:rsidRPr="00CF74BA" w:rsidRDefault="003F5F77" w:rsidP="00F67C02">
            <w:pPr>
              <w:pStyle w:val="BodyText1"/>
              <w:suppressLineNumbers/>
              <w:rPr>
                <w:sz w:val="24"/>
                <w:szCs w:val="22"/>
              </w:rPr>
            </w:pPr>
          </w:p>
          <w:p w:rsidR="003F5F77" w:rsidRPr="00CF74BA" w:rsidRDefault="003F5F77" w:rsidP="00F67C02">
            <w:pPr>
              <w:pStyle w:val="BodyText1"/>
              <w:suppressLineNumbers/>
              <w:rPr>
                <w:sz w:val="24"/>
                <w:szCs w:val="22"/>
              </w:rPr>
            </w:pPr>
          </w:p>
        </w:tc>
        <w:tc>
          <w:tcPr>
            <w:tcW w:w="3261" w:type="dxa"/>
            <w:tcBorders>
              <w:bottom w:val="single" w:sz="2" w:space="0" w:color="000000" w:themeColor="text1"/>
            </w:tcBorders>
          </w:tcPr>
          <w:p w:rsidR="003F5F77" w:rsidRPr="00CF74BA" w:rsidRDefault="003F5F77" w:rsidP="001E5136">
            <w:pPr>
              <w:pStyle w:val="BodyText1"/>
              <w:suppressLineNumbers/>
              <w:rPr>
                <w:sz w:val="24"/>
                <w:szCs w:val="22"/>
                <w:lang w:eastAsia="en-GB"/>
              </w:rPr>
            </w:pPr>
          </w:p>
        </w:tc>
        <w:tc>
          <w:tcPr>
            <w:tcW w:w="708" w:type="dxa"/>
          </w:tcPr>
          <w:p w:rsidR="003F5F77" w:rsidRPr="00CF74BA" w:rsidRDefault="003F5F77" w:rsidP="00F67C02">
            <w:pPr>
              <w:pStyle w:val="BodyText1"/>
              <w:suppressLineNumbers/>
              <w:rPr>
                <w:sz w:val="24"/>
                <w:szCs w:val="22"/>
              </w:rPr>
            </w:pPr>
          </w:p>
        </w:tc>
        <w:tc>
          <w:tcPr>
            <w:tcW w:w="3402" w:type="dxa"/>
            <w:tcBorders>
              <w:bottom w:val="single" w:sz="2" w:space="0" w:color="auto"/>
            </w:tcBorders>
          </w:tcPr>
          <w:p w:rsidR="003F5F77" w:rsidRPr="00CF74BA" w:rsidRDefault="003F5F77" w:rsidP="00F67C02">
            <w:pPr>
              <w:pStyle w:val="BodyText1"/>
              <w:suppressLineNumbers/>
              <w:rPr>
                <w:sz w:val="24"/>
                <w:szCs w:val="22"/>
                <w:lang w:eastAsia="en-GB"/>
              </w:rPr>
            </w:pPr>
            <w:r w:rsidRPr="00CF74BA">
              <w:rPr>
                <w:sz w:val="24"/>
                <w:szCs w:val="22"/>
                <w:lang w:eastAsia="en-GB"/>
              </w:rPr>
              <w:t>Matt Kinghan</w:t>
            </w:r>
          </w:p>
          <w:p w:rsidR="003F5F77" w:rsidRPr="00CF74BA" w:rsidRDefault="003F5F77" w:rsidP="00F67C02">
            <w:pPr>
              <w:pStyle w:val="BodyText1"/>
              <w:suppressLineNumbers/>
              <w:rPr>
                <w:sz w:val="24"/>
                <w:szCs w:val="22"/>
                <w:lang w:eastAsia="en-GB"/>
              </w:rPr>
            </w:pPr>
            <w:r w:rsidRPr="00CF74BA">
              <w:rPr>
                <w:sz w:val="24"/>
                <w:szCs w:val="22"/>
                <w:lang w:eastAsia="en-GB"/>
              </w:rPr>
              <w:t>Director</w:t>
            </w:r>
          </w:p>
          <w:p w:rsidR="00F46457" w:rsidRPr="00CF74BA" w:rsidRDefault="00F46457" w:rsidP="00F67C02">
            <w:pPr>
              <w:pStyle w:val="BodyText1"/>
              <w:suppressLineNumbers/>
              <w:rPr>
                <w:sz w:val="24"/>
                <w:szCs w:val="22"/>
                <w:lang w:eastAsia="en-GB"/>
              </w:rPr>
            </w:pPr>
            <w:r w:rsidRPr="00CF74BA">
              <w:rPr>
                <w:noProof/>
                <w:sz w:val="24"/>
                <w:szCs w:val="22"/>
                <w:lang w:eastAsia="en-GB"/>
              </w:rPr>
              <w:drawing>
                <wp:inline distT="0" distB="0" distL="0" distR="0" wp14:anchorId="7D8DFB34" wp14:editId="4AEAEB7B">
                  <wp:extent cx="1571625" cy="592926"/>
                  <wp:effectExtent l="0" t="0" r="0" b="0"/>
                  <wp:docPr id="14" name="Picture 14" descr="Matt Kingha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5277" cy="601849"/>
                          </a:xfrm>
                          <a:prstGeom prst="rect">
                            <a:avLst/>
                          </a:prstGeom>
                          <a:noFill/>
                          <a:ln>
                            <a:noFill/>
                          </a:ln>
                        </pic:spPr>
                      </pic:pic>
                    </a:graphicData>
                  </a:graphic>
                </wp:inline>
              </w:drawing>
            </w:r>
          </w:p>
        </w:tc>
      </w:tr>
      <w:tr w:rsidR="00D034A2" w:rsidRPr="00CA47B9" w:rsidTr="00747875">
        <w:trPr>
          <w:trHeight w:val="1476"/>
        </w:trPr>
        <w:tc>
          <w:tcPr>
            <w:tcW w:w="9639" w:type="dxa"/>
            <w:gridSpan w:val="4"/>
            <w:tcMar>
              <w:top w:w="284" w:type="dxa"/>
            </w:tcMar>
          </w:tcPr>
          <w:p w:rsidR="00D034A2" w:rsidRPr="00CF74BA" w:rsidRDefault="00D034A2" w:rsidP="00D034A2">
            <w:pPr>
              <w:pStyle w:val="BodyText1"/>
              <w:suppressLineNumbers/>
              <w:rPr>
                <w:sz w:val="24"/>
                <w:szCs w:val="22"/>
              </w:rPr>
            </w:pPr>
            <w:r w:rsidRPr="00CF74BA">
              <w:rPr>
                <w:sz w:val="24"/>
                <w:szCs w:val="22"/>
              </w:rPr>
              <w:t>Limitations</w:t>
            </w:r>
          </w:p>
          <w:p w:rsidR="00D034A2" w:rsidRPr="00CF74BA" w:rsidRDefault="00D034A2" w:rsidP="00D034A2">
            <w:pPr>
              <w:pStyle w:val="BodyText1"/>
              <w:suppressLineNumbers/>
              <w:rPr>
                <w:sz w:val="24"/>
                <w:szCs w:val="22"/>
              </w:rPr>
            </w:pPr>
            <w:r w:rsidRPr="00CF74BA">
              <w:rPr>
                <w:sz w:val="24"/>
                <w:szCs w:val="22"/>
              </w:rPr>
              <w:t>This</w:t>
            </w:r>
            <w:r w:rsidR="004B41A2" w:rsidRPr="00CF74BA">
              <w:rPr>
                <w:sz w:val="24"/>
                <w:szCs w:val="22"/>
              </w:rPr>
              <w:t xml:space="preserve"> </w:t>
            </w:r>
            <w:r w:rsidRPr="00CF74BA">
              <w:rPr>
                <w:sz w:val="24"/>
                <w:szCs w:val="22"/>
              </w:rPr>
              <w:t>document</w:t>
            </w:r>
            <w:r w:rsidR="004B41A2" w:rsidRPr="00CF74BA">
              <w:rPr>
                <w:sz w:val="24"/>
                <w:szCs w:val="22"/>
              </w:rPr>
              <w:t xml:space="preserve"> </w:t>
            </w:r>
            <w:r w:rsidRPr="00CF74BA">
              <w:rPr>
                <w:sz w:val="24"/>
                <w:szCs w:val="22"/>
              </w:rPr>
              <w:t>has</w:t>
            </w:r>
            <w:r w:rsidR="004B41A2" w:rsidRPr="00CF74BA">
              <w:rPr>
                <w:sz w:val="24"/>
                <w:szCs w:val="22"/>
              </w:rPr>
              <w:t xml:space="preserve"> </w:t>
            </w:r>
            <w:r w:rsidRPr="00CF74BA">
              <w:rPr>
                <w:sz w:val="24"/>
                <w:szCs w:val="22"/>
              </w:rPr>
              <w:t>been</w:t>
            </w:r>
            <w:r w:rsidR="004B41A2" w:rsidRPr="00CF74BA">
              <w:rPr>
                <w:sz w:val="24"/>
                <w:szCs w:val="22"/>
              </w:rPr>
              <w:t xml:space="preserve"> </w:t>
            </w:r>
            <w:r w:rsidRPr="00CF74BA">
              <w:rPr>
                <w:sz w:val="24"/>
                <w:szCs w:val="22"/>
              </w:rPr>
              <w:t>prepared</w:t>
            </w:r>
            <w:r w:rsidR="004B41A2" w:rsidRPr="00CF74BA">
              <w:rPr>
                <w:sz w:val="24"/>
                <w:szCs w:val="22"/>
              </w:rPr>
              <w:t xml:space="preserve"> </w:t>
            </w:r>
            <w:r w:rsidRPr="00CF74BA">
              <w:rPr>
                <w:sz w:val="24"/>
                <w:szCs w:val="22"/>
              </w:rPr>
              <w:t>for</w:t>
            </w:r>
            <w:r w:rsidR="004B41A2" w:rsidRPr="00CF74BA">
              <w:rPr>
                <w:sz w:val="24"/>
                <w:szCs w:val="22"/>
              </w:rPr>
              <w:t xml:space="preserve"> </w:t>
            </w:r>
            <w:r w:rsidRPr="00CF74BA">
              <w:rPr>
                <w:sz w:val="24"/>
                <w:szCs w:val="22"/>
              </w:rPr>
              <w:t>the</w:t>
            </w:r>
            <w:r w:rsidR="004B41A2" w:rsidRPr="00CF74BA">
              <w:rPr>
                <w:sz w:val="24"/>
                <w:szCs w:val="22"/>
              </w:rPr>
              <w:t xml:space="preserve"> </w:t>
            </w:r>
            <w:r w:rsidRPr="00CF74BA">
              <w:rPr>
                <w:sz w:val="24"/>
                <w:szCs w:val="22"/>
              </w:rPr>
              <w:t>stated</w:t>
            </w:r>
            <w:r w:rsidR="004B41A2" w:rsidRPr="00CF74BA">
              <w:rPr>
                <w:sz w:val="24"/>
                <w:szCs w:val="22"/>
              </w:rPr>
              <w:t xml:space="preserve"> </w:t>
            </w:r>
            <w:r w:rsidRPr="00CF74BA">
              <w:rPr>
                <w:sz w:val="24"/>
                <w:szCs w:val="22"/>
              </w:rPr>
              <w:t>objective</w:t>
            </w:r>
            <w:r w:rsidR="004B41A2" w:rsidRPr="00CF74BA">
              <w:rPr>
                <w:sz w:val="24"/>
                <w:szCs w:val="22"/>
              </w:rPr>
              <w:t xml:space="preserve"> </w:t>
            </w:r>
            <w:r w:rsidRPr="00CF74BA">
              <w:rPr>
                <w:sz w:val="24"/>
                <w:szCs w:val="22"/>
              </w:rPr>
              <w:t>and</w:t>
            </w:r>
            <w:r w:rsidR="004B41A2" w:rsidRPr="00CF74BA">
              <w:rPr>
                <w:sz w:val="24"/>
                <w:szCs w:val="22"/>
              </w:rPr>
              <w:t xml:space="preserve"> </w:t>
            </w:r>
            <w:r w:rsidRPr="00CF74BA">
              <w:rPr>
                <w:sz w:val="24"/>
                <w:szCs w:val="22"/>
              </w:rPr>
              <w:t>should</w:t>
            </w:r>
            <w:r w:rsidR="004B41A2" w:rsidRPr="00CF74BA">
              <w:rPr>
                <w:sz w:val="24"/>
                <w:szCs w:val="22"/>
              </w:rPr>
              <w:t xml:space="preserve"> </w:t>
            </w:r>
            <w:r w:rsidRPr="00CF74BA">
              <w:rPr>
                <w:sz w:val="24"/>
                <w:szCs w:val="22"/>
              </w:rPr>
              <w:t>not</w:t>
            </w:r>
            <w:r w:rsidR="004B41A2" w:rsidRPr="00CF74BA">
              <w:rPr>
                <w:sz w:val="24"/>
                <w:szCs w:val="22"/>
              </w:rPr>
              <w:t xml:space="preserve"> </w:t>
            </w:r>
            <w:r w:rsidRPr="00CF74BA">
              <w:rPr>
                <w:sz w:val="24"/>
                <w:szCs w:val="22"/>
              </w:rPr>
              <w:t>be</w:t>
            </w:r>
            <w:r w:rsidR="004B41A2" w:rsidRPr="00CF74BA">
              <w:rPr>
                <w:sz w:val="24"/>
                <w:szCs w:val="22"/>
              </w:rPr>
              <w:t xml:space="preserve"> </w:t>
            </w:r>
            <w:r w:rsidRPr="00CF74BA">
              <w:rPr>
                <w:sz w:val="24"/>
                <w:szCs w:val="22"/>
              </w:rPr>
              <w:t>used</w:t>
            </w:r>
            <w:r w:rsidR="004B41A2" w:rsidRPr="00CF74BA">
              <w:rPr>
                <w:sz w:val="24"/>
                <w:szCs w:val="22"/>
              </w:rPr>
              <w:t xml:space="preserve"> </w:t>
            </w:r>
            <w:r w:rsidRPr="00CF74BA">
              <w:rPr>
                <w:sz w:val="24"/>
                <w:szCs w:val="22"/>
              </w:rPr>
              <w:t>for</w:t>
            </w:r>
            <w:r w:rsidR="004B41A2" w:rsidRPr="00CF74BA">
              <w:rPr>
                <w:sz w:val="24"/>
                <w:szCs w:val="22"/>
              </w:rPr>
              <w:t xml:space="preserve"> </w:t>
            </w:r>
            <w:r w:rsidRPr="00CF74BA">
              <w:rPr>
                <w:sz w:val="24"/>
                <w:szCs w:val="22"/>
              </w:rPr>
              <w:t>any</w:t>
            </w:r>
            <w:r w:rsidR="004B41A2" w:rsidRPr="00CF74BA">
              <w:rPr>
                <w:sz w:val="24"/>
                <w:szCs w:val="22"/>
              </w:rPr>
              <w:t xml:space="preserve"> </w:t>
            </w:r>
            <w:r w:rsidRPr="00CF74BA">
              <w:rPr>
                <w:sz w:val="24"/>
                <w:szCs w:val="22"/>
              </w:rPr>
              <w:t>other</w:t>
            </w:r>
            <w:r w:rsidR="004B41A2" w:rsidRPr="00CF74BA">
              <w:rPr>
                <w:sz w:val="24"/>
                <w:szCs w:val="22"/>
              </w:rPr>
              <w:t xml:space="preserve"> </w:t>
            </w:r>
            <w:r w:rsidRPr="00CF74BA">
              <w:rPr>
                <w:sz w:val="24"/>
                <w:szCs w:val="22"/>
              </w:rPr>
              <w:t>purpose</w:t>
            </w:r>
            <w:r w:rsidR="004B41A2" w:rsidRPr="00CF74BA">
              <w:rPr>
                <w:sz w:val="24"/>
                <w:szCs w:val="22"/>
              </w:rPr>
              <w:t xml:space="preserve"> </w:t>
            </w:r>
            <w:r w:rsidRPr="00CF74BA">
              <w:rPr>
                <w:sz w:val="24"/>
                <w:szCs w:val="22"/>
              </w:rPr>
              <w:t>without</w:t>
            </w:r>
            <w:r w:rsidR="004B41A2" w:rsidRPr="00CF74BA">
              <w:rPr>
                <w:sz w:val="24"/>
                <w:szCs w:val="22"/>
              </w:rPr>
              <w:t xml:space="preserve"> </w:t>
            </w:r>
            <w:r w:rsidRPr="00CF74BA">
              <w:rPr>
                <w:sz w:val="24"/>
                <w:szCs w:val="22"/>
              </w:rPr>
              <w:t>the</w:t>
            </w:r>
            <w:r w:rsidR="004B41A2" w:rsidRPr="00CF74BA">
              <w:rPr>
                <w:sz w:val="24"/>
                <w:szCs w:val="22"/>
              </w:rPr>
              <w:t xml:space="preserve"> </w:t>
            </w:r>
            <w:r w:rsidRPr="00CF74BA">
              <w:rPr>
                <w:sz w:val="24"/>
                <w:szCs w:val="22"/>
              </w:rPr>
              <w:t>prior</w:t>
            </w:r>
            <w:r w:rsidR="004B41A2" w:rsidRPr="00CF74BA">
              <w:rPr>
                <w:sz w:val="24"/>
                <w:szCs w:val="22"/>
              </w:rPr>
              <w:t xml:space="preserve"> </w:t>
            </w:r>
            <w:r w:rsidRPr="00CF74BA">
              <w:rPr>
                <w:sz w:val="24"/>
                <w:szCs w:val="22"/>
              </w:rPr>
              <w:t>written</w:t>
            </w:r>
            <w:r w:rsidR="004B41A2" w:rsidRPr="00CF74BA">
              <w:rPr>
                <w:sz w:val="24"/>
                <w:szCs w:val="22"/>
              </w:rPr>
              <w:t xml:space="preserve"> </w:t>
            </w:r>
            <w:r w:rsidRPr="00CF74BA">
              <w:rPr>
                <w:sz w:val="24"/>
                <w:szCs w:val="22"/>
              </w:rPr>
              <w:t>authority</w:t>
            </w:r>
            <w:r w:rsidR="004B41A2" w:rsidRPr="00CF74BA">
              <w:rPr>
                <w:sz w:val="24"/>
                <w:szCs w:val="22"/>
              </w:rPr>
              <w:t xml:space="preserve"> </w:t>
            </w:r>
            <w:r w:rsidRPr="00CF74BA">
              <w:rPr>
                <w:sz w:val="24"/>
                <w:szCs w:val="22"/>
              </w:rPr>
              <w:t>of</w:t>
            </w:r>
            <w:r w:rsidR="004B41A2" w:rsidRPr="00CF74BA">
              <w:rPr>
                <w:sz w:val="24"/>
                <w:szCs w:val="22"/>
              </w:rPr>
              <w:t xml:space="preserve"> </w:t>
            </w:r>
            <w:r w:rsidRPr="00CF74BA">
              <w:rPr>
                <w:sz w:val="24"/>
                <w:szCs w:val="22"/>
              </w:rPr>
              <w:t>GL</w:t>
            </w:r>
            <w:r w:rsidR="004B41A2" w:rsidRPr="00CF74BA">
              <w:rPr>
                <w:sz w:val="24"/>
                <w:szCs w:val="22"/>
              </w:rPr>
              <w:t xml:space="preserve"> </w:t>
            </w:r>
            <w:r w:rsidRPr="00CF74BA">
              <w:rPr>
                <w:sz w:val="24"/>
                <w:szCs w:val="22"/>
              </w:rPr>
              <w:t>Hearn;</w:t>
            </w:r>
            <w:r w:rsidR="004B41A2" w:rsidRPr="00CF74BA">
              <w:rPr>
                <w:sz w:val="24"/>
                <w:szCs w:val="22"/>
              </w:rPr>
              <w:t xml:space="preserve"> </w:t>
            </w:r>
            <w:r w:rsidRPr="00CF74BA">
              <w:rPr>
                <w:sz w:val="24"/>
                <w:szCs w:val="22"/>
              </w:rPr>
              <w:t>we</w:t>
            </w:r>
            <w:r w:rsidR="004B41A2" w:rsidRPr="00CF74BA">
              <w:rPr>
                <w:sz w:val="24"/>
                <w:szCs w:val="22"/>
              </w:rPr>
              <w:t xml:space="preserve"> </w:t>
            </w:r>
            <w:r w:rsidRPr="00CF74BA">
              <w:rPr>
                <w:sz w:val="24"/>
                <w:szCs w:val="22"/>
              </w:rPr>
              <w:t>accept</w:t>
            </w:r>
            <w:r w:rsidR="004B41A2" w:rsidRPr="00CF74BA">
              <w:rPr>
                <w:sz w:val="24"/>
                <w:szCs w:val="22"/>
              </w:rPr>
              <w:t xml:space="preserve"> </w:t>
            </w:r>
            <w:r w:rsidRPr="00CF74BA">
              <w:rPr>
                <w:sz w:val="24"/>
                <w:szCs w:val="22"/>
              </w:rPr>
              <w:t>no</w:t>
            </w:r>
            <w:r w:rsidR="004B41A2" w:rsidRPr="00CF74BA">
              <w:rPr>
                <w:sz w:val="24"/>
                <w:szCs w:val="22"/>
              </w:rPr>
              <w:t xml:space="preserve"> </w:t>
            </w:r>
            <w:r w:rsidRPr="00CF74BA">
              <w:rPr>
                <w:sz w:val="24"/>
                <w:szCs w:val="22"/>
              </w:rPr>
              <w:t>responsibility</w:t>
            </w:r>
            <w:r w:rsidR="004B41A2" w:rsidRPr="00CF74BA">
              <w:rPr>
                <w:sz w:val="24"/>
                <w:szCs w:val="22"/>
              </w:rPr>
              <w:t xml:space="preserve"> </w:t>
            </w:r>
            <w:r w:rsidRPr="00CF74BA">
              <w:rPr>
                <w:sz w:val="24"/>
                <w:szCs w:val="22"/>
              </w:rPr>
              <w:t>or</w:t>
            </w:r>
            <w:r w:rsidR="004B41A2" w:rsidRPr="00CF74BA">
              <w:rPr>
                <w:sz w:val="24"/>
                <w:szCs w:val="22"/>
              </w:rPr>
              <w:t xml:space="preserve"> </w:t>
            </w:r>
            <w:r w:rsidRPr="00CF74BA">
              <w:rPr>
                <w:sz w:val="24"/>
                <w:szCs w:val="22"/>
              </w:rPr>
              <w:t>liability</w:t>
            </w:r>
            <w:r w:rsidR="004B41A2" w:rsidRPr="00CF74BA">
              <w:rPr>
                <w:sz w:val="24"/>
                <w:szCs w:val="22"/>
              </w:rPr>
              <w:t xml:space="preserve"> </w:t>
            </w:r>
            <w:r w:rsidRPr="00CF74BA">
              <w:rPr>
                <w:sz w:val="24"/>
                <w:szCs w:val="22"/>
              </w:rPr>
              <w:t>for</w:t>
            </w:r>
            <w:r w:rsidR="004B41A2" w:rsidRPr="00CF74BA">
              <w:rPr>
                <w:sz w:val="24"/>
                <w:szCs w:val="22"/>
              </w:rPr>
              <w:t xml:space="preserve"> </w:t>
            </w:r>
            <w:r w:rsidRPr="00CF74BA">
              <w:rPr>
                <w:sz w:val="24"/>
                <w:szCs w:val="22"/>
              </w:rPr>
              <w:t>the</w:t>
            </w:r>
            <w:r w:rsidR="004B41A2" w:rsidRPr="00CF74BA">
              <w:rPr>
                <w:sz w:val="24"/>
                <w:szCs w:val="22"/>
              </w:rPr>
              <w:t xml:space="preserve"> </w:t>
            </w:r>
            <w:r w:rsidRPr="00CF74BA">
              <w:rPr>
                <w:sz w:val="24"/>
                <w:szCs w:val="22"/>
              </w:rPr>
              <w:t>consequences</w:t>
            </w:r>
            <w:r w:rsidR="004B41A2" w:rsidRPr="00CF74BA">
              <w:rPr>
                <w:sz w:val="24"/>
                <w:szCs w:val="22"/>
              </w:rPr>
              <w:t xml:space="preserve"> </w:t>
            </w:r>
            <w:r w:rsidRPr="00CF74BA">
              <w:rPr>
                <w:sz w:val="24"/>
                <w:szCs w:val="22"/>
              </w:rPr>
              <w:t>of</w:t>
            </w:r>
            <w:r w:rsidR="004B41A2" w:rsidRPr="00CF74BA">
              <w:rPr>
                <w:sz w:val="24"/>
                <w:szCs w:val="22"/>
              </w:rPr>
              <w:t xml:space="preserve"> </w:t>
            </w:r>
            <w:r w:rsidRPr="00CF74BA">
              <w:rPr>
                <w:sz w:val="24"/>
                <w:szCs w:val="22"/>
              </w:rPr>
              <w:t>this</w:t>
            </w:r>
            <w:r w:rsidR="004B41A2" w:rsidRPr="00CF74BA">
              <w:rPr>
                <w:sz w:val="24"/>
                <w:szCs w:val="22"/>
              </w:rPr>
              <w:t xml:space="preserve"> </w:t>
            </w:r>
            <w:r w:rsidRPr="00CF74BA">
              <w:rPr>
                <w:sz w:val="24"/>
                <w:szCs w:val="22"/>
              </w:rPr>
              <w:t>document</w:t>
            </w:r>
            <w:r w:rsidR="004B41A2" w:rsidRPr="00CF74BA">
              <w:rPr>
                <w:sz w:val="24"/>
                <w:szCs w:val="22"/>
              </w:rPr>
              <w:t xml:space="preserve"> </w:t>
            </w:r>
            <w:r w:rsidRPr="00CF74BA">
              <w:rPr>
                <w:sz w:val="24"/>
                <w:szCs w:val="22"/>
              </w:rPr>
              <w:t>being</w:t>
            </w:r>
            <w:r w:rsidR="004B41A2" w:rsidRPr="00CF74BA">
              <w:rPr>
                <w:sz w:val="24"/>
                <w:szCs w:val="22"/>
              </w:rPr>
              <w:t xml:space="preserve"> </w:t>
            </w:r>
            <w:r w:rsidRPr="00CF74BA">
              <w:rPr>
                <w:sz w:val="24"/>
                <w:szCs w:val="22"/>
              </w:rPr>
              <w:t>used</w:t>
            </w:r>
            <w:r w:rsidR="004B41A2" w:rsidRPr="00CF74BA">
              <w:rPr>
                <w:sz w:val="24"/>
                <w:szCs w:val="22"/>
              </w:rPr>
              <w:t xml:space="preserve"> </w:t>
            </w:r>
            <w:r w:rsidRPr="00CF74BA">
              <w:rPr>
                <w:sz w:val="24"/>
                <w:szCs w:val="22"/>
              </w:rPr>
              <w:t>for</w:t>
            </w:r>
            <w:r w:rsidR="004B41A2" w:rsidRPr="00CF74BA">
              <w:rPr>
                <w:sz w:val="24"/>
                <w:szCs w:val="22"/>
              </w:rPr>
              <w:t xml:space="preserve"> </w:t>
            </w:r>
            <w:r w:rsidRPr="00CF74BA">
              <w:rPr>
                <w:sz w:val="24"/>
                <w:szCs w:val="22"/>
              </w:rPr>
              <w:t>a</w:t>
            </w:r>
            <w:r w:rsidR="004B41A2" w:rsidRPr="00CF74BA">
              <w:rPr>
                <w:sz w:val="24"/>
                <w:szCs w:val="22"/>
              </w:rPr>
              <w:t xml:space="preserve"> </w:t>
            </w:r>
            <w:r w:rsidRPr="00CF74BA">
              <w:rPr>
                <w:sz w:val="24"/>
                <w:szCs w:val="22"/>
              </w:rPr>
              <w:t>purpose</w:t>
            </w:r>
            <w:r w:rsidR="004B41A2" w:rsidRPr="00CF74BA">
              <w:rPr>
                <w:sz w:val="24"/>
                <w:szCs w:val="22"/>
              </w:rPr>
              <w:t xml:space="preserve"> </w:t>
            </w:r>
            <w:r w:rsidRPr="00CF74BA">
              <w:rPr>
                <w:sz w:val="24"/>
                <w:szCs w:val="22"/>
              </w:rPr>
              <w:t>other</w:t>
            </w:r>
            <w:r w:rsidR="004B41A2" w:rsidRPr="00CF74BA">
              <w:rPr>
                <w:sz w:val="24"/>
                <w:szCs w:val="22"/>
              </w:rPr>
              <w:t xml:space="preserve"> </w:t>
            </w:r>
            <w:r w:rsidRPr="00CF74BA">
              <w:rPr>
                <w:sz w:val="24"/>
                <w:szCs w:val="22"/>
              </w:rPr>
              <w:t>than</w:t>
            </w:r>
            <w:r w:rsidR="004B41A2" w:rsidRPr="00CF74BA">
              <w:rPr>
                <w:sz w:val="24"/>
                <w:szCs w:val="22"/>
              </w:rPr>
              <w:t xml:space="preserve"> </w:t>
            </w:r>
            <w:r w:rsidRPr="00CF74BA">
              <w:rPr>
                <w:sz w:val="24"/>
                <w:szCs w:val="22"/>
              </w:rPr>
              <w:t>for</w:t>
            </w:r>
            <w:r w:rsidR="004B41A2" w:rsidRPr="00CF74BA">
              <w:rPr>
                <w:sz w:val="24"/>
                <w:szCs w:val="22"/>
              </w:rPr>
              <w:t xml:space="preserve"> </w:t>
            </w:r>
            <w:r w:rsidRPr="00CF74BA">
              <w:rPr>
                <w:sz w:val="24"/>
                <w:szCs w:val="22"/>
              </w:rPr>
              <w:t>which</w:t>
            </w:r>
            <w:r w:rsidR="004B41A2" w:rsidRPr="00CF74BA">
              <w:rPr>
                <w:sz w:val="24"/>
                <w:szCs w:val="22"/>
              </w:rPr>
              <w:t xml:space="preserve"> </w:t>
            </w:r>
            <w:r w:rsidRPr="00CF74BA">
              <w:rPr>
                <w:sz w:val="24"/>
                <w:szCs w:val="22"/>
              </w:rPr>
              <w:t>it</w:t>
            </w:r>
            <w:r w:rsidR="004B41A2" w:rsidRPr="00CF74BA">
              <w:rPr>
                <w:sz w:val="24"/>
                <w:szCs w:val="22"/>
              </w:rPr>
              <w:t xml:space="preserve"> </w:t>
            </w:r>
            <w:r w:rsidRPr="00CF74BA">
              <w:rPr>
                <w:sz w:val="24"/>
                <w:szCs w:val="22"/>
              </w:rPr>
              <w:t>was</w:t>
            </w:r>
            <w:r w:rsidR="004B41A2" w:rsidRPr="00CF74BA">
              <w:rPr>
                <w:sz w:val="24"/>
                <w:szCs w:val="22"/>
              </w:rPr>
              <w:t xml:space="preserve"> </w:t>
            </w:r>
            <w:r w:rsidRPr="00CF74BA">
              <w:rPr>
                <w:sz w:val="24"/>
                <w:szCs w:val="22"/>
              </w:rPr>
              <w:t>commissioned.</w:t>
            </w:r>
          </w:p>
          <w:p w:rsidR="00D034A2" w:rsidRPr="00CA47B9" w:rsidRDefault="00D034A2" w:rsidP="00F67C02">
            <w:pPr>
              <w:pStyle w:val="BodyText1"/>
              <w:suppressLineNumbers/>
            </w:pPr>
          </w:p>
        </w:tc>
      </w:tr>
    </w:tbl>
    <w:p w:rsidR="00ED59EA" w:rsidRPr="00CA47B9" w:rsidRDefault="00ED59EA" w:rsidP="00F67C02">
      <w:pPr>
        <w:suppressLineNumbers/>
        <w:rPr>
          <w:szCs w:val="18"/>
        </w:rPr>
      </w:pPr>
      <w:r w:rsidRPr="00CA47B9">
        <w:br w:type="page"/>
      </w:r>
    </w:p>
    <w:p w:rsidR="00CE7E71" w:rsidRDefault="00CE7E71" w:rsidP="00CE7E71">
      <w:pPr>
        <w:pStyle w:val="1Bodytext"/>
        <w:numPr>
          <w:ilvl w:val="0"/>
          <w:numId w:val="0"/>
        </w:numPr>
        <w:ind w:left="794" w:hanging="794"/>
      </w:pPr>
      <w:bookmarkStart w:id="2" w:name="_Toc51600007"/>
      <w:bookmarkStart w:id="3" w:name="_Toc485718376"/>
      <w:bookmarkStart w:id="4" w:name="_Toc192833179"/>
      <w:bookmarkStart w:id="5" w:name="_Toc192909114"/>
      <w:r>
        <w:lastRenderedPageBreak/>
        <w:t>Executive summary</w:t>
      </w:r>
      <w:bookmarkEnd w:id="2"/>
    </w:p>
    <w:p w:rsidR="005200A0" w:rsidRDefault="005200A0" w:rsidP="00CE7E71">
      <w:pPr>
        <w:pStyle w:val="1Bodytext"/>
        <w:numPr>
          <w:ilvl w:val="0"/>
          <w:numId w:val="0"/>
        </w:numPr>
        <w:ind w:left="794" w:hanging="794"/>
      </w:pPr>
    </w:p>
    <w:p w:rsidR="000A192F" w:rsidRPr="00CF74BA" w:rsidRDefault="000A192F" w:rsidP="00EE30F0">
      <w:pPr>
        <w:pStyle w:val="bigserial"/>
        <w:ind w:left="567" w:hanging="567"/>
      </w:pPr>
      <w:r w:rsidRPr="00CF74BA">
        <w:t>Chichester District Council (CDC) has commissioned GL Hearn</w:t>
      </w:r>
      <w:r w:rsidR="00AE3770">
        <w:t>,</w:t>
      </w:r>
      <w:r w:rsidRPr="00CF74BA">
        <w:t xml:space="preserve"> </w:t>
      </w:r>
      <w:r w:rsidR="00AE3770">
        <w:t xml:space="preserve">with Iceni Projects Ltd, </w:t>
      </w:r>
      <w:r w:rsidRPr="00CF74BA">
        <w:t>to undertake a Housing and Economic Development Needs Assessment (HEDNA). This report is an update to the 2018 HEDNA</w:t>
      </w:r>
      <w:r w:rsidR="00A144BA" w:rsidRPr="00CF74BA">
        <w:t xml:space="preserve"> prepared by GL Hearn that provided evidence supporting the draft Local Plan as consulted upon in December 2018 - February 2019</w:t>
      </w:r>
      <w:r w:rsidR="005200A0" w:rsidRPr="00CF74BA">
        <w:t xml:space="preserve">. </w:t>
      </w:r>
      <w:r w:rsidRPr="00CF74BA">
        <w:t xml:space="preserve">The HEDNA deals with the need for housing and employment floorspace over the period 2019 to 2036. </w:t>
      </w:r>
      <w:r w:rsidR="006864B7" w:rsidRPr="00CF74BA">
        <w:t>While this work was being completed the Council extended the plan period to 2037 – tables providing figures for the extended period are included in Appendix 1.</w:t>
      </w:r>
      <w:r w:rsidR="00E54308" w:rsidRPr="00CF74BA">
        <w:t xml:space="preserve"> </w:t>
      </w:r>
      <w:r w:rsidRPr="00CF74BA">
        <w:t xml:space="preserve">This report does not make policy decisions regarding what levels of development should be planned for – this is for the Local Plan itself. </w:t>
      </w:r>
    </w:p>
    <w:p w:rsidR="000A192F" w:rsidRDefault="00E54308" w:rsidP="00EE30F0">
      <w:pPr>
        <w:pStyle w:val="bigserial"/>
        <w:ind w:left="567" w:hanging="567"/>
      </w:pPr>
      <w:r>
        <w:t>CDC</w:t>
      </w:r>
      <w:r w:rsidR="005200A0">
        <w:t xml:space="preserve"> does not have planning jurisdiction for the whole district as part of the district falls within the South Downs National Park.</w:t>
      </w:r>
      <w:r w:rsidR="00855CA6">
        <w:t xml:space="preserve"> </w:t>
      </w:r>
      <w:r w:rsidR="000A192F" w:rsidRPr="005200A0">
        <w:t>The outputs of this work relate</w:t>
      </w:r>
      <w:r w:rsidR="005200A0">
        <w:t xml:space="preserve"> </w:t>
      </w:r>
      <w:proofErr w:type="gramStart"/>
      <w:r w:rsidR="005200A0">
        <w:t>principally  to</w:t>
      </w:r>
      <w:proofErr w:type="gramEnd"/>
      <w:r w:rsidR="005200A0">
        <w:t xml:space="preserve"> the </w:t>
      </w:r>
      <w:r w:rsidR="001D7941">
        <w:t>“</w:t>
      </w:r>
      <w:r w:rsidR="005200A0">
        <w:t>Plan Area</w:t>
      </w:r>
      <w:r w:rsidR="001D7941">
        <w:t>”</w:t>
      </w:r>
      <w:r w:rsidR="000A192F" w:rsidRPr="005200A0">
        <w:t xml:space="preserve"> </w:t>
      </w:r>
      <w:r w:rsidR="005200A0">
        <w:t>of</w:t>
      </w:r>
      <w:r w:rsidR="000A192F" w:rsidRPr="005200A0">
        <w:t xml:space="preserve"> Chichester District</w:t>
      </w:r>
      <w:r w:rsidR="005200A0">
        <w:t xml:space="preserve"> i.e. those parts of the district outside of the National Park</w:t>
      </w:r>
      <w:r w:rsidR="000A192F" w:rsidRPr="005200A0">
        <w:t>.</w:t>
      </w:r>
      <w:r w:rsidR="00855CA6">
        <w:t xml:space="preserve"> </w:t>
      </w:r>
      <w:r w:rsidR="005200A0">
        <w:t>However</w:t>
      </w:r>
      <w:r w:rsidR="001D7941">
        <w:t>,</w:t>
      </w:r>
      <w:r w:rsidR="005200A0">
        <w:t xml:space="preserve"> data limitations mean that sometimes the work is reported for the district as a whole.</w:t>
      </w:r>
      <w:r w:rsidR="00855CA6">
        <w:t xml:space="preserve"> </w:t>
      </w:r>
      <w:r w:rsidR="005200A0">
        <w:t>T</w:t>
      </w:r>
      <w:r w:rsidR="000A192F" w:rsidRPr="005200A0">
        <w:t>he Local Plan review will only relate to those parts of the district outside of the National Park and is referred to herein as the Plan Area.</w:t>
      </w:r>
    </w:p>
    <w:p w:rsidR="00C37DA5" w:rsidRPr="00ED1C06" w:rsidRDefault="00C37DA5" w:rsidP="006B2A89">
      <w:pPr>
        <w:pStyle w:val="SubheadBlue12"/>
        <w:ind w:left="567" w:firstLine="0"/>
      </w:pPr>
      <w:r w:rsidRPr="00ED1C06">
        <w:t>Housing Market Dynamics</w:t>
      </w:r>
    </w:p>
    <w:p w:rsidR="00C37DA5" w:rsidRPr="005200A0" w:rsidRDefault="00C37DA5" w:rsidP="00EE30F0">
      <w:pPr>
        <w:pStyle w:val="bigserial"/>
        <w:ind w:left="567" w:hanging="567"/>
      </w:pPr>
      <w:r w:rsidRPr="005200A0">
        <w:t xml:space="preserve">Land values in Chichester are significantly higher than the values </w:t>
      </w:r>
      <w:r>
        <w:t>in wider</w:t>
      </w:r>
      <w:r w:rsidRPr="005200A0">
        <w:t xml:space="preserve"> comparable areas including</w:t>
      </w:r>
      <w:r>
        <w:t xml:space="preserve"> the</w:t>
      </w:r>
      <w:r w:rsidRPr="005200A0">
        <w:t xml:space="preserve"> South East</w:t>
      </w:r>
      <w:r>
        <w:t xml:space="preserve"> region</w:t>
      </w:r>
      <w:r w:rsidRPr="005200A0">
        <w:t xml:space="preserve"> and England and Wales (excluding London). In comparison to neighbouring local authorities  the median house prices in Chichester are significantly higher. For example, median prices in Chichester are £37k higher than West Sussex as a whole. </w:t>
      </w:r>
    </w:p>
    <w:p w:rsidR="00C37DA5" w:rsidRPr="005200A0" w:rsidRDefault="00C37DA5" w:rsidP="00EE30F0">
      <w:pPr>
        <w:pStyle w:val="bigserial"/>
        <w:ind w:left="567" w:hanging="567"/>
      </w:pPr>
      <w:r w:rsidRPr="005200A0">
        <w:t>There were considerably more detached houses sold in Chichester in 2018 compared to benchmark areas and this mix is</w:t>
      </w:r>
      <w:r>
        <w:t xml:space="preserve"> in part</w:t>
      </w:r>
      <w:r w:rsidRPr="005200A0">
        <w:t xml:space="preserve"> driving high house prices in the area, as detached homes tend to attract higher values due to their size. </w:t>
      </w:r>
    </w:p>
    <w:p w:rsidR="00C37DA5" w:rsidRPr="005200A0" w:rsidRDefault="00C37DA5" w:rsidP="006B2A89">
      <w:pPr>
        <w:pStyle w:val="bigserial"/>
        <w:ind w:left="567" w:hanging="567"/>
      </w:pPr>
      <w:r w:rsidRPr="005200A0">
        <w:t>In terms of affordability Chichester follows the national trend of significant de</w:t>
      </w:r>
      <w:r>
        <w:t>terioration</w:t>
      </w:r>
      <w:r w:rsidRPr="005200A0">
        <w:t xml:space="preserve"> in affordability since 2001 and stabilising since 2008 albeit at a higher level. Generally, Chichester is less affordable than all of the comparable areas. </w:t>
      </w:r>
    </w:p>
    <w:p w:rsidR="00C37DA5" w:rsidRPr="005200A0" w:rsidRDefault="00C37DA5" w:rsidP="006B2A89">
      <w:pPr>
        <w:pStyle w:val="bigserial"/>
        <w:ind w:left="567" w:hanging="567"/>
      </w:pPr>
      <w:r w:rsidRPr="005200A0">
        <w:t>In 2018, lower quartile house prices in the District stood at 1</w:t>
      </w:r>
      <w:r w:rsidR="006B6A20">
        <w:t>3</w:t>
      </w:r>
      <w:r w:rsidR="006C35F0">
        <w:t>.59</w:t>
      </w:r>
      <w:r w:rsidRPr="005200A0">
        <w:t xml:space="preserve"> times lower quartile resident earnings, indicating notable affordability pressures at the lower end of the market. The lower quartile market rent for the District is around £720 per month for all dwelling types. Plan Area North has the highest rental value (£1,020) and Chichester </w:t>
      </w:r>
      <w:r w:rsidR="002F5699">
        <w:t>City</w:t>
      </w:r>
      <w:r w:rsidR="002F5699" w:rsidRPr="005200A0">
        <w:t xml:space="preserve"> </w:t>
      </w:r>
      <w:r w:rsidRPr="005200A0">
        <w:t xml:space="preserve">has the lowest (£670). </w:t>
      </w:r>
    </w:p>
    <w:p w:rsidR="00C37DA5" w:rsidRPr="005200A0" w:rsidRDefault="00C37DA5" w:rsidP="006B2A89">
      <w:pPr>
        <w:pStyle w:val="bigserial"/>
        <w:ind w:left="567" w:hanging="567"/>
      </w:pPr>
      <w:r w:rsidRPr="005200A0">
        <w:t xml:space="preserve">Chichester has seen the proportion of residents living in over-occupied and shared properties increase by 28%, although in comparison to South East (36%) and national trends (33%) this growth is below average. </w:t>
      </w:r>
    </w:p>
    <w:p w:rsidR="000A192F" w:rsidRPr="005200A0" w:rsidRDefault="000A192F" w:rsidP="006B2A89">
      <w:pPr>
        <w:pStyle w:val="SubheadBlue12"/>
        <w:ind w:left="567" w:firstLine="0"/>
      </w:pPr>
      <w:r w:rsidRPr="005200A0">
        <w:lastRenderedPageBreak/>
        <w:t>Demographic Profile &amp; Housing Need</w:t>
      </w:r>
    </w:p>
    <w:p w:rsidR="001D7941" w:rsidRDefault="001D7941" w:rsidP="006B2A89">
      <w:pPr>
        <w:pStyle w:val="bigserial"/>
        <w:ind w:left="567" w:hanging="567"/>
      </w:pPr>
      <w:r>
        <w:t>In</w:t>
      </w:r>
      <w:r w:rsidR="000A192F" w:rsidRPr="005200A0">
        <w:t xml:space="preserve"> 2018, the population of Chichester District was 120,750. This is a 19% increase since 1991 </w:t>
      </w:r>
      <w:r>
        <w:t xml:space="preserve">and </w:t>
      </w:r>
      <w:r w:rsidR="000A192F" w:rsidRPr="005200A0">
        <w:t xml:space="preserve">an average annual growth of 0.6%. </w:t>
      </w:r>
      <w:r w:rsidRPr="005200A0">
        <w:t>Net migration has been a key driver of historic population change, although levels of migration have been notably lower in the most recent past</w:t>
      </w:r>
      <w:r>
        <w:t>.</w:t>
      </w:r>
    </w:p>
    <w:p w:rsidR="000A192F" w:rsidRPr="005200A0" w:rsidRDefault="000A192F" w:rsidP="006B2A89">
      <w:pPr>
        <w:pStyle w:val="bigserial"/>
        <w:ind w:left="567" w:hanging="567"/>
      </w:pPr>
      <w:r w:rsidRPr="005200A0">
        <w:t xml:space="preserve">A large proportion (27%) of the District’s residents are aged 65 or over. </w:t>
      </w:r>
      <w:r w:rsidR="001D7941">
        <w:t>However, t</w:t>
      </w:r>
      <w:r w:rsidRPr="005200A0">
        <w:t>he University of Chichester</w:t>
      </w:r>
      <w:r w:rsidR="001D7941">
        <w:t xml:space="preserve"> and the Horticultural job opportunities</w:t>
      </w:r>
      <w:r w:rsidRPr="005200A0">
        <w:t xml:space="preserve"> contribute to a stable population of those aged between 20-24 at 6% of the total population.</w:t>
      </w:r>
    </w:p>
    <w:p w:rsidR="000A192F" w:rsidRPr="005200A0" w:rsidRDefault="000A192F" w:rsidP="006B2A89">
      <w:pPr>
        <w:pStyle w:val="bigserial"/>
        <w:ind w:left="567" w:hanging="567"/>
      </w:pPr>
      <w:r w:rsidRPr="005200A0">
        <w:t xml:space="preserve">To calculate </w:t>
      </w:r>
      <w:r w:rsidR="00855CA6">
        <w:t xml:space="preserve">the </w:t>
      </w:r>
      <w:r w:rsidRPr="005200A0">
        <w:t>housing need, the</w:t>
      </w:r>
      <w:r w:rsidR="001D7941">
        <w:t xml:space="preserve"> </w:t>
      </w:r>
      <w:r w:rsidR="00855CA6">
        <w:t>three-</w:t>
      </w:r>
      <w:r w:rsidR="001D7941">
        <w:t>stage</w:t>
      </w:r>
      <w:r w:rsidRPr="005200A0">
        <w:t xml:space="preserve"> standard methodology has been used. The starting point of the assessment is the 2014-based projections which show</w:t>
      </w:r>
      <w:r w:rsidR="00240761">
        <w:t>ed</w:t>
      </w:r>
      <w:r w:rsidRPr="005200A0">
        <w:t xml:space="preserve"> an average household growth of 533 households per annum for the ten</w:t>
      </w:r>
      <w:r w:rsidR="00855CA6">
        <w:t xml:space="preserve"> years</w:t>
      </w:r>
      <w:r w:rsidRPr="005200A0">
        <w:t xml:space="preserve"> 2019-2029. </w:t>
      </w:r>
    </w:p>
    <w:p w:rsidR="000A192F" w:rsidRPr="005200A0" w:rsidRDefault="000A192F" w:rsidP="006B2A89">
      <w:pPr>
        <w:pStyle w:val="bigserial"/>
        <w:ind w:left="567" w:hanging="567"/>
      </w:pPr>
      <w:r w:rsidRPr="005200A0">
        <w:t xml:space="preserve">Step 2 adjusts this figure </w:t>
      </w:r>
      <w:r w:rsidR="00855CA6">
        <w:t>based on</w:t>
      </w:r>
      <w:r w:rsidRPr="005200A0">
        <w:t xml:space="preserve"> local affordability.</w:t>
      </w:r>
      <w:r w:rsidR="00855CA6">
        <w:t xml:space="preserve"> </w:t>
      </w:r>
      <w:r w:rsidR="001D7941">
        <w:t>In</w:t>
      </w:r>
      <w:r w:rsidRPr="005200A0">
        <w:t xml:space="preserve"> 2018, the </w:t>
      </w:r>
      <w:r w:rsidR="00855CA6">
        <w:t>workplace-</w:t>
      </w:r>
      <w:r w:rsidR="006C35F0">
        <w:t xml:space="preserve">based median </w:t>
      </w:r>
      <w:r w:rsidRPr="005200A0">
        <w:t xml:space="preserve">affordability ratio for Chichester District was 13.1. </w:t>
      </w:r>
      <w:r w:rsidR="001D7941">
        <w:t xml:space="preserve">The calculation as prescribed by the PPG </w:t>
      </w:r>
      <w:r w:rsidRPr="005200A0">
        <w:t xml:space="preserve">increases the need by 57% to 836 dpa. </w:t>
      </w:r>
    </w:p>
    <w:p w:rsidR="00DE6643" w:rsidRDefault="001D7941" w:rsidP="006B2A89">
      <w:pPr>
        <w:pStyle w:val="bigserial"/>
        <w:ind w:left="567" w:hanging="567"/>
      </w:pPr>
      <w:r>
        <w:t>W</w:t>
      </w:r>
      <w:r w:rsidRPr="005200A0">
        <w:t xml:space="preserve">here a Local Plan has been adopted within the last five years </w:t>
      </w:r>
      <w:r>
        <w:t>t</w:t>
      </w:r>
      <w:r w:rsidR="000A192F" w:rsidRPr="005200A0">
        <w:t>he standard methodology caps the</w:t>
      </w:r>
      <w:r>
        <w:t xml:space="preserve"> increase at stage 2 to 40% above the housing requirement</w:t>
      </w:r>
      <w:r w:rsidR="000A192F" w:rsidRPr="005200A0">
        <w:t>.</w:t>
      </w:r>
      <w:r w:rsidR="00DE6643" w:rsidRPr="005200A0">
        <w:t xml:space="preserve"> </w:t>
      </w:r>
      <w:r w:rsidR="000A192F" w:rsidRPr="005200A0">
        <w:t>The Local Plan target is 435 dpa. Applying the 40% cap results in 609 dpa</w:t>
      </w:r>
      <w:r w:rsidR="00A920D5">
        <w:t xml:space="preserve"> which informed the Preferred Approach Plan</w:t>
      </w:r>
      <w:r w:rsidR="000A192F" w:rsidRPr="005200A0">
        <w:t xml:space="preserve">. </w:t>
      </w:r>
      <w:r w:rsidR="00DE6643">
        <w:t>Although please note that this is for the Plan Area rather than the District so the 435 is not directly comparable to the 533 dpa.</w:t>
      </w:r>
    </w:p>
    <w:p w:rsidR="006864B7" w:rsidRDefault="00240761" w:rsidP="006B2A89">
      <w:pPr>
        <w:pStyle w:val="bigserial"/>
        <w:ind w:left="567" w:hanging="567"/>
      </w:pPr>
      <w:r>
        <w:t xml:space="preserve">The Council’s most recent assessment of housing need for the </w:t>
      </w:r>
      <w:r w:rsidR="00BB7034">
        <w:t>Plan A</w:t>
      </w:r>
      <w:r>
        <w:t>rea is 628 dwellings per annum.</w:t>
      </w:r>
      <w:r w:rsidR="00855CA6">
        <w:t xml:space="preserve"> </w:t>
      </w:r>
      <w:r w:rsidR="00DE6643" w:rsidRPr="00873DCC">
        <w:t>In addition</w:t>
      </w:r>
      <w:r w:rsidR="00873DCC" w:rsidRPr="00873DCC">
        <w:t>,</w:t>
      </w:r>
      <w:r w:rsidR="00DE6643" w:rsidRPr="00873DCC">
        <w:t xml:space="preserve"> </w:t>
      </w:r>
      <w:r w:rsidR="00E54308">
        <w:t>CDC</w:t>
      </w:r>
      <w:r w:rsidR="000A192F" w:rsidRPr="00873DCC">
        <w:t xml:space="preserve"> has </w:t>
      </w:r>
      <w:r w:rsidR="00132063">
        <w:t xml:space="preserve">previously signed a Statement of Common Ground that it </w:t>
      </w:r>
      <w:r w:rsidR="000A192F" w:rsidRPr="00873DCC">
        <w:t>agreed to investigate if it can</w:t>
      </w:r>
      <w:r w:rsidR="00132063">
        <w:t xml:space="preserve"> meet </w:t>
      </w:r>
      <w:r w:rsidR="00855CA6">
        <w:t xml:space="preserve">the </w:t>
      </w:r>
      <w:r w:rsidR="00132063">
        <w:t>unmet need of 44</w:t>
      </w:r>
      <w:r w:rsidR="00BB7034">
        <w:t xml:space="preserve"> </w:t>
      </w:r>
      <w:r w:rsidR="00132063">
        <w:t>dpa</w:t>
      </w:r>
      <w:r w:rsidR="000A192F" w:rsidRPr="00873DCC">
        <w:t xml:space="preserve"> from the SDNPA. </w:t>
      </w:r>
      <w:r w:rsidR="00132063">
        <w:t xml:space="preserve">However, a final decision on </w:t>
      </w:r>
      <w:r w:rsidR="00A920D5">
        <w:t>the level of any increase in housing provi</w:t>
      </w:r>
      <w:r w:rsidR="00132063">
        <w:t>s</w:t>
      </w:r>
      <w:r w:rsidR="00A920D5">
        <w:t>i</w:t>
      </w:r>
      <w:r w:rsidR="00132063">
        <w:t xml:space="preserve">on in response </w:t>
      </w:r>
      <w:r w:rsidR="00A920D5">
        <w:t>to</w:t>
      </w:r>
      <w:r w:rsidR="00132063">
        <w:t xml:space="preserve"> unmet need has yet to be taken. </w:t>
      </w:r>
    </w:p>
    <w:p w:rsidR="00BB7034" w:rsidRDefault="006864B7" w:rsidP="006B2A89">
      <w:pPr>
        <w:pStyle w:val="bigserial"/>
        <w:ind w:left="567" w:hanging="567"/>
      </w:pPr>
      <w:r w:rsidRPr="00906E45">
        <w:t>For</w:t>
      </w:r>
      <w:r w:rsidR="00855CA6">
        <w:t xml:space="preserve"> the</w:t>
      </w:r>
      <w:r w:rsidRPr="00906E45">
        <w:t xml:space="preserve"> demographic analysis</w:t>
      </w:r>
      <w:r w:rsidR="00855CA6">
        <w:t>,</w:t>
      </w:r>
      <w:r w:rsidRPr="00906E45">
        <w:t xml:space="preserve"> a “policy on”</w:t>
      </w:r>
      <w:r w:rsidR="00906E45" w:rsidRPr="00906E45">
        <w:t xml:space="preserve"> figure based on the Preferred A</w:t>
      </w:r>
      <w:r w:rsidRPr="00906E45">
        <w:t xml:space="preserve">pproach plan has been used </w:t>
      </w:r>
      <w:r w:rsidRPr="002B4926">
        <w:t>– this is</w:t>
      </w:r>
      <w:r w:rsidR="000A192F" w:rsidRPr="002B4926">
        <w:t xml:space="preserve"> 650 dpa </w:t>
      </w:r>
      <w:r w:rsidR="00DE6643" w:rsidRPr="002B4926">
        <w:t xml:space="preserve">for </w:t>
      </w:r>
      <w:r w:rsidR="000A192F" w:rsidRPr="002B4926">
        <w:t>the Local Plan Area</w:t>
      </w:r>
      <w:r w:rsidR="00906E45" w:rsidRPr="002B4926">
        <w:t>.</w:t>
      </w:r>
      <w:r w:rsidR="00855CA6">
        <w:t xml:space="preserve"> </w:t>
      </w:r>
      <w:r w:rsidR="00906E45" w:rsidRPr="002B4926">
        <w:t xml:space="preserve">With the </w:t>
      </w:r>
      <w:r w:rsidR="000A192F" w:rsidRPr="002B4926">
        <w:t xml:space="preserve">81 dpa </w:t>
      </w:r>
      <w:r w:rsidR="00906E45" w:rsidRPr="002B4926">
        <w:t xml:space="preserve">to be delivered by the SDNPA </w:t>
      </w:r>
      <w:r w:rsidR="000A192F" w:rsidRPr="002B4926">
        <w:t>in the National Park</w:t>
      </w:r>
      <w:r w:rsidR="00855CA6">
        <w:t>,</w:t>
      </w:r>
      <w:r w:rsidR="00DE6643" w:rsidRPr="002B4926">
        <w:t xml:space="preserve"> </w:t>
      </w:r>
      <w:r w:rsidR="00906E45" w:rsidRPr="002B4926">
        <w:t xml:space="preserve">this gives </w:t>
      </w:r>
      <w:r w:rsidR="00DE6643" w:rsidRPr="002B4926">
        <w:t xml:space="preserve">a </w:t>
      </w:r>
      <w:r w:rsidR="00906E45" w:rsidRPr="002B4926">
        <w:t>figure of</w:t>
      </w:r>
      <w:r w:rsidR="000A192F" w:rsidRPr="002B4926">
        <w:t xml:space="preserve"> 731 dpa </w:t>
      </w:r>
      <w:r w:rsidR="00DE6643" w:rsidRPr="002B4926">
        <w:t>for</w:t>
      </w:r>
      <w:r w:rsidR="000A192F" w:rsidRPr="002B4926">
        <w:t xml:space="preserve"> the District.</w:t>
      </w:r>
      <w:r w:rsidR="00855CA6">
        <w:t xml:space="preserve"> </w:t>
      </w:r>
      <w:r w:rsidR="00FC0460">
        <w:t xml:space="preserve">This approach has been followed to enable the report to be finalised </w:t>
      </w:r>
      <w:r w:rsidR="00855CA6">
        <w:t>before</w:t>
      </w:r>
      <w:r w:rsidR="00FC0460">
        <w:t xml:space="preserve"> the overall level of housing development in the emerging plan </w:t>
      </w:r>
      <w:r w:rsidR="00D453CC">
        <w:t>is</w:t>
      </w:r>
      <w:r w:rsidR="00FC0460">
        <w:t xml:space="preserve"> determined. </w:t>
      </w:r>
    </w:p>
    <w:p w:rsidR="00137396" w:rsidRDefault="00137396" w:rsidP="006B2A89">
      <w:pPr>
        <w:pStyle w:val="bigserial"/>
        <w:ind w:left="567" w:hanging="567"/>
      </w:pPr>
      <w:r>
        <w:t>This level of housing growth results in population growth of 19,251 in the Plan Area and 19,889 across the whole district over the 2019-36 period</w:t>
      </w:r>
      <w:r w:rsidR="009E11FB">
        <w:t>, and</w:t>
      </w:r>
      <w:r>
        <w:t xml:space="preserve"> 19,200 and 19,906 respectively over the period to 2037.</w:t>
      </w:r>
      <w:r w:rsidR="00855CA6">
        <w:t xml:space="preserve"> </w:t>
      </w:r>
    </w:p>
    <w:p w:rsidR="000A192F" w:rsidRPr="00FA5088" w:rsidRDefault="000A192F" w:rsidP="006B2A89">
      <w:pPr>
        <w:pStyle w:val="SubheadBlue12"/>
        <w:ind w:left="567" w:firstLine="0"/>
      </w:pPr>
      <w:r w:rsidRPr="00FA5088">
        <w:t>The Economy and Labour Market</w:t>
      </w:r>
    </w:p>
    <w:p w:rsidR="000A192F" w:rsidRPr="00363436" w:rsidRDefault="000A192F" w:rsidP="006B2A89">
      <w:pPr>
        <w:pStyle w:val="bigserial"/>
        <w:ind w:left="567" w:hanging="567"/>
      </w:pPr>
      <w:r w:rsidRPr="00873DCC">
        <w:t xml:space="preserve">Chichester District’s economy produces goods and services valued at £3.3 billion per annum (GVA) and supports approximately 71,380 jobs. Real Estate contributes the </w:t>
      </w:r>
      <w:r w:rsidRPr="00873DCC">
        <w:lastRenderedPageBreak/>
        <w:t xml:space="preserve">most GVA in the Chichester economy. Human Health and Social Services and Wholesale and Retail are the largest sectors in terms of total employment. </w:t>
      </w:r>
      <w:r w:rsidR="00C37DA5" w:rsidRPr="00363436">
        <w:t>K</w:t>
      </w:r>
      <w:r w:rsidRPr="00363436">
        <w:t>ey sectors of strength in Chichester are the agriculture, forestry &amp; fishing sector, accommodation and food service and real estate activities sectors.</w:t>
      </w:r>
    </w:p>
    <w:p w:rsidR="000A192F" w:rsidRPr="005200A0" w:rsidRDefault="000A192F" w:rsidP="006B2A89">
      <w:pPr>
        <w:pStyle w:val="bigserial"/>
        <w:ind w:left="567" w:hanging="567"/>
      </w:pPr>
      <w:r w:rsidRPr="005200A0">
        <w:t xml:space="preserve">Chichester </w:t>
      </w:r>
      <w:r w:rsidR="00873DCC">
        <w:t>D</w:t>
      </w:r>
      <w:r w:rsidRPr="005200A0">
        <w:t xml:space="preserve">istrict has </w:t>
      </w:r>
      <w:r w:rsidR="00D453CC">
        <w:t xml:space="preserve">a </w:t>
      </w:r>
      <w:r w:rsidRPr="005200A0">
        <w:t xml:space="preserve">relatively high employment and economic activity rate compared to the region. Unemployment in the district is recorded at 3.7% according to the Annual Population </w:t>
      </w:r>
      <w:proofErr w:type="gramStart"/>
      <w:r w:rsidRPr="005200A0">
        <w:t xml:space="preserve">Survey </w:t>
      </w:r>
      <w:r w:rsidR="00B14E93">
        <w:t xml:space="preserve"> 2018</w:t>
      </w:r>
      <w:proofErr w:type="gramEnd"/>
      <w:r w:rsidR="00B14E93">
        <w:t xml:space="preserve"> </w:t>
      </w:r>
      <w:r w:rsidR="00D453CC">
        <w:t>which</w:t>
      </w:r>
      <w:r w:rsidRPr="005200A0">
        <w:t xml:space="preserve"> is below t</w:t>
      </w:r>
      <w:r w:rsidR="00513E0B">
        <w:t>he equivalent</w:t>
      </w:r>
      <w:r w:rsidRPr="005200A0">
        <w:t xml:space="preserve"> level</w:t>
      </w:r>
      <w:r w:rsidR="00513E0B">
        <w:t>s</w:t>
      </w:r>
      <w:r w:rsidRPr="005200A0">
        <w:t xml:space="preserve"> in most of the </w:t>
      </w:r>
      <w:r w:rsidR="00513E0B">
        <w:t xml:space="preserve">local </w:t>
      </w:r>
      <w:r w:rsidRPr="005200A0">
        <w:t>comparator</w:t>
      </w:r>
      <w:r w:rsidR="00513E0B">
        <w:t>s and the</w:t>
      </w:r>
      <w:r w:rsidRPr="005200A0">
        <w:t xml:space="preserve"> England </w:t>
      </w:r>
      <w:r w:rsidR="00513E0B">
        <w:t>equivalent of</w:t>
      </w:r>
      <w:r w:rsidRPr="005200A0">
        <w:t xml:space="preserve"> 4.2%.</w:t>
      </w:r>
    </w:p>
    <w:p w:rsidR="000A192F" w:rsidRPr="005200A0" w:rsidRDefault="000A192F" w:rsidP="006B2A89">
      <w:pPr>
        <w:pStyle w:val="bigserial"/>
        <w:ind w:left="567" w:hanging="567"/>
      </w:pPr>
      <w:r w:rsidRPr="005200A0">
        <w:t>Those working full-time in the district earn around £2,800 less than those who reside in the district. This indicates that more higher-earning residents are commuting out of the area to higher paid jobs in surrounding areas</w:t>
      </w:r>
      <w:r w:rsidR="00873DCC">
        <w:t xml:space="preserve"> and London</w:t>
      </w:r>
      <w:r w:rsidRPr="005200A0">
        <w:t>.</w:t>
      </w:r>
    </w:p>
    <w:p w:rsidR="000A192F" w:rsidRPr="005200A0" w:rsidRDefault="000A192F" w:rsidP="006B2A89">
      <w:pPr>
        <w:pStyle w:val="SubheadBlue12"/>
        <w:ind w:left="567" w:firstLine="0"/>
      </w:pPr>
      <w:r w:rsidRPr="005200A0">
        <w:t>Employment Forecasts</w:t>
      </w:r>
    </w:p>
    <w:p w:rsidR="000A192F" w:rsidRPr="005200A0" w:rsidRDefault="000A192F" w:rsidP="006B2A89">
      <w:pPr>
        <w:pStyle w:val="bigserial"/>
        <w:ind w:left="567" w:hanging="567"/>
      </w:pPr>
      <w:r w:rsidRPr="005200A0">
        <w:t xml:space="preserve">Oxford Economics data </w:t>
      </w:r>
      <w:r w:rsidR="00513E0B">
        <w:t xml:space="preserve">has been used to </w:t>
      </w:r>
      <w:r w:rsidR="00F6476E" w:rsidRPr="005200A0">
        <w:t>forecast employment</w:t>
      </w:r>
      <w:r w:rsidRPr="005200A0">
        <w:t xml:space="preserve"> and GVA growth to 2036. Across Chichester District, the economy is forecast to grow by 1.4% per annum between 2019 and 2036. In the same period, the district is projected to see an increase of 3,700 jobs</w:t>
      </w:r>
      <w:r w:rsidR="0016760B">
        <w:t xml:space="preserve"> (</w:t>
      </w:r>
      <w:r w:rsidR="0016760B" w:rsidRPr="0016760B">
        <w:t>2,665 FTE jobs)</w:t>
      </w:r>
      <w:r w:rsidRPr="005200A0">
        <w:t>, at an annual growth rate of 0.3%.</w:t>
      </w:r>
      <w:r w:rsidR="002F5699">
        <w:t xml:space="preserve"> This is referred to </w:t>
      </w:r>
      <w:r w:rsidR="00F6476E">
        <w:t>in</w:t>
      </w:r>
      <w:r w:rsidR="002F5699">
        <w:t xml:space="preserve"> the Baseline Scenario in Chapter 5.</w:t>
      </w:r>
    </w:p>
    <w:p w:rsidR="000A192F" w:rsidRPr="005200A0" w:rsidRDefault="000A192F" w:rsidP="006B2A89">
      <w:pPr>
        <w:pStyle w:val="bigserial"/>
        <w:ind w:left="567" w:hanging="567"/>
      </w:pPr>
      <w:r w:rsidRPr="005200A0">
        <w:t xml:space="preserve">National forecasts from agencies such as Oxford Economics are </w:t>
      </w:r>
      <w:r w:rsidR="00855CA6" w:rsidRPr="005200A0">
        <w:t>trend</w:t>
      </w:r>
      <w:r w:rsidR="00855CA6">
        <w:t>-</w:t>
      </w:r>
      <w:r w:rsidRPr="005200A0">
        <w:t xml:space="preserve">based and project a slower level of growth than was found during the previous </w:t>
      </w:r>
      <w:r w:rsidR="00513E0B">
        <w:t>economic</w:t>
      </w:r>
      <w:r w:rsidRPr="005200A0">
        <w:t xml:space="preserve"> cycle. National trends predict that consumer and public sector spending will fall. Special consideration was made to local investment and planned growth measures across the district.</w:t>
      </w:r>
    </w:p>
    <w:p w:rsidR="0016760B" w:rsidRPr="0016760B" w:rsidRDefault="000A192F" w:rsidP="006B2A89">
      <w:pPr>
        <w:pStyle w:val="bigserial"/>
        <w:ind w:left="567" w:hanging="567"/>
      </w:pPr>
      <w:r w:rsidRPr="005200A0">
        <w:t xml:space="preserve">After considering </w:t>
      </w:r>
      <w:r w:rsidR="0016760B">
        <w:t xml:space="preserve">local </w:t>
      </w:r>
      <w:r w:rsidR="00E54308" w:rsidRPr="005200A0">
        <w:t xml:space="preserve">growth </w:t>
      </w:r>
      <w:r w:rsidR="00E54308">
        <w:t xml:space="preserve">potential in </w:t>
      </w:r>
      <w:r w:rsidRPr="005200A0">
        <w:t>sectors</w:t>
      </w:r>
      <w:r w:rsidR="0016760B">
        <w:t xml:space="preserve"> including agriculture related, creative industries and ICT</w:t>
      </w:r>
      <w:r w:rsidRPr="005200A0">
        <w:t xml:space="preserve">, an uplift was applied which resulted in </w:t>
      </w:r>
      <w:r w:rsidR="002F5699">
        <w:t xml:space="preserve">additional </w:t>
      </w:r>
      <w:r w:rsidRPr="005200A0">
        <w:t>employment growth of 5,800 jobs</w:t>
      </w:r>
      <w:r w:rsidR="00513E0B">
        <w:t xml:space="preserve"> over the 2019-36 period</w:t>
      </w:r>
      <w:r w:rsidRPr="005200A0">
        <w:t xml:space="preserve"> taking the total jobs growth to around 9,500 additional jobs </w:t>
      </w:r>
      <w:r w:rsidR="00E54308">
        <w:t xml:space="preserve">(7,468 FTEs) </w:t>
      </w:r>
      <w:r w:rsidRPr="005200A0">
        <w:t>or a growth rate of 0.7% pa.</w:t>
      </w:r>
      <w:r w:rsidR="002F5699">
        <w:t xml:space="preserve"> This is referred to as the Growth Scenario in Chapter 5.</w:t>
      </w:r>
    </w:p>
    <w:p w:rsidR="00C37DA5" w:rsidRPr="005200A0" w:rsidRDefault="00C37DA5" w:rsidP="006B2A89">
      <w:pPr>
        <w:pStyle w:val="SubheadBlue12"/>
        <w:ind w:left="567" w:firstLine="0"/>
      </w:pPr>
      <w:r w:rsidRPr="005200A0">
        <w:t xml:space="preserve">Economic </w:t>
      </w:r>
      <w:r w:rsidR="00E547BD">
        <w:t xml:space="preserve">Need </w:t>
      </w:r>
      <w:r w:rsidRPr="005200A0">
        <w:t xml:space="preserve">Led </w:t>
      </w:r>
      <w:r w:rsidR="00E547BD">
        <w:t xml:space="preserve">by </w:t>
      </w:r>
      <w:r w:rsidRPr="005200A0">
        <w:t xml:space="preserve">Housing </w:t>
      </w:r>
      <w:r w:rsidR="00E547BD">
        <w:t>Growth</w:t>
      </w:r>
    </w:p>
    <w:p w:rsidR="00C37DA5" w:rsidRPr="005200A0" w:rsidRDefault="00C37DA5" w:rsidP="006B2A89">
      <w:pPr>
        <w:pStyle w:val="bigserial"/>
        <w:ind w:left="567" w:hanging="567"/>
      </w:pPr>
      <w:r w:rsidRPr="005200A0">
        <w:t>We have considered economic growth and how it influences the level of housing need. Linked to population growth and age profile in each area, commuting patterns, double jobbing and economic activity rates, The District</w:t>
      </w:r>
      <w:r w:rsidR="00513E0B">
        <w:t xml:space="preserve"> housing need</w:t>
      </w:r>
      <w:r w:rsidRPr="005200A0">
        <w:t xml:space="preserve"> (731 dpa) would support an increase of 10,</w:t>
      </w:r>
      <w:r>
        <w:t>295</w:t>
      </w:r>
      <w:r w:rsidRPr="005200A0">
        <w:t xml:space="preserve"> jobs over the plan period (</w:t>
      </w:r>
      <w:r>
        <w:t xml:space="preserve">approximately </w:t>
      </w:r>
      <w:r w:rsidRPr="005200A0">
        <w:t>60</w:t>
      </w:r>
      <w:r>
        <w:t>6</w:t>
      </w:r>
      <w:r w:rsidRPr="005200A0">
        <w:t xml:space="preserve"> jobs per annum). </w:t>
      </w:r>
    </w:p>
    <w:p w:rsidR="00C37DA5" w:rsidRPr="005200A0" w:rsidRDefault="00C37DA5" w:rsidP="006B2A89">
      <w:pPr>
        <w:pStyle w:val="bigserial"/>
        <w:ind w:left="567" w:hanging="567"/>
      </w:pPr>
      <w:r w:rsidRPr="005200A0">
        <w:t>We have reviewed the number of homes required to support the jobs growth based on</w:t>
      </w:r>
      <w:r>
        <w:t xml:space="preserve"> the</w:t>
      </w:r>
      <w:r w:rsidRPr="005200A0">
        <w:t xml:space="preserve"> Oxford Economics forecasts and the growth scenario</w:t>
      </w:r>
      <w:r>
        <w:t xml:space="preserve"> developed herein (and described below)</w:t>
      </w:r>
      <w:r w:rsidRPr="005200A0">
        <w:t xml:space="preserve">. This found that under the labour demand baseline, the housing need is 513 dpa and under the labour demand growth scenario, housing need is 685 </w:t>
      </w:r>
      <w:r w:rsidRPr="005200A0">
        <w:lastRenderedPageBreak/>
        <w:t>dpa</w:t>
      </w:r>
      <w:r w:rsidR="00513E0B">
        <w:t>.</w:t>
      </w:r>
      <w:r w:rsidR="00855CA6">
        <w:t xml:space="preserve"> </w:t>
      </w:r>
      <w:r w:rsidR="00513E0B">
        <w:t xml:space="preserve">There is therefore not a need to increase the housing supply to support </w:t>
      </w:r>
      <w:r w:rsidRPr="005200A0">
        <w:t>local economic growth potential in the area.</w:t>
      </w:r>
    </w:p>
    <w:p w:rsidR="000A192F" w:rsidRPr="005200A0" w:rsidRDefault="000A192F" w:rsidP="006B2A89">
      <w:pPr>
        <w:pStyle w:val="SubheadBlue12"/>
        <w:ind w:left="567" w:firstLine="0"/>
      </w:pPr>
      <w:r w:rsidRPr="005200A0">
        <w:t>Affordable Housing Need</w:t>
      </w:r>
    </w:p>
    <w:p w:rsidR="000A192F" w:rsidRDefault="000A192F" w:rsidP="006B2A89">
      <w:pPr>
        <w:pStyle w:val="bigserial"/>
        <w:ind w:left="567" w:hanging="567"/>
      </w:pPr>
      <w:r w:rsidRPr="005200A0">
        <w:t xml:space="preserve">In the period to 2036, a net </w:t>
      </w:r>
      <w:r w:rsidR="00513E0B">
        <w:t xml:space="preserve">annual </w:t>
      </w:r>
      <w:r w:rsidRPr="005200A0">
        <w:t xml:space="preserve">need of 348 social/affordable rented homes per annum and 130 affordable </w:t>
      </w:r>
      <w:r w:rsidR="00451CFA">
        <w:t>home ownership</w:t>
      </w:r>
      <w:r w:rsidRPr="005200A0">
        <w:t xml:space="preserve"> </w:t>
      </w:r>
      <w:r w:rsidR="00513E0B">
        <w:t xml:space="preserve">homes </w:t>
      </w:r>
      <w:r w:rsidRPr="005200A0">
        <w:t>has been identified. There is</w:t>
      </w:r>
      <w:r w:rsidR="00855CA6">
        <w:t>, therefore,</w:t>
      </w:r>
      <w:r w:rsidRPr="005200A0">
        <w:t xml:space="preserve"> a requirement for new affordable housing and the Council is justified in seeking to secure additional affordable housing.</w:t>
      </w:r>
      <w:r w:rsidR="00B4570F">
        <w:t xml:space="preserve"> Over the 2019-37 period</w:t>
      </w:r>
      <w:r w:rsidR="00855CA6">
        <w:t>,</w:t>
      </w:r>
      <w:r w:rsidR="00B4570F">
        <w:t xml:space="preserve"> </w:t>
      </w:r>
      <w:r w:rsidR="00B4570F" w:rsidRPr="005200A0">
        <w:t xml:space="preserve">a net </w:t>
      </w:r>
      <w:r w:rsidR="00B4570F">
        <w:t xml:space="preserve">annual </w:t>
      </w:r>
      <w:r w:rsidR="00B4570F" w:rsidRPr="005200A0">
        <w:t>need of 34</w:t>
      </w:r>
      <w:r w:rsidR="00B4570F">
        <w:t>4</w:t>
      </w:r>
      <w:r w:rsidR="00B4570F" w:rsidRPr="005200A0">
        <w:t xml:space="preserve"> social/affordable rented homes per annum and 1</w:t>
      </w:r>
      <w:r w:rsidR="00B4570F">
        <w:t>24</w:t>
      </w:r>
      <w:r w:rsidR="00B4570F" w:rsidRPr="005200A0">
        <w:t xml:space="preserve"> affordable </w:t>
      </w:r>
      <w:r w:rsidR="00855CA6">
        <w:t>home</w:t>
      </w:r>
      <w:r w:rsidR="00451CFA">
        <w:t xml:space="preserve"> </w:t>
      </w:r>
      <w:r w:rsidR="00855CA6">
        <w:t>ownership</w:t>
      </w:r>
      <w:r w:rsidR="00B4570F" w:rsidRPr="005200A0">
        <w:t xml:space="preserve"> </w:t>
      </w:r>
      <w:r w:rsidR="00B4570F">
        <w:t xml:space="preserve">homes </w:t>
      </w:r>
      <w:r w:rsidR="00B4570F" w:rsidRPr="005200A0">
        <w:t>has been identified.</w:t>
      </w:r>
    </w:p>
    <w:p w:rsidR="00513E0B" w:rsidRDefault="000A192F" w:rsidP="006B2A89">
      <w:pPr>
        <w:pStyle w:val="bigserial"/>
        <w:ind w:left="567" w:hanging="567"/>
      </w:pPr>
      <w:r w:rsidRPr="005200A0">
        <w:t xml:space="preserve">As identified, the </w:t>
      </w:r>
      <w:r w:rsidR="00862432">
        <w:t xml:space="preserve">housing </w:t>
      </w:r>
      <w:r w:rsidR="003A23A1">
        <w:t>figure</w:t>
      </w:r>
      <w:r w:rsidR="003A23A1" w:rsidRPr="005200A0">
        <w:t xml:space="preserve"> </w:t>
      </w:r>
      <w:r w:rsidRPr="005200A0">
        <w:t>has been calculated as 650 dpa in the Local Plan Area and 81 dpa in the National Park, resulting in a need of 731 dpa in the District. Therefore, 4</w:t>
      </w:r>
      <w:r w:rsidR="00B14E93">
        <w:t>7</w:t>
      </w:r>
      <w:r w:rsidRPr="005200A0">
        <w:t>% of the District’s local housing need is social/affordable dwellings</w:t>
      </w:r>
      <w:r w:rsidR="00B14E93">
        <w:t xml:space="preserve"> for rent</w:t>
      </w:r>
      <w:r w:rsidRPr="005200A0">
        <w:t xml:space="preserve"> and 1</w:t>
      </w:r>
      <w:r w:rsidR="00B14E93">
        <w:t>7</w:t>
      </w:r>
      <w:r w:rsidRPr="005200A0">
        <w:t xml:space="preserve">% is affordable </w:t>
      </w:r>
      <w:r w:rsidR="00451CFA">
        <w:t>home ownership</w:t>
      </w:r>
      <w:r w:rsidRPr="005200A0">
        <w:t xml:space="preserve">. This is higher than the current Council policy of 30% for social/affordable dwellings. </w:t>
      </w:r>
    </w:p>
    <w:p w:rsidR="002A213E" w:rsidRDefault="002A213E" w:rsidP="006B2A89">
      <w:pPr>
        <w:pStyle w:val="bigserial"/>
        <w:ind w:left="567" w:hanging="567"/>
      </w:pPr>
      <w:r>
        <w:t>Ultimately the level of affordable housing supply will be dictated by the viability of supply.</w:t>
      </w:r>
      <w:r w:rsidR="00855CA6">
        <w:t xml:space="preserve"> </w:t>
      </w:r>
      <w:r>
        <w:t>However</w:t>
      </w:r>
      <w:r w:rsidR="00855CA6">
        <w:t>,</w:t>
      </w:r>
      <w:r>
        <w:t xml:space="preserve"> the level of need indicated suggests that the Council could consider a higher level of affordable housing contribution or a higher level of overall delivery.</w:t>
      </w:r>
    </w:p>
    <w:p w:rsidR="002A213E" w:rsidRPr="005200A0" w:rsidRDefault="002A213E" w:rsidP="006B2A89">
      <w:pPr>
        <w:pStyle w:val="bigserial"/>
        <w:ind w:left="567" w:hanging="567"/>
      </w:pPr>
      <w:r w:rsidRPr="005200A0">
        <w:t xml:space="preserve">The evidence does not show any strong basis to increase the provision of affordable </w:t>
      </w:r>
      <w:r w:rsidR="00451CFA">
        <w:t>home ownership</w:t>
      </w:r>
      <w:r w:rsidRPr="005200A0">
        <w:t xml:space="preserve"> above the 10% figure currently suggested in the NPPF. </w:t>
      </w:r>
      <w:bookmarkStart w:id="6" w:name="_Hlk34230255"/>
      <w:r w:rsidRPr="005200A0">
        <w:t>It does, however, need to be stressed that this report does not provide an affordable housing target; the amount of affordable housing delivered will be limited to the amount that can viably be provided</w:t>
      </w:r>
      <w:bookmarkEnd w:id="6"/>
      <w:r w:rsidRPr="005200A0">
        <w:t>.</w:t>
      </w:r>
    </w:p>
    <w:p w:rsidR="000A192F" w:rsidRPr="005200A0" w:rsidRDefault="000A192F" w:rsidP="006B2A89">
      <w:pPr>
        <w:pStyle w:val="bigserial"/>
        <w:ind w:left="567" w:hanging="567"/>
      </w:pPr>
      <w:r w:rsidRPr="005200A0">
        <w:t>The analysis has taken account of local housing costs (to both buy and rent) along with estimates of household income. We have estimated that households require an income</w:t>
      </w:r>
      <w:r w:rsidR="00855CA6">
        <w:t xml:space="preserve"> of</w:t>
      </w:r>
      <w:r w:rsidRPr="005200A0">
        <w:t xml:space="preserve"> around £55,000 to buy and £27,600 to rent in the District. </w:t>
      </w:r>
    </w:p>
    <w:p w:rsidR="000A192F" w:rsidRPr="005200A0" w:rsidRDefault="000A192F" w:rsidP="006B2A89">
      <w:pPr>
        <w:pStyle w:val="bigserial"/>
        <w:ind w:left="567" w:hanging="567"/>
      </w:pPr>
      <w:r w:rsidRPr="005200A0">
        <w:t xml:space="preserve">In terms of affordable </w:t>
      </w:r>
      <w:r w:rsidR="00451CFA">
        <w:t>home ownership</w:t>
      </w:r>
      <w:r w:rsidRPr="005200A0">
        <w:t xml:space="preserve"> prices, it is recommended that the Council consider setting prices in local policy at a level which (in income terms) are equivalent to the levels needed to access private rented housing. </w:t>
      </w:r>
      <w:r w:rsidR="00363436">
        <w:t>Currently</w:t>
      </w:r>
      <w:r w:rsidR="00855CA6">
        <w:t>,</w:t>
      </w:r>
      <w:r w:rsidR="00363436">
        <w:t xml:space="preserve"> this would mean the following prices, however</w:t>
      </w:r>
      <w:r w:rsidR="00855CA6">
        <w:t>,</w:t>
      </w:r>
      <w:r w:rsidR="00363436">
        <w:t xml:space="preserve"> these should be updated periodically.</w:t>
      </w:r>
    </w:p>
    <w:tbl>
      <w:tblPr>
        <w:tblStyle w:val="TableGrid"/>
        <w:tblW w:w="4894" w:type="pct"/>
        <w:tblInd w:w="108" w:type="dxa"/>
        <w:tblLook w:val="04A0" w:firstRow="1" w:lastRow="0" w:firstColumn="1" w:lastColumn="0" w:noHBand="0" w:noVBand="1"/>
        <w:tblCaption w:val="Lower/Upper Limit Affordable House Prices"/>
      </w:tblPr>
      <w:tblGrid>
        <w:gridCol w:w="1863"/>
        <w:gridCol w:w="1969"/>
        <w:gridCol w:w="1969"/>
        <w:gridCol w:w="1969"/>
        <w:gridCol w:w="1868"/>
      </w:tblGrid>
      <w:tr w:rsidR="000A192F" w:rsidRPr="00ED1C06" w:rsidTr="0092435E">
        <w:trPr>
          <w:tblHeader/>
        </w:trPr>
        <w:tc>
          <w:tcPr>
            <w:tcW w:w="966" w:type="pct"/>
            <w:shd w:val="clear" w:color="auto" w:fill="0093D5" w:themeFill="accent2"/>
          </w:tcPr>
          <w:p w:rsidR="000A192F" w:rsidRPr="00ED1C06" w:rsidRDefault="000A192F" w:rsidP="00873DCC">
            <w:pPr>
              <w:pStyle w:val="NoSpacing"/>
              <w:ind w:left="426" w:hanging="426"/>
              <w:rPr>
                <w:color w:val="FFFFFF" w:themeColor="background1"/>
                <w:sz w:val="24"/>
                <w:szCs w:val="24"/>
              </w:rPr>
            </w:pPr>
          </w:p>
        </w:tc>
        <w:tc>
          <w:tcPr>
            <w:tcW w:w="1021" w:type="pct"/>
            <w:shd w:val="clear" w:color="auto" w:fill="0093D5" w:themeFill="accent2"/>
          </w:tcPr>
          <w:p w:rsidR="000A192F" w:rsidRPr="00ED1C06" w:rsidRDefault="000A192F" w:rsidP="003D1D66">
            <w:pPr>
              <w:pStyle w:val="NoSpacing"/>
              <w:ind w:left="426" w:hanging="426"/>
              <w:jc w:val="center"/>
              <w:rPr>
                <w:color w:val="FFFFFF" w:themeColor="background1"/>
                <w:sz w:val="24"/>
                <w:szCs w:val="24"/>
              </w:rPr>
            </w:pPr>
            <w:r w:rsidRPr="00ED1C06">
              <w:rPr>
                <w:color w:val="FFFFFF" w:themeColor="background1"/>
                <w:sz w:val="24"/>
                <w:szCs w:val="24"/>
              </w:rPr>
              <w:t>1-bedroom</w:t>
            </w:r>
          </w:p>
        </w:tc>
        <w:tc>
          <w:tcPr>
            <w:tcW w:w="1021" w:type="pct"/>
            <w:shd w:val="clear" w:color="auto" w:fill="0093D5" w:themeFill="accent2"/>
          </w:tcPr>
          <w:p w:rsidR="000A192F" w:rsidRPr="00ED1C06" w:rsidRDefault="000A192F" w:rsidP="003D1D66">
            <w:pPr>
              <w:pStyle w:val="NoSpacing"/>
              <w:ind w:left="426" w:hanging="426"/>
              <w:jc w:val="center"/>
              <w:rPr>
                <w:color w:val="FFFFFF" w:themeColor="background1"/>
                <w:sz w:val="24"/>
                <w:szCs w:val="24"/>
              </w:rPr>
            </w:pPr>
            <w:r w:rsidRPr="00ED1C06">
              <w:rPr>
                <w:color w:val="FFFFFF" w:themeColor="background1"/>
                <w:sz w:val="24"/>
                <w:szCs w:val="24"/>
              </w:rPr>
              <w:t>2-bedroom</w:t>
            </w:r>
          </w:p>
        </w:tc>
        <w:tc>
          <w:tcPr>
            <w:tcW w:w="1021" w:type="pct"/>
            <w:shd w:val="clear" w:color="auto" w:fill="0093D5" w:themeFill="accent2"/>
          </w:tcPr>
          <w:p w:rsidR="000A192F" w:rsidRPr="00ED1C06" w:rsidRDefault="000A192F" w:rsidP="003D1D66">
            <w:pPr>
              <w:pStyle w:val="NoSpacing"/>
              <w:ind w:left="426" w:hanging="426"/>
              <w:jc w:val="center"/>
              <w:rPr>
                <w:color w:val="FFFFFF" w:themeColor="background1"/>
                <w:sz w:val="24"/>
                <w:szCs w:val="24"/>
              </w:rPr>
            </w:pPr>
            <w:r w:rsidRPr="00ED1C06">
              <w:rPr>
                <w:color w:val="FFFFFF" w:themeColor="background1"/>
                <w:sz w:val="24"/>
                <w:szCs w:val="24"/>
              </w:rPr>
              <w:t>3-bedroom</w:t>
            </w:r>
          </w:p>
        </w:tc>
        <w:tc>
          <w:tcPr>
            <w:tcW w:w="969" w:type="pct"/>
            <w:shd w:val="clear" w:color="auto" w:fill="0093D5" w:themeFill="accent2"/>
          </w:tcPr>
          <w:p w:rsidR="000A192F" w:rsidRPr="00ED1C06" w:rsidRDefault="000A192F" w:rsidP="003D1D66">
            <w:pPr>
              <w:pStyle w:val="NoSpacing"/>
              <w:ind w:left="426" w:hanging="426"/>
              <w:jc w:val="center"/>
              <w:rPr>
                <w:color w:val="FFFFFF" w:themeColor="background1"/>
                <w:sz w:val="24"/>
                <w:szCs w:val="24"/>
              </w:rPr>
            </w:pPr>
            <w:r w:rsidRPr="00ED1C06">
              <w:rPr>
                <w:color w:val="FFFFFF" w:themeColor="background1"/>
                <w:sz w:val="24"/>
                <w:szCs w:val="24"/>
              </w:rPr>
              <w:t>4+bedroom</w:t>
            </w:r>
          </w:p>
        </w:tc>
      </w:tr>
      <w:tr w:rsidR="000A192F" w:rsidRPr="00ED1C06" w:rsidTr="0092435E">
        <w:tc>
          <w:tcPr>
            <w:tcW w:w="966" w:type="pct"/>
          </w:tcPr>
          <w:p w:rsidR="000A192F" w:rsidRPr="00ED1C06" w:rsidRDefault="000A192F" w:rsidP="00873DCC">
            <w:pPr>
              <w:pStyle w:val="NoSpacing"/>
              <w:ind w:left="426" w:hanging="426"/>
              <w:rPr>
                <w:sz w:val="24"/>
                <w:szCs w:val="24"/>
              </w:rPr>
            </w:pPr>
            <w:r w:rsidRPr="00ED1C06">
              <w:rPr>
                <w:sz w:val="24"/>
                <w:szCs w:val="24"/>
              </w:rPr>
              <w:t>Lower limit</w:t>
            </w:r>
          </w:p>
        </w:tc>
        <w:tc>
          <w:tcPr>
            <w:tcW w:w="1021" w:type="pct"/>
            <w:vAlign w:val="bottom"/>
          </w:tcPr>
          <w:p w:rsidR="000A192F" w:rsidRPr="00ED1C06" w:rsidRDefault="000A192F" w:rsidP="003D1D66">
            <w:pPr>
              <w:pStyle w:val="NoSpacing"/>
              <w:ind w:left="426" w:hanging="426"/>
              <w:jc w:val="center"/>
              <w:rPr>
                <w:sz w:val="24"/>
                <w:szCs w:val="24"/>
              </w:rPr>
            </w:pPr>
            <w:r w:rsidRPr="00ED1C06">
              <w:rPr>
                <w:color w:val="000000"/>
                <w:sz w:val="24"/>
                <w:szCs w:val="24"/>
              </w:rPr>
              <w:t>£117,000</w:t>
            </w:r>
          </w:p>
        </w:tc>
        <w:tc>
          <w:tcPr>
            <w:tcW w:w="1021" w:type="pct"/>
            <w:vAlign w:val="bottom"/>
          </w:tcPr>
          <w:p w:rsidR="000A192F" w:rsidRPr="00ED1C06" w:rsidRDefault="000A192F" w:rsidP="003D1D66">
            <w:pPr>
              <w:pStyle w:val="NoSpacing"/>
              <w:ind w:left="426" w:hanging="426"/>
              <w:jc w:val="center"/>
              <w:rPr>
                <w:sz w:val="24"/>
                <w:szCs w:val="24"/>
              </w:rPr>
            </w:pPr>
            <w:r w:rsidRPr="00ED1C06">
              <w:rPr>
                <w:color w:val="000000"/>
                <w:sz w:val="24"/>
                <w:szCs w:val="24"/>
              </w:rPr>
              <w:t>£153,000</w:t>
            </w:r>
          </w:p>
        </w:tc>
        <w:tc>
          <w:tcPr>
            <w:tcW w:w="1021" w:type="pct"/>
            <w:vAlign w:val="bottom"/>
          </w:tcPr>
          <w:p w:rsidR="000A192F" w:rsidRPr="00ED1C06" w:rsidRDefault="000A192F" w:rsidP="003D1D66">
            <w:pPr>
              <w:pStyle w:val="NoSpacing"/>
              <w:ind w:left="426" w:hanging="426"/>
              <w:jc w:val="center"/>
              <w:rPr>
                <w:sz w:val="24"/>
                <w:szCs w:val="24"/>
              </w:rPr>
            </w:pPr>
            <w:r w:rsidRPr="00ED1C06">
              <w:rPr>
                <w:color w:val="000000"/>
                <w:sz w:val="24"/>
                <w:szCs w:val="24"/>
              </w:rPr>
              <w:t>£187,000</w:t>
            </w:r>
          </w:p>
        </w:tc>
        <w:tc>
          <w:tcPr>
            <w:tcW w:w="969" w:type="pct"/>
            <w:vAlign w:val="bottom"/>
          </w:tcPr>
          <w:p w:rsidR="000A192F" w:rsidRPr="00ED1C06" w:rsidRDefault="000A192F" w:rsidP="003D1D66">
            <w:pPr>
              <w:pStyle w:val="NoSpacing"/>
              <w:ind w:left="426" w:hanging="426"/>
              <w:jc w:val="center"/>
              <w:rPr>
                <w:sz w:val="24"/>
                <w:szCs w:val="24"/>
              </w:rPr>
            </w:pPr>
            <w:r w:rsidRPr="00ED1C06">
              <w:rPr>
                <w:color w:val="000000"/>
                <w:sz w:val="24"/>
                <w:szCs w:val="24"/>
              </w:rPr>
              <w:t>£269,000</w:t>
            </w:r>
          </w:p>
        </w:tc>
      </w:tr>
      <w:tr w:rsidR="000A192F" w:rsidRPr="00ED1C06" w:rsidTr="0092435E">
        <w:tc>
          <w:tcPr>
            <w:tcW w:w="966" w:type="pct"/>
          </w:tcPr>
          <w:p w:rsidR="000A192F" w:rsidRPr="00ED1C06" w:rsidRDefault="000A192F" w:rsidP="00873DCC">
            <w:pPr>
              <w:pStyle w:val="NoSpacing"/>
              <w:ind w:left="426" w:hanging="426"/>
              <w:rPr>
                <w:sz w:val="24"/>
                <w:szCs w:val="24"/>
              </w:rPr>
            </w:pPr>
            <w:r w:rsidRPr="00ED1C06">
              <w:rPr>
                <w:sz w:val="24"/>
                <w:szCs w:val="24"/>
              </w:rPr>
              <w:t>Upper limit</w:t>
            </w:r>
          </w:p>
        </w:tc>
        <w:tc>
          <w:tcPr>
            <w:tcW w:w="1021" w:type="pct"/>
            <w:vAlign w:val="bottom"/>
          </w:tcPr>
          <w:p w:rsidR="000A192F" w:rsidRPr="00ED1C06" w:rsidRDefault="000A192F" w:rsidP="003D1D66">
            <w:pPr>
              <w:pStyle w:val="NoSpacing"/>
              <w:ind w:left="426" w:hanging="426"/>
              <w:jc w:val="center"/>
              <w:rPr>
                <w:sz w:val="24"/>
                <w:szCs w:val="24"/>
              </w:rPr>
            </w:pPr>
            <w:r w:rsidRPr="00ED1C06">
              <w:rPr>
                <w:color w:val="000000"/>
                <w:sz w:val="24"/>
                <w:szCs w:val="24"/>
              </w:rPr>
              <w:t>£129,000</w:t>
            </w:r>
          </w:p>
        </w:tc>
        <w:tc>
          <w:tcPr>
            <w:tcW w:w="1021" w:type="pct"/>
            <w:vAlign w:val="bottom"/>
          </w:tcPr>
          <w:p w:rsidR="000A192F" w:rsidRPr="00ED1C06" w:rsidRDefault="000A192F" w:rsidP="003D1D66">
            <w:pPr>
              <w:pStyle w:val="NoSpacing"/>
              <w:ind w:left="426" w:hanging="426"/>
              <w:jc w:val="center"/>
              <w:rPr>
                <w:sz w:val="24"/>
                <w:szCs w:val="24"/>
              </w:rPr>
            </w:pPr>
            <w:r w:rsidRPr="00ED1C06">
              <w:rPr>
                <w:color w:val="000000"/>
                <w:sz w:val="24"/>
                <w:szCs w:val="24"/>
              </w:rPr>
              <w:t>£205,000</w:t>
            </w:r>
          </w:p>
        </w:tc>
        <w:tc>
          <w:tcPr>
            <w:tcW w:w="1021" w:type="pct"/>
            <w:vAlign w:val="bottom"/>
          </w:tcPr>
          <w:p w:rsidR="000A192F" w:rsidRPr="00ED1C06" w:rsidRDefault="000A192F" w:rsidP="003D1D66">
            <w:pPr>
              <w:pStyle w:val="NoSpacing"/>
              <w:ind w:left="426" w:hanging="426"/>
              <w:jc w:val="center"/>
              <w:rPr>
                <w:sz w:val="24"/>
                <w:szCs w:val="24"/>
              </w:rPr>
            </w:pPr>
            <w:r w:rsidRPr="00ED1C06">
              <w:rPr>
                <w:color w:val="000000"/>
                <w:sz w:val="24"/>
                <w:szCs w:val="24"/>
              </w:rPr>
              <w:t>£293,000</w:t>
            </w:r>
          </w:p>
        </w:tc>
        <w:tc>
          <w:tcPr>
            <w:tcW w:w="969" w:type="pct"/>
            <w:vAlign w:val="bottom"/>
          </w:tcPr>
          <w:p w:rsidR="000A192F" w:rsidRPr="00ED1C06" w:rsidRDefault="000A192F" w:rsidP="003D1D66">
            <w:pPr>
              <w:pStyle w:val="NoSpacing"/>
              <w:ind w:left="426" w:hanging="426"/>
              <w:jc w:val="center"/>
              <w:rPr>
                <w:sz w:val="24"/>
                <w:szCs w:val="24"/>
              </w:rPr>
            </w:pPr>
            <w:r w:rsidRPr="00ED1C06">
              <w:rPr>
                <w:color w:val="000000"/>
                <w:sz w:val="24"/>
                <w:szCs w:val="24"/>
              </w:rPr>
              <w:t>£432,000</w:t>
            </w:r>
          </w:p>
        </w:tc>
      </w:tr>
    </w:tbl>
    <w:p w:rsidR="002A213E" w:rsidRDefault="002A213E" w:rsidP="00CF74BA">
      <w:pPr>
        <w:pStyle w:val="bigserial"/>
        <w:numPr>
          <w:ilvl w:val="0"/>
          <w:numId w:val="0"/>
        </w:numPr>
        <w:ind w:left="426"/>
      </w:pPr>
    </w:p>
    <w:p w:rsidR="000A192F" w:rsidRPr="005200A0" w:rsidRDefault="000A192F" w:rsidP="006B2A89">
      <w:pPr>
        <w:pStyle w:val="bigserial"/>
        <w:ind w:left="567" w:hanging="567"/>
      </w:pPr>
      <w:r w:rsidRPr="005200A0">
        <w:t>This would ensure that households targeted by the new definition could potentially afford housing - this might mean greater than 20% discounts from Open Market Value for some types/sizes of homes in some locations.</w:t>
      </w:r>
    </w:p>
    <w:p w:rsidR="000A192F" w:rsidRPr="005200A0" w:rsidRDefault="002A213E" w:rsidP="006B2A89">
      <w:pPr>
        <w:pStyle w:val="bigserial"/>
        <w:ind w:left="567" w:hanging="567"/>
      </w:pPr>
      <w:r>
        <w:lastRenderedPageBreak/>
        <w:t>To align with the Local Housing Allowance for the</w:t>
      </w:r>
      <w:r w:rsidR="000A192F" w:rsidRPr="005200A0">
        <w:t xml:space="preserve"> Chichester B</w:t>
      </w:r>
      <w:r>
        <w:t>road Rental Market Area affordable rents should be capped at</w:t>
      </w:r>
      <w:r w:rsidR="000A192F" w:rsidRPr="005200A0">
        <w:t xml:space="preserve"> £581 for a 1-bedroom, £728 for a 2-bedroom and £884 for 3-bedroom. </w:t>
      </w:r>
      <w:r>
        <w:t>Local variations may apply across the district depending on what BRMA it falls.</w:t>
      </w:r>
    </w:p>
    <w:p w:rsidR="005F2BDC" w:rsidRPr="005200A0" w:rsidRDefault="005F2BDC" w:rsidP="006B2A89">
      <w:pPr>
        <w:pStyle w:val="SubheadBlue12"/>
        <w:ind w:left="567" w:firstLine="0"/>
      </w:pPr>
      <w:r w:rsidRPr="005200A0">
        <w:t>Need for Different Sizes of Homes</w:t>
      </w:r>
    </w:p>
    <w:p w:rsidR="005F2BDC" w:rsidRDefault="005F2BDC" w:rsidP="006B2A89">
      <w:pPr>
        <w:pStyle w:val="bigserial"/>
        <w:ind w:left="567" w:hanging="567"/>
      </w:pPr>
      <w:r w:rsidRPr="005200A0">
        <w:t>The housing mix model takes into consideration a range of factors including the current housing mix and the need for different types of homes in the future, modelling the implications of demographic drivers on need/demand for different sizes of homes in different tenures and how households occupy homes and how affordable housing might be delivered.</w:t>
      </w:r>
    </w:p>
    <w:p w:rsidR="00F975F7" w:rsidRDefault="00F975F7" w:rsidP="006B2A89">
      <w:pPr>
        <w:pStyle w:val="bigserial"/>
        <w:ind w:left="567" w:hanging="567"/>
      </w:pPr>
      <w:r>
        <w:t>The table below sets out the recommended mix of homes for each broad tenure for both the district and the Plan Area:</w:t>
      </w:r>
    </w:p>
    <w:tbl>
      <w:tblPr>
        <w:tblW w:w="4894" w:type="pct"/>
        <w:tblInd w:w="108" w:type="dxa"/>
        <w:tblLook w:val="04A0" w:firstRow="1" w:lastRow="0" w:firstColumn="1" w:lastColumn="0" w:noHBand="0" w:noVBand="1"/>
        <w:tblCaption w:val="Need for Different Sizes of Homes"/>
      </w:tblPr>
      <w:tblGrid>
        <w:gridCol w:w="3690"/>
        <w:gridCol w:w="1514"/>
        <w:gridCol w:w="1512"/>
        <w:gridCol w:w="1511"/>
        <w:gridCol w:w="1411"/>
      </w:tblGrid>
      <w:tr w:rsidR="00F975F7" w:rsidRPr="00ED1C06" w:rsidTr="0092435E">
        <w:trPr>
          <w:trHeight w:val="186"/>
          <w:tblHeader/>
        </w:trPr>
        <w:tc>
          <w:tcPr>
            <w:tcW w:w="1914" w:type="pct"/>
            <w:tcBorders>
              <w:top w:val="single" w:sz="4" w:space="0" w:color="auto"/>
              <w:left w:val="single" w:sz="4" w:space="0" w:color="auto"/>
              <w:bottom w:val="single" w:sz="4" w:space="0" w:color="auto"/>
              <w:right w:val="single" w:sz="4" w:space="0" w:color="auto"/>
            </w:tcBorders>
            <w:shd w:val="clear" w:color="auto" w:fill="0093D5" w:themeFill="accent2"/>
            <w:noWrap/>
            <w:vAlign w:val="bottom"/>
            <w:hideMark/>
          </w:tcPr>
          <w:p w:rsidR="00F975F7" w:rsidRPr="00ED1C06" w:rsidRDefault="00F975F7" w:rsidP="00873DCC">
            <w:pPr>
              <w:ind w:left="426" w:hanging="426"/>
              <w:rPr>
                <w:rFonts w:eastAsia="Times New Roman"/>
                <w:color w:val="FFFFFF"/>
                <w:sz w:val="24"/>
                <w:szCs w:val="24"/>
                <w:lang w:eastAsia="en-GB"/>
              </w:rPr>
            </w:pPr>
            <w:r w:rsidRPr="00ED1C06">
              <w:rPr>
                <w:rFonts w:eastAsia="Times New Roman"/>
                <w:color w:val="FFFFFF"/>
                <w:sz w:val="24"/>
                <w:szCs w:val="24"/>
                <w:lang w:eastAsia="en-GB"/>
              </w:rPr>
              <w:t> </w:t>
            </w:r>
          </w:p>
        </w:tc>
        <w:tc>
          <w:tcPr>
            <w:tcW w:w="785" w:type="pct"/>
            <w:tcBorders>
              <w:top w:val="single" w:sz="4" w:space="0" w:color="auto"/>
              <w:left w:val="nil"/>
              <w:bottom w:val="single" w:sz="4" w:space="0" w:color="auto"/>
              <w:right w:val="single" w:sz="4" w:space="0" w:color="auto"/>
            </w:tcBorders>
            <w:shd w:val="clear" w:color="auto" w:fill="0093D5" w:themeFill="accent2"/>
            <w:noWrap/>
            <w:vAlign w:val="bottom"/>
            <w:hideMark/>
          </w:tcPr>
          <w:p w:rsidR="00F975F7" w:rsidRPr="00ED1C06" w:rsidRDefault="00F975F7" w:rsidP="00873DCC">
            <w:pPr>
              <w:ind w:left="426" w:hanging="426"/>
              <w:jc w:val="center"/>
              <w:rPr>
                <w:rFonts w:eastAsia="Times New Roman"/>
                <w:color w:val="FFFFFF"/>
                <w:sz w:val="24"/>
                <w:szCs w:val="24"/>
                <w:lang w:eastAsia="en-GB"/>
              </w:rPr>
            </w:pPr>
            <w:r w:rsidRPr="00ED1C06">
              <w:rPr>
                <w:rFonts w:eastAsia="Times New Roman"/>
                <w:color w:val="FFFFFF"/>
                <w:sz w:val="24"/>
                <w:szCs w:val="24"/>
                <w:lang w:eastAsia="en-GB"/>
              </w:rPr>
              <w:t>1-Bed</w:t>
            </w:r>
          </w:p>
        </w:tc>
        <w:tc>
          <w:tcPr>
            <w:tcW w:w="784" w:type="pct"/>
            <w:tcBorders>
              <w:top w:val="single" w:sz="4" w:space="0" w:color="auto"/>
              <w:left w:val="nil"/>
              <w:bottom w:val="single" w:sz="4" w:space="0" w:color="auto"/>
              <w:right w:val="single" w:sz="4" w:space="0" w:color="auto"/>
            </w:tcBorders>
            <w:shd w:val="clear" w:color="auto" w:fill="0093D5" w:themeFill="accent2"/>
            <w:noWrap/>
            <w:vAlign w:val="bottom"/>
            <w:hideMark/>
          </w:tcPr>
          <w:p w:rsidR="00F975F7" w:rsidRPr="00ED1C06" w:rsidRDefault="00F975F7" w:rsidP="00873DCC">
            <w:pPr>
              <w:ind w:left="426" w:hanging="426"/>
              <w:jc w:val="center"/>
              <w:rPr>
                <w:rFonts w:eastAsia="Times New Roman"/>
                <w:color w:val="FFFFFF"/>
                <w:sz w:val="24"/>
                <w:szCs w:val="24"/>
                <w:lang w:eastAsia="en-GB"/>
              </w:rPr>
            </w:pPr>
            <w:r w:rsidRPr="00ED1C06">
              <w:rPr>
                <w:rFonts w:eastAsia="Times New Roman"/>
                <w:color w:val="FFFFFF"/>
                <w:sz w:val="24"/>
                <w:szCs w:val="24"/>
                <w:lang w:eastAsia="en-GB"/>
              </w:rPr>
              <w:t>2-Beds</w:t>
            </w:r>
          </w:p>
        </w:tc>
        <w:tc>
          <w:tcPr>
            <w:tcW w:w="784" w:type="pct"/>
            <w:tcBorders>
              <w:top w:val="single" w:sz="4" w:space="0" w:color="auto"/>
              <w:left w:val="nil"/>
              <w:bottom w:val="single" w:sz="4" w:space="0" w:color="auto"/>
              <w:right w:val="single" w:sz="4" w:space="0" w:color="auto"/>
            </w:tcBorders>
            <w:shd w:val="clear" w:color="auto" w:fill="0093D5" w:themeFill="accent2"/>
            <w:noWrap/>
            <w:vAlign w:val="bottom"/>
            <w:hideMark/>
          </w:tcPr>
          <w:p w:rsidR="00F975F7" w:rsidRPr="00ED1C06" w:rsidRDefault="00F975F7" w:rsidP="00873DCC">
            <w:pPr>
              <w:ind w:left="426" w:hanging="426"/>
              <w:jc w:val="center"/>
              <w:rPr>
                <w:rFonts w:eastAsia="Times New Roman"/>
                <w:color w:val="FFFFFF"/>
                <w:sz w:val="24"/>
                <w:szCs w:val="24"/>
                <w:lang w:eastAsia="en-GB"/>
              </w:rPr>
            </w:pPr>
            <w:r w:rsidRPr="00ED1C06">
              <w:rPr>
                <w:rFonts w:eastAsia="Times New Roman"/>
                <w:color w:val="FFFFFF"/>
                <w:sz w:val="24"/>
                <w:szCs w:val="24"/>
                <w:lang w:eastAsia="en-GB"/>
              </w:rPr>
              <w:t>3-Beds</w:t>
            </w:r>
          </w:p>
        </w:tc>
        <w:tc>
          <w:tcPr>
            <w:tcW w:w="732" w:type="pct"/>
            <w:tcBorders>
              <w:top w:val="single" w:sz="4" w:space="0" w:color="auto"/>
              <w:left w:val="nil"/>
              <w:bottom w:val="single" w:sz="4" w:space="0" w:color="auto"/>
              <w:right w:val="single" w:sz="4" w:space="0" w:color="auto"/>
            </w:tcBorders>
            <w:shd w:val="clear" w:color="auto" w:fill="0093D5" w:themeFill="accent2"/>
            <w:noWrap/>
            <w:vAlign w:val="bottom"/>
            <w:hideMark/>
          </w:tcPr>
          <w:p w:rsidR="00F975F7" w:rsidRPr="00ED1C06" w:rsidRDefault="00F975F7" w:rsidP="00873DCC">
            <w:pPr>
              <w:ind w:left="426" w:hanging="426"/>
              <w:jc w:val="center"/>
              <w:rPr>
                <w:rFonts w:eastAsia="Times New Roman"/>
                <w:color w:val="FFFFFF"/>
                <w:sz w:val="24"/>
                <w:szCs w:val="24"/>
                <w:lang w:eastAsia="en-GB"/>
              </w:rPr>
            </w:pPr>
            <w:r w:rsidRPr="00ED1C06">
              <w:rPr>
                <w:rFonts w:eastAsia="Times New Roman"/>
                <w:color w:val="FFFFFF"/>
                <w:sz w:val="24"/>
                <w:szCs w:val="24"/>
                <w:lang w:eastAsia="en-GB"/>
              </w:rPr>
              <w:t>4-Beds</w:t>
            </w:r>
          </w:p>
        </w:tc>
      </w:tr>
      <w:tr w:rsidR="00363436" w:rsidRPr="00ED1C06" w:rsidTr="0092435E">
        <w:trPr>
          <w:trHeight w:val="186"/>
        </w:trPr>
        <w:tc>
          <w:tcPr>
            <w:tcW w:w="1914" w:type="pct"/>
            <w:tcBorders>
              <w:top w:val="nil"/>
              <w:left w:val="single" w:sz="4" w:space="0" w:color="auto"/>
              <w:bottom w:val="single" w:sz="4" w:space="0" w:color="auto"/>
              <w:right w:val="single" w:sz="4" w:space="0" w:color="auto"/>
            </w:tcBorders>
            <w:shd w:val="clear" w:color="auto" w:fill="auto"/>
            <w:noWrap/>
            <w:vAlign w:val="bottom"/>
            <w:hideMark/>
          </w:tcPr>
          <w:p w:rsidR="00363436" w:rsidRPr="00ED1C06" w:rsidRDefault="00363436" w:rsidP="00363436">
            <w:pPr>
              <w:ind w:left="426" w:hanging="426"/>
              <w:rPr>
                <w:rFonts w:eastAsia="Times New Roman"/>
                <w:color w:val="000000"/>
                <w:sz w:val="24"/>
                <w:szCs w:val="24"/>
                <w:lang w:eastAsia="en-GB"/>
              </w:rPr>
            </w:pPr>
            <w:r w:rsidRPr="00ED1C06">
              <w:rPr>
                <w:rFonts w:eastAsia="Times New Roman"/>
                <w:color w:val="000000"/>
                <w:sz w:val="24"/>
                <w:szCs w:val="24"/>
                <w:lang w:eastAsia="en-GB"/>
              </w:rPr>
              <w:t>Market Purchase</w:t>
            </w:r>
          </w:p>
        </w:tc>
        <w:tc>
          <w:tcPr>
            <w:tcW w:w="785" w:type="pct"/>
            <w:tcBorders>
              <w:top w:val="nil"/>
              <w:left w:val="nil"/>
              <w:bottom w:val="single" w:sz="4" w:space="0" w:color="auto"/>
              <w:right w:val="single" w:sz="4" w:space="0" w:color="auto"/>
            </w:tcBorders>
            <w:shd w:val="clear" w:color="auto" w:fill="auto"/>
            <w:noWrap/>
            <w:vAlign w:val="bottom"/>
            <w:hideMark/>
          </w:tcPr>
          <w:p w:rsidR="00363436" w:rsidRPr="00ED1C06" w:rsidRDefault="00363436" w:rsidP="00363436">
            <w:pPr>
              <w:ind w:left="426" w:hanging="426"/>
              <w:jc w:val="center"/>
              <w:rPr>
                <w:rFonts w:eastAsia="Times New Roman"/>
                <w:color w:val="000000"/>
                <w:sz w:val="24"/>
                <w:szCs w:val="24"/>
                <w:lang w:eastAsia="en-GB"/>
              </w:rPr>
            </w:pPr>
            <w:r w:rsidRPr="00ED1C06">
              <w:rPr>
                <w:rFonts w:eastAsia="Times New Roman"/>
                <w:color w:val="000000"/>
                <w:sz w:val="24"/>
                <w:szCs w:val="24"/>
                <w:lang w:eastAsia="en-GB"/>
              </w:rPr>
              <w:t>5-15%</w:t>
            </w:r>
          </w:p>
        </w:tc>
        <w:tc>
          <w:tcPr>
            <w:tcW w:w="784" w:type="pct"/>
            <w:tcBorders>
              <w:top w:val="nil"/>
              <w:left w:val="nil"/>
              <w:bottom w:val="single" w:sz="4" w:space="0" w:color="auto"/>
              <w:right w:val="single" w:sz="4" w:space="0" w:color="auto"/>
            </w:tcBorders>
            <w:shd w:val="clear" w:color="auto" w:fill="auto"/>
            <w:noWrap/>
            <w:vAlign w:val="bottom"/>
            <w:hideMark/>
          </w:tcPr>
          <w:p w:rsidR="00363436" w:rsidRPr="00ED1C06" w:rsidRDefault="00363436" w:rsidP="00363436">
            <w:pPr>
              <w:ind w:left="426" w:hanging="426"/>
              <w:jc w:val="center"/>
              <w:rPr>
                <w:rFonts w:eastAsia="Times New Roman"/>
                <w:color w:val="000000"/>
                <w:sz w:val="24"/>
                <w:szCs w:val="24"/>
                <w:lang w:eastAsia="en-GB"/>
              </w:rPr>
            </w:pPr>
            <w:r w:rsidRPr="00ED1C06">
              <w:rPr>
                <w:rFonts w:eastAsia="Times New Roman"/>
                <w:color w:val="000000"/>
                <w:sz w:val="24"/>
                <w:szCs w:val="24"/>
                <w:lang w:eastAsia="en-GB"/>
              </w:rPr>
              <w:t>35-45%</w:t>
            </w:r>
          </w:p>
        </w:tc>
        <w:tc>
          <w:tcPr>
            <w:tcW w:w="784" w:type="pct"/>
            <w:tcBorders>
              <w:top w:val="nil"/>
              <w:left w:val="nil"/>
              <w:bottom w:val="single" w:sz="4" w:space="0" w:color="auto"/>
              <w:right w:val="single" w:sz="4" w:space="0" w:color="auto"/>
            </w:tcBorders>
            <w:shd w:val="clear" w:color="auto" w:fill="auto"/>
            <w:noWrap/>
            <w:vAlign w:val="bottom"/>
            <w:hideMark/>
          </w:tcPr>
          <w:p w:rsidR="00363436" w:rsidRPr="00ED1C06" w:rsidRDefault="00363436" w:rsidP="00363436">
            <w:pPr>
              <w:ind w:left="426" w:hanging="426"/>
              <w:jc w:val="center"/>
              <w:rPr>
                <w:rFonts w:eastAsia="Times New Roman"/>
                <w:color w:val="000000"/>
                <w:sz w:val="24"/>
                <w:szCs w:val="24"/>
                <w:lang w:eastAsia="en-GB"/>
              </w:rPr>
            </w:pPr>
            <w:r w:rsidRPr="00ED1C06">
              <w:rPr>
                <w:rFonts w:eastAsia="Times New Roman"/>
                <w:color w:val="000000"/>
                <w:sz w:val="24"/>
                <w:szCs w:val="24"/>
                <w:lang w:eastAsia="en-GB"/>
              </w:rPr>
              <w:t>30-40%</w:t>
            </w:r>
          </w:p>
        </w:tc>
        <w:tc>
          <w:tcPr>
            <w:tcW w:w="732" w:type="pct"/>
            <w:tcBorders>
              <w:top w:val="nil"/>
              <w:left w:val="nil"/>
              <w:bottom w:val="single" w:sz="4" w:space="0" w:color="auto"/>
              <w:right w:val="single" w:sz="4" w:space="0" w:color="auto"/>
            </w:tcBorders>
            <w:shd w:val="clear" w:color="auto" w:fill="auto"/>
            <w:noWrap/>
            <w:vAlign w:val="bottom"/>
            <w:hideMark/>
          </w:tcPr>
          <w:p w:rsidR="00363436" w:rsidRPr="00ED1C06" w:rsidRDefault="00363436" w:rsidP="00363436">
            <w:pPr>
              <w:ind w:left="426" w:hanging="426"/>
              <w:jc w:val="center"/>
              <w:rPr>
                <w:rFonts w:eastAsia="Times New Roman"/>
                <w:color w:val="000000"/>
                <w:sz w:val="24"/>
                <w:szCs w:val="24"/>
                <w:lang w:eastAsia="en-GB"/>
              </w:rPr>
            </w:pPr>
            <w:r w:rsidRPr="00ED1C06">
              <w:rPr>
                <w:rFonts w:eastAsia="Times New Roman"/>
                <w:color w:val="000000"/>
                <w:sz w:val="24"/>
                <w:szCs w:val="24"/>
                <w:lang w:eastAsia="en-GB"/>
              </w:rPr>
              <w:t>10-20%</w:t>
            </w:r>
          </w:p>
        </w:tc>
      </w:tr>
      <w:tr w:rsidR="00363436" w:rsidRPr="00ED1C06" w:rsidTr="0092435E">
        <w:trPr>
          <w:trHeight w:val="186"/>
        </w:trPr>
        <w:tc>
          <w:tcPr>
            <w:tcW w:w="1914" w:type="pct"/>
            <w:tcBorders>
              <w:top w:val="nil"/>
              <w:left w:val="single" w:sz="4" w:space="0" w:color="auto"/>
              <w:bottom w:val="single" w:sz="4" w:space="0" w:color="auto"/>
              <w:right w:val="single" w:sz="4" w:space="0" w:color="auto"/>
            </w:tcBorders>
            <w:shd w:val="clear" w:color="auto" w:fill="auto"/>
            <w:noWrap/>
            <w:vAlign w:val="bottom"/>
            <w:hideMark/>
          </w:tcPr>
          <w:p w:rsidR="00363436" w:rsidRPr="00ED1C06" w:rsidRDefault="00363436" w:rsidP="00363436">
            <w:pPr>
              <w:ind w:left="426" w:hanging="426"/>
              <w:rPr>
                <w:rFonts w:eastAsia="Times New Roman"/>
                <w:color w:val="000000"/>
                <w:sz w:val="24"/>
                <w:szCs w:val="24"/>
                <w:lang w:eastAsia="en-GB"/>
              </w:rPr>
            </w:pPr>
            <w:r w:rsidRPr="00ED1C06">
              <w:rPr>
                <w:rFonts w:eastAsia="Times New Roman"/>
                <w:color w:val="000000"/>
                <w:sz w:val="24"/>
                <w:szCs w:val="24"/>
                <w:lang w:eastAsia="en-GB"/>
              </w:rPr>
              <w:t>Affordable Housing to Buy</w:t>
            </w:r>
          </w:p>
        </w:tc>
        <w:tc>
          <w:tcPr>
            <w:tcW w:w="785" w:type="pct"/>
            <w:tcBorders>
              <w:top w:val="nil"/>
              <w:left w:val="nil"/>
              <w:bottom w:val="single" w:sz="4" w:space="0" w:color="auto"/>
              <w:right w:val="single" w:sz="4" w:space="0" w:color="auto"/>
            </w:tcBorders>
            <w:shd w:val="clear" w:color="auto" w:fill="auto"/>
            <w:noWrap/>
            <w:vAlign w:val="bottom"/>
            <w:hideMark/>
          </w:tcPr>
          <w:p w:rsidR="00363436" w:rsidRPr="00ED1C06" w:rsidRDefault="00363436" w:rsidP="00363436">
            <w:pPr>
              <w:ind w:left="426" w:hanging="426"/>
              <w:jc w:val="center"/>
              <w:rPr>
                <w:rFonts w:eastAsia="Times New Roman"/>
                <w:color w:val="000000"/>
                <w:sz w:val="24"/>
                <w:szCs w:val="24"/>
                <w:lang w:eastAsia="en-GB"/>
              </w:rPr>
            </w:pPr>
            <w:r w:rsidRPr="00ED1C06">
              <w:rPr>
                <w:rFonts w:eastAsia="Times New Roman"/>
                <w:color w:val="000000"/>
                <w:sz w:val="24"/>
                <w:szCs w:val="24"/>
                <w:lang w:eastAsia="en-GB"/>
              </w:rPr>
              <w:t>15-25%</w:t>
            </w:r>
          </w:p>
        </w:tc>
        <w:tc>
          <w:tcPr>
            <w:tcW w:w="784" w:type="pct"/>
            <w:tcBorders>
              <w:top w:val="nil"/>
              <w:left w:val="nil"/>
              <w:bottom w:val="single" w:sz="4" w:space="0" w:color="auto"/>
              <w:right w:val="single" w:sz="4" w:space="0" w:color="auto"/>
            </w:tcBorders>
            <w:shd w:val="clear" w:color="auto" w:fill="auto"/>
            <w:noWrap/>
            <w:vAlign w:val="bottom"/>
            <w:hideMark/>
          </w:tcPr>
          <w:p w:rsidR="00363436" w:rsidRPr="00ED1C06" w:rsidRDefault="00363436" w:rsidP="00363436">
            <w:pPr>
              <w:ind w:left="426" w:hanging="426"/>
              <w:jc w:val="center"/>
              <w:rPr>
                <w:rFonts w:eastAsia="Times New Roman"/>
                <w:color w:val="000000"/>
                <w:sz w:val="24"/>
                <w:szCs w:val="24"/>
                <w:lang w:eastAsia="en-GB"/>
              </w:rPr>
            </w:pPr>
            <w:r w:rsidRPr="00ED1C06">
              <w:rPr>
                <w:rFonts w:eastAsia="Times New Roman"/>
                <w:color w:val="000000"/>
                <w:sz w:val="24"/>
                <w:szCs w:val="24"/>
                <w:lang w:eastAsia="en-GB"/>
              </w:rPr>
              <w:t>35-45%</w:t>
            </w:r>
          </w:p>
        </w:tc>
        <w:tc>
          <w:tcPr>
            <w:tcW w:w="784" w:type="pct"/>
            <w:tcBorders>
              <w:top w:val="nil"/>
              <w:left w:val="nil"/>
              <w:bottom w:val="single" w:sz="4" w:space="0" w:color="auto"/>
              <w:right w:val="single" w:sz="4" w:space="0" w:color="auto"/>
            </w:tcBorders>
            <w:shd w:val="clear" w:color="auto" w:fill="auto"/>
            <w:noWrap/>
            <w:vAlign w:val="bottom"/>
            <w:hideMark/>
          </w:tcPr>
          <w:p w:rsidR="00363436" w:rsidRPr="00ED1C06" w:rsidRDefault="00363436" w:rsidP="00363436">
            <w:pPr>
              <w:ind w:left="426" w:hanging="426"/>
              <w:jc w:val="center"/>
              <w:rPr>
                <w:rFonts w:eastAsia="Times New Roman"/>
                <w:color w:val="000000"/>
                <w:sz w:val="24"/>
                <w:szCs w:val="24"/>
                <w:lang w:eastAsia="en-GB"/>
              </w:rPr>
            </w:pPr>
            <w:r w:rsidRPr="00ED1C06">
              <w:rPr>
                <w:rFonts w:eastAsia="Times New Roman"/>
                <w:color w:val="000000"/>
                <w:sz w:val="24"/>
                <w:szCs w:val="24"/>
                <w:lang w:eastAsia="en-GB"/>
              </w:rPr>
              <w:t>25-35%</w:t>
            </w:r>
          </w:p>
        </w:tc>
        <w:tc>
          <w:tcPr>
            <w:tcW w:w="732" w:type="pct"/>
            <w:tcBorders>
              <w:top w:val="nil"/>
              <w:left w:val="nil"/>
              <w:bottom w:val="single" w:sz="4" w:space="0" w:color="auto"/>
              <w:right w:val="single" w:sz="4" w:space="0" w:color="auto"/>
            </w:tcBorders>
            <w:shd w:val="clear" w:color="auto" w:fill="auto"/>
            <w:noWrap/>
            <w:vAlign w:val="bottom"/>
            <w:hideMark/>
          </w:tcPr>
          <w:p w:rsidR="00363436" w:rsidRPr="00ED1C06" w:rsidRDefault="00363436" w:rsidP="00363436">
            <w:pPr>
              <w:ind w:left="426" w:hanging="426"/>
              <w:jc w:val="center"/>
              <w:rPr>
                <w:rFonts w:eastAsia="Times New Roman"/>
                <w:color w:val="000000"/>
                <w:sz w:val="24"/>
                <w:szCs w:val="24"/>
                <w:lang w:eastAsia="en-GB"/>
              </w:rPr>
            </w:pPr>
            <w:r w:rsidRPr="00ED1C06">
              <w:rPr>
                <w:rFonts w:eastAsia="Times New Roman"/>
                <w:color w:val="000000"/>
                <w:sz w:val="24"/>
                <w:szCs w:val="24"/>
                <w:lang w:eastAsia="en-GB"/>
              </w:rPr>
              <w:t>5-15%</w:t>
            </w:r>
          </w:p>
        </w:tc>
      </w:tr>
      <w:tr w:rsidR="00363436" w:rsidRPr="00ED1C06" w:rsidTr="0092435E">
        <w:trPr>
          <w:trHeight w:val="186"/>
        </w:trPr>
        <w:tc>
          <w:tcPr>
            <w:tcW w:w="1914" w:type="pct"/>
            <w:tcBorders>
              <w:top w:val="nil"/>
              <w:left w:val="single" w:sz="4" w:space="0" w:color="auto"/>
              <w:bottom w:val="single" w:sz="4" w:space="0" w:color="auto"/>
              <w:right w:val="single" w:sz="4" w:space="0" w:color="auto"/>
            </w:tcBorders>
            <w:shd w:val="clear" w:color="auto" w:fill="auto"/>
            <w:noWrap/>
            <w:vAlign w:val="bottom"/>
            <w:hideMark/>
          </w:tcPr>
          <w:p w:rsidR="00363436" w:rsidRPr="00ED1C06" w:rsidRDefault="00363436" w:rsidP="00363436">
            <w:pPr>
              <w:ind w:left="426" w:hanging="426"/>
              <w:rPr>
                <w:rFonts w:eastAsia="Times New Roman"/>
                <w:color w:val="000000"/>
                <w:sz w:val="24"/>
                <w:szCs w:val="24"/>
                <w:lang w:eastAsia="en-GB"/>
              </w:rPr>
            </w:pPr>
            <w:r w:rsidRPr="00ED1C06">
              <w:rPr>
                <w:rFonts w:eastAsia="Times New Roman"/>
                <w:color w:val="000000"/>
                <w:sz w:val="24"/>
                <w:szCs w:val="24"/>
                <w:lang w:eastAsia="en-GB"/>
              </w:rPr>
              <w:t>Affordable Housing to Rent</w:t>
            </w:r>
          </w:p>
        </w:tc>
        <w:tc>
          <w:tcPr>
            <w:tcW w:w="785" w:type="pct"/>
            <w:tcBorders>
              <w:top w:val="nil"/>
              <w:left w:val="nil"/>
              <w:bottom w:val="single" w:sz="4" w:space="0" w:color="auto"/>
              <w:right w:val="single" w:sz="4" w:space="0" w:color="auto"/>
            </w:tcBorders>
            <w:shd w:val="clear" w:color="auto" w:fill="auto"/>
            <w:noWrap/>
            <w:vAlign w:val="bottom"/>
            <w:hideMark/>
          </w:tcPr>
          <w:p w:rsidR="00363436" w:rsidRPr="00ED1C06" w:rsidRDefault="00BF2022" w:rsidP="00363436">
            <w:pPr>
              <w:ind w:left="426" w:hanging="426"/>
              <w:jc w:val="center"/>
              <w:rPr>
                <w:rFonts w:eastAsia="Times New Roman"/>
                <w:color w:val="000000"/>
                <w:sz w:val="24"/>
                <w:szCs w:val="24"/>
                <w:lang w:eastAsia="en-GB"/>
              </w:rPr>
            </w:pPr>
            <w:r w:rsidRPr="00ED1C06">
              <w:rPr>
                <w:rFonts w:eastAsia="Times New Roman"/>
                <w:color w:val="000000"/>
                <w:sz w:val="24"/>
                <w:szCs w:val="24"/>
                <w:lang w:eastAsia="en-GB"/>
              </w:rPr>
              <w:t>25</w:t>
            </w:r>
            <w:r w:rsidR="00363436" w:rsidRPr="00ED1C06">
              <w:rPr>
                <w:rFonts w:eastAsia="Times New Roman"/>
                <w:color w:val="000000"/>
                <w:sz w:val="24"/>
                <w:szCs w:val="24"/>
                <w:lang w:eastAsia="en-GB"/>
              </w:rPr>
              <w:t>-</w:t>
            </w:r>
            <w:r w:rsidRPr="00ED1C06">
              <w:rPr>
                <w:rFonts w:eastAsia="Times New Roman"/>
                <w:color w:val="000000"/>
                <w:sz w:val="24"/>
                <w:szCs w:val="24"/>
                <w:lang w:eastAsia="en-GB"/>
              </w:rPr>
              <w:t>30</w:t>
            </w:r>
            <w:r w:rsidR="00363436" w:rsidRPr="00ED1C06">
              <w:rPr>
                <w:rFonts w:eastAsia="Times New Roman"/>
                <w:color w:val="000000"/>
                <w:sz w:val="24"/>
                <w:szCs w:val="24"/>
                <w:lang w:eastAsia="en-GB"/>
              </w:rPr>
              <w:t>%</w:t>
            </w:r>
          </w:p>
        </w:tc>
        <w:tc>
          <w:tcPr>
            <w:tcW w:w="784" w:type="pct"/>
            <w:tcBorders>
              <w:top w:val="nil"/>
              <w:left w:val="nil"/>
              <w:bottom w:val="single" w:sz="4" w:space="0" w:color="auto"/>
              <w:right w:val="single" w:sz="4" w:space="0" w:color="auto"/>
            </w:tcBorders>
            <w:shd w:val="clear" w:color="auto" w:fill="auto"/>
            <w:noWrap/>
            <w:vAlign w:val="bottom"/>
            <w:hideMark/>
          </w:tcPr>
          <w:p w:rsidR="00363436" w:rsidRPr="00ED1C06" w:rsidRDefault="00BF2022" w:rsidP="00363436">
            <w:pPr>
              <w:ind w:left="426" w:hanging="426"/>
              <w:jc w:val="center"/>
              <w:rPr>
                <w:rFonts w:eastAsia="Times New Roman"/>
                <w:color w:val="000000"/>
                <w:sz w:val="24"/>
                <w:szCs w:val="24"/>
                <w:lang w:eastAsia="en-GB"/>
              </w:rPr>
            </w:pPr>
            <w:r w:rsidRPr="00ED1C06">
              <w:rPr>
                <w:rFonts w:eastAsia="Times New Roman"/>
                <w:color w:val="000000"/>
                <w:sz w:val="24"/>
                <w:szCs w:val="24"/>
                <w:lang w:eastAsia="en-GB"/>
              </w:rPr>
              <w:t>40</w:t>
            </w:r>
            <w:r w:rsidR="00363436" w:rsidRPr="00ED1C06">
              <w:rPr>
                <w:rFonts w:eastAsia="Times New Roman"/>
                <w:color w:val="000000"/>
                <w:sz w:val="24"/>
                <w:szCs w:val="24"/>
                <w:lang w:eastAsia="en-GB"/>
              </w:rPr>
              <w:t>-</w:t>
            </w:r>
            <w:r w:rsidRPr="00ED1C06">
              <w:rPr>
                <w:rFonts w:eastAsia="Times New Roman"/>
                <w:color w:val="000000"/>
                <w:sz w:val="24"/>
                <w:szCs w:val="24"/>
                <w:lang w:eastAsia="en-GB"/>
              </w:rPr>
              <w:t>45</w:t>
            </w:r>
            <w:r w:rsidR="00363436" w:rsidRPr="00ED1C06">
              <w:rPr>
                <w:rFonts w:eastAsia="Times New Roman"/>
                <w:color w:val="000000"/>
                <w:sz w:val="24"/>
                <w:szCs w:val="24"/>
                <w:lang w:eastAsia="en-GB"/>
              </w:rPr>
              <w:t>%</w:t>
            </w:r>
          </w:p>
        </w:tc>
        <w:tc>
          <w:tcPr>
            <w:tcW w:w="784" w:type="pct"/>
            <w:tcBorders>
              <w:top w:val="nil"/>
              <w:left w:val="nil"/>
              <w:bottom w:val="single" w:sz="4" w:space="0" w:color="auto"/>
              <w:right w:val="single" w:sz="4" w:space="0" w:color="auto"/>
            </w:tcBorders>
            <w:shd w:val="clear" w:color="auto" w:fill="auto"/>
            <w:noWrap/>
            <w:vAlign w:val="bottom"/>
            <w:hideMark/>
          </w:tcPr>
          <w:p w:rsidR="00363436" w:rsidRPr="00ED1C06" w:rsidRDefault="00363436" w:rsidP="00363436">
            <w:pPr>
              <w:ind w:left="426" w:hanging="426"/>
              <w:jc w:val="center"/>
              <w:rPr>
                <w:rFonts w:eastAsia="Times New Roman"/>
                <w:color w:val="000000"/>
                <w:sz w:val="24"/>
                <w:szCs w:val="24"/>
                <w:lang w:eastAsia="en-GB"/>
              </w:rPr>
            </w:pPr>
            <w:r w:rsidRPr="00ED1C06">
              <w:rPr>
                <w:rFonts w:eastAsia="Times New Roman"/>
                <w:color w:val="000000"/>
                <w:sz w:val="24"/>
                <w:szCs w:val="24"/>
                <w:lang w:eastAsia="en-GB"/>
              </w:rPr>
              <w:t>20-25%</w:t>
            </w:r>
          </w:p>
        </w:tc>
        <w:tc>
          <w:tcPr>
            <w:tcW w:w="732" w:type="pct"/>
            <w:tcBorders>
              <w:top w:val="nil"/>
              <w:left w:val="nil"/>
              <w:bottom w:val="single" w:sz="4" w:space="0" w:color="auto"/>
              <w:right w:val="single" w:sz="4" w:space="0" w:color="auto"/>
            </w:tcBorders>
            <w:shd w:val="clear" w:color="auto" w:fill="auto"/>
            <w:noWrap/>
            <w:vAlign w:val="bottom"/>
            <w:hideMark/>
          </w:tcPr>
          <w:p w:rsidR="00363436" w:rsidRPr="00ED1C06" w:rsidRDefault="00363436" w:rsidP="00363436">
            <w:pPr>
              <w:ind w:left="426" w:hanging="426"/>
              <w:jc w:val="center"/>
              <w:rPr>
                <w:rFonts w:eastAsia="Times New Roman"/>
                <w:color w:val="000000"/>
                <w:sz w:val="24"/>
                <w:szCs w:val="24"/>
                <w:lang w:eastAsia="en-GB"/>
              </w:rPr>
            </w:pPr>
            <w:r w:rsidRPr="00ED1C06">
              <w:rPr>
                <w:rFonts w:eastAsia="Times New Roman"/>
                <w:color w:val="000000"/>
                <w:sz w:val="24"/>
                <w:szCs w:val="24"/>
                <w:lang w:eastAsia="en-GB"/>
              </w:rPr>
              <w:t>5-10%</w:t>
            </w:r>
          </w:p>
        </w:tc>
      </w:tr>
    </w:tbl>
    <w:p w:rsidR="002329E7" w:rsidRDefault="002329E7" w:rsidP="00CF74BA">
      <w:pPr>
        <w:pStyle w:val="bigserial"/>
        <w:numPr>
          <w:ilvl w:val="0"/>
          <w:numId w:val="0"/>
        </w:numPr>
        <w:ind w:left="426"/>
      </w:pPr>
    </w:p>
    <w:p w:rsidR="005F2BDC" w:rsidRPr="005F2BDC" w:rsidRDefault="005F2BDC" w:rsidP="006B2A89">
      <w:pPr>
        <w:pStyle w:val="bigserial"/>
        <w:ind w:left="567" w:hanging="567"/>
      </w:pPr>
      <w:r w:rsidRPr="005F2BDC">
        <w:t>There is a clear need across the district for market housing delivery to be focussed on 2 and 3 bedrooms.</w:t>
      </w:r>
      <w:r>
        <w:t xml:space="preserve"> </w:t>
      </w:r>
      <w:r w:rsidRPr="005F2BDC">
        <w:t xml:space="preserve">Similarly, affordable </w:t>
      </w:r>
      <w:r w:rsidR="00451CFA">
        <w:t>home ownership</w:t>
      </w:r>
      <w:r w:rsidRPr="005F2BDC">
        <w:t>/Intermediate should also focus delivery on 2 and 3 although a greater percentage should be delivered as smaller homes compared to the market sector.</w:t>
      </w:r>
    </w:p>
    <w:p w:rsidR="005F2BDC" w:rsidRPr="005200A0" w:rsidRDefault="005F2BDC" w:rsidP="006B2A89">
      <w:pPr>
        <w:pStyle w:val="bigserial"/>
        <w:ind w:left="567" w:hanging="567"/>
      </w:pPr>
      <w:r w:rsidRPr="005200A0">
        <w:t xml:space="preserve">The focus of affordable rented housing delivery should be for 2-bedroom </w:t>
      </w:r>
      <w:r w:rsidR="00855CA6" w:rsidRPr="005200A0">
        <w:t>propert</w:t>
      </w:r>
      <w:r w:rsidR="00855CA6">
        <w:t>ies</w:t>
      </w:r>
      <w:r w:rsidR="00855CA6" w:rsidRPr="005200A0">
        <w:t xml:space="preserve"> </w:t>
      </w:r>
      <w:r w:rsidRPr="005200A0">
        <w:t xml:space="preserve">as a mix of flats and houses (2-bedroom upper floor flats do not meet the needs of families with young children or older people and can be difficult to let). This reflects the closer links between need and occupation. </w:t>
      </w:r>
    </w:p>
    <w:p w:rsidR="000A192F" w:rsidRPr="005200A0" w:rsidRDefault="000A192F" w:rsidP="006B2A89">
      <w:pPr>
        <w:pStyle w:val="SubheadBlue12"/>
        <w:ind w:left="567" w:firstLine="0"/>
      </w:pPr>
      <w:r w:rsidRPr="005200A0">
        <w:t>Needs of Specific Groups</w:t>
      </w:r>
    </w:p>
    <w:p w:rsidR="000A192F" w:rsidRPr="005200A0" w:rsidRDefault="000A192F" w:rsidP="006B2A89">
      <w:pPr>
        <w:pStyle w:val="bigserial"/>
        <w:ind w:left="567" w:hanging="567"/>
      </w:pPr>
      <w:r w:rsidRPr="005200A0">
        <w:t>The District has a higher proportion of older persons than nationally or regionally and is expected to see an increase in the older person population (over 75) of almost 56% between 2019 and 2036.</w:t>
      </w:r>
    </w:p>
    <w:p w:rsidR="007A451B" w:rsidRDefault="000A192F" w:rsidP="006B2A89">
      <w:pPr>
        <w:pStyle w:val="bigserial"/>
        <w:ind w:left="567" w:hanging="567"/>
      </w:pPr>
      <w:r w:rsidRPr="007A451B">
        <w:t xml:space="preserve">Given the ageing population and higher levels of disability and health problems amongst older people, there is likely to be an increased requirement for specialist housing options moving forward. </w:t>
      </w:r>
      <w:r w:rsidR="007A451B" w:rsidRPr="007A451B">
        <w:t>The analysis shows a deficit for housing with support (rented and leasehold) of 1,319 by 2036</w:t>
      </w:r>
      <w:r w:rsidR="00FA5088">
        <w:t xml:space="preserve"> and 1,394 by 2037</w:t>
      </w:r>
      <w:r w:rsidR="007A451B" w:rsidRPr="007A451B">
        <w:t>. There is also predicted to be a deficit of 825 dwellings for housing with care</w:t>
      </w:r>
      <w:r w:rsidR="00FA5088">
        <w:t xml:space="preserve"> to 2036 and 851 to 2037</w:t>
      </w:r>
      <w:r w:rsidR="007A451B" w:rsidRPr="007A451B">
        <w:t xml:space="preserve"> with a higher volume required for leasehold. There will also a predicted shortfall of 839 for care bedspaces</w:t>
      </w:r>
      <w:r w:rsidR="00FA5088">
        <w:t xml:space="preserve"> to 2036 and 905 to 2037</w:t>
      </w:r>
      <w:r w:rsidR="007A451B" w:rsidRPr="007A451B">
        <w:t>.</w:t>
      </w:r>
    </w:p>
    <w:p w:rsidR="00CF74BA" w:rsidRPr="007A451B" w:rsidRDefault="00CF74BA" w:rsidP="00CF74BA">
      <w:pPr>
        <w:pStyle w:val="bigserial"/>
        <w:numPr>
          <w:ilvl w:val="0"/>
          <w:numId w:val="0"/>
        </w:numPr>
        <w:spacing w:after="0" w:line="240" w:lineRule="auto"/>
        <w:ind w:left="851"/>
      </w:pPr>
    </w:p>
    <w:tbl>
      <w:tblPr>
        <w:tblStyle w:val="ListTable3-Accent21"/>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Housing needs of specfic groups - shortfall by 2036/2037"/>
      </w:tblPr>
      <w:tblGrid>
        <w:gridCol w:w="2678"/>
        <w:gridCol w:w="1565"/>
        <w:gridCol w:w="2733"/>
        <w:gridCol w:w="2662"/>
      </w:tblGrid>
      <w:tr w:rsidR="00137396" w:rsidRPr="00CF74BA" w:rsidTr="0092435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89" w:type="pct"/>
          </w:tcPr>
          <w:p w:rsidR="00137396" w:rsidRPr="00CF74BA" w:rsidRDefault="00137396" w:rsidP="00CF74BA">
            <w:pPr>
              <w:keepNext/>
              <w:ind w:left="426" w:hanging="426"/>
              <w:rPr>
                <w:rFonts w:ascii="Arial Narrow" w:hAnsi="Arial Narrow"/>
                <w:b w:val="0"/>
                <w:bCs w:val="0"/>
                <w:sz w:val="24"/>
                <w:szCs w:val="24"/>
              </w:rPr>
            </w:pPr>
          </w:p>
        </w:tc>
        <w:tc>
          <w:tcPr>
            <w:tcW w:w="812" w:type="pct"/>
          </w:tcPr>
          <w:p w:rsidR="00137396" w:rsidRPr="00CF74BA" w:rsidRDefault="00137396" w:rsidP="00CF74BA">
            <w:pPr>
              <w:pStyle w:val="11Bodytext"/>
              <w:numPr>
                <w:ilvl w:val="0"/>
                <w:numId w:val="0"/>
              </w:numPr>
              <w:spacing w:before="0" w:after="0" w:line="240" w:lineRule="auto"/>
              <w:ind w:left="426"/>
              <w:cnfStyle w:val="100000000000" w:firstRow="1" w:lastRow="0" w:firstColumn="0" w:lastColumn="0" w:oddVBand="0" w:evenVBand="0" w:oddHBand="0" w:evenHBand="0" w:firstRowFirstColumn="0" w:firstRowLastColumn="0" w:lastRowFirstColumn="0" w:lastRowLastColumn="0"/>
              <w:rPr>
                <w:rFonts w:ascii="Arial Narrow" w:hAnsi="Arial Narrow"/>
              </w:rPr>
            </w:pPr>
          </w:p>
        </w:tc>
        <w:tc>
          <w:tcPr>
            <w:tcW w:w="1418" w:type="pct"/>
            <w:tcBorders>
              <w:bottom w:val="single" w:sz="4" w:space="0" w:color="auto"/>
            </w:tcBorders>
            <w:vAlign w:val="center"/>
            <w:hideMark/>
          </w:tcPr>
          <w:p w:rsidR="00137396" w:rsidRPr="00CF74BA" w:rsidRDefault="00137396" w:rsidP="00CF74BA">
            <w:pPr>
              <w:pStyle w:val="11Bodytext"/>
              <w:numPr>
                <w:ilvl w:val="0"/>
                <w:numId w:val="0"/>
              </w:numPr>
              <w:spacing w:before="0" w:after="0" w:line="240" w:lineRule="auto"/>
              <w:ind w:left="426"/>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F74BA">
              <w:rPr>
                <w:rFonts w:ascii="Arial Narrow" w:hAnsi="Arial Narrow"/>
              </w:rPr>
              <w:t>Shortfall by 2036</w:t>
            </w:r>
          </w:p>
        </w:tc>
        <w:tc>
          <w:tcPr>
            <w:tcW w:w="1381" w:type="pct"/>
            <w:tcBorders>
              <w:bottom w:val="single" w:sz="4" w:space="0" w:color="auto"/>
            </w:tcBorders>
          </w:tcPr>
          <w:p w:rsidR="00137396" w:rsidRPr="00CF74BA" w:rsidRDefault="00137396" w:rsidP="00CF74BA">
            <w:pPr>
              <w:pStyle w:val="11Bodytext"/>
              <w:numPr>
                <w:ilvl w:val="0"/>
                <w:numId w:val="0"/>
              </w:numPr>
              <w:spacing w:before="0" w:after="0" w:line="240" w:lineRule="auto"/>
              <w:ind w:left="426"/>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F74BA">
              <w:rPr>
                <w:rFonts w:ascii="Arial Narrow" w:hAnsi="Arial Narrow"/>
              </w:rPr>
              <w:t>Shortfall by 2037</w:t>
            </w:r>
          </w:p>
        </w:tc>
      </w:tr>
      <w:tr w:rsidR="00137396" w:rsidRPr="00CF74BA" w:rsidTr="00AD1A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 w:type="pct"/>
            <w:tcBorders>
              <w:bottom w:val="single" w:sz="4" w:space="0" w:color="FFFFFF" w:themeColor="background1"/>
            </w:tcBorders>
            <w:vAlign w:val="center"/>
            <w:hideMark/>
          </w:tcPr>
          <w:p w:rsidR="00137396" w:rsidRPr="00CF74BA" w:rsidRDefault="00137396" w:rsidP="00D27073">
            <w:pPr>
              <w:pStyle w:val="11Bodytext"/>
              <w:numPr>
                <w:ilvl w:val="0"/>
                <w:numId w:val="0"/>
              </w:numPr>
              <w:spacing w:before="0" w:after="0" w:line="240" w:lineRule="auto"/>
              <w:ind w:left="147"/>
              <w:jc w:val="left"/>
              <w:rPr>
                <w:rFonts w:ascii="Arial Narrow" w:hAnsi="Arial Narrow"/>
              </w:rPr>
            </w:pPr>
            <w:r w:rsidRPr="00CF74BA">
              <w:rPr>
                <w:rFonts w:ascii="Arial Narrow" w:hAnsi="Arial Narrow"/>
              </w:rPr>
              <w:t xml:space="preserve">Housing with support </w:t>
            </w:r>
          </w:p>
        </w:tc>
        <w:tc>
          <w:tcPr>
            <w:tcW w:w="812" w:type="pct"/>
            <w:tcBorders>
              <w:right w:val="single" w:sz="4" w:space="0" w:color="auto"/>
            </w:tcBorders>
            <w:hideMark/>
          </w:tcPr>
          <w:p w:rsidR="00137396" w:rsidRPr="00CF74BA" w:rsidRDefault="00137396" w:rsidP="00D27073">
            <w:pPr>
              <w:pStyle w:val="11Bodytext"/>
              <w:numPr>
                <w:ilvl w:val="0"/>
                <w:numId w:val="0"/>
              </w:numPr>
              <w:spacing w:before="0" w:after="0" w:line="240" w:lineRule="auto"/>
              <w:ind w:left="175"/>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F74BA">
              <w:rPr>
                <w:rFonts w:ascii="Arial Narrow" w:hAnsi="Arial Narrow"/>
              </w:rPr>
              <w:t>Rented</w:t>
            </w:r>
          </w:p>
        </w:tc>
        <w:tc>
          <w:tcPr>
            <w:tcW w:w="14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37396" w:rsidRPr="00CF74BA" w:rsidRDefault="00137396" w:rsidP="00CF74BA">
            <w:pPr>
              <w:keepNext/>
              <w:ind w:left="426" w:hanging="426"/>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CF74BA">
              <w:rPr>
                <w:rFonts w:ascii="Arial Narrow" w:eastAsia="Times New Roman" w:hAnsi="Arial Narrow"/>
                <w:color w:val="000000"/>
                <w:sz w:val="24"/>
                <w:szCs w:val="24"/>
                <w:lang w:eastAsia="en-GB"/>
              </w:rPr>
              <w:t>411</w:t>
            </w:r>
          </w:p>
        </w:tc>
        <w:tc>
          <w:tcPr>
            <w:tcW w:w="13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37396" w:rsidRPr="00CF74BA" w:rsidRDefault="00137396" w:rsidP="00CF74BA">
            <w:pPr>
              <w:keepNext/>
              <w:ind w:left="426" w:hanging="426"/>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4"/>
                <w:szCs w:val="24"/>
                <w:lang w:eastAsia="en-GB"/>
              </w:rPr>
            </w:pPr>
            <w:r w:rsidRPr="00CF74BA">
              <w:rPr>
                <w:rFonts w:ascii="Arial Narrow" w:hAnsi="Arial Narrow"/>
                <w:color w:val="000000"/>
                <w:sz w:val="24"/>
                <w:szCs w:val="24"/>
              </w:rPr>
              <w:t>439</w:t>
            </w:r>
          </w:p>
        </w:tc>
      </w:tr>
      <w:tr w:rsidR="00137396" w:rsidRPr="00CF74BA" w:rsidTr="00AD1AAD">
        <w:tc>
          <w:tcPr>
            <w:cnfStyle w:val="001000000000" w:firstRow="0" w:lastRow="0" w:firstColumn="1" w:lastColumn="0" w:oddVBand="0" w:evenVBand="0" w:oddHBand="0" w:evenHBand="0" w:firstRowFirstColumn="0" w:firstRowLastColumn="0" w:lastRowFirstColumn="0" w:lastRowLastColumn="0"/>
            <w:tcW w:w="1389" w:type="pct"/>
            <w:tcBorders>
              <w:top w:val="single" w:sz="4" w:space="0" w:color="FFFFFF" w:themeColor="background1"/>
            </w:tcBorders>
            <w:vAlign w:val="center"/>
            <w:hideMark/>
          </w:tcPr>
          <w:p w:rsidR="00137396" w:rsidRPr="00CF74BA" w:rsidRDefault="00137396" w:rsidP="00CF74BA">
            <w:pPr>
              <w:keepNext/>
              <w:ind w:left="426" w:hanging="426"/>
              <w:rPr>
                <w:rFonts w:ascii="Arial Narrow" w:hAnsi="Arial Narrow"/>
                <w:b w:val="0"/>
                <w:bCs w:val="0"/>
                <w:sz w:val="24"/>
                <w:szCs w:val="24"/>
              </w:rPr>
            </w:pPr>
          </w:p>
        </w:tc>
        <w:tc>
          <w:tcPr>
            <w:tcW w:w="812" w:type="pct"/>
            <w:tcBorders>
              <w:right w:val="single" w:sz="4" w:space="0" w:color="auto"/>
            </w:tcBorders>
            <w:hideMark/>
          </w:tcPr>
          <w:p w:rsidR="00137396" w:rsidRPr="00CF74BA" w:rsidRDefault="00137396" w:rsidP="00D27073">
            <w:pPr>
              <w:pStyle w:val="11Bodytext"/>
              <w:numPr>
                <w:ilvl w:val="0"/>
                <w:numId w:val="0"/>
              </w:numPr>
              <w:spacing w:before="0" w:after="0" w:line="240" w:lineRule="auto"/>
              <w:ind w:left="175"/>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F74BA">
              <w:rPr>
                <w:rFonts w:ascii="Arial Narrow" w:hAnsi="Arial Narrow"/>
              </w:rPr>
              <w:t>Leasehold</w:t>
            </w:r>
          </w:p>
        </w:tc>
        <w:tc>
          <w:tcPr>
            <w:tcW w:w="14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37396" w:rsidRPr="00CF74BA" w:rsidRDefault="00137396" w:rsidP="00CF74BA">
            <w:pPr>
              <w:keepNext/>
              <w:ind w:left="426" w:hanging="426"/>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CF74BA">
              <w:rPr>
                <w:rFonts w:ascii="Arial Narrow" w:eastAsia="Times New Roman" w:hAnsi="Arial Narrow"/>
                <w:color w:val="000000"/>
                <w:sz w:val="24"/>
                <w:szCs w:val="24"/>
                <w:lang w:eastAsia="en-GB"/>
              </w:rPr>
              <w:t>908</w:t>
            </w:r>
          </w:p>
        </w:tc>
        <w:tc>
          <w:tcPr>
            <w:tcW w:w="13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37396" w:rsidRPr="00CF74BA" w:rsidRDefault="00137396" w:rsidP="00CF74BA">
            <w:pPr>
              <w:keepNext/>
              <w:ind w:left="426" w:hanging="426"/>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4"/>
                <w:szCs w:val="24"/>
                <w:lang w:eastAsia="en-GB"/>
              </w:rPr>
            </w:pPr>
            <w:r w:rsidRPr="00CF74BA">
              <w:rPr>
                <w:rFonts w:ascii="Arial Narrow" w:hAnsi="Arial Narrow"/>
                <w:color w:val="000000"/>
                <w:sz w:val="24"/>
                <w:szCs w:val="24"/>
              </w:rPr>
              <w:t>955</w:t>
            </w:r>
          </w:p>
        </w:tc>
      </w:tr>
      <w:tr w:rsidR="00137396" w:rsidRPr="00CF74BA" w:rsidTr="00AD1A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 w:type="pct"/>
            <w:tcBorders>
              <w:bottom w:val="single" w:sz="4" w:space="0" w:color="FFFFFF" w:themeColor="background1"/>
            </w:tcBorders>
            <w:vAlign w:val="center"/>
            <w:hideMark/>
          </w:tcPr>
          <w:p w:rsidR="00137396" w:rsidRPr="00CF74BA" w:rsidRDefault="00137396" w:rsidP="00D27073">
            <w:pPr>
              <w:pStyle w:val="11Bodytext"/>
              <w:numPr>
                <w:ilvl w:val="0"/>
                <w:numId w:val="0"/>
              </w:numPr>
              <w:spacing w:before="0" w:after="0" w:line="240" w:lineRule="auto"/>
              <w:ind w:left="147"/>
              <w:rPr>
                <w:rFonts w:ascii="Arial Narrow" w:hAnsi="Arial Narrow"/>
              </w:rPr>
            </w:pPr>
            <w:r w:rsidRPr="00CF74BA">
              <w:rPr>
                <w:rFonts w:ascii="Arial Narrow" w:hAnsi="Arial Narrow"/>
              </w:rPr>
              <w:t>Housing with care</w:t>
            </w:r>
          </w:p>
        </w:tc>
        <w:tc>
          <w:tcPr>
            <w:tcW w:w="812" w:type="pct"/>
            <w:tcBorders>
              <w:right w:val="single" w:sz="4" w:space="0" w:color="auto"/>
            </w:tcBorders>
            <w:hideMark/>
          </w:tcPr>
          <w:p w:rsidR="00137396" w:rsidRPr="00CF74BA" w:rsidRDefault="00137396" w:rsidP="00D27073">
            <w:pPr>
              <w:pStyle w:val="11Bodytext"/>
              <w:numPr>
                <w:ilvl w:val="0"/>
                <w:numId w:val="0"/>
              </w:numPr>
              <w:spacing w:before="0" w:after="0" w:line="240" w:lineRule="auto"/>
              <w:ind w:left="175"/>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CF74BA">
              <w:rPr>
                <w:rFonts w:ascii="Arial Narrow" w:hAnsi="Arial Narrow"/>
              </w:rPr>
              <w:t>Rented</w:t>
            </w:r>
          </w:p>
        </w:tc>
        <w:tc>
          <w:tcPr>
            <w:tcW w:w="14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37396" w:rsidRPr="00CF74BA" w:rsidRDefault="00137396" w:rsidP="00CF74BA">
            <w:pPr>
              <w:keepNext/>
              <w:ind w:left="426" w:hanging="426"/>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CF74BA">
              <w:rPr>
                <w:rFonts w:ascii="Arial Narrow" w:eastAsia="Times New Roman" w:hAnsi="Arial Narrow"/>
                <w:color w:val="000000"/>
                <w:sz w:val="24"/>
                <w:szCs w:val="24"/>
                <w:lang w:eastAsia="en-GB"/>
              </w:rPr>
              <w:t>337</w:t>
            </w:r>
          </w:p>
        </w:tc>
        <w:tc>
          <w:tcPr>
            <w:tcW w:w="13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37396" w:rsidRPr="00CF74BA" w:rsidRDefault="00137396" w:rsidP="00CF74BA">
            <w:pPr>
              <w:keepNext/>
              <w:ind w:left="426" w:hanging="426"/>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4"/>
                <w:szCs w:val="24"/>
                <w:lang w:eastAsia="en-GB"/>
              </w:rPr>
            </w:pPr>
            <w:r w:rsidRPr="00CF74BA">
              <w:rPr>
                <w:rFonts w:ascii="Arial Narrow" w:hAnsi="Arial Narrow"/>
                <w:color w:val="000000"/>
                <w:sz w:val="24"/>
                <w:szCs w:val="24"/>
              </w:rPr>
              <w:t>349</w:t>
            </w:r>
          </w:p>
        </w:tc>
      </w:tr>
      <w:tr w:rsidR="00137396" w:rsidRPr="00CF74BA" w:rsidTr="00AD1AAD">
        <w:tc>
          <w:tcPr>
            <w:cnfStyle w:val="001000000000" w:firstRow="0" w:lastRow="0" w:firstColumn="1" w:lastColumn="0" w:oddVBand="0" w:evenVBand="0" w:oddHBand="0" w:evenHBand="0" w:firstRowFirstColumn="0" w:firstRowLastColumn="0" w:lastRowFirstColumn="0" w:lastRowLastColumn="0"/>
            <w:tcW w:w="1389" w:type="pct"/>
            <w:tcBorders>
              <w:top w:val="single" w:sz="4" w:space="0" w:color="FFFFFF" w:themeColor="background1"/>
              <w:bottom w:val="single" w:sz="4" w:space="0" w:color="auto"/>
            </w:tcBorders>
            <w:hideMark/>
          </w:tcPr>
          <w:p w:rsidR="00137396" w:rsidRPr="00CF74BA" w:rsidRDefault="00137396" w:rsidP="00CF74BA">
            <w:pPr>
              <w:keepNext/>
              <w:ind w:left="426" w:hanging="426"/>
              <w:rPr>
                <w:rFonts w:ascii="Arial Narrow" w:hAnsi="Arial Narrow"/>
                <w:b w:val="0"/>
                <w:bCs w:val="0"/>
                <w:sz w:val="24"/>
                <w:szCs w:val="24"/>
              </w:rPr>
            </w:pPr>
          </w:p>
        </w:tc>
        <w:tc>
          <w:tcPr>
            <w:tcW w:w="812" w:type="pct"/>
            <w:tcBorders>
              <w:bottom w:val="single" w:sz="4" w:space="0" w:color="auto"/>
              <w:right w:val="single" w:sz="4" w:space="0" w:color="auto"/>
            </w:tcBorders>
            <w:hideMark/>
          </w:tcPr>
          <w:p w:rsidR="00137396" w:rsidRPr="00CF74BA" w:rsidRDefault="00137396" w:rsidP="00D27073">
            <w:pPr>
              <w:pStyle w:val="11Bodytext"/>
              <w:numPr>
                <w:ilvl w:val="0"/>
                <w:numId w:val="0"/>
              </w:numPr>
              <w:spacing w:before="0" w:after="0" w:line="240" w:lineRule="auto"/>
              <w:ind w:left="175"/>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F74BA">
              <w:rPr>
                <w:rFonts w:ascii="Arial Narrow" w:hAnsi="Arial Narrow"/>
              </w:rPr>
              <w:t>Leasehold</w:t>
            </w:r>
          </w:p>
        </w:tc>
        <w:tc>
          <w:tcPr>
            <w:tcW w:w="14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37396" w:rsidRPr="00CF74BA" w:rsidRDefault="00137396" w:rsidP="00CF74BA">
            <w:pPr>
              <w:keepNext/>
              <w:ind w:left="426" w:hanging="426"/>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CF74BA">
              <w:rPr>
                <w:rFonts w:ascii="Arial Narrow" w:eastAsia="Times New Roman" w:hAnsi="Arial Narrow"/>
                <w:color w:val="000000"/>
                <w:sz w:val="24"/>
                <w:szCs w:val="24"/>
                <w:lang w:eastAsia="en-GB"/>
              </w:rPr>
              <w:t>488</w:t>
            </w:r>
          </w:p>
        </w:tc>
        <w:tc>
          <w:tcPr>
            <w:tcW w:w="13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37396" w:rsidRPr="00CF74BA" w:rsidRDefault="00137396" w:rsidP="00CF74BA">
            <w:pPr>
              <w:keepNext/>
              <w:ind w:left="426" w:hanging="426"/>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4"/>
                <w:szCs w:val="24"/>
                <w:lang w:eastAsia="en-GB"/>
              </w:rPr>
            </w:pPr>
            <w:r w:rsidRPr="00CF74BA">
              <w:rPr>
                <w:rFonts w:ascii="Arial Narrow" w:hAnsi="Arial Narrow"/>
                <w:color w:val="000000"/>
                <w:sz w:val="24"/>
                <w:szCs w:val="24"/>
              </w:rPr>
              <w:t>502</w:t>
            </w:r>
          </w:p>
        </w:tc>
      </w:tr>
      <w:tr w:rsidR="00137396" w:rsidRPr="00CF74BA" w:rsidTr="00924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pct"/>
            <w:gridSpan w:val="2"/>
            <w:tcBorders>
              <w:top w:val="single" w:sz="4" w:space="0" w:color="auto"/>
              <w:bottom w:val="single" w:sz="4" w:space="0" w:color="auto"/>
              <w:right w:val="single" w:sz="4" w:space="0" w:color="auto"/>
            </w:tcBorders>
          </w:tcPr>
          <w:p w:rsidR="00137396" w:rsidRPr="00CF74BA" w:rsidRDefault="00137396" w:rsidP="00D27073">
            <w:pPr>
              <w:pStyle w:val="11Bodytext"/>
              <w:numPr>
                <w:ilvl w:val="0"/>
                <w:numId w:val="0"/>
              </w:numPr>
              <w:spacing w:before="0" w:after="0" w:line="240" w:lineRule="auto"/>
              <w:ind w:left="147"/>
              <w:rPr>
                <w:rFonts w:ascii="Arial Narrow" w:hAnsi="Arial Narrow"/>
              </w:rPr>
            </w:pPr>
            <w:r w:rsidRPr="00CF74BA">
              <w:rPr>
                <w:rFonts w:ascii="Arial Narrow" w:hAnsi="Arial Narrow"/>
              </w:rPr>
              <w:t>Total (dwellings) -Typically C3</w:t>
            </w:r>
          </w:p>
        </w:tc>
        <w:tc>
          <w:tcPr>
            <w:tcW w:w="14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37396" w:rsidRPr="00CF74BA" w:rsidRDefault="00137396" w:rsidP="00CF74BA">
            <w:pPr>
              <w:keepNext/>
              <w:ind w:left="426" w:hanging="426"/>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CF74BA">
              <w:rPr>
                <w:rFonts w:ascii="Arial Narrow" w:eastAsia="Times New Roman" w:hAnsi="Arial Narrow"/>
                <w:color w:val="000000"/>
                <w:sz w:val="24"/>
                <w:szCs w:val="24"/>
                <w:lang w:eastAsia="en-GB"/>
              </w:rPr>
              <w:t>2,144</w:t>
            </w:r>
          </w:p>
        </w:tc>
        <w:tc>
          <w:tcPr>
            <w:tcW w:w="13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37396" w:rsidRPr="00CF74BA" w:rsidRDefault="00137396" w:rsidP="00CF74BA">
            <w:pPr>
              <w:keepNext/>
              <w:ind w:left="426" w:hanging="426"/>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4"/>
                <w:szCs w:val="24"/>
                <w:lang w:eastAsia="en-GB"/>
              </w:rPr>
            </w:pPr>
            <w:r w:rsidRPr="00CF74BA">
              <w:rPr>
                <w:rFonts w:ascii="Arial Narrow" w:hAnsi="Arial Narrow"/>
                <w:color w:val="000000"/>
                <w:sz w:val="24"/>
                <w:szCs w:val="24"/>
              </w:rPr>
              <w:t>2,246</w:t>
            </w:r>
          </w:p>
        </w:tc>
      </w:tr>
      <w:tr w:rsidR="00137396" w:rsidRPr="00CF74BA" w:rsidTr="0092435E">
        <w:tc>
          <w:tcPr>
            <w:cnfStyle w:val="001000000000" w:firstRow="0" w:lastRow="0" w:firstColumn="1" w:lastColumn="0" w:oddVBand="0" w:evenVBand="0" w:oddHBand="0" w:evenHBand="0" w:firstRowFirstColumn="0" w:firstRowLastColumn="0" w:lastRowFirstColumn="0" w:lastRowLastColumn="0"/>
            <w:tcW w:w="2201" w:type="pct"/>
            <w:gridSpan w:val="2"/>
            <w:tcBorders>
              <w:top w:val="single" w:sz="4" w:space="0" w:color="auto"/>
              <w:bottom w:val="single" w:sz="4" w:space="0" w:color="auto"/>
              <w:right w:val="single" w:sz="4" w:space="0" w:color="auto"/>
            </w:tcBorders>
          </w:tcPr>
          <w:p w:rsidR="00137396" w:rsidRPr="00CF74BA" w:rsidRDefault="00137396" w:rsidP="00D27073">
            <w:pPr>
              <w:pStyle w:val="11Bodytext"/>
              <w:numPr>
                <w:ilvl w:val="0"/>
                <w:numId w:val="0"/>
              </w:numPr>
              <w:spacing w:before="0" w:after="0" w:line="240" w:lineRule="auto"/>
              <w:ind w:left="147"/>
              <w:rPr>
                <w:rFonts w:ascii="Arial Narrow" w:hAnsi="Arial Narrow"/>
              </w:rPr>
            </w:pPr>
            <w:r w:rsidRPr="00CF74BA">
              <w:rPr>
                <w:rFonts w:ascii="Arial Narrow" w:hAnsi="Arial Narrow"/>
              </w:rPr>
              <w:t>Care bedspaces – Typically C2</w:t>
            </w:r>
          </w:p>
        </w:tc>
        <w:tc>
          <w:tcPr>
            <w:tcW w:w="14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37396" w:rsidRPr="00CF74BA" w:rsidRDefault="00137396" w:rsidP="00CF74BA">
            <w:pPr>
              <w:keepNext/>
              <w:ind w:left="426" w:hanging="426"/>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CF74BA">
              <w:rPr>
                <w:rFonts w:ascii="Arial Narrow" w:eastAsia="Times New Roman" w:hAnsi="Arial Narrow"/>
                <w:color w:val="000000"/>
                <w:sz w:val="24"/>
                <w:szCs w:val="24"/>
                <w:lang w:eastAsia="en-GB"/>
              </w:rPr>
              <w:t>839</w:t>
            </w:r>
          </w:p>
        </w:tc>
        <w:tc>
          <w:tcPr>
            <w:tcW w:w="13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37396" w:rsidRPr="00CF74BA" w:rsidRDefault="00137396" w:rsidP="00CF74BA">
            <w:pPr>
              <w:keepNext/>
              <w:ind w:left="426" w:hanging="426"/>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4"/>
                <w:szCs w:val="24"/>
                <w:lang w:eastAsia="en-GB"/>
              </w:rPr>
            </w:pPr>
            <w:r w:rsidRPr="00CF74BA">
              <w:rPr>
                <w:rFonts w:ascii="Arial Narrow" w:hAnsi="Arial Narrow"/>
                <w:color w:val="000000"/>
                <w:sz w:val="24"/>
                <w:szCs w:val="24"/>
              </w:rPr>
              <w:t>905</w:t>
            </w:r>
          </w:p>
        </w:tc>
      </w:tr>
    </w:tbl>
    <w:p w:rsidR="002329E7" w:rsidRDefault="002329E7" w:rsidP="00CF74BA">
      <w:pPr>
        <w:pStyle w:val="bigserial"/>
        <w:numPr>
          <w:ilvl w:val="0"/>
          <w:numId w:val="0"/>
        </w:numPr>
        <w:ind w:left="426"/>
      </w:pPr>
    </w:p>
    <w:p w:rsidR="008F5270" w:rsidRPr="00A00C57" w:rsidRDefault="008F5270" w:rsidP="006B2A89">
      <w:pPr>
        <w:pStyle w:val="bigserial"/>
        <w:ind w:left="567" w:hanging="567"/>
      </w:pPr>
      <w:r w:rsidRPr="000301F5">
        <w:t>Based on the population growth of those aged 75 and over in the Plan Area and the District (see table 13 and 14) approximately 77% of the additional demand for specialist accommodation will be in the Plan Area.</w:t>
      </w:r>
      <w:r>
        <w:t xml:space="preserve"> </w:t>
      </w:r>
      <w:r w:rsidRPr="000301F5">
        <w:t>Assuming the supply is distributed on the same basis this would provide a Plan Area need by 20</w:t>
      </w:r>
      <w:r>
        <w:t>36</w:t>
      </w:r>
      <w:r w:rsidRPr="000301F5">
        <w:t xml:space="preserve"> for:</w:t>
      </w:r>
    </w:p>
    <w:p w:rsidR="008F5270" w:rsidRDefault="008F5270" w:rsidP="008F5270">
      <w:pPr>
        <w:pStyle w:val="Bulletblueplain"/>
      </w:pPr>
      <w:r>
        <w:t>1,016 Units of Housing With Support of which 316 would be rented and 699 leasehold;</w:t>
      </w:r>
    </w:p>
    <w:p w:rsidR="008F5270" w:rsidRDefault="008F5270" w:rsidP="008F5270">
      <w:pPr>
        <w:pStyle w:val="Bulletblueplain"/>
      </w:pPr>
      <w:r>
        <w:t>635 Units of Housing With Care of which 259 would be rented and 376 leasehold; and</w:t>
      </w:r>
    </w:p>
    <w:p w:rsidR="008F5270" w:rsidRDefault="008F5270" w:rsidP="008F5270">
      <w:pPr>
        <w:pStyle w:val="Bulletblueplain"/>
      </w:pPr>
      <w:r>
        <w:t xml:space="preserve">646 care bedspaces. </w:t>
      </w:r>
    </w:p>
    <w:p w:rsidR="00855CA6" w:rsidRPr="00855CA6" w:rsidRDefault="00855CA6" w:rsidP="00901C92">
      <w:pPr>
        <w:pStyle w:val="Bulletblueplain"/>
        <w:numPr>
          <w:ilvl w:val="0"/>
          <w:numId w:val="0"/>
        </w:numPr>
        <w:ind w:left="1077"/>
      </w:pPr>
    </w:p>
    <w:p w:rsidR="000A192F" w:rsidRDefault="005F2BDC" w:rsidP="006B2A89">
      <w:pPr>
        <w:pStyle w:val="bigserial"/>
        <w:ind w:left="567" w:hanging="567"/>
      </w:pPr>
      <w:r w:rsidRPr="005200A0">
        <w:t>Around 31% of households contain someone with a long-term health problem or disability (LTHPD), which is slightly lower than that seen nationally but above the regional average. It is estimated that this will increase by 30%.</w:t>
      </w:r>
      <w:r w:rsidR="00855CA6">
        <w:t xml:space="preserve"> </w:t>
      </w:r>
      <w:r w:rsidR="000A192F" w:rsidRPr="005200A0">
        <w:t xml:space="preserve">There is projected to be a large rise in the number of people with dementia (up </w:t>
      </w:r>
      <w:r w:rsidR="006863E5">
        <w:t>58.2</w:t>
      </w:r>
      <w:r w:rsidR="000A192F" w:rsidRPr="005200A0">
        <w:t xml:space="preserve">%) along with a </w:t>
      </w:r>
      <w:r w:rsidR="00D534D0">
        <w:t>51.5</w:t>
      </w:r>
      <w:r w:rsidR="000A192F" w:rsidRPr="005200A0">
        <w:t>% increase in the number</w:t>
      </w:r>
      <w:r>
        <w:t xml:space="preserve"> of people</w:t>
      </w:r>
      <w:r w:rsidR="000A192F" w:rsidRPr="005200A0">
        <w:t xml:space="preserve"> with mobility problems. </w:t>
      </w:r>
    </w:p>
    <w:p w:rsidR="00CD7A48" w:rsidRPr="00CD7A48" w:rsidRDefault="00CD7A48" w:rsidP="006B2A89">
      <w:pPr>
        <w:pStyle w:val="bigserial"/>
        <w:ind w:left="567" w:hanging="567"/>
      </w:pPr>
      <w:r w:rsidRPr="00CD7A48">
        <w:t>Those with a mobility problem are expected to increase by around 51.5%.</w:t>
      </w:r>
      <w:r w:rsidR="00855CA6">
        <w:t xml:space="preserve"> </w:t>
      </w:r>
      <w:r w:rsidRPr="00CD7A48">
        <w:t xml:space="preserve">This along with the growth in other conditions would justify that the Council should seek as much M4(2) compliant as is viably possible. </w:t>
      </w:r>
    </w:p>
    <w:p w:rsidR="00CD7A48" w:rsidRPr="00CD7A48" w:rsidRDefault="00CD7A48" w:rsidP="006B2A89">
      <w:pPr>
        <w:pStyle w:val="bigserial"/>
        <w:ind w:left="567" w:hanging="567"/>
      </w:pPr>
      <w:r w:rsidRPr="00CD7A48">
        <w:t xml:space="preserve">The report estimates that there is an unmet need for wheelchair adapted dwellings equivalent to 3.5 per 1,000 households – in the Chichester District, as of 2019, this would represent a need for about 190 wheelchair adapted dwellings. Moving forward, the report estimates a wheelchair accessibility need from around 3% of households. If 3% is applied to the household growth in the projections (2019-36) then there would be an additional need for around 373 </w:t>
      </w:r>
      <w:r w:rsidR="00FA5088">
        <w:t>wheelchair</w:t>
      </w:r>
      <w:r w:rsidR="00855CA6">
        <w:t>-</w:t>
      </w:r>
      <w:r w:rsidRPr="00CD7A48">
        <w:t>adapted homes or 22 per annum</w:t>
      </w:r>
      <w:r w:rsidR="00FA5088">
        <w:t xml:space="preserve"> of which</w:t>
      </w:r>
      <w:r w:rsidR="00FA5088" w:rsidRPr="002B4926">
        <w:t xml:space="preserve"> 287 wheelchair</w:t>
      </w:r>
      <w:r w:rsidR="00855CA6">
        <w:t>-</w:t>
      </w:r>
      <w:r w:rsidR="00FA5088" w:rsidRPr="002B4926">
        <w:t xml:space="preserve">adapted homes  or 17 per annum </w:t>
      </w:r>
      <w:r w:rsidR="00FA5088">
        <w:t>in the Local Plan Area</w:t>
      </w:r>
      <w:r w:rsidR="00FA5088" w:rsidRPr="002B4926">
        <w:t>.</w:t>
      </w:r>
    </w:p>
    <w:p w:rsidR="00CD7A48" w:rsidRPr="00CD7A48" w:rsidRDefault="00CD7A48" w:rsidP="006B2A89">
      <w:pPr>
        <w:pStyle w:val="bigserial"/>
        <w:ind w:left="567" w:hanging="567"/>
      </w:pPr>
      <w:r w:rsidRPr="00CD7A48">
        <w:t>This would suggest that the Council seek around 5% of all new housing to be M4(3) compliant.</w:t>
      </w:r>
      <w:r w:rsidR="00855CA6">
        <w:t xml:space="preserve"> </w:t>
      </w:r>
      <w:r w:rsidRPr="00CD7A48">
        <w:t>However</w:t>
      </w:r>
      <w:r w:rsidR="00855CA6">
        <w:t>,</w:t>
      </w:r>
      <w:r w:rsidRPr="00CD7A48">
        <w:t xml:space="preserve"> we recognise that this won’t be possible on all sites due to topography and other constraints such as site configuration.</w:t>
      </w:r>
      <w:r w:rsidR="006E29A2">
        <w:t xml:space="preserve"> For private dwellings</w:t>
      </w:r>
      <w:r w:rsidR="00855CA6">
        <w:t>,</w:t>
      </w:r>
      <w:r w:rsidR="006E29A2">
        <w:t xml:space="preserve"> this should be 5% at M4(3)a standard and for affordable dwellings 5%-10% at M4(3)b standard wherever possible.</w:t>
      </w:r>
    </w:p>
    <w:p w:rsidR="000A192F" w:rsidRPr="005200A0" w:rsidRDefault="005F2BDC" w:rsidP="006B2A89">
      <w:pPr>
        <w:pStyle w:val="bigserial"/>
        <w:ind w:left="567" w:hanging="567"/>
      </w:pPr>
      <w:r>
        <w:lastRenderedPageBreak/>
        <w:t xml:space="preserve">The Custom and </w:t>
      </w:r>
      <w:r w:rsidR="000A192F" w:rsidRPr="005200A0">
        <w:t>Self-Build accommodation regist</w:t>
      </w:r>
      <w:r>
        <w:t>er has a</w:t>
      </w:r>
      <w:r w:rsidR="000A192F" w:rsidRPr="005200A0">
        <w:t xml:space="preserve"> total </w:t>
      </w:r>
      <w:r>
        <w:t xml:space="preserve">of </w:t>
      </w:r>
      <w:r w:rsidR="000A192F" w:rsidRPr="005200A0">
        <w:t>66</w:t>
      </w:r>
      <w:r>
        <w:t xml:space="preserve"> people</w:t>
      </w:r>
      <w:r w:rsidR="000A192F" w:rsidRPr="005200A0">
        <w:t xml:space="preserve">, including 27 local and 39 non-local. At July 2018, </w:t>
      </w:r>
      <w:r w:rsidR="00E54308">
        <w:t xml:space="preserve">the </w:t>
      </w:r>
      <w:r w:rsidR="000A192F" w:rsidRPr="005200A0">
        <w:t>Council introduced a new 2-part register. Since then, no</w:t>
      </w:r>
      <w:r w:rsidR="00867E68">
        <w:t xml:space="preserve"> o</w:t>
      </w:r>
      <w:r w:rsidR="000A192F" w:rsidRPr="005200A0">
        <w:t>ne ha</w:t>
      </w:r>
      <w:r w:rsidR="00BF36FA">
        <w:t>s</w:t>
      </w:r>
      <w:r w:rsidR="000A192F" w:rsidRPr="005200A0">
        <w:t xml:space="preserve"> registered on the Part 1 list and two individuals have registered on the Part 2 list. </w:t>
      </w:r>
    </w:p>
    <w:p w:rsidR="000A192F" w:rsidRPr="005200A0" w:rsidRDefault="000A192F" w:rsidP="006B2A89">
      <w:pPr>
        <w:pStyle w:val="bigserial"/>
        <w:ind w:left="567" w:hanging="567"/>
      </w:pPr>
      <w:r w:rsidRPr="005200A0">
        <w:t xml:space="preserve">The University currently provides most of the student accommodation. The University </w:t>
      </w:r>
      <w:r w:rsidR="00867E68">
        <w:t xml:space="preserve">only </w:t>
      </w:r>
      <w:r w:rsidRPr="005200A0">
        <w:t>expect</w:t>
      </w:r>
      <w:r w:rsidR="00867E68">
        <w:t>s</w:t>
      </w:r>
      <w:r w:rsidRPr="005200A0">
        <w:t xml:space="preserve"> some </w:t>
      </w:r>
      <w:r w:rsidR="00867E68">
        <w:t xml:space="preserve">modest </w:t>
      </w:r>
      <w:r w:rsidRPr="005200A0">
        <w:t>growth in the future</w:t>
      </w:r>
      <w:r w:rsidR="00867E68">
        <w:t xml:space="preserve"> and is unlikely to impact the wider housing market.</w:t>
      </w:r>
    </w:p>
    <w:p w:rsidR="000A192F" w:rsidRPr="005200A0" w:rsidRDefault="000A192F" w:rsidP="006B2A89">
      <w:pPr>
        <w:pStyle w:val="SubheadBlue12"/>
        <w:ind w:left="567" w:firstLine="0"/>
      </w:pPr>
      <w:r w:rsidRPr="005200A0">
        <w:t>Commercial Property Market</w:t>
      </w:r>
    </w:p>
    <w:p w:rsidR="000A192F" w:rsidRPr="005200A0" w:rsidRDefault="00867E68" w:rsidP="006B2A89">
      <w:pPr>
        <w:pStyle w:val="bigserial"/>
        <w:ind w:left="567" w:hanging="567"/>
      </w:pPr>
      <w:r>
        <w:t xml:space="preserve">Commercial </w:t>
      </w:r>
      <w:r w:rsidR="000A192F" w:rsidRPr="005200A0">
        <w:t>activity in the district is focused in areas around Chichester City, the East-West Corridor and Manhood Peninsula, with less intense activity across South Downs National Park</w:t>
      </w:r>
      <w:r>
        <w:t xml:space="preserve"> and the North Plan area</w:t>
      </w:r>
      <w:r w:rsidR="000A192F" w:rsidRPr="005200A0">
        <w:t>.</w:t>
      </w:r>
    </w:p>
    <w:p w:rsidR="00C87155" w:rsidRDefault="00867E68" w:rsidP="006B2A89">
      <w:pPr>
        <w:pStyle w:val="bigserial"/>
        <w:ind w:left="567" w:hanging="567"/>
      </w:pPr>
      <w:r>
        <w:t xml:space="preserve">Around </w:t>
      </w:r>
      <w:r w:rsidR="000A192F" w:rsidRPr="005200A0">
        <w:t xml:space="preserve">64% of office take-up, the lease or occupational sale of total floorspace, has been in Chichester City and the surrounding area. Most of the District’s office availability is in Chichester City. </w:t>
      </w:r>
    </w:p>
    <w:p w:rsidR="000A192F" w:rsidRPr="005200A0" w:rsidRDefault="000A192F" w:rsidP="006B2A89">
      <w:pPr>
        <w:pStyle w:val="bigserial"/>
        <w:ind w:left="567" w:hanging="567"/>
      </w:pPr>
      <w:r w:rsidRPr="005200A0">
        <w:t xml:space="preserve">The available office floorspace is 26,115 sqm in the District and 22,000 sqm in the Plan Area (summer 2019). There is </w:t>
      </w:r>
      <w:r w:rsidR="00855CA6">
        <w:t xml:space="preserve">a </w:t>
      </w:r>
      <w:r w:rsidRPr="005200A0">
        <w:t xml:space="preserve">high demand for office floorspace and market consultation has revealed that there is constrained supply in the </w:t>
      </w:r>
      <w:r w:rsidR="00C87155">
        <w:t>C</w:t>
      </w:r>
      <w:r w:rsidRPr="005200A0">
        <w:t xml:space="preserve">ity </w:t>
      </w:r>
      <w:r w:rsidR="00C87155">
        <w:t>C</w:t>
      </w:r>
      <w:r w:rsidRPr="005200A0">
        <w:t>entre due to permitted development</w:t>
      </w:r>
      <w:r w:rsidR="00315918">
        <w:t xml:space="preserve"> rights</w:t>
      </w:r>
      <w:r w:rsidRPr="005200A0">
        <w:t>.</w:t>
      </w:r>
    </w:p>
    <w:p w:rsidR="000A192F" w:rsidRPr="005200A0" w:rsidRDefault="000A192F" w:rsidP="006B2A89">
      <w:pPr>
        <w:pStyle w:val="bigserial"/>
        <w:ind w:left="567" w:hanging="567"/>
      </w:pPr>
      <w:r w:rsidRPr="005200A0">
        <w:t xml:space="preserve">There has been 230,330 sqm of industrial floorspace transacted in the District for the last 12 years and 202,811 sqm transacted in the plan area during the same time. The majority of this has been focused in Chichester City and the surrounding area and to a lesser degree the East-West Corridor. </w:t>
      </w:r>
    </w:p>
    <w:p w:rsidR="000A192F" w:rsidRPr="005200A0" w:rsidRDefault="000A192F" w:rsidP="006B2A89">
      <w:pPr>
        <w:pStyle w:val="bigserial"/>
        <w:ind w:left="567" w:hanging="567"/>
      </w:pPr>
      <w:r w:rsidRPr="005200A0">
        <w:t xml:space="preserve">As of September 2019, there was 32,695 sqm of available industrial floorspace in Chichester </w:t>
      </w:r>
      <w:r w:rsidR="00857D46">
        <w:t>District a</w:t>
      </w:r>
      <w:r w:rsidRPr="005200A0">
        <w:t xml:space="preserve">nd 26,758 sqm in the Plan Area. The distribution of available floorspace revealed a high quantum </w:t>
      </w:r>
      <w:r w:rsidR="00857D46" w:rsidRPr="005200A0">
        <w:t>in Chichester</w:t>
      </w:r>
      <w:r w:rsidRPr="005200A0">
        <w:t xml:space="preserve"> City, followed by Manhood Peninsula and East-West Corridor. Market consultation has revealed that there has been a strong recent take up of industrial floorspace</w:t>
      </w:r>
      <w:r w:rsidR="008A4779">
        <w:t xml:space="preserve"> being 26,700 sqm in 2018 </w:t>
      </w:r>
      <w:r w:rsidR="00FF3AAB">
        <w:t xml:space="preserve">made up of a series of smaller and </w:t>
      </w:r>
      <w:r w:rsidR="00855CA6">
        <w:t>mid-</w:t>
      </w:r>
      <w:r w:rsidR="00FF3AAB">
        <w:t>sized deals including Plot 16 Terminus Rd (5,674 sqm or 61,000 sqft)</w:t>
      </w:r>
      <w:r w:rsidRPr="005200A0">
        <w:t>.</w:t>
      </w:r>
    </w:p>
    <w:p w:rsidR="000A192F" w:rsidRPr="005200A0" w:rsidRDefault="000A192F" w:rsidP="006B2A89">
      <w:pPr>
        <w:pStyle w:val="SubheadBlue12"/>
        <w:ind w:left="567" w:firstLine="0"/>
      </w:pPr>
      <w:r w:rsidRPr="005200A0">
        <w:t>Employment Land Requirements</w:t>
      </w:r>
    </w:p>
    <w:p w:rsidR="000A192F" w:rsidRPr="005200A0" w:rsidRDefault="000A192F" w:rsidP="006B2A89">
      <w:pPr>
        <w:pStyle w:val="bigserial"/>
        <w:ind w:left="567" w:hanging="567"/>
      </w:pPr>
      <w:r w:rsidRPr="005200A0">
        <w:t>GL Hearn ha</w:t>
      </w:r>
      <w:r w:rsidR="00C87155">
        <w:t>s</w:t>
      </w:r>
      <w:r w:rsidRPr="005200A0">
        <w:t xml:space="preserve"> considered the future needs of employment floorspace and land area needed to support B-class development across the Plan area over the period from 2019-36. Four methods were analysed: </w:t>
      </w:r>
    </w:p>
    <w:p w:rsidR="000A192F" w:rsidRPr="00ED1C06" w:rsidRDefault="000A192F" w:rsidP="00ED1C06">
      <w:pPr>
        <w:pStyle w:val="10BulletBodytext"/>
      </w:pPr>
      <w:r w:rsidRPr="00ED1C06">
        <w:t xml:space="preserve">A labour demand baseline scenario – based on the Oxford Economics baseline jobs growth forecast; </w:t>
      </w:r>
    </w:p>
    <w:p w:rsidR="000A192F" w:rsidRPr="005200A0" w:rsidRDefault="000A192F" w:rsidP="00ED1C06">
      <w:pPr>
        <w:pStyle w:val="10BulletBodytext"/>
      </w:pPr>
      <w:r w:rsidRPr="005200A0">
        <w:t xml:space="preserve">A labour demand growth scenario – based on the growth scenario that considered an uplift of key employment sectors; </w:t>
      </w:r>
    </w:p>
    <w:p w:rsidR="00E54308" w:rsidRDefault="000A192F" w:rsidP="00ED1C06">
      <w:pPr>
        <w:pStyle w:val="10BulletBodytext"/>
      </w:pPr>
      <w:r w:rsidRPr="005200A0">
        <w:lastRenderedPageBreak/>
        <w:t xml:space="preserve">Consideration of the labour supply position; </w:t>
      </w:r>
    </w:p>
    <w:p w:rsidR="00E54308" w:rsidRDefault="000A192F" w:rsidP="00ED1C06">
      <w:pPr>
        <w:pStyle w:val="10BulletBodytext"/>
      </w:pPr>
      <w:r w:rsidRPr="00E54308">
        <w:t>Scenarios based on past completions trends.</w:t>
      </w:r>
    </w:p>
    <w:p w:rsidR="00C87155" w:rsidRPr="00E54308" w:rsidRDefault="000A192F" w:rsidP="00ED1C06">
      <w:pPr>
        <w:pStyle w:val="10BulletBodytext"/>
        <w:numPr>
          <w:ilvl w:val="0"/>
          <w:numId w:val="0"/>
        </w:numPr>
        <w:ind w:left="993"/>
      </w:pPr>
      <w:r w:rsidRPr="00E54308">
        <w:t xml:space="preserve"> </w:t>
      </w:r>
    </w:p>
    <w:p w:rsidR="000A192F" w:rsidRPr="00F22C0A" w:rsidRDefault="000A192F" w:rsidP="006B2A89">
      <w:pPr>
        <w:pStyle w:val="bigserial"/>
        <w:ind w:left="567" w:hanging="567"/>
      </w:pPr>
      <w:r w:rsidRPr="005200A0">
        <w:t xml:space="preserve">Overall the labour demand growth scenario and the completions trend scenarios, excluding losses to </w:t>
      </w:r>
      <w:r w:rsidR="009F018A" w:rsidRPr="00F22C0A">
        <w:t>commercial</w:t>
      </w:r>
      <w:r w:rsidRPr="00F22C0A">
        <w:t>, are considered the most relevant in terms of estimating future need.</w:t>
      </w:r>
      <w:r w:rsidR="00855CA6" w:rsidRPr="00F22C0A">
        <w:t xml:space="preserve"> </w:t>
      </w:r>
    </w:p>
    <w:p w:rsidR="00A6174E" w:rsidRPr="00F22C0A" w:rsidRDefault="00A6174E" w:rsidP="006B2A89">
      <w:pPr>
        <w:pStyle w:val="bigserial"/>
        <w:ind w:left="567" w:hanging="567"/>
      </w:pPr>
      <w:r w:rsidRPr="00F22C0A">
        <w:t xml:space="preserve">In view of all factors the need is considered to be </w:t>
      </w:r>
      <w:r w:rsidR="00F22C0A">
        <w:t xml:space="preserve">132,200 </w:t>
      </w:r>
      <w:r w:rsidRPr="00F22C0A">
        <w:t xml:space="preserve">sqm of floorspace or </w:t>
      </w:r>
      <w:r w:rsidR="00F22C0A">
        <w:t>2</w:t>
      </w:r>
      <w:r w:rsidR="00D534D0">
        <w:t>5.6</w:t>
      </w:r>
      <w:r w:rsidRPr="00F22C0A">
        <w:t xml:space="preserve"> ha of land</w:t>
      </w:r>
      <w:r w:rsidR="00D534D0">
        <w:t xml:space="preserve"> to 2036</w:t>
      </w:r>
      <w:r w:rsidRPr="00F22C0A">
        <w:t xml:space="preserve">. </w:t>
      </w:r>
      <w:r w:rsidR="009F018A" w:rsidRPr="00F22C0A">
        <w:t>This is lower than the previous HEDNA due to a fall in economic growth outlook and a more nuanced approach to modelling completions trends.</w:t>
      </w:r>
    </w:p>
    <w:p w:rsidR="000A192F" w:rsidRPr="00C8442A" w:rsidRDefault="000A192F" w:rsidP="006B2A89">
      <w:pPr>
        <w:pStyle w:val="SubheadBlue12"/>
        <w:ind w:left="567" w:firstLine="0"/>
      </w:pPr>
      <w:r w:rsidRPr="00F22C0A">
        <w:t>Horticultural Development</w:t>
      </w:r>
      <w:r w:rsidRPr="00C8442A">
        <w:t xml:space="preserve"> Areas</w:t>
      </w:r>
    </w:p>
    <w:p w:rsidR="000A192F" w:rsidRPr="00C8442A" w:rsidRDefault="000A192F" w:rsidP="006B2A89">
      <w:pPr>
        <w:pStyle w:val="bigserial"/>
        <w:ind w:left="567" w:hanging="567"/>
      </w:pPr>
      <w:r w:rsidRPr="00C8442A">
        <w:t xml:space="preserve">The 2018 HEDNA provided recommendations for growth in future glasshouses which has been revisited based on the latest information including consultation with stakeholders. </w:t>
      </w:r>
    </w:p>
    <w:p w:rsidR="000A192F" w:rsidRPr="00C8442A" w:rsidRDefault="000A192F" w:rsidP="006B2A89">
      <w:pPr>
        <w:pStyle w:val="bigserial"/>
        <w:ind w:left="567" w:hanging="567"/>
      </w:pPr>
      <w:r w:rsidRPr="003D1D66">
        <w:t xml:space="preserve">Trend based modelling </w:t>
      </w:r>
      <w:r w:rsidR="008A4779" w:rsidRPr="003D1D66">
        <w:t xml:space="preserve">based on </w:t>
      </w:r>
      <w:r w:rsidR="004C735B" w:rsidRPr="00657772">
        <w:t xml:space="preserve">horticultural permissions data and an estimated completions rate </w:t>
      </w:r>
      <w:r w:rsidR="002E26AC" w:rsidRPr="00657772">
        <w:t>(based</w:t>
      </w:r>
      <w:r w:rsidR="004C735B" w:rsidRPr="00657772">
        <w:t xml:space="preserve"> on CDC data) </w:t>
      </w:r>
      <w:r w:rsidRPr="003D1D66">
        <w:t xml:space="preserve">is considered </w:t>
      </w:r>
      <w:r w:rsidR="00C87155" w:rsidRPr="003D1D66">
        <w:t>more</w:t>
      </w:r>
      <w:r w:rsidRPr="003D1D66">
        <w:t xml:space="preserve"> appropriate than labour demand based given changes in working practices and a divorcement of labour and floorspace.</w:t>
      </w:r>
      <w:r w:rsidR="003D1D66">
        <w:t xml:space="preserve"> </w:t>
      </w:r>
    </w:p>
    <w:p w:rsidR="00A6174E" w:rsidRPr="00EE6F4E" w:rsidRDefault="00A6174E" w:rsidP="006B2A89">
      <w:pPr>
        <w:pStyle w:val="bigserial"/>
        <w:ind w:left="567" w:hanging="567"/>
      </w:pPr>
      <w:r w:rsidRPr="00EE6F4E">
        <w:t xml:space="preserve">This suggests a need for an additional 374,000 sqm for horticultural development or 60.7 Ha of land within HDAs in addition to a total of 728,000 or 129.6 ha outside of HDAs </w:t>
      </w:r>
      <w:r w:rsidR="00132110">
        <w:t xml:space="preserve">between 2019 and 2036 </w:t>
      </w:r>
      <w:r w:rsidRPr="00EE6F4E">
        <w:t>to avoid constraining growth in the horticultural industry. This is increased from past recommendations in 2018 which did not report on potential needs outside of the HDAs.</w:t>
      </w:r>
      <w:r>
        <w:t xml:space="preserve"> </w:t>
      </w:r>
      <w:r w:rsidRPr="00EE6F4E">
        <w:t xml:space="preserve">This is based on permissions trend data and includes glasshouses, packhouses, polytunnels and ancillary development including water storage. </w:t>
      </w:r>
    </w:p>
    <w:p w:rsidR="00F63FBB" w:rsidRPr="00CA47B9" w:rsidRDefault="00B0298E" w:rsidP="003C7491">
      <w:pPr>
        <w:pStyle w:val="1Bodytext"/>
        <w:pageBreakBefore/>
        <w:numPr>
          <w:ilvl w:val="0"/>
          <w:numId w:val="33"/>
        </w:numPr>
        <w:tabs>
          <w:tab w:val="clear" w:pos="794"/>
          <w:tab w:val="num" w:pos="567"/>
        </w:tabs>
        <w:spacing w:after="120" w:line="360" w:lineRule="auto"/>
        <w:rPr>
          <w:rFonts w:asciiTheme="minorHAnsi" w:hAnsiTheme="minorHAnsi" w:cstheme="minorHAnsi"/>
        </w:rPr>
      </w:pPr>
      <w:bookmarkStart w:id="7" w:name="_Toc51600008"/>
      <w:r w:rsidRPr="00CA47B9">
        <w:rPr>
          <w:rFonts w:asciiTheme="minorHAnsi" w:hAnsiTheme="minorHAnsi" w:cstheme="minorHAnsi"/>
        </w:rPr>
        <w:lastRenderedPageBreak/>
        <w:t>introduction</w:t>
      </w:r>
      <w:bookmarkEnd w:id="3"/>
      <w:bookmarkEnd w:id="7"/>
    </w:p>
    <w:p w:rsidR="004D6362" w:rsidRPr="00ED1C06" w:rsidRDefault="00F63FBB" w:rsidP="006B2A89">
      <w:pPr>
        <w:pStyle w:val="11Bodytext"/>
        <w:tabs>
          <w:tab w:val="clear" w:pos="2212"/>
          <w:tab w:val="num" w:pos="567"/>
        </w:tabs>
        <w:ind w:left="567" w:hanging="567"/>
      </w:pPr>
      <w:r w:rsidRPr="00ED1C06">
        <w:t xml:space="preserve">Chichester District Council (CDC) has commissioned GL Hearn to undertake a Housing and Economic Development Needs Assessment (HEDNA). </w:t>
      </w:r>
      <w:r w:rsidR="00EB6054" w:rsidRPr="00ED1C06">
        <w:t xml:space="preserve">This report is an update to the 2018 HEDNA prepared by GL Hearn </w:t>
      </w:r>
      <w:r w:rsidR="004D6362" w:rsidRPr="00ED1C06">
        <w:t>that provide</w:t>
      </w:r>
      <w:r w:rsidR="00553DC8" w:rsidRPr="00ED1C06">
        <w:t>d</w:t>
      </w:r>
      <w:r w:rsidR="004D6362" w:rsidRPr="00ED1C06">
        <w:t xml:space="preserve"> evidence supporting the draft Local Plan as consulted upon </w:t>
      </w:r>
      <w:r w:rsidR="00801012" w:rsidRPr="00ED1C06">
        <w:t>in</w:t>
      </w:r>
      <w:r w:rsidR="00BB0EE5" w:rsidRPr="00ED1C06">
        <w:t xml:space="preserve"> </w:t>
      </w:r>
      <w:r w:rsidR="004105A3" w:rsidRPr="00ED1C06">
        <w:t xml:space="preserve">December </w:t>
      </w:r>
      <w:r w:rsidR="00C6775D" w:rsidRPr="00ED1C06">
        <w:t>2018</w:t>
      </w:r>
      <w:r w:rsidR="004105A3" w:rsidRPr="00ED1C06">
        <w:t xml:space="preserve"> - </w:t>
      </w:r>
      <w:r w:rsidR="00CA6636" w:rsidRPr="00ED1C06">
        <w:t>February</w:t>
      </w:r>
      <w:r w:rsidR="004D6362" w:rsidRPr="00ED1C06">
        <w:t xml:space="preserve"> 2019. </w:t>
      </w:r>
    </w:p>
    <w:p w:rsidR="004D6362" w:rsidRDefault="004D6362" w:rsidP="006B2A89">
      <w:pPr>
        <w:pStyle w:val="11Bodytext"/>
        <w:tabs>
          <w:tab w:val="clear" w:pos="2212"/>
          <w:tab w:val="num" w:pos="567"/>
        </w:tabs>
        <w:ind w:left="567" w:hanging="567"/>
      </w:pPr>
      <w:r>
        <w:t xml:space="preserve">For completeness, some information provided in the 2018 HEDNA report has been included where it remains relevant and no new information </w:t>
      </w:r>
      <w:r w:rsidR="00801012">
        <w:t xml:space="preserve">is available </w:t>
      </w:r>
      <w:r>
        <w:t>- for example</w:t>
      </w:r>
      <w:r w:rsidR="00855CA6">
        <w:t>,</w:t>
      </w:r>
      <w:r w:rsidR="0026620D">
        <w:t xml:space="preserve"> that</w:t>
      </w:r>
      <w:r>
        <w:t xml:space="preserve"> relating to the 2011 census.</w:t>
      </w:r>
    </w:p>
    <w:p w:rsidR="00F63FBB" w:rsidRPr="00CA47B9" w:rsidRDefault="00F63FBB" w:rsidP="006B2A89">
      <w:pPr>
        <w:pStyle w:val="11Bodytext"/>
        <w:tabs>
          <w:tab w:val="clear" w:pos="2212"/>
          <w:tab w:val="num" w:pos="567"/>
        </w:tabs>
        <w:ind w:left="567" w:hanging="567"/>
        <w:rPr>
          <w:b/>
          <w:caps/>
        </w:rPr>
      </w:pPr>
      <w:r w:rsidRPr="00CA47B9">
        <w:t>The HEDNA deals with the need for housing and employment floorspace, over the period 2019 to 2036</w:t>
      </w:r>
      <w:r w:rsidR="004D6362">
        <w:t>.</w:t>
      </w:r>
      <w:r w:rsidR="00175079">
        <w:t xml:space="preserve"> Within </w:t>
      </w:r>
      <w:r w:rsidR="00855CA6">
        <w:t>Appendix B,</w:t>
      </w:r>
      <w:r w:rsidR="00175079">
        <w:t xml:space="preserve"> we have also extended the key output tables to 2037 to align with the revised plan period.</w:t>
      </w:r>
      <w:r w:rsidR="004D6362">
        <w:t xml:space="preserve"> </w:t>
      </w:r>
      <w:r w:rsidRPr="00CA47B9">
        <w:t xml:space="preserve">This report does not make policy decisions regarding what levels of development should be planned for – this is for the Local Plan itself. </w:t>
      </w:r>
    </w:p>
    <w:p w:rsidR="00F63FBB" w:rsidRPr="00CA47B9" w:rsidRDefault="00F63FBB" w:rsidP="006B2A89">
      <w:pPr>
        <w:pStyle w:val="11Bodytext"/>
        <w:tabs>
          <w:tab w:val="clear" w:pos="2212"/>
          <w:tab w:val="num" w:pos="567"/>
        </w:tabs>
        <w:ind w:left="567" w:hanging="567"/>
      </w:pPr>
      <w:r w:rsidRPr="00CA47B9">
        <w:t>The intention behind the HEDNA is to provide an integrated evidence base regarding future development needs across uses, recognising for instance that job growth can influence housing need.</w:t>
      </w:r>
    </w:p>
    <w:p w:rsidR="00F63FBB" w:rsidRPr="0026620D" w:rsidRDefault="0026620D" w:rsidP="006B2A89">
      <w:pPr>
        <w:pStyle w:val="11Bodytext"/>
        <w:tabs>
          <w:tab w:val="clear" w:pos="2212"/>
          <w:tab w:val="num" w:pos="567"/>
        </w:tabs>
        <w:ind w:left="567" w:hanging="567"/>
      </w:pPr>
      <w:r>
        <w:t>P</w:t>
      </w:r>
      <w:r w:rsidRPr="0026620D">
        <w:t>arts of the district are co-located with the South Downs National Park which come</w:t>
      </w:r>
      <w:r w:rsidR="00855CA6">
        <w:t>s</w:t>
      </w:r>
      <w:r w:rsidRPr="0026620D">
        <w:t xml:space="preserve"> under the jurisdiction of the National Park Authority. The focus of the Local Plan and thus this evidence base is the Plan Area</w:t>
      </w:r>
      <w:r>
        <w:t xml:space="preserve"> i.e. those parts not located within the National Park</w:t>
      </w:r>
      <w:r w:rsidRPr="0026620D">
        <w:t xml:space="preserve">. </w:t>
      </w:r>
    </w:p>
    <w:p w:rsidR="00F63FBB" w:rsidRPr="00CA47B9" w:rsidRDefault="00F63FBB" w:rsidP="006D30C4">
      <w:pPr>
        <w:pStyle w:val="SubheadBlue12"/>
        <w:ind w:firstLine="141"/>
      </w:pPr>
      <w:r w:rsidRPr="00CA47B9">
        <w:t xml:space="preserve">Overview of Methodology </w:t>
      </w:r>
    </w:p>
    <w:p w:rsidR="00F63FBB" w:rsidRPr="00CA47B9" w:rsidRDefault="00F63FBB" w:rsidP="006B2A89">
      <w:pPr>
        <w:pStyle w:val="11Bodytext"/>
        <w:tabs>
          <w:tab w:val="clear" w:pos="2212"/>
          <w:tab w:val="num" w:pos="567"/>
        </w:tabs>
        <w:ind w:left="567" w:hanging="567"/>
        <w:rPr>
          <w:b/>
          <w:caps/>
        </w:rPr>
      </w:pPr>
      <w:r w:rsidRPr="00CA47B9">
        <w:t>The methodology used in this report responds to the NPPF (update</w:t>
      </w:r>
      <w:r w:rsidR="00F52FCB">
        <w:t>d</w:t>
      </w:r>
      <w:r w:rsidRPr="00CA47B9">
        <w:t xml:space="preserve"> 2019) which sets out the Government’s objective to significantly boost housing supply, and the current Planning Practice Guidance (PPG) on </w:t>
      </w:r>
      <w:r w:rsidRPr="00CA47B9">
        <w:rPr>
          <w:i/>
        </w:rPr>
        <w:t>Housing and Economic Needs Assessment</w:t>
      </w:r>
      <w:r w:rsidRPr="00CA47B9">
        <w:t xml:space="preserve">. </w:t>
      </w:r>
    </w:p>
    <w:p w:rsidR="00F63FBB" w:rsidRPr="00CA47B9" w:rsidRDefault="00F63FBB" w:rsidP="006B2A89">
      <w:pPr>
        <w:pStyle w:val="11Bodytext"/>
        <w:tabs>
          <w:tab w:val="clear" w:pos="2212"/>
          <w:tab w:val="num" w:pos="567"/>
        </w:tabs>
        <w:ind w:left="567" w:hanging="567"/>
      </w:pPr>
      <w:r w:rsidRPr="00CA47B9">
        <w:t xml:space="preserve">Chapter 5 of the NPPF (2019) relates to delivering a sufficient supply of homes, Paragraph 60 </w:t>
      </w:r>
      <w:r w:rsidR="00855CA6" w:rsidRPr="00CA47B9">
        <w:t>set</w:t>
      </w:r>
      <w:r w:rsidR="00855CA6">
        <w:t>s</w:t>
      </w:r>
      <w:r w:rsidR="00855CA6" w:rsidRPr="00CA47B9">
        <w:t xml:space="preserve"> </w:t>
      </w:r>
      <w:r w:rsidRPr="00CA47B9">
        <w:t xml:space="preserve">out that “to determine the minimum number of homes needed, strategic policies should be informed by a local housing need assessment, conducted </w:t>
      </w:r>
      <w:r w:rsidRPr="00CA47B9">
        <w:lastRenderedPageBreak/>
        <w:t xml:space="preserve">using the standard methodology” which is this report. However, in exceptional circumstances, an alternative approach could be justified. </w:t>
      </w:r>
    </w:p>
    <w:p w:rsidR="00F63FBB" w:rsidRPr="00CA47B9" w:rsidRDefault="00F63FBB" w:rsidP="006B2A89">
      <w:pPr>
        <w:pStyle w:val="11Bodytext"/>
        <w:tabs>
          <w:tab w:val="clear" w:pos="2212"/>
          <w:tab w:val="num" w:pos="567"/>
        </w:tabs>
        <w:ind w:left="567" w:hanging="567"/>
      </w:pPr>
      <w:r w:rsidRPr="00CA47B9">
        <w:t xml:space="preserve">Paragraph 61 of the NPPF (2019) sets out that </w:t>
      </w:r>
      <w:r w:rsidRPr="00F52FCB">
        <w:t>“within this context, the size, type and tenure of housing needed for different groups in the community should be assessed”</w:t>
      </w:r>
      <w:r w:rsidRPr="00CA47B9">
        <w:t>. It adds that specific groups include but are not limited to:</w:t>
      </w:r>
    </w:p>
    <w:p w:rsidR="00F63FBB" w:rsidRPr="00F52FCB" w:rsidRDefault="00F63FBB" w:rsidP="00ED1C06">
      <w:pPr>
        <w:pStyle w:val="11Bodytext"/>
        <w:numPr>
          <w:ilvl w:val="0"/>
          <w:numId w:val="0"/>
        </w:numPr>
        <w:ind w:left="794"/>
      </w:pPr>
      <w:r w:rsidRPr="00F52FCB">
        <w:t xml:space="preserve">“those who require affordable housing, families with children, older people, students, people with disabilities, service families, travellers, people who rent their homes and people wishing to commission or build their own homes”. </w:t>
      </w:r>
    </w:p>
    <w:p w:rsidR="00F63FBB" w:rsidRPr="00F52FCB" w:rsidRDefault="00F63FBB" w:rsidP="006B2A89">
      <w:pPr>
        <w:pStyle w:val="11Bodytext"/>
        <w:tabs>
          <w:tab w:val="clear" w:pos="2212"/>
          <w:tab w:val="num" w:pos="567"/>
        </w:tabs>
        <w:ind w:left="567" w:hanging="567"/>
      </w:pPr>
      <w:r w:rsidRPr="00F52FCB">
        <w:t>The PPG was updated in February 20</w:t>
      </w:r>
      <w:r w:rsidR="007A0B83" w:rsidRPr="00F52FCB">
        <w:t>19</w:t>
      </w:r>
      <w:r w:rsidRPr="00F52FCB">
        <w:t xml:space="preserve"> to reflect the government’s standard methodology on </w:t>
      </w:r>
      <w:r w:rsidR="004673AE">
        <w:t>local</w:t>
      </w:r>
      <w:r w:rsidRPr="00F52FCB">
        <w:t xml:space="preserve"> housing need.</w:t>
      </w:r>
      <w:r w:rsidR="00855CA6">
        <w:t xml:space="preserve"> </w:t>
      </w:r>
      <w:r w:rsidRPr="00F52FCB">
        <w:t>The standard methodology seeks to simplify the approach to housing need and has</w:t>
      </w:r>
      <w:r w:rsidRPr="00CA47B9">
        <w:t xml:space="preserve"> three components:</w:t>
      </w:r>
    </w:p>
    <w:p w:rsidR="00F63FBB" w:rsidRPr="00CA47B9" w:rsidRDefault="00F63FBB" w:rsidP="00901C92">
      <w:pPr>
        <w:pStyle w:val="Bulletblueplain"/>
      </w:pPr>
      <w:r w:rsidRPr="00CA47B9">
        <w:t>Starting Point or Baseline;</w:t>
      </w:r>
    </w:p>
    <w:p w:rsidR="00F63FBB" w:rsidRPr="00CA47B9" w:rsidRDefault="00F63FBB" w:rsidP="00901C92">
      <w:pPr>
        <w:pStyle w:val="Bulletblueplain"/>
      </w:pPr>
      <w:r w:rsidRPr="00CA47B9">
        <w:t>Market Signals Adjustment; and</w:t>
      </w:r>
    </w:p>
    <w:p w:rsidR="00F63FBB" w:rsidRPr="00CA47B9" w:rsidRDefault="00F63FBB" w:rsidP="00901C92">
      <w:pPr>
        <w:pStyle w:val="Bulletblueplain"/>
      </w:pPr>
      <w:r w:rsidRPr="00CA47B9">
        <w:t>Cap.</w:t>
      </w:r>
    </w:p>
    <w:p w:rsidR="00F63FBB" w:rsidRPr="00CA47B9" w:rsidRDefault="00F63FBB" w:rsidP="006B2A89">
      <w:pPr>
        <w:pStyle w:val="11Bodytext"/>
        <w:tabs>
          <w:tab w:val="clear" w:pos="2212"/>
          <w:tab w:val="num" w:pos="567"/>
        </w:tabs>
        <w:ind w:left="567" w:hanging="567"/>
      </w:pPr>
      <w:r w:rsidRPr="00CA47B9">
        <w:t xml:space="preserve">The starting point </w:t>
      </w:r>
      <w:r w:rsidR="009D75B6">
        <w:t>is</w:t>
      </w:r>
      <w:r w:rsidRPr="00CA47B9">
        <w:t xml:space="preserve"> the 2014-based projections.</w:t>
      </w:r>
      <w:r w:rsidR="00F52FCB">
        <w:t xml:space="preserve"> This is despite these not being the latest projections</w:t>
      </w:r>
      <w:r w:rsidR="00FA5237">
        <w:t xml:space="preserve"> in line with national planning practice</w:t>
      </w:r>
      <w:r w:rsidR="00D223FF">
        <w:t xml:space="preserve"> </w:t>
      </w:r>
      <w:r w:rsidR="00FA5237">
        <w:t>guidance</w:t>
      </w:r>
      <w:r w:rsidR="00F52FCB">
        <w:t>.</w:t>
      </w:r>
      <w:r w:rsidRPr="00CA47B9">
        <w:t xml:space="preserve"> The proposed approach would be to take an average annual household growth from these for the period 2019 to 2029. </w:t>
      </w:r>
    </w:p>
    <w:p w:rsidR="00F63FBB" w:rsidRPr="00FA5237" w:rsidRDefault="00F63FBB" w:rsidP="006B2A89">
      <w:pPr>
        <w:pStyle w:val="11Bodytext"/>
        <w:tabs>
          <w:tab w:val="clear" w:pos="2212"/>
          <w:tab w:val="num" w:pos="567"/>
        </w:tabs>
        <w:ind w:left="567" w:hanging="567"/>
      </w:pPr>
      <w:r w:rsidRPr="00CA47B9">
        <w:t xml:space="preserve">The baseline household growth is then modified to account for market signals. Specifically, the local median price of homes relative to local workplace median earnings. </w:t>
      </w:r>
      <w:r w:rsidR="00855CA6">
        <w:t>T</w:t>
      </w:r>
      <w:r w:rsidRPr="00CA47B9">
        <w:t>o ensure that the proposed housing need is as deliverable as possible, the housing need is capped at 40% above the housing target in adopted local plans where these plans are less than 5 years old.</w:t>
      </w:r>
      <w:r w:rsidR="00F52FCB">
        <w:t xml:space="preserve"> </w:t>
      </w:r>
      <w:r w:rsidR="00547D18">
        <w:t xml:space="preserve">Chichester’s Local Plan </w:t>
      </w:r>
      <w:r w:rsidR="002E26AC">
        <w:t xml:space="preserve">was </w:t>
      </w:r>
      <w:r w:rsidR="002E26AC" w:rsidRPr="00F52FCB">
        <w:t>five</w:t>
      </w:r>
      <w:r w:rsidRPr="00F52FCB">
        <w:t xml:space="preserve"> years old</w:t>
      </w:r>
      <w:r w:rsidR="00D223FF">
        <w:t xml:space="preserve"> in July 2020</w:t>
      </w:r>
      <w:r w:rsidRPr="00FA5237">
        <w:t xml:space="preserve">. </w:t>
      </w:r>
    </w:p>
    <w:p w:rsidR="00F63FBB" w:rsidRPr="00901C92" w:rsidRDefault="00F63FBB" w:rsidP="006D30C4">
      <w:pPr>
        <w:pStyle w:val="Subheadingbold"/>
        <w:ind w:left="567" w:firstLine="0"/>
      </w:pPr>
      <w:r w:rsidRPr="00901C92">
        <w:t xml:space="preserve">Economic Development Needs </w:t>
      </w:r>
    </w:p>
    <w:p w:rsidR="00613340" w:rsidRPr="00CA47B9" w:rsidRDefault="00613340" w:rsidP="006B2A89">
      <w:pPr>
        <w:pStyle w:val="11Bodytext"/>
        <w:tabs>
          <w:tab w:val="clear" w:pos="2212"/>
          <w:tab w:val="num" w:pos="567"/>
        </w:tabs>
        <w:ind w:left="567" w:hanging="567"/>
      </w:pPr>
      <w:r w:rsidRPr="00CA47B9">
        <w:t>Chapter 6 of the NPPF</w:t>
      </w:r>
      <w:r w:rsidR="00BB7578" w:rsidRPr="00CA47B9">
        <w:t xml:space="preserve"> focuses on building a strong, competitive economy. It notes that planning policies and decisions should help create the conditions in which businesses can</w:t>
      </w:r>
      <w:r w:rsidR="00DE1B84">
        <w:t xml:space="preserve"> </w:t>
      </w:r>
      <w:r w:rsidR="00BB7578" w:rsidRPr="00CA47B9">
        <w:t>invest, expand and adapt. Planning policies should:</w:t>
      </w:r>
    </w:p>
    <w:p w:rsidR="00BB7578" w:rsidRPr="00901C92" w:rsidRDefault="00BB7578" w:rsidP="00901C92">
      <w:pPr>
        <w:pStyle w:val="Bulletblueplain"/>
      </w:pPr>
      <w:r w:rsidRPr="00901C92">
        <w:lastRenderedPageBreak/>
        <w:t xml:space="preserve">set out a clear economic vision and strategy which positively and proactively encourages sustainable economic growth, having regard to Local Industrial Strategies and other local policies for economic development and regeneration; </w:t>
      </w:r>
    </w:p>
    <w:p w:rsidR="00BB7578" w:rsidRPr="00CA47B9" w:rsidRDefault="00BB7578" w:rsidP="00901C92">
      <w:pPr>
        <w:pStyle w:val="Bulletblueplain"/>
      </w:pPr>
      <w:r w:rsidRPr="00CA47B9">
        <w:t xml:space="preserve">set criteria, or identify strategic sites, for local and inward investment to match the strategy and to meet anticipated needs over the plan period; </w:t>
      </w:r>
    </w:p>
    <w:p w:rsidR="00BB7578" w:rsidRPr="00CA47B9" w:rsidRDefault="00BB7578" w:rsidP="00901C92">
      <w:pPr>
        <w:pStyle w:val="Bulletblueplain"/>
      </w:pPr>
      <w:r w:rsidRPr="00CA47B9">
        <w:t>seek to address potential barriers to investment, such as inadequate infrastructure, services or housing, or a poor environment; and d) be flexible enough to accommodate needs not anticipated in the plan, allow for new and flexible working practices (such as live-work accommodation), and to enable a rapid response to changes in economic circumstances.</w:t>
      </w:r>
    </w:p>
    <w:p w:rsidR="00F63FBB" w:rsidRPr="00CA47B9" w:rsidRDefault="00F63FBB" w:rsidP="006D30C4">
      <w:pPr>
        <w:pStyle w:val="SubheadBlue12"/>
        <w:ind w:left="567" w:firstLine="0"/>
      </w:pPr>
      <w:r w:rsidRPr="00CA47B9">
        <w:t xml:space="preserve">Geographies </w:t>
      </w:r>
    </w:p>
    <w:p w:rsidR="00315842" w:rsidRDefault="00894498" w:rsidP="006B2A89">
      <w:pPr>
        <w:pStyle w:val="11Bodytext"/>
        <w:tabs>
          <w:tab w:val="clear" w:pos="2212"/>
          <w:tab w:val="num" w:pos="567"/>
        </w:tabs>
        <w:ind w:left="567" w:hanging="567"/>
      </w:pPr>
      <w:r w:rsidRPr="00CA47B9">
        <w:t>Throughout this report</w:t>
      </w:r>
      <w:r>
        <w:t xml:space="preserve">, we refer to </w:t>
      </w:r>
      <w:r w:rsidR="00855CA6">
        <w:t xml:space="preserve">the </w:t>
      </w:r>
      <w:r>
        <w:t>Chichester Local Plan Area or “Plan Area” and the District. The Plan Area refers to the area covered by the Local Plan which excludes</w:t>
      </w:r>
      <w:r w:rsidR="00FA5237">
        <w:t xml:space="preserve"> the</w:t>
      </w:r>
      <w:r>
        <w:t xml:space="preserve"> South Downs National Park. The District area includes the Plan Area and South Downs National Park within the district. </w:t>
      </w:r>
    </w:p>
    <w:p w:rsidR="00F63FBB" w:rsidRDefault="00CA6636" w:rsidP="006B2A89">
      <w:pPr>
        <w:pStyle w:val="11Bodytext"/>
        <w:tabs>
          <w:tab w:val="clear" w:pos="2212"/>
          <w:tab w:val="num" w:pos="567"/>
        </w:tabs>
        <w:ind w:left="567" w:hanging="567"/>
      </w:pPr>
      <w:r w:rsidRPr="00CA47B9">
        <w:t xml:space="preserve">The </w:t>
      </w:r>
      <w:r w:rsidR="00507DF8">
        <w:t xml:space="preserve">2018 HEDNA drew on the </w:t>
      </w:r>
      <w:r>
        <w:t>Housing Market Area (</w:t>
      </w:r>
      <w:r w:rsidRPr="00CA47B9">
        <w:t>HMA</w:t>
      </w:r>
      <w:r>
        <w:t>)</w:t>
      </w:r>
      <w:r w:rsidRPr="00CA47B9">
        <w:t xml:space="preserve"> and </w:t>
      </w:r>
      <w:r>
        <w:t>Functional Economic Market Area (</w:t>
      </w:r>
      <w:r w:rsidRPr="00CA47B9">
        <w:t>FEMA</w:t>
      </w:r>
      <w:r>
        <w:t>)</w:t>
      </w:r>
      <w:r w:rsidRPr="00CA47B9">
        <w:t xml:space="preserve"> </w:t>
      </w:r>
      <w:r>
        <w:t>study,</w:t>
      </w:r>
      <w:r w:rsidR="004D6362">
        <w:t xml:space="preserve"> </w:t>
      </w:r>
      <w:r w:rsidR="00F63FBB" w:rsidRPr="00CA47B9">
        <w:t>“Defining the HMA and FEMA” report undertaken for the Coastal West Sussex and Greater Brighton Partnership</w:t>
      </w:r>
      <w:r w:rsidR="00F63FBB" w:rsidRPr="00CA47B9">
        <w:rPr>
          <w:vertAlign w:val="superscript"/>
        </w:rPr>
        <w:footnoteReference w:id="2"/>
      </w:r>
      <w:r w:rsidR="00507DF8">
        <w:t>.</w:t>
      </w:r>
    </w:p>
    <w:p w:rsidR="00F63FBB" w:rsidRDefault="0011354F" w:rsidP="006B2A89">
      <w:pPr>
        <w:pStyle w:val="11Bodytext"/>
        <w:tabs>
          <w:tab w:val="clear" w:pos="2212"/>
          <w:tab w:val="num" w:pos="567"/>
        </w:tabs>
        <w:ind w:left="567" w:hanging="567"/>
      </w:pPr>
      <w:r>
        <w:t xml:space="preserve">The </w:t>
      </w:r>
      <w:r w:rsidR="00F63FBB" w:rsidRPr="00CA47B9">
        <w:t>study identified a complex picture across Chichester with four separate HMAs and FEMA’s operating across the district. Within the district</w:t>
      </w:r>
      <w:r w:rsidR="00FA5237">
        <w:t>,</w:t>
      </w:r>
      <w:r w:rsidR="00F63FBB" w:rsidRPr="00CA47B9">
        <w:t xml:space="preserve"> the boundaries of the HMA and FEMA are the same.</w:t>
      </w:r>
    </w:p>
    <w:p w:rsidR="004D6362" w:rsidRDefault="004D6362" w:rsidP="006B2A89">
      <w:pPr>
        <w:pStyle w:val="11Bodytext"/>
        <w:tabs>
          <w:tab w:val="clear" w:pos="2212"/>
          <w:tab w:val="num" w:pos="567"/>
        </w:tabs>
        <w:ind w:left="567" w:hanging="567"/>
      </w:pPr>
      <w:r>
        <w:t xml:space="preserve">In terms of the HMA, </w:t>
      </w:r>
      <w:r w:rsidR="00D86785">
        <w:t>few indicators have been updated since that time. Through discussions with local residential property agents</w:t>
      </w:r>
      <w:r w:rsidR="00855CA6">
        <w:t>,</w:t>
      </w:r>
      <w:r w:rsidR="00D86785">
        <w:t xml:space="preserve"> we have confirmed that the previous HMA remains appropriate.</w:t>
      </w:r>
    </w:p>
    <w:p w:rsidR="00C51A1B" w:rsidRPr="00C51A1B" w:rsidRDefault="00C51A1B" w:rsidP="006B2A89">
      <w:pPr>
        <w:pStyle w:val="11Bodytext"/>
        <w:tabs>
          <w:tab w:val="clear" w:pos="2212"/>
          <w:tab w:val="num" w:pos="567"/>
        </w:tabs>
        <w:ind w:left="567" w:hanging="567"/>
      </w:pPr>
      <w:r>
        <w:t xml:space="preserve">Whilst we </w:t>
      </w:r>
      <w:r w:rsidR="00D86785">
        <w:t xml:space="preserve">also </w:t>
      </w:r>
      <w:r>
        <w:t>concur that the FEMA as set out in the</w:t>
      </w:r>
      <w:r w:rsidRPr="00CA47B9">
        <w:t xml:space="preserve"> “Defining the HMA and FEMA” report</w:t>
      </w:r>
      <w:r>
        <w:t xml:space="preserve"> should not be amended, a</w:t>
      </w:r>
      <w:r w:rsidR="00216323">
        <w:t xml:space="preserve"> further consideration </w:t>
      </w:r>
      <w:r w:rsidR="00216323" w:rsidRPr="00C51A1B">
        <w:t>since that time i</w:t>
      </w:r>
      <w:r w:rsidRPr="00C51A1B">
        <w:t xml:space="preserve">s the emphasis on the </w:t>
      </w:r>
      <w:r w:rsidR="00216323" w:rsidRPr="00C51A1B">
        <w:t xml:space="preserve">strength of the economic linkages between Chichester and Portsmouth / Southampton to the west. This is particularly drawn out in the recent </w:t>
      </w:r>
      <w:r w:rsidRPr="00C51A1B">
        <w:lastRenderedPageBreak/>
        <w:t>‘</w:t>
      </w:r>
      <w:r w:rsidR="00216323" w:rsidRPr="00C51A1B">
        <w:t>Inward Investment and Growth</w:t>
      </w:r>
      <w:r w:rsidRPr="00C51A1B">
        <w:t>’</w:t>
      </w:r>
      <w:r w:rsidR="00216323" w:rsidRPr="00C51A1B">
        <w:t xml:space="preserve"> report for Chichester District Council</w:t>
      </w:r>
      <w:r w:rsidRPr="00C51A1B">
        <w:t xml:space="preserve"> (2019)</w:t>
      </w:r>
      <w:r w:rsidR="00216323" w:rsidRPr="00C51A1B">
        <w:t xml:space="preserve">. The report notes </w:t>
      </w:r>
      <w:r w:rsidRPr="00C51A1B">
        <w:t>in summary:</w:t>
      </w:r>
    </w:p>
    <w:p w:rsidR="00C51A1B" w:rsidRPr="00901C92" w:rsidRDefault="002E26AC" w:rsidP="00901C92">
      <w:pPr>
        <w:pStyle w:val="Bulletblackplain"/>
      </w:pPr>
      <w:r w:rsidRPr="00901C92">
        <w:t>It</w:t>
      </w:r>
      <w:r w:rsidR="00216323" w:rsidRPr="00901C92">
        <w:t xml:space="preserve"> seems logical for the District to look towards Havant, Portsmouth and Southampton</w:t>
      </w:r>
      <w:r w:rsidR="0011354F" w:rsidRPr="00901C92">
        <w:t>,</w:t>
      </w:r>
      <w:r w:rsidR="00216323" w:rsidRPr="00901C92">
        <w:t xml:space="preserve"> where the links appear to be stronger than to the east.</w:t>
      </w:r>
    </w:p>
    <w:p w:rsidR="00C51A1B" w:rsidRPr="00D86785" w:rsidRDefault="002E4306" w:rsidP="00901C92">
      <w:pPr>
        <w:pStyle w:val="Bulletblackplain"/>
      </w:pPr>
      <w:r>
        <w:t>T</w:t>
      </w:r>
      <w:r w:rsidR="00216323" w:rsidRPr="004D6362">
        <w:t xml:space="preserve">here is likely to be merit in thinking about how to attract and grow a wider range of </w:t>
      </w:r>
      <w:r w:rsidR="00855CA6" w:rsidRPr="004D6362">
        <w:t>high</w:t>
      </w:r>
      <w:r w:rsidR="00855CA6">
        <w:t>-</w:t>
      </w:r>
      <w:r w:rsidR="00216323" w:rsidRPr="004D6362">
        <w:t xml:space="preserve">end businesses and consultancies that may be linked to the marine or </w:t>
      </w:r>
      <w:r w:rsidR="00855CA6" w:rsidRPr="004D6362">
        <w:t>land</w:t>
      </w:r>
      <w:r w:rsidR="00855CA6">
        <w:t>-</w:t>
      </w:r>
      <w:r w:rsidR="00216323" w:rsidRPr="004D6362">
        <w:t>based sectors, particularly given the strong marine sector in neighbouring Portsmouth</w:t>
      </w:r>
    </w:p>
    <w:p w:rsidR="00216323" w:rsidRPr="00D86785" w:rsidRDefault="00216323" w:rsidP="00901C92">
      <w:pPr>
        <w:pStyle w:val="Bulletblackplain"/>
      </w:pPr>
      <w:r w:rsidRPr="00D86785">
        <w:t>Southampton port is the UK’s number one export por</w:t>
      </w:r>
      <w:r w:rsidR="00C51A1B" w:rsidRPr="00D86785">
        <w:t xml:space="preserve">t and </w:t>
      </w:r>
      <w:r w:rsidRPr="00D86785">
        <w:t>also welcomes two million cruise passengers to the UK annually</w:t>
      </w:r>
      <w:r w:rsidR="00C51A1B" w:rsidRPr="00D86785">
        <w:t xml:space="preserve">; and </w:t>
      </w:r>
      <w:r w:rsidRPr="00D86785">
        <w:t>Portsmouth is the UK’s second busiest cross-channel ferry port, transporting fruit and vegetables</w:t>
      </w:r>
      <w:r w:rsidR="00C51A1B" w:rsidRPr="00D86785">
        <w:t xml:space="preserve"> etc. </w:t>
      </w:r>
      <w:r w:rsidRPr="00D86785">
        <w:t>emphasising its importance to businesses in the Chichester District.</w:t>
      </w:r>
    </w:p>
    <w:p w:rsidR="00F63FBB" w:rsidRPr="00D86785" w:rsidRDefault="00F63FBB" w:rsidP="006B2A89">
      <w:pPr>
        <w:pStyle w:val="11Bodytext"/>
        <w:tabs>
          <w:tab w:val="clear" w:pos="2212"/>
          <w:tab w:val="num" w:pos="567"/>
        </w:tabs>
        <w:ind w:left="567" w:hanging="567"/>
      </w:pPr>
      <w:r w:rsidRPr="00C51A1B">
        <w:t>The identified HMA boundaries are shown in Figure 1.</w:t>
      </w:r>
      <w:bookmarkStart w:id="8" w:name="_Toc475370873"/>
      <w:r w:rsidR="00315842">
        <w:t xml:space="preserve"> </w:t>
      </w:r>
    </w:p>
    <w:p w:rsidR="00F63FBB" w:rsidRPr="00C342B8" w:rsidRDefault="00F63FBB" w:rsidP="004E174F">
      <w:pPr>
        <w:pStyle w:val="FigureHeading"/>
        <w:tabs>
          <w:tab w:val="clear" w:pos="794"/>
          <w:tab w:val="clear" w:pos="1843"/>
          <w:tab w:val="left" w:pos="284"/>
        </w:tabs>
      </w:pPr>
      <w:r w:rsidRPr="00C342B8">
        <w:t>HMA and FEMA boundaries</w:t>
      </w:r>
      <w:bookmarkEnd w:id="8"/>
    </w:p>
    <w:p w:rsidR="00B84C1B" w:rsidRPr="00B84C1B" w:rsidRDefault="00B84C1B" w:rsidP="00412D8E">
      <w:pPr>
        <w:keepNext/>
        <w:ind w:firstLine="794"/>
      </w:pPr>
      <w:r>
        <w:rPr>
          <w:noProof/>
          <w:lang w:eastAsia="en-GB"/>
        </w:rPr>
        <w:drawing>
          <wp:inline distT="0" distB="0" distL="0" distR="0" wp14:anchorId="17A911E8" wp14:editId="4C20B970">
            <wp:extent cx="3922575" cy="4810125"/>
            <wp:effectExtent l="19050" t="19050" r="20955" b="9525"/>
            <wp:docPr id="2" name="Picture 2" descr="Map showing the boundaries of various defined sub areas in Chichester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t="6905" b="6432"/>
                    <a:stretch/>
                  </pic:blipFill>
                  <pic:spPr bwMode="auto">
                    <a:xfrm>
                      <a:off x="0" y="0"/>
                      <a:ext cx="3926394" cy="481480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F63FBB" w:rsidRPr="00901C92" w:rsidRDefault="00F63FBB" w:rsidP="00F63FBB">
      <w:pPr>
        <w:pStyle w:val="11Body"/>
        <w:numPr>
          <w:ilvl w:val="0"/>
          <w:numId w:val="0"/>
        </w:numPr>
        <w:spacing w:before="0" w:after="120" w:line="360" w:lineRule="auto"/>
        <w:ind w:left="794"/>
        <w:rPr>
          <w:rFonts w:asciiTheme="minorHAnsi" w:hAnsiTheme="minorHAnsi" w:cstheme="minorHAnsi"/>
          <w:sz w:val="24"/>
          <w:szCs w:val="24"/>
          <w:lang w:val="en-GB"/>
        </w:rPr>
      </w:pPr>
      <w:bookmarkStart w:id="9" w:name="_Toc473193404"/>
      <w:bookmarkStart w:id="10" w:name="_Toc473650243"/>
      <w:r w:rsidRPr="00901C92">
        <w:rPr>
          <w:rFonts w:asciiTheme="minorHAnsi" w:hAnsiTheme="minorHAnsi" w:cstheme="minorHAnsi"/>
          <w:sz w:val="24"/>
          <w:szCs w:val="24"/>
          <w:lang w:val="en-GB"/>
        </w:rPr>
        <w:t>Source: GL Hearn using 2011 Census</w:t>
      </w:r>
      <w:bookmarkEnd w:id="9"/>
      <w:bookmarkEnd w:id="10"/>
    </w:p>
    <w:p w:rsidR="00F63FBB" w:rsidRPr="00CA47B9" w:rsidRDefault="00F63FBB" w:rsidP="006B2A89">
      <w:pPr>
        <w:pStyle w:val="11Bodytext"/>
        <w:tabs>
          <w:tab w:val="clear" w:pos="2212"/>
          <w:tab w:val="num" w:pos="567"/>
        </w:tabs>
        <w:ind w:left="567" w:hanging="567"/>
      </w:pPr>
      <w:r w:rsidRPr="00CA47B9">
        <w:lastRenderedPageBreak/>
        <w:t>There remains a duty to cooperate with all neighbouring authorities,</w:t>
      </w:r>
      <w:r w:rsidR="00FA5237">
        <w:t xml:space="preserve"> including the South Downs Nationa</w:t>
      </w:r>
      <w:r w:rsidR="00B116C3">
        <w:t xml:space="preserve">l Park Authority, </w:t>
      </w:r>
      <w:r w:rsidR="00882381">
        <w:t>part of which falls within</w:t>
      </w:r>
      <w:r w:rsidR="00855CA6">
        <w:t xml:space="preserve"> </w:t>
      </w:r>
      <w:r w:rsidR="00FA5237">
        <w:t>the District.</w:t>
      </w:r>
      <w:r w:rsidRPr="00CA47B9">
        <w:t xml:space="preserve"> </w:t>
      </w:r>
      <w:r w:rsidR="00FA5237">
        <w:t>H</w:t>
      </w:r>
      <w:r w:rsidRPr="00CA47B9">
        <w:t>owever</w:t>
      </w:r>
      <w:r w:rsidR="00855CA6">
        <w:t>,</w:t>
      </w:r>
      <w:r w:rsidRPr="00CA47B9">
        <w:t xml:space="preserve"> in terms of meeting housing needs, the focus of these discussions will be with the local authorities w</w:t>
      </w:r>
      <w:r w:rsidR="00855CA6">
        <w:t>h</w:t>
      </w:r>
      <w:r w:rsidRPr="00CA47B9">
        <w:t>ere there is overlap in Housing Market Areas and in particular Arun</w:t>
      </w:r>
      <w:r w:rsidR="00315842">
        <w:t xml:space="preserve"> as demonstrated by the extent of the Chichester and Bognor Regis HMA</w:t>
      </w:r>
      <w:r w:rsidRPr="00CA47B9">
        <w:t xml:space="preserve">. </w:t>
      </w:r>
    </w:p>
    <w:p w:rsidR="00F63FBB" w:rsidRPr="00CA47B9" w:rsidRDefault="00F63FBB" w:rsidP="006B2A89">
      <w:pPr>
        <w:pStyle w:val="11Bodytext"/>
        <w:tabs>
          <w:tab w:val="clear" w:pos="2212"/>
          <w:tab w:val="num" w:pos="567"/>
        </w:tabs>
        <w:ind w:left="567" w:hanging="567"/>
      </w:pPr>
      <w:r w:rsidRPr="00CA47B9">
        <w:t>Figure 2 illustrates the defined sub-areas which are based on parish boundaries. Since the official South Downs National Park boundary does not follow exact parish or ward boundaries, the SDNP sub-area as defined for this study is based on a best fit of parish boundaries.</w:t>
      </w:r>
      <w:r w:rsidR="00315842">
        <w:t xml:space="preserve"> To distinguish between the Chichester sub-area and the Chichester District the former is referred to as Chichester City.</w:t>
      </w:r>
    </w:p>
    <w:p w:rsidR="00F63FBB" w:rsidRPr="00CA47B9" w:rsidRDefault="00F63FBB" w:rsidP="00C342B8">
      <w:pPr>
        <w:pStyle w:val="FigureHeading"/>
      </w:pPr>
      <w:r w:rsidRPr="00CA47B9">
        <w:t>Chichester Sub-Areas Boundaries</w:t>
      </w:r>
    </w:p>
    <w:p w:rsidR="00F63FBB" w:rsidRPr="00CA47B9" w:rsidRDefault="00F63FBB" w:rsidP="00F63FBB">
      <w:pPr>
        <w:pStyle w:val="Bodytextwithindent"/>
        <w:spacing w:before="0" w:after="0" w:line="240" w:lineRule="auto"/>
        <w:rPr>
          <w:rFonts w:asciiTheme="minorHAnsi" w:hAnsiTheme="minorHAnsi" w:cstheme="minorHAnsi"/>
        </w:rPr>
      </w:pPr>
      <w:r w:rsidRPr="00CA47B9">
        <w:rPr>
          <w:rFonts w:asciiTheme="minorHAnsi" w:hAnsiTheme="minorHAnsi" w:cstheme="minorHAnsi"/>
          <w:noProof/>
          <w:lang w:eastAsia="en-GB"/>
        </w:rPr>
        <w:drawing>
          <wp:inline distT="0" distB="0" distL="0" distR="0" wp14:anchorId="1E76D475" wp14:editId="4FC14D04">
            <wp:extent cx="3817980" cy="5153025"/>
            <wp:effectExtent l="19050" t="19050" r="11430" b="9525"/>
            <wp:docPr id="119" name="Picture 119" descr="Map showing the boundaries of defined sub-areas across Chiche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 Areas in Chichester.jpeg"/>
                    <pic:cNvPicPr/>
                  </pic:nvPicPr>
                  <pic:blipFill rotWithShape="1">
                    <a:blip r:embed="rId17">
                      <a:extLst>
                        <a:ext uri="{28A0092B-C50C-407E-A947-70E740481C1C}">
                          <a14:useLocalDpi xmlns:a14="http://schemas.microsoft.com/office/drawing/2010/main" val="0"/>
                        </a:ext>
                      </a:extLst>
                    </a:blip>
                    <a:srcRect b="4554"/>
                    <a:stretch/>
                  </pic:blipFill>
                  <pic:spPr bwMode="auto">
                    <a:xfrm>
                      <a:off x="0" y="0"/>
                      <a:ext cx="3822769" cy="515948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63FBB" w:rsidRPr="00E17A75" w:rsidRDefault="00F63FBB" w:rsidP="00F63FBB">
      <w:pPr>
        <w:pStyle w:val="11Body"/>
        <w:numPr>
          <w:ilvl w:val="0"/>
          <w:numId w:val="0"/>
        </w:numPr>
        <w:spacing w:before="0" w:after="120" w:line="360" w:lineRule="auto"/>
        <w:ind w:left="794"/>
        <w:rPr>
          <w:rFonts w:asciiTheme="minorHAnsi" w:hAnsiTheme="minorHAnsi" w:cstheme="minorHAnsi"/>
          <w:sz w:val="24"/>
          <w:szCs w:val="24"/>
          <w:lang w:val="en-GB"/>
        </w:rPr>
      </w:pPr>
      <w:r w:rsidRPr="00E17A75">
        <w:rPr>
          <w:rFonts w:asciiTheme="minorHAnsi" w:hAnsiTheme="minorHAnsi" w:cstheme="minorHAnsi"/>
          <w:sz w:val="24"/>
          <w:szCs w:val="24"/>
          <w:lang w:val="en-GB"/>
        </w:rPr>
        <w:t>Source: GL Hearn using 2011 Census</w:t>
      </w:r>
    </w:p>
    <w:p w:rsidR="001B3C8D" w:rsidRDefault="001B3C8D" w:rsidP="006D30C4">
      <w:pPr>
        <w:pStyle w:val="SubheadBlue12"/>
        <w:ind w:left="567" w:firstLine="0"/>
      </w:pPr>
      <w:r>
        <w:lastRenderedPageBreak/>
        <w:t>Covid-19</w:t>
      </w:r>
    </w:p>
    <w:p w:rsidR="001B3C8D" w:rsidRDefault="001B3C8D" w:rsidP="006B2A89">
      <w:pPr>
        <w:pStyle w:val="11Bodytext"/>
        <w:tabs>
          <w:tab w:val="clear" w:pos="2212"/>
          <w:tab w:val="num" w:pos="567"/>
        </w:tabs>
        <w:ind w:left="567" w:hanging="567"/>
      </w:pPr>
      <w:r>
        <w:t xml:space="preserve">The data accessed and used in this report all pre-date the Covid-19 </w:t>
      </w:r>
      <w:r w:rsidR="0016760B">
        <w:t>pandemic</w:t>
      </w:r>
      <w:r>
        <w:t>. Whilst it is currently too early to know what the full impact of Covid-19 will be on the housing</w:t>
      </w:r>
      <w:r w:rsidR="0016760B">
        <w:t xml:space="preserve"> and employment</w:t>
      </w:r>
      <w:r>
        <w:t xml:space="preserve"> market, it will be important for outcomes to be monitored and consideration given to any short- or long-term consequences. Below is a very brief initial discussion of some aspects that will need to be monitored:</w:t>
      </w:r>
    </w:p>
    <w:p w:rsidR="001B3C8D" w:rsidRDefault="001B3C8D" w:rsidP="00901C92">
      <w:pPr>
        <w:pStyle w:val="Bulletblueplain"/>
        <w:rPr>
          <w:szCs w:val="20"/>
        </w:rPr>
      </w:pPr>
      <w:r>
        <w:t>Affordable housing – potentially the most immediate impact will be, as a result of higher levels of unemployment a greater affordable housing need. Given that the Council has a finite amount of (social housing) stock this could put pressure on the private rented sector as well as various service providers.</w:t>
      </w:r>
      <w:r w:rsidR="00855CA6">
        <w:t xml:space="preserve"> </w:t>
      </w:r>
      <w:r>
        <w:t>The immediate response from banks has been to offer those affected mortgage holidays.</w:t>
      </w:r>
      <w:r w:rsidR="00855CA6">
        <w:t xml:space="preserve"> </w:t>
      </w:r>
      <w:r>
        <w:t>This has postponed the immediate increase in demand for affordable housing and PRS although it is unlikely to be offered indefinitely.</w:t>
      </w:r>
      <w:r w:rsidR="00855CA6">
        <w:t xml:space="preserve"> </w:t>
      </w:r>
    </w:p>
    <w:p w:rsidR="001B3C8D" w:rsidRDefault="001B3C8D" w:rsidP="00901C92">
      <w:pPr>
        <w:pStyle w:val="Bulletblueplain"/>
      </w:pPr>
      <w:r>
        <w:t>Housing market – it is likely that a greater focus will be on house prices and sales volumes with some analysts predicting a notable short-term fall in prices and transactions. Whilst this would arguably make housing more affordable, it does look like lenders are changing their lending criteria (requiring higher deposits) which is likely to make it more difficult for new households to access the market. This potentially will put pressure on the need for private rented accommodation. The government has responded to this by offering cuts to stamp duty on homes until March 2021.</w:t>
      </w:r>
    </w:p>
    <w:p w:rsidR="001B3C8D" w:rsidRDefault="001B3C8D" w:rsidP="00901C92">
      <w:pPr>
        <w:pStyle w:val="Bulletblueplain"/>
      </w:pPr>
      <w:r>
        <w:t>Older People – whilst the number of excess deaths due to Covid-19 is relatively high in England, it still represents only a fraction of the number of deaths that might have been anticipated. However, given the groups impacted there may be a short-term shift on the population profile and hence the need for housing (particularly housing for older people). On the flip side, given high numbers of deaths in care homes, it may be (in the longer-term) that there is a change in models of care; in particular away from a traditional residential care home setting. Although the forced isolation of older people outside of this context has somewhat perversely seen a growth in demand for specialist older persons accommodation</w:t>
      </w:r>
    </w:p>
    <w:p w:rsidR="001B3C8D" w:rsidRDefault="001B3C8D" w:rsidP="00901C92">
      <w:pPr>
        <w:pStyle w:val="Bulletblueplain"/>
      </w:pPr>
      <w:r>
        <w:t>Commuting and Migration – There may well be a longer</w:t>
      </w:r>
      <w:r w:rsidR="00855CA6">
        <w:t>-</w:t>
      </w:r>
      <w:r>
        <w:t>term shift to increased working from home.</w:t>
      </w:r>
      <w:r w:rsidR="00855CA6">
        <w:t xml:space="preserve"> </w:t>
      </w:r>
      <w:r>
        <w:t>This may well see people having less of a need to be close to their traditional place of work.</w:t>
      </w:r>
      <w:r w:rsidR="00855CA6">
        <w:t xml:space="preserve"> </w:t>
      </w:r>
      <w:r>
        <w:t>This may potentially have a longer</w:t>
      </w:r>
      <w:r w:rsidR="00855CA6">
        <w:t>-</w:t>
      </w:r>
      <w:r>
        <w:t>term impact on migration patterns as people move away from major employment hubs i.e. cities towards more rural locations.</w:t>
      </w:r>
    </w:p>
    <w:p w:rsidR="001B3C8D" w:rsidRDefault="001B3C8D" w:rsidP="00901C92">
      <w:pPr>
        <w:pStyle w:val="Bulletblueplain"/>
      </w:pPr>
      <w:r>
        <w:t xml:space="preserve">Economic growth – There </w:t>
      </w:r>
      <w:r w:rsidR="0016760B">
        <w:t xml:space="preserve">will </w:t>
      </w:r>
      <w:r>
        <w:t>be short, medium and longer</w:t>
      </w:r>
      <w:r w:rsidR="00855CA6">
        <w:t>-</w:t>
      </w:r>
      <w:r>
        <w:t xml:space="preserve">term impacts on the economy which will </w:t>
      </w:r>
      <w:r w:rsidR="00855CA6">
        <w:t>a</w:t>
      </w:r>
      <w:r>
        <w:t>ffect the demand for floorspace as well as the type and location of floorspace being delivered.</w:t>
      </w:r>
      <w:r w:rsidR="00855CA6">
        <w:t xml:space="preserve"> </w:t>
      </w:r>
      <w:r w:rsidR="0016760B">
        <w:t xml:space="preserve">For example, demand for domestically grown food may increase to reduce reliance on international supply chains, whilst office demand may fall reflecting increased home working capability. </w:t>
      </w:r>
      <w:r>
        <w:t>This should be monitored closely.</w:t>
      </w:r>
      <w:r w:rsidR="00855CA6">
        <w:t xml:space="preserve"> </w:t>
      </w:r>
    </w:p>
    <w:p w:rsidR="001B3C8D" w:rsidRDefault="001B3C8D" w:rsidP="006B2A89">
      <w:pPr>
        <w:pStyle w:val="11Bodytext"/>
        <w:tabs>
          <w:tab w:val="clear" w:pos="2212"/>
          <w:tab w:val="num" w:pos="567"/>
        </w:tabs>
        <w:ind w:left="567" w:hanging="567"/>
      </w:pPr>
      <w:r>
        <w:lastRenderedPageBreak/>
        <w:t xml:space="preserve">These are just a small number of topics that might be impacted by Covid-19 and as noted it will be important to monitor the situation moving forward. That said, this report does project needs many years into the future and it may be that Covid will only create minor or short-term impacts. </w:t>
      </w:r>
    </w:p>
    <w:p w:rsidR="001B3C8D" w:rsidRPr="001B3C8D" w:rsidRDefault="001B3C8D" w:rsidP="006B2A89">
      <w:pPr>
        <w:pStyle w:val="11Bodytext"/>
        <w:tabs>
          <w:tab w:val="clear" w:pos="2212"/>
          <w:tab w:val="num" w:pos="567"/>
        </w:tabs>
        <w:ind w:left="567" w:hanging="567"/>
      </w:pPr>
      <w:r w:rsidRPr="001B3C8D">
        <w:t xml:space="preserve">There is also a level of uncertainty around Brexit and this will mostly impact the economic elements. </w:t>
      </w:r>
      <w:r w:rsidR="0016760B">
        <w:t>T</w:t>
      </w:r>
      <w:r w:rsidRPr="001B3C8D">
        <w:t>he full impact will ultimately be dependent on the final deal reach</w:t>
      </w:r>
      <w:r w:rsidR="00855CA6">
        <w:t>ed</w:t>
      </w:r>
      <w:r w:rsidRPr="001B3C8D">
        <w:t xml:space="preserve"> </w:t>
      </w:r>
      <w:r w:rsidR="0016760B">
        <w:t xml:space="preserve">- </w:t>
      </w:r>
      <w:r w:rsidRPr="001B3C8D">
        <w:t xml:space="preserve">if </w:t>
      </w:r>
      <w:r w:rsidR="00855CA6">
        <w:t xml:space="preserve">a deal is reached </w:t>
      </w:r>
      <w:r w:rsidRPr="001B3C8D">
        <w:t>a</w:t>
      </w:r>
      <w:r w:rsidR="002329E7">
        <w:t>t all</w:t>
      </w:r>
      <w:r w:rsidR="00855CA6">
        <w:t>.</w:t>
      </w:r>
      <w:r w:rsidR="0016760B">
        <w:t xml:space="preserve"> Weaker international trading outlook may reduce exports but increase domestic consumption increasing demand for example on horticulture.</w:t>
      </w:r>
    </w:p>
    <w:p w:rsidR="002329E7" w:rsidRPr="003D1D66" w:rsidRDefault="002329E7" w:rsidP="006D30C4">
      <w:pPr>
        <w:pStyle w:val="SubheadBlue12"/>
        <w:ind w:left="567" w:firstLine="0"/>
      </w:pPr>
      <w:r w:rsidRPr="003D1D66">
        <w:t xml:space="preserve">Report Structure </w:t>
      </w:r>
    </w:p>
    <w:p w:rsidR="002329E7" w:rsidRPr="00CD7A48" w:rsidRDefault="002329E7" w:rsidP="006B2A89">
      <w:pPr>
        <w:pStyle w:val="11Bodytext"/>
        <w:tabs>
          <w:tab w:val="clear" w:pos="2212"/>
          <w:tab w:val="num" w:pos="567"/>
        </w:tabs>
        <w:ind w:left="567" w:hanging="567"/>
      </w:pPr>
      <w:r w:rsidRPr="00C8442A">
        <w:t>The remainder of the report</w:t>
      </w:r>
      <w:r w:rsidRPr="00CD7A48">
        <w:t xml:space="preserve"> </w:t>
      </w:r>
      <w:r>
        <w:t xml:space="preserve">provides more detail on the above and </w:t>
      </w:r>
      <w:r w:rsidRPr="00CD7A48">
        <w:t xml:space="preserve">is structured as follows: </w:t>
      </w:r>
    </w:p>
    <w:p w:rsidR="002329E7" w:rsidRPr="000301F5" w:rsidRDefault="002329E7" w:rsidP="00901C92">
      <w:pPr>
        <w:pStyle w:val="Bulletblueplain"/>
      </w:pPr>
      <w:r w:rsidRPr="000301F5">
        <w:t>Section 2</w:t>
      </w:r>
      <w:r w:rsidRPr="000301F5">
        <w:tab/>
        <w:t>Housing market dynamics;</w:t>
      </w:r>
    </w:p>
    <w:p w:rsidR="002329E7" w:rsidRPr="000301F5" w:rsidRDefault="002329E7" w:rsidP="00901C92">
      <w:pPr>
        <w:pStyle w:val="Bulletblueplain"/>
      </w:pPr>
      <w:r w:rsidRPr="000301F5">
        <w:t>Section 3</w:t>
      </w:r>
      <w:r w:rsidRPr="000301F5">
        <w:tab/>
        <w:t>Demographic profile and housing need;</w:t>
      </w:r>
    </w:p>
    <w:p w:rsidR="002329E7" w:rsidRPr="000301F5" w:rsidRDefault="002329E7" w:rsidP="00901C92">
      <w:pPr>
        <w:pStyle w:val="Bulletblueplain"/>
      </w:pPr>
      <w:r w:rsidRPr="000301F5">
        <w:t>Section 4</w:t>
      </w:r>
      <w:r w:rsidRPr="000301F5">
        <w:tab/>
        <w:t>The economy and labour market;</w:t>
      </w:r>
    </w:p>
    <w:p w:rsidR="002329E7" w:rsidRDefault="002329E7" w:rsidP="00901C92">
      <w:pPr>
        <w:pStyle w:val="Bulletblueplain"/>
      </w:pPr>
      <w:r w:rsidRPr="000301F5">
        <w:t>Section 5</w:t>
      </w:r>
      <w:r w:rsidRPr="000301F5">
        <w:tab/>
        <w:t>Employment forecasts;</w:t>
      </w:r>
    </w:p>
    <w:p w:rsidR="003B5EB8" w:rsidRPr="000301F5" w:rsidRDefault="003B5EB8" w:rsidP="00901C92">
      <w:pPr>
        <w:pStyle w:val="Bulletblueplain"/>
      </w:pPr>
      <w:r>
        <w:t>Section 6: Economic Need Led by Housing Growth</w:t>
      </w:r>
    </w:p>
    <w:p w:rsidR="002329E7" w:rsidRPr="000301F5" w:rsidRDefault="002329E7" w:rsidP="00901C92">
      <w:pPr>
        <w:pStyle w:val="Bulletblueplain"/>
      </w:pPr>
      <w:r w:rsidRPr="000301F5">
        <w:t xml:space="preserve">Section </w:t>
      </w:r>
      <w:r w:rsidR="003B5EB8">
        <w:t>7</w:t>
      </w:r>
      <w:r w:rsidRPr="000301F5">
        <w:tab/>
        <w:t>Affordable housing need;</w:t>
      </w:r>
    </w:p>
    <w:p w:rsidR="002329E7" w:rsidRPr="000301F5" w:rsidRDefault="002329E7" w:rsidP="00901C92">
      <w:pPr>
        <w:pStyle w:val="Bulletblueplain"/>
      </w:pPr>
      <w:r w:rsidRPr="000301F5">
        <w:t xml:space="preserve">Section </w:t>
      </w:r>
      <w:r w:rsidR="003B5EB8">
        <w:t>8</w:t>
      </w:r>
      <w:r w:rsidRPr="000301F5">
        <w:t xml:space="preserve"> </w:t>
      </w:r>
      <w:r w:rsidRPr="000301F5">
        <w:tab/>
        <w:t>Different sizes of homes;</w:t>
      </w:r>
    </w:p>
    <w:p w:rsidR="002329E7" w:rsidRPr="000301F5" w:rsidRDefault="002329E7" w:rsidP="00901C92">
      <w:pPr>
        <w:pStyle w:val="Bulletblueplain"/>
      </w:pPr>
      <w:r w:rsidRPr="000301F5">
        <w:t xml:space="preserve">Section </w:t>
      </w:r>
      <w:r w:rsidR="003B5EB8">
        <w:t>9</w:t>
      </w:r>
      <w:r w:rsidRPr="000301F5">
        <w:tab/>
        <w:t xml:space="preserve">The need for the elderly and other specific groups; </w:t>
      </w:r>
    </w:p>
    <w:p w:rsidR="002329E7" w:rsidRPr="000301F5" w:rsidRDefault="002329E7" w:rsidP="00901C92">
      <w:pPr>
        <w:pStyle w:val="Bulletblueplain"/>
      </w:pPr>
      <w:r w:rsidRPr="000301F5">
        <w:t xml:space="preserve">Section </w:t>
      </w:r>
      <w:r w:rsidR="003B5EB8">
        <w:t>10</w:t>
      </w:r>
      <w:r w:rsidRPr="000301F5">
        <w:tab/>
        <w:t>Commercial property market;</w:t>
      </w:r>
    </w:p>
    <w:p w:rsidR="002329E7" w:rsidRPr="000301F5" w:rsidRDefault="002329E7" w:rsidP="00901C92">
      <w:pPr>
        <w:pStyle w:val="Bulletblueplain"/>
      </w:pPr>
      <w:r w:rsidRPr="000301F5">
        <w:t xml:space="preserve">Section </w:t>
      </w:r>
      <w:r w:rsidR="003B5EB8">
        <w:t>11</w:t>
      </w:r>
      <w:r w:rsidRPr="000301F5">
        <w:tab/>
        <w:t>Employment land requirements; and</w:t>
      </w:r>
    </w:p>
    <w:p w:rsidR="002329E7" w:rsidRPr="002329E7" w:rsidRDefault="002329E7" w:rsidP="00901C92">
      <w:pPr>
        <w:pStyle w:val="Bulletblueplain"/>
      </w:pPr>
      <w:r w:rsidRPr="002329E7">
        <w:t>Section 1</w:t>
      </w:r>
      <w:r w:rsidR="003B5EB8">
        <w:t>2</w:t>
      </w:r>
      <w:r w:rsidRPr="002329E7">
        <w:tab/>
        <w:t>Conclusion</w:t>
      </w:r>
    </w:p>
    <w:p w:rsidR="00C37DA5" w:rsidRPr="00CA47B9" w:rsidRDefault="00C37DA5" w:rsidP="003C7491">
      <w:pPr>
        <w:pStyle w:val="1Bodytext"/>
        <w:pageBreakBefore/>
        <w:tabs>
          <w:tab w:val="clear" w:pos="794"/>
          <w:tab w:val="num" w:pos="567"/>
        </w:tabs>
        <w:spacing w:after="120" w:line="360" w:lineRule="auto"/>
        <w:rPr>
          <w:rFonts w:asciiTheme="minorHAnsi" w:hAnsiTheme="minorHAnsi" w:cstheme="minorHAnsi"/>
        </w:rPr>
      </w:pPr>
      <w:bookmarkStart w:id="11" w:name="_Toc51600009"/>
      <w:bookmarkStart w:id="12" w:name="_Toc472344858"/>
      <w:bookmarkStart w:id="13" w:name="_Toc485718377"/>
      <w:bookmarkStart w:id="14" w:name="_Toc378603468"/>
      <w:bookmarkStart w:id="15" w:name="_Toc390430403"/>
      <w:bookmarkStart w:id="16" w:name="_Toc416352384"/>
      <w:bookmarkStart w:id="17" w:name="_Toc415154684"/>
      <w:r w:rsidRPr="00CA47B9">
        <w:rPr>
          <w:rFonts w:asciiTheme="minorHAnsi" w:hAnsiTheme="minorHAnsi" w:cstheme="minorHAnsi"/>
        </w:rPr>
        <w:lastRenderedPageBreak/>
        <w:t>HOUSING MARKET DYNAMICS</w:t>
      </w:r>
      <w:bookmarkEnd w:id="11"/>
      <w:r w:rsidRPr="00CA47B9">
        <w:rPr>
          <w:rFonts w:asciiTheme="minorHAnsi" w:hAnsiTheme="minorHAnsi" w:cstheme="minorHAnsi"/>
        </w:rPr>
        <w:t xml:space="preserve"> </w:t>
      </w:r>
    </w:p>
    <w:p w:rsidR="00C37DA5" w:rsidRPr="00CA47B9" w:rsidRDefault="00C37DA5" w:rsidP="006B2A89">
      <w:pPr>
        <w:pStyle w:val="11Bodytext"/>
        <w:tabs>
          <w:tab w:val="clear" w:pos="2212"/>
          <w:tab w:val="num" w:pos="567"/>
        </w:tabs>
        <w:ind w:left="567" w:hanging="567"/>
      </w:pPr>
      <w:bookmarkStart w:id="18" w:name="_Hlk27760354"/>
      <w:r w:rsidRPr="00CA47B9">
        <w:t xml:space="preserve">This section of the report provides an overview of key market signals in the District. The analysis uses publicly available datasets along with consultation with local estate and letting agents. </w:t>
      </w:r>
    </w:p>
    <w:p w:rsidR="00C37DA5" w:rsidRPr="00CA47B9" w:rsidRDefault="00C37DA5" w:rsidP="00BD6C75">
      <w:pPr>
        <w:pStyle w:val="SubheadBlue12"/>
        <w:ind w:left="567" w:firstLine="0"/>
      </w:pPr>
      <w:r w:rsidRPr="00CA47B9">
        <w:t>Land Values</w:t>
      </w:r>
    </w:p>
    <w:p w:rsidR="00C37DA5" w:rsidRPr="00CA47B9" w:rsidRDefault="00C37DA5" w:rsidP="006B2A89">
      <w:pPr>
        <w:pStyle w:val="11Bodytext"/>
        <w:tabs>
          <w:tab w:val="clear" w:pos="2212"/>
          <w:tab w:val="num" w:pos="567"/>
        </w:tabs>
        <w:ind w:left="567" w:hanging="567"/>
      </w:pPr>
      <w:r w:rsidRPr="00CA47B9">
        <w:t xml:space="preserve">The </w:t>
      </w:r>
      <w:r w:rsidR="00152484">
        <w:t xml:space="preserve">Ministry of Housing, Communities and Local Government (MHCLG) </w:t>
      </w:r>
      <w:r w:rsidRPr="00CA47B9">
        <w:t xml:space="preserve">published a report on residential land value estimates in </w:t>
      </w:r>
      <w:r w:rsidR="005F7E4B">
        <w:t>May 2018</w:t>
      </w:r>
      <w:r w:rsidRPr="00CA47B9">
        <w:t xml:space="preserve">, this is the latest release. As it can be seen from Table </w:t>
      </w:r>
      <w:r w:rsidR="00152484">
        <w:t>1</w:t>
      </w:r>
      <w:r w:rsidRPr="00CA47B9">
        <w:t xml:space="preserve">, the residential land values in Chichester District are estimated at £4,955,000 per hectare, which is higher than the regional figure and the national (excluding London) values. </w:t>
      </w:r>
    </w:p>
    <w:p w:rsidR="00C37DA5" w:rsidRPr="00CA47B9" w:rsidRDefault="00C37DA5" w:rsidP="003C7491">
      <w:pPr>
        <w:pStyle w:val="Tableheading"/>
        <w:tabs>
          <w:tab w:val="clear" w:pos="794"/>
          <w:tab w:val="clear" w:pos="1843"/>
          <w:tab w:val="left" w:pos="0"/>
        </w:tabs>
        <w:ind w:left="0" w:firstLine="0"/>
      </w:pPr>
      <w:bookmarkStart w:id="19" w:name="_Toc485905654"/>
      <w:r w:rsidRPr="00CA47B9">
        <w:t>Land Values, December 201</w:t>
      </w:r>
      <w:bookmarkEnd w:id="19"/>
      <w:r w:rsidRPr="00CA47B9">
        <w:t>7</w:t>
      </w:r>
    </w:p>
    <w:tbl>
      <w:tblPr>
        <w:tblStyle w:val="ListTable3-Accent21"/>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 Land Values, December 2017"/>
      </w:tblPr>
      <w:tblGrid>
        <w:gridCol w:w="4815"/>
        <w:gridCol w:w="4823"/>
      </w:tblGrid>
      <w:tr w:rsidR="00C37DA5" w:rsidRPr="00C342B8" w:rsidTr="0092435E">
        <w:trPr>
          <w:cnfStyle w:val="100000000000" w:firstRow="1" w:lastRow="0" w:firstColumn="0" w:lastColumn="0" w:oddVBand="0" w:evenVBand="0" w:oddHBand="0" w:evenHBand="0" w:firstRowFirstColumn="0" w:firstRowLastColumn="0" w:lastRowFirstColumn="0" w:lastRowLastColumn="0"/>
          <w:trHeight w:val="185"/>
          <w:tblHeader/>
        </w:trPr>
        <w:tc>
          <w:tcPr>
            <w:cnfStyle w:val="001000000100" w:firstRow="0" w:lastRow="0" w:firstColumn="1" w:lastColumn="0" w:oddVBand="0" w:evenVBand="0" w:oddHBand="0" w:evenHBand="0" w:firstRowFirstColumn="1" w:firstRowLastColumn="0" w:lastRowFirstColumn="0" w:lastRowLastColumn="0"/>
            <w:tcW w:w="2498" w:type="pct"/>
          </w:tcPr>
          <w:p w:rsidR="00C37DA5" w:rsidRPr="00C342B8" w:rsidRDefault="00C37DA5" w:rsidP="002A213E">
            <w:pPr>
              <w:pStyle w:val="TableBodytext"/>
              <w:keepNext/>
              <w:spacing w:line="300" w:lineRule="auto"/>
              <w:rPr>
                <w:rFonts w:asciiTheme="minorHAnsi" w:hAnsiTheme="minorHAnsi" w:cstheme="minorHAnsi"/>
                <w:b w:val="0"/>
                <w:bCs w:val="0"/>
                <w:sz w:val="24"/>
                <w:szCs w:val="24"/>
              </w:rPr>
            </w:pPr>
            <w:r w:rsidRPr="00C342B8">
              <w:rPr>
                <w:rFonts w:asciiTheme="minorHAnsi" w:hAnsiTheme="minorHAnsi" w:cstheme="minorHAnsi"/>
                <w:b w:val="0"/>
                <w:bCs w:val="0"/>
                <w:sz w:val="24"/>
                <w:szCs w:val="24"/>
              </w:rPr>
              <w:t>Area</w:t>
            </w:r>
          </w:p>
        </w:tc>
        <w:tc>
          <w:tcPr>
            <w:tcW w:w="2502" w:type="pct"/>
          </w:tcPr>
          <w:p w:rsidR="00C37DA5" w:rsidRPr="00C342B8" w:rsidRDefault="00C37DA5" w:rsidP="002A213E">
            <w:pPr>
              <w:pStyle w:val="TableBodytext"/>
              <w:keepNext/>
              <w:spacing w:line="30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4"/>
                <w:szCs w:val="24"/>
              </w:rPr>
            </w:pPr>
            <w:r w:rsidRPr="00C342B8">
              <w:rPr>
                <w:rFonts w:asciiTheme="minorHAnsi" w:hAnsiTheme="minorHAnsi" w:cstheme="minorHAnsi"/>
                <w:b w:val="0"/>
                <w:bCs w:val="0"/>
                <w:sz w:val="24"/>
                <w:szCs w:val="24"/>
              </w:rPr>
              <w:t>Land Value</w:t>
            </w:r>
          </w:p>
        </w:tc>
      </w:tr>
      <w:tr w:rsidR="00C37DA5" w:rsidRPr="00C342B8" w:rsidTr="00924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8" w:type="pct"/>
            <w:vAlign w:val="bottom"/>
          </w:tcPr>
          <w:p w:rsidR="00C37DA5" w:rsidRPr="00C342B8" w:rsidRDefault="00C37DA5" w:rsidP="002A213E">
            <w:pPr>
              <w:keepNext/>
              <w:spacing w:line="300" w:lineRule="auto"/>
              <w:rPr>
                <w:rFonts w:asciiTheme="minorHAnsi" w:hAnsiTheme="minorHAnsi" w:cstheme="minorHAnsi"/>
                <w:color w:val="000000"/>
                <w:sz w:val="24"/>
                <w:szCs w:val="24"/>
              </w:rPr>
            </w:pPr>
            <w:r w:rsidRPr="00C342B8">
              <w:rPr>
                <w:rFonts w:asciiTheme="minorHAnsi" w:hAnsiTheme="minorHAnsi" w:cstheme="minorHAnsi"/>
                <w:color w:val="000000"/>
                <w:sz w:val="24"/>
                <w:szCs w:val="24"/>
              </w:rPr>
              <w:t>Chichester District</w:t>
            </w:r>
          </w:p>
        </w:tc>
        <w:tc>
          <w:tcPr>
            <w:tcW w:w="2502" w:type="pct"/>
            <w:vAlign w:val="bottom"/>
          </w:tcPr>
          <w:p w:rsidR="00C37DA5" w:rsidRPr="00C342B8" w:rsidRDefault="00C37DA5" w:rsidP="002A213E">
            <w:pPr>
              <w:keepNext/>
              <w:spacing w:line="30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szCs w:val="24"/>
              </w:rPr>
            </w:pPr>
            <w:r w:rsidRPr="00C342B8">
              <w:rPr>
                <w:rFonts w:asciiTheme="minorHAnsi" w:hAnsiTheme="minorHAnsi" w:cstheme="minorHAnsi"/>
                <w:b/>
                <w:bCs/>
                <w:color w:val="000000"/>
                <w:sz w:val="24"/>
                <w:szCs w:val="24"/>
              </w:rPr>
              <w:t>£4,955,000</w:t>
            </w:r>
          </w:p>
        </w:tc>
      </w:tr>
      <w:tr w:rsidR="00C37DA5" w:rsidRPr="00C342B8" w:rsidTr="0092435E">
        <w:tc>
          <w:tcPr>
            <w:cnfStyle w:val="001000000000" w:firstRow="0" w:lastRow="0" w:firstColumn="1" w:lastColumn="0" w:oddVBand="0" w:evenVBand="0" w:oddHBand="0" w:evenHBand="0" w:firstRowFirstColumn="0" w:firstRowLastColumn="0" w:lastRowFirstColumn="0" w:lastRowLastColumn="0"/>
            <w:tcW w:w="2498" w:type="pct"/>
            <w:vAlign w:val="bottom"/>
          </w:tcPr>
          <w:p w:rsidR="00C37DA5" w:rsidRPr="00C342B8" w:rsidRDefault="00C37DA5" w:rsidP="002A213E">
            <w:pPr>
              <w:keepNext/>
              <w:spacing w:line="300" w:lineRule="auto"/>
              <w:rPr>
                <w:rFonts w:asciiTheme="minorHAnsi" w:hAnsiTheme="minorHAnsi" w:cstheme="minorHAnsi"/>
                <w:b w:val="0"/>
                <w:bCs w:val="0"/>
                <w:color w:val="000000"/>
                <w:sz w:val="24"/>
                <w:szCs w:val="24"/>
              </w:rPr>
            </w:pPr>
            <w:r w:rsidRPr="00C342B8">
              <w:rPr>
                <w:rFonts w:asciiTheme="minorHAnsi" w:hAnsiTheme="minorHAnsi" w:cstheme="minorHAnsi"/>
                <w:b w:val="0"/>
                <w:bCs w:val="0"/>
                <w:color w:val="000000"/>
                <w:sz w:val="24"/>
                <w:szCs w:val="24"/>
              </w:rPr>
              <w:t>Arun</w:t>
            </w:r>
          </w:p>
        </w:tc>
        <w:tc>
          <w:tcPr>
            <w:tcW w:w="2502" w:type="pct"/>
            <w:vAlign w:val="bottom"/>
          </w:tcPr>
          <w:p w:rsidR="00C37DA5" w:rsidRPr="00C342B8" w:rsidRDefault="00C37DA5" w:rsidP="002A213E">
            <w:pPr>
              <w:keepNext/>
              <w:spacing w:line="30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C342B8">
              <w:rPr>
                <w:rFonts w:asciiTheme="minorHAnsi" w:hAnsiTheme="minorHAnsi" w:cstheme="minorHAnsi"/>
                <w:color w:val="000000"/>
                <w:sz w:val="24"/>
                <w:szCs w:val="24"/>
              </w:rPr>
              <w:t>£3,550,000</w:t>
            </w:r>
          </w:p>
        </w:tc>
      </w:tr>
      <w:tr w:rsidR="00C37DA5" w:rsidRPr="00C342B8" w:rsidTr="00924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8" w:type="pct"/>
            <w:vAlign w:val="bottom"/>
          </w:tcPr>
          <w:p w:rsidR="00C37DA5" w:rsidRPr="00C342B8" w:rsidRDefault="00C37DA5" w:rsidP="002A213E">
            <w:pPr>
              <w:keepNext/>
              <w:spacing w:line="300" w:lineRule="auto"/>
              <w:rPr>
                <w:rFonts w:asciiTheme="minorHAnsi" w:hAnsiTheme="minorHAnsi" w:cstheme="minorHAnsi"/>
                <w:b w:val="0"/>
                <w:bCs w:val="0"/>
                <w:color w:val="000000"/>
                <w:sz w:val="24"/>
                <w:szCs w:val="24"/>
              </w:rPr>
            </w:pPr>
            <w:r w:rsidRPr="00C342B8">
              <w:rPr>
                <w:rFonts w:asciiTheme="minorHAnsi" w:hAnsiTheme="minorHAnsi" w:cstheme="minorHAnsi"/>
                <w:b w:val="0"/>
                <w:bCs w:val="0"/>
                <w:color w:val="000000"/>
                <w:sz w:val="24"/>
                <w:szCs w:val="24"/>
              </w:rPr>
              <w:t>Cotswold</w:t>
            </w:r>
          </w:p>
        </w:tc>
        <w:tc>
          <w:tcPr>
            <w:tcW w:w="2502" w:type="pct"/>
            <w:vAlign w:val="bottom"/>
          </w:tcPr>
          <w:p w:rsidR="00C37DA5" w:rsidRPr="00C342B8" w:rsidRDefault="00C37DA5" w:rsidP="002A213E">
            <w:pPr>
              <w:keepNext/>
              <w:spacing w:line="30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C342B8">
              <w:rPr>
                <w:rFonts w:asciiTheme="minorHAnsi" w:hAnsiTheme="minorHAnsi" w:cstheme="minorHAnsi"/>
                <w:color w:val="000000"/>
                <w:sz w:val="24"/>
                <w:szCs w:val="24"/>
              </w:rPr>
              <w:t>£3,785,000</w:t>
            </w:r>
          </w:p>
        </w:tc>
      </w:tr>
      <w:tr w:rsidR="00C37DA5" w:rsidRPr="00C342B8" w:rsidTr="0092435E">
        <w:tc>
          <w:tcPr>
            <w:cnfStyle w:val="001000000000" w:firstRow="0" w:lastRow="0" w:firstColumn="1" w:lastColumn="0" w:oddVBand="0" w:evenVBand="0" w:oddHBand="0" w:evenHBand="0" w:firstRowFirstColumn="0" w:firstRowLastColumn="0" w:lastRowFirstColumn="0" w:lastRowLastColumn="0"/>
            <w:tcW w:w="2498" w:type="pct"/>
            <w:vAlign w:val="bottom"/>
          </w:tcPr>
          <w:p w:rsidR="00C37DA5" w:rsidRPr="00C342B8" w:rsidRDefault="00C37DA5" w:rsidP="002A213E">
            <w:pPr>
              <w:keepNext/>
              <w:spacing w:line="300" w:lineRule="auto"/>
              <w:rPr>
                <w:rFonts w:asciiTheme="minorHAnsi" w:hAnsiTheme="minorHAnsi" w:cstheme="minorHAnsi"/>
                <w:b w:val="0"/>
                <w:bCs w:val="0"/>
                <w:color w:val="000000"/>
                <w:sz w:val="24"/>
                <w:szCs w:val="24"/>
              </w:rPr>
            </w:pPr>
            <w:r w:rsidRPr="00C342B8">
              <w:rPr>
                <w:rFonts w:asciiTheme="minorHAnsi" w:hAnsiTheme="minorHAnsi" w:cstheme="minorHAnsi"/>
                <w:b w:val="0"/>
                <w:bCs w:val="0"/>
                <w:color w:val="000000"/>
                <w:sz w:val="24"/>
                <w:szCs w:val="24"/>
              </w:rPr>
              <w:t>West Dorset</w:t>
            </w:r>
          </w:p>
        </w:tc>
        <w:tc>
          <w:tcPr>
            <w:tcW w:w="2502" w:type="pct"/>
            <w:vAlign w:val="bottom"/>
          </w:tcPr>
          <w:p w:rsidR="00C37DA5" w:rsidRPr="00C342B8" w:rsidRDefault="00C37DA5" w:rsidP="002A213E">
            <w:pPr>
              <w:keepNext/>
              <w:spacing w:line="30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C342B8">
              <w:rPr>
                <w:rFonts w:asciiTheme="minorHAnsi" w:hAnsiTheme="minorHAnsi" w:cstheme="minorHAnsi"/>
                <w:color w:val="000000"/>
                <w:sz w:val="24"/>
                <w:szCs w:val="24"/>
              </w:rPr>
              <w:t>£2,675,000</w:t>
            </w:r>
          </w:p>
        </w:tc>
      </w:tr>
      <w:tr w:rsidR="00C37DA5" w:rsidRPr="00C342B8" w:rsidTr="00924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8" w:type="pct"/>
            <w:vAlign w:val="bottom"/>
          </w:tcPr>
          <w:p w:rsidR="00C37DA5" w:rsidRPr="00C342B8" w:rsidRDefault="00C37DA5" w:rsidP="002A213E">
            <w:pPr>
              <w:keepNext/>
              <w:spacing w:line="300" w:lineRule="auto"/>
              <w:rPr>
                <w:rFonts w:asciiTheme="minorHAnsi" w:hAnsiTheme="minorHAnsi" w:cstheme="minorHAnsi"/>
                <w:b w:val="0"/>
                <w:bCs w:val="0"/>
                <w:color w:val="000000"/>
                <w:sz w:val="24"/>
                <w:szCs w:val="24"/>
              </w:rPr>
            </w:pPr>
            <w:r w:rsidRPr="00C342B8">
              <w:rPr>
                <w:rFonts w:asciiTheme="minorHAnsi" w:hAnsiTheme="minorHAnsi" w:cstheme="minorHAnsi"/>
                <w:b w:val="0"/>
                <w:bCs w:val="0"/>
                <w:color w:val="000000"/>
                <w:sz w:val="24"/>
                <w:szCs w:val="24"/>
              </w:rPr>
              <w:t>West Sussex</w:t>
            </w:r>
          </w:p>
        </w:tc>
        <w:tc>
          <w:tcPr>
            <w:tcW w:w="2502" w:type="pct"/>
            <w:vAlign w:val="bottom"/>
          </w:tcPr>
          <w:p w:rsidR="00C37DA5" w:rsidRPr="00C342B8" w:rsidRDefault="00C37DA5" w:rsidP="002A213E">
            <w:pPr>
              <w:keepNext/>
              <w:spacing w:line="30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C342B8">
              <w:rPr>
                <w:rFonts w:asciiTheme="minorHAnsi" w:hAnsiTheme="minorHAnsi" w:cstheme="minorHAnsi"/>
                <w:color w:val="000000"/>
                <w:sz w:val="24"/>
                <w:szCs w:val="24"/>
              </w:rPr>
              <w:t>n/a</w:t>
            </w:r>
          </w:p>
        </w:tc>
      </w:tr>
      <w:tr w:rsidR="00C37DA5" w:rsidRPr="00C342B8" w:rsidTr="0092435E">
        <w:tc>
          <w:tcPr>
            <w:cnfStyle w:val="001000000000" w:firstRow="0" w:lastRow="0" w:firstColumn="1" w:lastColumn="0" w:oddVBand="0" w:evenVBand="0" w:oddHBand="0" w:evenHBand="0" w:firstRowFirstColumn="0" w:firstRowLastColumn="0" w:lastRowFirstColumn="0" w:lastRowLastColumn="0"/>
            <w:tcW w:w="2498" w:type="pct"/>
            <w:vAlign w:val="bottom"/>
          </w:tcPr>
          <w:p w:rsidR="00C37DA5" w:rsidRPr="00C342B8" w:rsidRDefault="00C37DA5" w:rsidP="002A213E">
            <w:pPr>
              <w:keepNext/>
              <w:spacing w:line="300" w:lineRule="auto"/>
              <w:rPr>
                <w:rFonts w:asciiTheme="minorHAnsi" w:hAnsiTheme="minorHAnsi" w:cstheme="minorHAnsi"/>
                <w:b w:val="0"/>
                <w:bCs w:val="0"/>
                <w:color w:val="000000"/>
                <w:sz w:val="24"/>
                <w:szCs w:val="24"/>
              </w:rPr>
            </w:pPr>
            <w:r w:rsidRPr="00C342B8">
              <w:rPr>
                <w:rFonts w:asciiTheme="minorHAnsi" w:hAnsiTheme="minorHAnsi" w:cstheme="minorHAnsi"/>
                <w:b w:val="0"/>
                <w:bCs w:val="0"/>
                <w:color w:val="000000"/>
                <w:sz w:val="24"/>
                <w:szCs w:val="24"/>
              </w:rPr>
              <w:t>Chichester and Bognor Regis HMA*</w:t>
            </w:r>
          </w:p>
        </w:tc>
        <w:tc>
          <w:tcPr>
            <w:tcW w:w="2502" w:type="pct"/>
            <w:vAlign w:val="bottom"/>
          </w:tcPr>
          <w:p w:rsidR="00C37DA5" w:rsidRPr="00C342B8" w:rsidRDefault="00C37DA5" w:rsidP="002A213E">
            <w:pPr>
              <w:keepNext/>
              <w:spacing w:line="30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C342B8">
              <w:rPr>
                <w:rFonts w:asciiTheme="minorHAnsi" w:hAnsiTheme="minorHAnsi" w:cstheme="minorHAnsi"/>
                <w:color w:val="000000"/>
                <w:sz w:val="24"/>
                <w:szCs w:val="24"/>
              </w:rPr>
              <w:t>£4,252,500</w:t>
            </w:r>
          </w:p>
        </w:tc>
      </w:tr>
      <w:tr w:rsidR="00C37DA5" w:rsidRPr="00C342B8" w:rsidTr="00924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8" w:type="pct"/>
            <w:vAlign w:val="bottom"/>
          </w:tcPr>
          <w:p w:rsidR="00C37DA5" w:rsidRPr="00C342B8" w:rsidRDefault="00C37DA5" w:rsidP="002A213E">
            <w:pPr>
              <w:keepNext/>
              <w:spacing w:line="300" w:lineRule="auto"/>
              <w:rPr>
                <w:rFonts w:asciiTheme="minorHAnsi" w:hAnsiTheme="minorHAnsi" w:cstheme="minorHAnsi"/>
                <w:b w:val="0"/>
                <w:bCs w:val="0"/>
                <w:color w:val="000000"/>
                <w:sz w:val="24"/>
                <w:szCs w:val="24"/>
              </w:rPr>
            </w:pPr>
            <w:r w:rsidRPr="00C342B8">
              <w:rPr>
                <w:rFonts w:asciiTheme="minorHAnsi" w:hAnsiTheme="minorHAnsi" w:cstheme="minorHAnsi"/>
                <w:b w:val="0"/>
                <w:bCs w:val="0"/>
                <w:color w:val="000000"/>
                <w:sz w:val="24"/>
                <w:szCs w:val="24"/>
              </w:rPr>
              <w:t>South East</w:t>
            </w:r>
          </w:p>
        </w:tc>
        <w:tc>
          <w:tcPr>
            <w:tcW w:w="2502" w:type="pct"/>
            <w:vAlign w:val="bottom"/>
          </w:tcPr>
          <w:p w:rsidR="00C37DA5" w:rsidRPr="00C342B8" w:rsidRDefault="00C37DA5" w:rsidP="002A213E">
            <w:pPr>
              <w:keepNext/>
              <w:spacing w:line="30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C342B8">
              <w:rPr>
                <w:rFonts w:asciiTheme="minorHAnsi" w:hAnsiTheme="minorHAnsi" w:cstheme="minorHAnsi"/>
                <w:color w:val="000000"/>
                <w:sz w:val="24"/>
                <w:szCs w:val="24"/>
              </w:rPr>
              <w:t>£4,953,358</w:t>
            </w:r>
          </w:p>
        </w:tc>
      </w:tr>
      <w:tr w:rsidR="00C37DA5" w:rsidRPr="00C342B8" w:rsidTr="0092435E">
        <w:tc>
          <w:tcPr>
            <w:cnfStyle w:val="001000000000" w:firstRow="0" w:lastRow="0" w:firstColumn="1" w:lastColumn="0" w:oddVBand="0" w:evenVBand="0" w:oddHBand="0" w:evenHBand="0" w:firstRowFirstColumn="0" w:firstRowLastColumn="0" w:lastRowFirstColumn="0" w:lastRowLastColumn="0"/>
            <w:tcW w:w="2498" w:type="pct"/>
            <w:tcBorders>
              <w:bottom w:val="single" w:sz="4" w:space="0" w:color="auto"/>
            </w:tcBorders>
            <w:vAlign w:val="bottom"/>
          </w:tcPr>
          <w:p w:rsidR="00C37DA5" w:rsidRPr="00C342B8" w:rsidRDefault="00C37DA5" w:rsidP="002A213E">
            <w:pPr>
              <w:keepNext/>
              <w:spacing w:line="300" w:lineRule="auto"/>
              <w:rPr>
                <w:rFonts w:asciiTheme="minorHAnsi" w:hAnsiTheme="minorHAnsi" w:cstheme="minorHAnsi"/>
                <w:b w:val="0"/>
                <w:bCs w:val="0"/>
                <w:color w:val="000000"/>
                <w:sz w:val="24"/>
                <w:szCs w:val="24"/>
              </w:rPr>
            </w:pPr>
            <w:r w:rsidRPr="00C342B8">
              <w:rPr>
                <w:rFonts w:asciiTheme="minorHAnsi" w:hAnsiTheme="minorHAnsi" w:cstheme="minorHAnsi"/>
                <w:b w:val="0"/>
                <w:bCs w:val="0"/>
                <w:color w:val="000000"/>
                <w:sz w:val="24"/>
                <w:szCs w:val="24"/>
              </w:rPr>
              <w:t>England incl. London</w:t>
            </w:r>
          </w:p>
        </w:tc>
        <w:tc>
          <w:tcPr>
            <w:tcW w:w="2502" w:type="pct"/>
            <w:tcBorders>
              <w:bottom w:val="single" w:sz="4" w:space="0" w:color="auto"/>
            </w:tcBorders>
            <w:vAlign w:val="bottom"/>
          </w:tcPr>
          <w:p w:rsidR="00C37DA5" w:rsidRPr="00C342B8" w:rsidRDefault="00C37DA5" w:rsidP="002A213E">
            <w:pPr>
              <w:keepNext/>
              <w:spacing w:line="30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C342B8">
              <w:rPr>
                <w:rFonts w:asciiTheme="minorHAnsi" w:hAnsiTheme="minorHAnsi" w:cstheme="minorHAnsi"/>
                <w:color w:val="000000"/>
                <w:sz w:val="24"/>
                <w:szCs w:val="24"/>
              </w:rPr>
              <w:t>£6,220,086</w:t>
            </w:r>
          </w:p>
        </w:tc>
      </w:tr>
      <w:tr w:rsidR="00C37DA5" w:rsidRPr="00C342B8" w:rsidTr="00924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8" w:type="pct"/>
            <w:tcBorders>
              <w:top w:val="single" w:sz="4" w:space="0" w:color="auto"/>
              <w:bottom w:val="single" w:sz="4" w:space="0" w:color="auto"/>
            </w:tcBorders>
            <w:vAlign w:val="bottom"/>
          </w:tcPr>
          <w:p w:rsidR="00C37DA5" w:rsidRPr="00C342B8" w:rsidRDefault="00C37DA5" w:rsidP="002A213E">
            <w:pPr>
              <w:keepNext/>
              <w:spacing w:line="300" w:lineRule="auto"/>
              <w:rPr>
                <w:rFonts w:asciiTheme="minorHAnsi" w:hAnsiTheme="minorHAnsi" w:cstheme="minorHAnsi"/>
                <w:b w:val="0"/>
                <w:bCs w:val="0"/>
                <w:color w:val="000000"/>
                <w:sz w:val="24"/>
                <w:szCs w:val="24"/>
              </w:rPr>
            </w:pPr>
            <w:r w:rsidRPr="00C342B8">
              <w:rPr>
                <w:rFonts w:asciiTheme="minorHAnsi" w:hAnsiTheme="minorHAnsi" w:cstheme="minorHAnsi"/>
                <w:b w:val="0"/>
                <w:bCs w:val="0"/>
                <w:color w:val="000000"/>
                <w:sz w:val="24"/>
                <w:szCs w:val="24"/>
              </w:rPr>
              <w:t>England excl. London</w:t>
            </w:r>
          </w:p>
        </w:tc>
        <w:tc>
          <w:tcPr>
            <w:tcW w:w="2502" w:type="pct"/>
            <w:tcBorders>
              <w:top w:val="single" w:sz="4" w:space="0" w:color="auto"/>
              <w:bottom w:val="single" w:sz="4" w:space="0" w:color="auto"/>
            </w:tcBorders>
            <w:vAlign w:val="bottom"/>
          </w:tcPr>
          <w:p w:rsidR="00C37DA5" w:rsidRPr="00C342B8" w:rsidRDefault="00C37DA5" w:rsidP="002A213E">
            <w:pPr>
              <w:keepNext/>
              <w:spacing w:line="30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C342B8">
              <w:rPr>
                <w:rFonts w:asciiTheme="minorHAnsi" w:hAnsiTheme="minorHAnsi" w:cstheme="minorHAnsi"/>
                <w:color w:val="000000"/>
                <w:sz w:val="24"/>
                <w:szCs w:val="24"/>
              </w:rPr>
              <w:t>£2,781,966</w:t>
            </w:r>
          </w:p>
        </w:tc>
      </w:tr>
    </w:tbl>
    <w:p w:rsidR="00C37DA5" w:rsidRPr="00845AAB" w:rsidRDefault="00C37DA5" w:rsidP="0092435E">
      <w:pPr>
        <w:pStyle w:val="Bodytextwithindent"/>
        <w:spacing w:before="0" w:after="120" w:line="240" w:lineRule="auto"/>
        <w:ind w:left="0"/>
        <w:rPr>
          <w:rFonts w:asciiTheme="minorHAnsi" w:hAnsiTheme="minorHAnsi" w:cstheme="minorHAnsi"/>
          <w:sz w:val="24"/>
          <w:szCs w:val="24"/>
        </w:rPr>
      </w:pPr>
      <w:r w:rsidRPr="00845AAB">
        <w:rPr>
          <w:rFonts w:asciiTheme="minorHAnsi" w:hAnsiTheme="minorHAnsi" w:cstheme="minorHAnsi"/>
          <w:sz w:val="24"/>
          <w:szCs w:val="24"/>
        </w:rPr>
        <w:t xml:space="preserve">Source: </w:t>
      </w:r>
      <w:r w:rsidR="00152484" w:rsidRPr="00845AAB">
        <w:rPr>
          <w:rFonts w:asciiTheme="minorHAnsi" w:hAnsiTheme="minorHAnsi" w:cstheme="minorHAnsi"/>
          <w:sz w:val="24"/>
          <w:szCs w:val="24"/>
        </w:rPr>
        <w:t>MH</w:t>
      </w:r>
      <w:r w:rsidRPr="00845AAB">
        <w:rPr>
          <w:rFonts w:asciiTheme="minorHAnsi" w:hAnsiTheme="minorHAnsi" w:cstheme="minorHAnsi"/>
          <w:sz w:val="24"/>
          <w:szCs w:val="24"/>
        </w:rPr>
        <w:t xml:space="preserve">CLG, </w:t>
      </w:r>
      <w:r w:rsidR="005F7E4B" w:rsidRPr="00845AAB">
        <w:rPr>
          <w:rFonts w:asciiTheme="minorHAnsi" w:hAnsiTheme="minorHAnsi" w:cstheme="minorHAnsi"/>
          <w:sz w:val="24"/>
          <w:szCs w:val="24"/>
        </w:rPr>
        <w:t>May 2018</w:t>
      </w:r>
      <w:r w:rsidRPr="00845AAB">
        <w:rPr>
          <w:rFonts w:asciiTheme="minorHAnsi" w:hAnsiTheme="minorHAnsi" w:cstheme="minorHAnsi"/>
          <w:sz w:val="24"/>
          <w:szCs w:val="24"/>
        </w:rPr>
        <w:t xml:space="preserve"> *as an average of Chichester and Arun – based on data availability this is the best fit to the HMA</w:t>
      </w:r>
    </w:p>
    <w:p w:rsidR="00C37DA5" w:rsidRPr="00CA47B9" w:rsidRDefault="00C37DA5" w:rsidP="00BD6C75">
      <w:pPr>
        <w:pStyle w:val="SubheadBlue12"/>
        <w:ind w:left="567" w:firstLine="0"/>
      </w:pPr>
      <w:r w:rsidRPr="00CA47B9">
        <w:t xml:space="preserve">House Price Analysis </w:t>
      </w:r>
    </w:p>
    <w:p w:rsidR="00DC4BCE" w:rsidRPr="00DC4BCE" w:rsidRDefault="00C37DA5" w:rsidP="006B2A89">
      <w:pPr>
        <w:pStyle w:val="11Bodytext"/>
        <w:tabs>
          <w:tab w:val="clear" w:pos="2212"/>
          <w:tab w:val="num" w:pos="567"/>
        </w:tabs>
        <w:ind w:left="567" w:hanging="567"/>
        <w:rPr>
          <w:rStyle w:val="11BodytextChar"/>
          <w:b/>
          <w:bCs/>
        </w:rPr>
      </w:pPr>
      <w:r w:rsidRPr="00BD10C9">
        <w:rPr>
          <w:rStyle w:val="11BodytextChar"/>
        </w:rPr>
        <w:t xml:space="preserve">The average (mean) house price in Chichester District (2018) was around £480,500 whilst the median price was significantly less at £365,000 indicating a small concentration of very expensive properties in the district. </w:t>
      </w:r>
    </w:p>
    <w:p w:rsidR="00C37DA5" w:rsidRPr="00DC4BCE" w:rsidRDefault="00BD10C9" w:rsidP="006B2A89">
      <w:pPr>
        <w:pStyle w:val="11Bodytext"/>
        <w:tabs>
          <w:tab w:val="clear" w:pos="2212"/>
          <w:tab w:val="num" w:pos="567"/>
        </w:tabs>
        <w:ind w:left="567" w:hanging="567"/>
        <w:rPr>
          <w:b/>
        </w:rPr>
      </w:pPr>
      <w:r w:rsidRPr="00BD10C9">
        <w:t>Compared</w:t>
      </w:r>
      <w:r w:rsidR="00C37DA5" w:rsidRPr="00BD10C9">
        <w:t xml:space="preserve"> to the wider comparators, median prices in Chichester District are generally the highest. The difference is even more significant when the mean average price is reviewed.</w:t>
      </w:r>
    </w:p>
    <w:p w:rsidR="00DC4BCE" w:rsidRPr="00BD10C9" w:rsidRDefault="00DC4BCE" w:rsidP="006B2A89">
      <w:pPr>
        <w:pStyle w:val="11Bodytext"/>
        <w:tabs>
          <w:tab w:val="clear" w:pos="2212"/>
          <w:tab w:val="num" w:pos="567"/>
        </w:tabs>
        <w:ind w:left="567" w:hanging="567"/>
        <w:rPr>
          <w:b/>
        </w:rPr>
      </w:pPr>
      <w:r>
        <w:lastRenderedPageBreak/>
        <w:t>The wider comparators have been chosen as neighbouring authorities or those identified by ONS as the most comparable local authority.</w:t>
      </w:r>
    </w:p>
    <w:p w:rsidR="00C37DA5" w:rsidRPr="00CA47B9" w:rsidRDefault="00C37DA5" w:rsidP="0092435E">
      <w:pPr>
        <w:pStyle w:val="Tableheading"/>
        <w:tabs>
          <w:tab w:val="clear" w:pos="794"/>
          <w:tab w:val="clear" w:pos="1843"/>
          <w:tab w:val="left" w:pos="0"/>
        </w:tabs>
        <w:ind w:left="0" w:firstLine="0"/>
      </w:pPr>
      <w:bookmarkStart w:id="20" w:name="_Toc397074143"/>
      <w:bookmarkStart w:id="21" w:name="_Toc399936050"/>
      <w:bookmarkStart w:id="22" w:name="_Toc428202401"/>
      <w:bookmarkStart w:id="23" w:name="_Toc485905655"/>
      <w:r w:rsidRPr="00CA47B9">
        <w:t>Average House Prices in the Housing Market Area (2018)</w:t>
      </w:r>
      <w:bookmarkEnd w:id="20"/>
      <w:bookmarkEnd w:id="21"/>
      <w:bookmarkEnd w:id="22"/>
      <w:bookmarkEnd w:id="23"/>
    </w:p>
    <w:tbl>
      <w:tblPr>
        <w:tblStyle w:val="GLHearntable1"/>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 Average House Prices in the Housing Market Area (2018)"/>
      </w:tblPr>
      <w:tblGrid>
        <w:gridCol w:w="3366"/>
        <w:gridCol w:w="2124"/>
        <w:gridCol w:w="2124"/>
        <w:gridCol w:w="2024"/>
      </w:tblGrid>
      <w:tr w:rsidR="00C37DA5" w:rsidRPr="00845AAB" w:rsidTr="009243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46" w:type="pct"/>
            <w:noWrap/>
            <w:hideMark/>
          </w:tcPr>
          <w:p w:rsidR="00C37DA5" w:rsidRPr="00845AAB" w:rsidRDefault="00C37DA5" w:rsidP="00845AAB">
            <w:pPr>
              <w:keepNext/>
              <w:spacing w:line="240" w:lineRule="auto"/>
              <w:jc w:val="center"/>
              <w:rPr>
                <w:b w:val="0"/>
                <w:bCs/>
                <w:color w:val="000000"/>
                <w:sz w:val="24"/>
                <w:szCs w:val="24"/>
              </w:rPr>
            </w:pPr>
          </w:p>
        </w:tc>
        <w:tc>
          <w:tcPr>
            <w:tcW w:w="1102" w:type="pct"/>
            <w:noWrap/>
            <w:hideMark/>
          </w:tcPr>
          <w:p w:rsidR="00C37DA5" w:rsidRPr="00845AAB" w:rsidRDefault="00C37DA5" w:rsidP="00845AAB">
            <w:pPr>
              <w:keepNext/>
              <w:spacing w:line="240" w:lineRule="auto"/>
              <w:jc w:val="center"/>
              <w:cnfStyle w:val="100000000000" w:firstRow="1" w:lastRow="0" w:firstColumn="0" w:lastColumn="0" w:oddVBand="0" w:evenVBand="0" w:oddHBand="0" w:evenHBand="0" w:firstRowFirstColumn="0" w:firstRowLastColumn="0" w:lastRowFirstColumn="0" w:lastRowLastColumn="0"/>
              <w:rPr>
                <w:b w:val="0"/>
                <w:bCs/>
                <w:sz w:val="24"/>
                <w:szCs w:val="24"/>
              </w:rPr>
            </w:pPr>
            <w:r w:rsidRPr="00845AAB">
              <w:rPr>
                <w:b w:val="0"/>
                <w:bCs/>
                <w:sz w:val="24"/>
                <w:szCs w:val="24"/>
              </w:rPr>
              <w:t>Median</w:t>
            </w:r>
          </w:p>
        </w:tc>
        <w:tc>
          <w:tcPr>
            <w:tcW w:w="1102" w:type="pct"/>
            <w:noWrap/>
            <w:hideMark/>
          </w:tcPr>
          <w:p w:rsidR="00C37DA5" w:rsidRPr="00845AAB" w:rsidRDefault="00C37DA5" w:rsidP="00845AAB">
            <w:pPr>
              <w:keepNext/>
              <w:spacing w:line="240" w:lineRule="auto"/>
              <w:jc w:val="center"/>
              <w:cnfStyle w:val="100000000000" w:firstRow="1" w:lastRow="0" w:firstColumn="0" w:lastColumn="0" w:oddVBand="0" w:evenVBand="0" w:oddHBand="0" w:evenHBand="0" w:firstRowFirstColumn="0" w:firstRowLastColumn="0" w:lastRowFirstColumn="0" w:lastRowLastColumn="0"/>
              <w:rPr>
                <w:b w:val="0"/>
                <w:bCs/>
                <w:sz w:val="24"/>
                <w:szCs w:val="24"/>
              </w:rPr>
            </w:pPr>
            <w:r w:rsidRPr="00845AAB">
              <w:rPr>
                <w:b w:val="0"/>
                <w:bCs/>
                <w:sz w:val="24"/>
                <w:szCs w:val="24"/>
              </w:rPr>
              <w:t>Mean</w:t>
            </w:r>
          </w:p>
        </w:tc>
        <w:tc>
          <w:tcPr>
            <w:tcW w:w="1050" w:type="pct"/>
          </w:tcPr>
          <w:p w:rsidR="00C37DA5" w:rsidRPr="00845AAB" w:rsidRDefault="00C37DA5" w:rsidP="00845AAB">
            <w:pPr>
              <w:keepNext/>
              <w:spacing w:line="240" w:lineRule="auto"/>
              <w:jc w:val="center"/>
              <w:cnfStyle w:val="100000000000" w:firstRow="1" w:lastRow="0" w:firstColumn="0" w:lastColumn="0" w:oddVBand="0" w:evenVBand="0" w:oddHBand="0" w:evenHBand="0" w:firstRowFirstColumn="0" w:firstRowLastColumn="0" w:lastRowFirstColumn="0" w:lastRowLastColumn="0"/>
              <w:rPr>
                <w:b w:val="0"/>
                <w:bCs/>
                <w:sz w:val="24"/>
                <w:szCs w:val="24"/>
              </w:rPr>
            </w:pPr>
            <w:r w:rsidRPr="00845AAB">
              <w:rPr>
                <w:b w:val="0"/>
                <w:bCs/>
                <w:sz w:val="24"/>
                <w:szCs w:val="24"/>
              </w:rPr>
              <w:t>Lower Quartile</w:t>
            </w:r>
          </w:p>
        </w:tc>
      </w:tr>
      <w:tr w:rsidR="00C37DA5" w:rsidRPr="00845AAB" w:rsidTr="0092435E">
        <w:tc>
          <w:tcPr>
            <w:cnfStyle w:val="001000000000" w:firstRow="0" w:lastRow="0" w:firstColumn="1" w:lastColumn="0" w:oddVBand="0" w:evenVBand="0" w:oddHBand="0" w:evenHBand="0" w:firstRowFirstColumn="0" w:firstRowLastColumn="0" w:lastRowFirstColumn="0" w:lastRowLastColumn="0"/>
            <w:tcW w:w="1746" w:type="pct"/>
            <w:noWrap/>
            <w:vAlign w:val="center"/>
          </w:tcPr>
          <w:p w:rsidR="00C37DA5" w:rsidRPr="00845AAB" w:rsidRDefault="00C37DA5" w:rsidP="00845AAB">
            <w:pPr>
              <w:keepNext/>
              <w:spacing w:line="240" w:lineRule="auto"/>
              <w:rPr>
                <w:color w:val="000000"/>
                <w:sz w:val="24"/>
                <w:szCs w:val="24"/>
              </w:rPr>
            </w:pPr>
            <w:r w:rsidRPr="00845AAB">
              <w:rPr>
                <w:color w:val="000000"/>
                <w:sz w:val="24"/>
                <w:szCs w:val="24"/>
              </w:rPr>
              <w:t>Chichester District</w:t>
            </w:r>
          </w:p>
        </w:tc>
        <w:tc>
          <w:tcPr>
            <w:tcW w:w="1102" w:type="pct"/>
            <w:noWrap/>
            <w:vAlign w:val="center"/>
          </w:tcPr>
          <w:p w:rsidR="00C37DA5" w:rsidRPr="00845AAB" w:rsidRDefault="00C37DA5" w:rsidP="00845AAB">
            <w:pPr>
              <w:keepNext/>
              <w:spacing w:line="240" w:lineRule="auto"/>
              <w:jc w:val="center"/>
              <w:cnfStyle w:val="000000000000" w:firstRow="0" w:lastRow="0" w:firstColumn="0" w:lastColumn="0" w:oddVBand="0" w:evenVBand="0" w:oddHBand="0" w:evenHBand="0" w:firstRowFirstColumn="0" w:firstRowLastColumn="0" w:lastRowFirstColumn="0" w:lastRowLastColumn="0"/>
              <w:rPr>
                <w:b/>
                <w:color w:val="000000"/>
                <w:sz w:val="24"/>
                <w:szCs w:val="24"/>
              </w:rPr>
            </w:pPr>
            <w:r w:rsidRPr="00845AAB">
              <w:rPr>
                <w:b/>
                <w:color w:val="000000"/>
                <w:sz w:val="24"/>
                <w:szCs w:val="24"/>
              </w:rPr>
              <w:t>£365,000</w:t>
            </w:r>
          </w:p>
        </w:tc>
        <w:tc>
          <w:tcPr>
            <w:tcW w:w="1102" w:type="pct"/>
            <w:noWrap/>
            <w:vAlign w:val="center"/>
          </w:tcPr>
          <w:p w:rsidR="00C37DA5" w:rsidRPr="00845AAB" w:rsidRDefault="00C37DA5" w:rsidP="00845AAB">
            <w:pPr>
              <w:keepNext/>
              <w:spacing w:line="240" w:lineRule="auto"/>
              <w:jc w:val="center"/>
              <w:cnfStyle w:val="000000000000" w:firstRow="0" w:lastRow="0" w:firstColumn="0" w:lastColumn="0" w:oddVBand="0" w:evenVBand="0" w:oddHBand="0" w:evenHBand="0" w:firstRowFirstColumn="0" w:firstRowLastColumn="0" w:lastRowFirstColumn="0" w:lastRowLastColumn="0"/>
              <w:rPr>
                <w:b/>
                <w:color w:val="000000"/>
                <w:sz w:val="24"/>
                <w:szCs w:val="24"/>
              </w:rPr>
            </w:pPr>
            <w:r w:rsidRPr="00845AAB">
              <w:rPr>
                <w:b/>
                <w:color w:val="000000"/>
                <w:sz w:val="24"/>
                <w:szCs w:val="24"/>
              </w:rPr>
              <w:t>£480,463</w:t>
            </w:r>
          </w:p>
        </w:tc>
        <w:tc>
          <w:tcPr>
            <w:tcW w:w="1050" w:type="pct"/>
            <w:vAlign w:val="center"/>
          </w:tcPr>
          <w:p w:rsidR="00C37DA5" w:rsidRPr="00845AAB" w:rsidRDefault="00C37DA5" w:rsidP="00845AAB">
            <w:pPr>
              <w:keepNext/>
              <w:spacing w:line="240" w:lineRule="auto"/>
              <w:jc w:val="center"/>
              <w:cnfStyle w:val="000000000000" w:firstRow="0" w:lastRow="0" w:firstColumn="0" w:lastColumn="0" w:oddVBand="0" w:evenVBand="0" w:oddHBand="0" w:evenHBand="0" w:firstRowFirstColumn="0" w:firstRowLastColumn="0" w:lastRowFirstColumn="0" w:lastRowLastColumn="0"/>
              <w:rPr>
                <w:b/>
                <w:color w:val="000000"/>
                <w:sz w:val="24"/>
                <w:szCs w:val="24"/>
              </w:rPr>
            </w:pPr>
            <w:r w:rsidRPr="00845AAB">
              <w:rPr>
                <w:b/>
                <w:color w:val="000000"/>
                <w:sz w:val="24"/>
                <w:szCs w:val="24"/>
              </w:rPr>
              <w:t>£275,000</w:t>
            </w:r>
          </w:p>
        </w:tc>
      </w:tr>
      <w:tr w:rsidR="00C37DA5" w:rsidRPr="00845AAB" w:rsidTr="009243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6" w:type="pct"/>
            <w:shd w:val="clear" w:color="auto" w:fill="auto"/>
            <w:noWrap/>
            <w:vAlign w:val="center"/>
            <w:hideMark/>
          </w:tcPr>
          <w:p w:rsidR="00C37DA5" w:rsidRPr="00845AAB" w:rsidRDefault="00C37DA5" w:rsidP="00845AAB">
            <w:pPr>
              <w:keepNext/>
              <w:spacing w:line="240" w:lineRule="auto"/>
              <w:rPr>
                <w:b w:val="0"/>
                <w:color w:val="000000"/>
                <w:sz w:val="24"/>
                <w:szCs w:val="24"/>
              </w:rPr>
            </w:pPr>
            <w:r w:rsidRPr="00845AAB">
              <w:rPr>
                <w:b w:val="0"/>
                <w:color w:val="000000"/>
                <w:sz w:val="24"/>
                <w:szCs w:val="24"/>
              </w:rPr>
              <w:t>Arun</w:t>
            </w:r>
          </w:p>
        </w:tc>
        <w:tc>
          <w:tcPr>
            <w:tcW w:w="1102" w:type="pct"/>
            <w:shd w:val="clear" w:color="auto" w:fill="auto"/>
            <w:noWrap/>
            <w:vAlign w:val="center"/>
          </w:tcPr>
          <w:p w:rsidR="00C37DA5" w:rsidRPr="00845AAB" w:rsidRDefault="00C37DA5" w:rsidP="00845AAB">
            <w:pPr>
              <w:keepNext/>
              <w:spacing w:line="240" w:lineRule="auto"/>
              <w:contextualSpacing/>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845AAB">
              <w:rPr>
                <w:color w:val="000000"/>
                <w:sz w:val="24"/>
                <w:szCs w:val="24"/>
              </w:rPr>
              <w:t>£287,000</w:t>
            </w:r>
          </w:p>
        </w:tc>
        <w:tc>
          <w:tcPr>
            <w:tcW w:w="1102" w:type="pct"/>
            <w:shd w:val="clear" w:color="auto" w:fill="auto"/>
            <w:noWrap/>
            <w:vAlign w:val="center"/>
          </w:tcPr>
          <w:p w:rsidR="00C37DA5" w:rsidRPr="00845AAB" w:rsidRDefault="00C37DA5" w:rsidP="00845AAB">
            <w:pPr>
              <w:keepNext/>
              <w:spacing w:line="240" w:lineRule="auto"/>
              <w:contextualSpacing/>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845AAB">
              <w:rPr>
                <w:color w:val="000000"/>
                <w:sz w:val="24"/>
                <w:szCs w:val="24"/>
              </w:rPr>
              <w:t>£335,031</w:t>
            </w:r>
          </w:p>
        </w:tc>
        <w:tc>
          <w:tcPr>
            <w:tcW w:w="1050" w:type="pct"/>
            <w:shd w:val="clear" w:color="auto" w:fill="auto"/>
            <w:vAlign w:val="center"/>
          </w:tcPr>
          <w:p w:rsidR="00C37DA5" w:rsidRPr="00845AAB" w:rsidRDefault="00C37DA5" w:rsidP="00845AAB">
            <w:pPr>
              <w:keepNext/>
              <w:spacing w:line="240" w:lineRule="auto"/>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845AAB">
              <w:rPr>
                <w:color w:val="000000"/>
                <w:sz w:val="24"/>
                <w:szCs w:val="24"/>
              </w:rPr>
              <w:t>£220,000</w:t>
            </w:r>
          </w:p>
        </w:tc>
      </w:tr>
      <w:tr w:rsidR="00C37DA5" w:rsidRPr="00845AAB" w:rsidTr="0092435E">
        <w:tc>
          <w:tcPr>
            <w:cnfStyle w:val="001000000000" w:firstRow="0" w:lastRow="0" w:firstColumn="1" w:lastColumn="0" w:oddVBand="0" w:evenVBand="0" w:oddHBand="0" w:evenHBand="0" w:firstRowFirstColumn="0" w:firstRowLastColumn="0" w:lastRowFirstColumn="0" w:lastRowLastColumn="0"/>
            <w:tcW w:w="1746" w:type="pct"/>
            <w:noWrap/>
            <w:vAlign w:val="center"/>
          </w:tcPr>
          <w:p w:rsidR="00C37DA5" w:rsidRPr="00845AAB" w:rsidRDefault="00C37DA5" w:rsidP="00845AAB">
            <w:pPr>
              <w:keepNext/>
              <w:spacing w:line="240" w:lineRule="auto"/>
              <w:rPr>
                <w:b w:val="0"/>
                <w:color w:val="000000"/>
                <w:sz w:val="24"/>
                <w:szCs w:val="24"/>
              </w:rPr>
            </w:pPr>
            <w:r w:rsidRPr="00845AAB">
              <w:rPr>
                <w:b w:val="0"/>
                <w:color w:val="000000"/>
                <w:sz w:val="24"/>
                <w:szCs w:val="24"/>
              </w:rPr>
              <w:t>Cotswold</w:t>
            </w:r>
          </w:p>
        </w:tc>
        <w:tc>
          <w:tcPr>
            <w:tcW w:w="1102" w:type="pct"/>
            <w:noWrap/>
            <w:vAlign w:val="center"/>
          </w:tcPr>
          <w:p w:rsidR="00C37DA5" w:rsidRPr="00845AAB" w:rsidRDefault="00C37DA5" w:rsidP="00845AAB">
            <w:pPr>
              <w:keepNext/>
              <w:spacing w:line="240" w:lineRule="auto"/>
              <w:contextualSpacing/>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845AAB">
              <w:rPr>
                <w:color w:val="000000"/>
                <w:sz w:val="24"/>
                <w:szCs w:val="24"/>
              </w:rPr>
              <w:t>£349,000</w:t>
            </w:r>
          </w:p>
        </w:tc>
        <w:tc>
          <w:tcPr>
            <w:tcW w:w="1102" w:type="pct"/>
            <w:noWrap/>
            <w:vAlign w:val="center"/>
          </w:tcPr>
          <w:p w:rsidR="00C37DA5" w:rsidRPr="00845AAB" w:rsidRDefault="00C37DA5" w:rsidP="00845AAB">
            <w:pPr>
              <w:keepNext/>
              <w:spacing w:line="240" w:lineRule="auto"/>
              <w:contextualSpacing/>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845AAB">
              <w:rPr>
                <w:color w:val="000000"/>
                <w:sz w:val="24"/>
                <w:szCs w:val="24"/>
              </w:rPr>
              <w:t>£457,020</w:t>
            </w:r>
          </w:p>
        </w:tc>
        <w:tc>
          <w:tcPr>
            <w:tcW w:w="1050" w:type="pct"/>
            <w:vAlign w:val="center"/>
          </w:tcPr>
          <w:p w:rsidR="00C37DA5" w:rsidRPr="00845AAB" w:rsidRDefault="00C37DA5" w:rsidP="00845AAB">
            <w:pPr>
              <w:keepNext/>
              <w:spacing w:line="240" w:lineRule="auto"/>
              <w:contextualSpacing/>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845AAB">
              <w:rPr>
                <w:color w:val="000000"/>
                <w:sz w:val="24"/>
                <w:szCs w:val="24"/>
              </w:rPr>
              <w:t>£250,000</w:t>
            </w:r>
          </w:p>
        </w:tc>
      </w:tr>
      <w:tr w:rsidR="00C37DA5" w:rsidRPr="00845AAB" w:rsidTr="009243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6" w:type="pct"/>
            <w:shd w:val="clear" w:color="auto" w:fill="auto"/>
            <w:noWrap/>
            <w:vAlign w:val="center"/>
            <w:hideMark/>
          </w:tcPr>
          <w:p w:rsidR="00C37DA5" w:rsidRPr="00845AAB" w:rsidRDefault="00C37DA5" w:rsidP="00845AAB">
            <w:pPr>
              <w:keepNext/>
              <w:spacing w:line="240" w:lineRule="auto"/>
              <w:rPr>
                <w:b w:val="0"/>
                <w:color w:val="000000"/>
                <w:sz w:val="24"/>
                <w:szCs w:val="24"/>
              </w:rPr>
            </w:pPr>
            <w:r w:rsidRPr="00845AAB">
              <w:rPr>
                <w:b w:val="0"/>
                <w:color w:val="000000"/>
                <w:sz w:val="24"/>
                <w:szCs w:val="24"/>
              </w:rPr>
              <w:t>West Dorset</w:t>
            </w:r>
          </w:p>
        </w:tc>
        <w:tc>
          <w:tcPr>
            <w:tcW w:w="1102" w:type="pct"/>
            <w:shd w:val="clear" w:color="auto" w:fill="auto"/>
            <w:noWrap/>
            <w:vAlign w:val="center"/>
          </w:tcPr>
          <w:p w:rsidR="00C37DA5" w:rsidRPr="00845AAB" w:rsidRDefault="00C37DA5" w:rsidP="00845AAB">
            <w:pPr>
              <w:keepNext/>
              <w:spacing w:line="240" w:lineRule="auto"/>
              <w:contextualSpacing/>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845AAB">
              <w:rPr>
                <w:color w:val="000000"/>
                <w:sz w:val="24"/>
                <w:szCs w:val="24"/>
              </w:rPr>
              <w:t>£292,250</w:t>
            </w:r>
          </w:p>
        </w:tc>
        <w:tc>
          <w:tcPr>
            <w:tcW w:w="1102" w:type="pct"/>
            <w:shd w:val="clear" w:color="auto" w:fill="auto"/>
            <w:noWrap/>
            <w:vAlign w:val="center"/>
          </w:tcPr>
          <w:p w:rsidR="00C37DA5" w:rsidRPr="00845AAB" w:rsidRDefault="00C37DA5" w:rsidP="00845AAB">
            <w:pPr>
              <w:keepNext/>
              <w:spacing w:line="240" w:lineRule="auto"/>
              <w:contextualSpacing/>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845AAB">
              <w:rPr>
                <w:color w:val="000000"/>
                <w:sz w:val="24"/>
                <w:szCs w:val="24"/>
              </w:rPr>
              <w:t>£343,866</w:t>
            </w:r>
          </w:p>
        </w:tc>
        <w:tc>
          <w:tcPr>
            <w:tcW w:w="1050" w:type="pct"/>
            <w:shd w:val="clear" w:color="auto" w:fill="auto"/>
            <w:vAlign w:val="center"/>
          </w:tcPr>
          <w:p w:rsidR="00C37DA5" w:rsidRPr="00845AAB" w:rsidRDefault="00C37DA5" w:rsidP="00845AAB">
            <w:pPr>
              <w:keepNext/>
              <w:spacing w:line="240" w:lineRule="auto"/>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845AAB">
              <w:rPr>
                <w:color w:val="000000"/>
                <w:sz w:val="24"/>
                <w:szCs w:val="24"/>
              </w:rPr>
              <w:t>£215,000</w:t>
            </w:r>
          </w:p>
        </w:tc>
      </w:tr>
      <w:tr w:rsidR="00C37DA5" w:rsidRPr="00845AAB" w:rsidTr="0092435E">
        <w:tc>
          <w:tcPr>
            <w:cnfStyle w:val="001000000000" w:firstRow="0" w:lastRow="0" w:firstColumn="1" w:lastColumn="0" w:oddVBand="0" w:evenVBand="0" w:oddHBand="0" w:evenHBand="0" w:firstRowFirstColumn="0" w:firstRowLastColumn="0" w:lastRowFirstColumn="0" w:lastRowLastColumn="0"/>
            <w:tcW w:w="1746" w:type="pct"/>
            <w:noWrap/>
            <w:vAlign w:val="center"/>
          </w:tcPr>
          <w:p w:rsidR="00C37DA5" w:rsidRPr="00845AAB" w:rsidRDefault="00C37DA5" w:rsidP="00845AAB">
            <w:pPr>
              <w:keepNext/>
              <w:spacing w:line="240" w:lineRule="auto"/>
              <w:rPr>
                <w:b w:val="0"/>
                <w:color w:val="000000"/>
                <w:sz w:val="24"/>
                <w:szCs w:val="24"/>
              </w:rPr>
            </w:pPr>
            <w:r w:rsidRPr="00845AAB">
              <w:rPr>
                <w:b w:val="0"/>
                <w:color w:val="000000"/>
                <w:sz w:val="24"/>
                <w:szCs w:val="24"/>
              </w:rPr>
              <w:t>West Sussex</w:t>
            </w:r>
          </w:p>
        </w:tc>
        <w:tc>
          <w:tcPr>
            <w:tcW w:w="1102" w:type="pct"/>
            <w:noWrap/>
            <w:vAlign w:val="center"/>
          </w:tcPr>
          <w:p w:rsidR="00C37DA5" w:rsidRPr="00845AAB" w:rsidRDefault="00C37DA5" w:rsidP="00845AAB">
            <w:pPr>
              <w:keepNext/>
              <w:spacing w:line="240" w:lineRule="auto"/>
              <w:contextualSpacing/>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845AAB">
              <w:rPr>
                <w:color w:val="000000"/>
                <w:sz w:val="24"/>
                <w:szCs w:val="24"/>
              </w:rPr>
              <w:t>£328,625</w:t>
            </w:r>
          </w:p>
        </w:tc>
        <w:tc>
          <w:tcPr>
            <w:tcW w:w="1102" w:type="pct"/>
            <w:noWrap/>
            <w:vAlign w:val="center"/>
          </w:tcPr>
          <w:p w:rsidR="00C37DA5" w:rsidRPr="00845AAB" w:rsidRDefault="00C37DA5" w:rsidP="00845AAB">
            <w:pPr>
              <w:keepNext/>
              <w:spacing w:line="240" w:lineRule="auto"/>
              <w:contextualSpacing/>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845AAB">
              <w:rPr>
                <w:color w:val="000000"/>
                <w:sz w:val="24"/>
                <w:szCs w:val="24"/>
              </w:rPr>
              <w:t>£412,165</w:t>
            </w:r>
          </w:p>
        </w:tc>
        <w:tc>
          <w:tcPr>
            <w:tcW w:w="1050" w:type="pct"/>
            <w:vAlign w:val="center"/>
          </w:tcPr>
          <w:p w:rsidR="00C37DA5" w:rsidRPr="00845AAB" w:rsidRDefault="00C37DA5" w:rsidP="00845AAB">
            <w:pPr>
              <w:keepNext/>
              <w:spacing w:line="240" w:lineRule="auto"/>
              <w:contextualSpacing/>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845AAB">
              <w:rPr>
                <w:color w:val="000000"/>
                <w:sz w:val="24"/>
                <w:szCs w:val="24"/>
              </w:rPr>
              <w:t>£245,000</w:t>
            </w:r>
          </w:p>
        </w:tc>
      </w:tr>
      <w:tr w:rsidR="00C37DA5" w:rsidRPr="00845AAB" w:rsidTr="009243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6" w:type="pct"/>
            <w:shd w:val="clear" w:color="auto" w:fill="auto"/>
            <w:noWrap/>
            <w:vAlign w:val="center"/>
          </w:tcPr>
          <w:p w:rsidR="00C37DA5" w:rsidRPr="00845AAB" w:rsidRDefault="00C37DA5" w:rsidP="00845AAB">
            <w:pPr>
              <w:keepNext/>
              <w:spacing w:line="240" w:lineRule="auto"/>
              <w:rPr>
                <w:b w:val="0"/>
                <w:color w:val="000000"/>
                <w:sz w:val="24"/>
                <w:szCs w:val="24"/>
              </w:rPr>
            </w:pPr>
            <w:r w:rsidRPr="00845AAB">
              <w:rPr>
                <w:b w:val="0"/>
                <w:color w:val="000000"/>
                <w:sz w:val="24"/>
                <w:szCs w:val="24"/>
              </w:rPr>
              <w:t>Chichester and Bognor HMA*</w:t>
            </w:r>
          </w:p>
        </w:tc>
        <w:tc>
          <w:tcPr>
            <w:tcW w:w="1102" w:type="pct"/>
            <w:shd w:val="clear" w:color="auto" w:fill="auto"/>
            <w:noWrap/>
            <w:vAlign w:val="center"/>
          </w:tcPr>
          <w:p w:rsidR="00C37DA5" w:rsidRPr="00845AAB" w:rsidRDefault="00C37DA5" w:rsidP="00845AAB">
            <w:pPr>
              <w:keepNext/>
              <w:spacing w:line="240" w:lineRule="auto"/>
              <w:contextualSpacing/>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845AAB">
              <w:rPr>
                <w:color w:val="000000"/>
                <w:sz w:val="24"/>
                <w:szCs w:val="24"/>
              </w:rPr>
              <w:t>£283,000</w:t>
            </w:r>
          </w:p>
        </w:tc>
        <w:tc>
          <w:tcPr>
            <w:tcW w:w="1102" w:type="pct"/>
            <w:shd w:val="clear" w:color="auto" w:fill="auto"/>
            <w:noWrap/>
            <w:vAlign w:val="center"/>
          </w:tcPr>
          <w:p w:rsidR="00C37DA5" w:rsidRPr="00845AAB" w:rsidRDefault="00C37DA5" w:rsidP="00845AAB">
            <w:pPr>
              <w:keepNext/>
              <w:spacing w:line="240" w:lineRule="auto"/>
              <w:contextualSpacing/>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845AAB">
              <w:rPr>
                <w:color w:val="000000"/>
                <w:sz w:val="24"/>
                <w:szCs w:val="24"/>
              </w:rPr>
              <w:t>£358,064</w:t>
            </w:r>
          </w:p>
        </w:tc>
        <w:tc>
          <w:tcPr>
            <w:tcW w:w="1050" w:type="pct"/>
            <w:shd w:val="clear" w:color="auto" w:fill="auto"/>
            <w:vAlign w:val="center"/>
          </w:tcPr>
          <w:p w:rsidR="00C37DA5" w:rsidRPr="00845AAB" w:rsidRDefault="00C37DA5" w:rsidP="00845AAB">
            <w:pPr>
              <w:keepNext/>
              <w:spacing w:line="240" w:lineRule="auto"/>
              <w:contextualSpacing/>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845AAB">
              <w:rPr>
                <w:color w:val="000000"/>
                <w:sz w:val="24"/>
                <w:szCs w:val="24"/>
              </w:rPr>
              <w:t>£217,975</w:t>
            </w:r>
          </w:p>
        </w:tc>
      </w:tr>
      <w:tr w:rsidR="00C37DA5" w:rsidRPr="00845AAB" w:rsidTr="0092435E">
        <w:tc>
          <w:tcPr>
            <w:cnfStyle w:val="001000000000" w:firstRow="0" w:lastRow="0" w:firstColumn="1" w:lastColumn="0" w:oddVBand="0" w:evenVBand="0" w:oddHBand="0" w:evenHBand="0" w:firstRowFirstColumn="0" w:firstRowLastColumn="0" w:lastRowFirstColumn="0" w:lastRowLastColumn="0"/>
            <w:tcW w:w="1746" w:type="pct"/>
            <w:noWrap/>
            <w:vAlign w:val="center"/>
          </w:tcPr>
          <w:p w:rsidR="00C37DA5" w:rsidRPr="00845AAB" w:rsidRDefault="00C37DA5" w:rsidP="00845AAB">
            <w:pPr>
              <w:keepNext/>
              <w:spacing w:line="240" w:lineRule="auto"/>
              <w:rPr>
                <w:b w:val="0"/>
                <w:color w:val="000000"/>
                <w:sz w:val="24"/>
                <w:szCs w:val="24"/>
              </w:rPr>
            </w:pPr>
            <w:r w:rsidRPr="00845AAB">
              <w:rPr>
                <w:b w:val="0"/>
                <w:color w:val="000000"/>
                <w:sz w:val="24"/>
                <w:szCs w:val="24"/>
              </w:rPr>
              <w:t>South East</w:t>
            </w:r>
          </w:p>
        </w:tc>
        <w:tc>
          <w:tcPr>
            <w:tcW w:w="1102" w:type="pct"/>
            <w:noWrap/>
            <w:vAlign w:val="center"/>
          </w:tcPr>
          <w:p w:rsidR="00C37DA5" w:rsidRPr="00845AAB" w:rsidRDefault="00C37DA5" w:rsidP="00845AAB">
            <w:pPr>
              <w:keepNext/>
              <w:spacing w:line="240" w:lineRule="auto"/>
              <w:contextualSpacing/>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845AAB">
              <w:rPr>
                <w:color w:val="000000"/>
                <w:sz w:val="24"/>
                <w:szCs w:val="24"/>
              </w:rPr>
              <w:t>£318,000</w:t>
            </w:r>
          </w:p>
        </w:tc>
        <w:tc>
          <w:tcPr>
            <w:tcW w:w="1102" w:type="pct"/>
            <w:noWrap/>
            <w:vAlign w:val="center"/>
          </w:tcPr>
          <w:p w:rsidR="00C37DA5" w:rsidRPr="00845AAB" w:rsidRDefault="00C37DA5" w:rsidP="00845AAB">
            <w:pPr>
              <w:keepNext/>
              <w:spacing w:line="240" w:lineRule="auto"/>
              <w:contextualSpacing/>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845AAB">
              <w:rPr>
                <w:color w:val="000000"/>
                <w:sz w:val="24"/>
                <w:szCs w:val="24"/>
              </w:rPr>
              <w:t>£421,679</w:t>
            </w:r>
          </w:p>
        </w:tc>
        <w:tc>
          <w:tcPr>
            <w:tcW w:w="1050" w:type="pct"/>
            <w:vAlign w:val="center"/>
          </w:tcPr>
          <w:p w:rsidR="00C37DA5" w:rsidRPr="00845AAB" w:rsidRDefault="00C37DA5" w:rsidP="00845AAB">
            <w:pPr>
              <w:keepNext/>
              <w:spacing w:line="240" w:lineRule="auto"/>
              <w:contextualSpacing/>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845AAB">
              <w:rPr>
                <w:color w:val="000000"/>
                <w:sz w:val="24"/>
                <w:szCs w:val="24"/>
              </w:rPr>
              <w:t>£232,500</w:t>
            </w:r>
          </w:p>
        </w:tc>
      </w:tr>
      <w:tr w:rsidR="00C37DA5" w:rsidRPr="00845AAB" w:rsidTr="009243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6" w:type="pct"/>
            <w:shd w:val="clear" w:color="auto" w:fill="auto"/>
            <w:noWrap/>
            <w:vAlign w:val="center"/>
          </w:tcPr>
          <w:p w:rsidR="00C37DA5" w:rsidRPr="00845AAB" w:rsidRDefault="00C37DA5" w:rsidP="00845AAB">
            <w:pPr>
              <w:keepNext/>
              <w:spacing w:line="240" w:lineRule="auto"/>
              <w:rPr>
                <w:b w:val="0"/>
                <w:color w:val="000000"/>
                <w:sz w:val="24"/>
                <w:szCs w:val="24"/>
              </w:rPr>
            </w:pPr>
            <w:r w:rsidRPr="00845AAB">
              <w:rPr>
                <w:b w:val="0"/>
                <w:color w:val="000000"/>
                <w:sz w:val="24"/>
                <w:szCs w:val="24"/>
              </w:rPr>
              <w:t xml:space="preserve">England </w:t>
            </w:r>
          </w:p>
        </w:tc>
        <w:tc>
          <w:tcPr>
            <w:tcW w:w="1102" w:type="pct"/>
            <w:shd w:val="clear" w:color="auto" w:fill="auto"/>
            <w:noWrap/>
            <w:vAlign w:val="center"/>
          </w:tcPr>
          <w:p w:rsidR="00C37DA5" w:rsidRPr="00845AAB" w:rsidRDefault="00C37DA5" w:rsidP="00845AAB">
            <w:pPr>
              <w:keepNext/>
              <w:spacing w:line="240" w:lineRule="auto"/>
              <w:contextualSpacing/>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845AAB">
              <w:rPr>
                <w:color w:val="000000"/>
                <w:sz w:val="24"/>
                <w:szCs w:val="24"/>
              </w:rPr>
              <w:t>£239,000</w:t>
            </w:r>
          </w:p>
        </w:tc>
        <w:tc>
          <w:tcPr>
            <w:tcW w:w="1102" w:type="pct"/>
            <w:shd w:val="clear" w:color="auto" w:fill="auto"/>
            <w:noWrap/>
            <w:vAlign w:val="center"/>
          </w:tcPr>
          <w:p w:rsidR="00C37DA5" w:rsidRPr="00845AAB" w:rsidRDefault="006863E5" w:rsidP="00845AAB">
            <w:pPr>
              <w:keepNext/>
              <w:spacing w:line="240" w:lineRule="auto"/>
              <w:contextualSpacing/>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Pr>
                <w:color w:val="000000"/>
                <w:sz w:val="24"/>
                <w:szCs w:val="24"/>
              </w:rPr>
              <w:t>£356,416</w:t>
            </w:r>
          </w:p>
        </w:tc>
        <w:tc>
          <w:tcPr>
            <w:tcW w:w="1050" w:type="pct"/>
            <w:shd w:val="clear" w:color="auto" w:fill="auto"/>
            <w:vAlign w:val="center"/>
          </w:tcPr>
          <w:p w:rsidR="00C37DA5" w:rsidRPr="00845AAB" w:rsidRDefault="00C37DA5" w:rsidP="00845AAB">
            <w:pPr>
              <w:keepNext/>
              <w:spacing w:line="240" w:lineRule="auto"/>
              <w:contextualSpacing/>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845AAB">
              <w:rPr>
                <w:color w:val="000000"/>
                <w:sz w:val="24"/>
                <w:szCs w:val="24"/>
              </w:rPr>
              <w:t>£155,000</w:t>
            </w:r>
          </w:p>
        </w:tc>
      </w:tr>
    </w:tbl>
    <w:p w:rsidR="00C37DA5" w:rsidRPr="00845AAB" w:rsidRDefault="00C37DA5" w:rsidP="0092435E">
      <w:pPr>
        <w:pStyle w:val="Referencetext8pt"/>
        <w:spacing w:line="240" w:lineRule="auto"/>
        <w:rPr>
          <w:rStyle w:val="11BodytextChar"/>
          <w:rFonts w:cs="Arial"/>
          <w:bCs w:val="0"/>
        </w:rPr>
      </w:pPr>
      <w:r w:rsidRPr="00845AAB">
        <w:rPr>
          <w:rStyle w:val="11BodytextChar"/>
          <w:rFonts w:cs="Arial"/>
        </w:rPr>
        <w:t>Source: Land Registry Price Paid Data 2018 *median, mean and LQ figures are based in the total</w:t>
      </w:r>
      <w:r w:rsidRPr="00845AAB">
        <w:rPr>
          <w:rStyle w:val="11BodytextChar"/>
        </w:rPr>
        <w:t xml:space="preserve"> transactions across Chichester and Arun District Councils </w:t>
      </w:r>
    </w:p>
    <w:p w:rsidR="00C37DA5" w:rsidRPr="00CA47B9" w:rsidRDefault="00C37DA5" w:rsidP="006B2A89">
      <w:pPr>
        <w:pStyle w:val="11Bodytext"/>
        <w:tabs>
          <w:tab w:val="clear" w:pos="2212"/>
          <w:tab w:val="num" w:pos="567"/>
        </w:tabs>
        <w:ind w:left="567" w:hanging="567"/>
      </w:pPr>
      <w:r w:rsidRPr="00CA47B9">
        <w:t xml:space="preserve">Figure </w:t>
      </w:r>
      <w:r w:rsidR="00152484">
        <w:t>3</w:t>
      </w:r>
      <w:r w:rsidRPr="00CA47B9">
        <w:t xml:space="preserve"> illustrates house price</w:t>
      </w:r>
      <w:r w:rsidR="00B50498">
        <w:t>s</w:t>
      </w:r>
      <w:r w:rsidRPr="00CA47B9">
        <w:t xml:space="preserve"> across the District. The northern parts of the District present higher values than the more urbanised south. This </w:t>
      </w:r>
      <w:r w:rsidR="00BD10C9">
        <w:t>is in part</w:t>
      </w:r>
      <w:r w:rsidRPr="00CA47B9">
        <w:t xml:space="preserve"> related to the size of the properties, with the rural areas having</w:t>
      </w:r>
      <w:r w:rsidR="00BD10C9">
        <w:t xml:space="preserve"> proportionately</w:t>
      </w:r>
      <w:r w:rsidRPr="00CA47B9">
        <w:t xml:space="preserve"> more detached homes.</w:t>
      </w:r>
    </w:p>
    <w:p w:rsidR="00C37DA5" w:rsidRPr="00CA47B9" w:rsidRDefault="00C37DA5" w:rsidP="006B2A89">
      <w:pPr>
        <w:pStyle w:val="11Bodytext"/>
        <w:tabs>
          <w:tab w:val="clear" w:pos="2212"/>
          <w:tab w:val="num" w:pos="567"/>
        </w:tabs>
        <w:ind w:left="567" w:hanging="567"/>
      </w:pPr>
      <w:r w:rsidRPr="00CA47B9">
        <w:t>We would</w:t>
      </w:r>
      <w:r w:rsidR="00855CA6">
        <w:t>, however,</w:t>
      </w:r>
      <w:r w:rsidRPr="00CA47B9">
        <w:t xml:space="preserve"> expect the rural areas within the National Park to have higher house prices as well. While this is the case in pockets of the South Downs the higher house prices in the </w:t>
      </w:r>
      <w:r w:rsidR="00CB745F">
        <w:t>n</w:t>
      </w:r>
      <w:r w:rsidR="00CB745F" w:rsidRPr="00CA47B9">
        <w:t xml:space="preserve">orth </w:t>
      </w:r>
      <w:r w:rsidRPr="00CA47B9">
        <w:t>may relate to the area’s proximity to London.</w:t>
      </w:r>
      <w:bookmarkStart w:id="24" w:name="_Toc485905639"/>
      <w:r w:rsidRPr="00CA47B9">
        <w:t xml:space="preserve"> </w:t>
      </w:r>
    </w:p>
    <w:p w:rsidR="00C37DA5" w:rsidRPr="00CA47B9" w:rsidRDefault="00C37DA5" w:rsidP="00845AAB">
      <w:pPr>
        <w:pStyle w:val="FigureHeading"/>
        <w:spacing w:line="240" w:lineRule="auto"/>
      </w:pPr>
      <w:r w:rsidRPr="00CA47B9">
        <w:lastRenderedPageBreak/>
        <w:t>House Price Heat-map</w:t>
      </w:r>
      <w:bookmarkEnd w:id="24"/>
      <w:r w:rsidRPr="00CA47B9">
        <w:t xml:space="preserve"> (2018)</w:t>
      </w:r>
    </w:p>
    <w:p w:rsidR="00C37DA5" w:rsidRPr="00CA47B9" w:rsidRDefault="00C37DA5" w:rsidP="00845AAB">
      <w:pPr>
        <w:pStyle w:val="BodyText1"/>
        <w:keepNext/>
        <w:spacing w:line="240" w:lineRule="auto"/>
        <w:ind w:left="794"/>
        <w:rPr>
          <w:rFonts w:asciiTheme="minorHAnsi" w:hAnsiTheme="minorHAnsi" w:cstheme="minorHAnsi"/>
          <w:highlight w:val="yellow"/>
        </w:rPr>
      </w:pPr>
      <w:r w:rsidRPr="00CA47B9">
        <w:rPr>
          <w:rFonts w:asciiTheme="minorHAnsi" w:hAnsiTheme="minorHAnsi" w:cstheme="minorHAnsi"/>
          <w:noProof/>
          <w:lang w:eastAsia="en-GB"/>
        </w:rPr>
        <w:drawing>
          <wp:inline distT="0" distB="0" distL="0" distR="0" wp14:anchorId="6A99C766" wp14:editId="2883942F">
            <wp:extent cx="5209456" cy="6153150"/>
            <wp:effectExtent l="19050" t="19050" r="10795" b="19050"/>
            <wp:docPr id="3" name="Picture 3" descr="Map of Chichester district showing house prices in 2018, shown as a heat map with higher prices in more rural areas " title="Figure 3: House Price Heatmap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Heat Map.jpeg"/>
                    <pic:cNvPicPr/>
                  </pic:nvPicPr>
                  <pic:blipFill rotWithShape="1">
                    <a:blip r:embed="rId18"/>
                    <a:srcRect t="8742" r="650" b="8272"/>
                    <a:stretch/>
                  </pic:blipFill>
                  <pic:spPr bwMode="auto">
                    <a:xfrm>
                      <a:off x="0" y="0"/>
                      <a:ext cx="5215248" cy="6159991"/>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37DA5" w:rsidRPr="00CA47B9" w:rsidRDefault="00C37DA5" w:rsidP="00845AAB">
      <w:pPr>
        <w:pStyle w:val="Bulletblueplain"/>
        <w:numPr>
          <w:ilvl w:val="0"/>
          <w:numId w:val="0"/>
        </w:numPr>
        <w:spacing w:before="0" w:after="0" w:line="240" w:lineRule="auto"/>
        <w:ind w:left="1077" w:hanging="283"/>
        <w:rPr>
          <w:rStyle w:val="11BodytextChar"/>
          <w:iCs/>
        </w:rPr>
      </w:pPr>
      <w:r w:rsidRPr="00CA47B9">
        <w:t>Source: GL Hearn based on HM Land Registry Data, 2018</w:t>
      </w:r>
    </w:p>
    <w:p w:rsidR="00C37DA5" w:rsidRPr="00CA47B9" w:rsidRDefault="00C37DA5" w:rsidP="00020CFC">
      <w:pPr>
        <w:pStyle w:val="11Bodytext"/>
        <w:tabs>
          <w:tab w:val="clear" w:pos="2212"/>
          <w:tab w:val="num" w:pos="567"/>
        </w:tabs>
        <w:ind w:left="567" w:hanging="567"/>
      </w:pPr>
      <w:r w:rsidRPr="00CA47B9">
        <w:t>The Manhood Peninsula demonstrates high hous</w:t>
      </w:r>
      <w:r w:rsidR="00BD10C9">
        <w:t>e</w:t>
      </w:r>
      <w:r w:rsidRPr="00CA47B9">
        <w:t xml:space="preserve"> values in specific locations around Chichester Harbour. These high values may be related to second/holiday homes driving house prices in the area. As presented later in this chapter the sub-area analysis </w:t>
      </w:r>
      <w:r w:rsidR="00BD10C9">
        <w:t xml:space="preserve">shows </w:t>
      </w:r>
      <w:r w:rsidRPr="00CA47B9">
        <w:t xml:space="preserve">there were also significantly more sales in detached and semi-detached properties in </w:t>
      </w:r>
      <w:r w:rsidR="00DC4BCE">
        <w:t xml:space="preserve">the </w:t>
      </w:r>
      <w:r w:rsidRPr="00CA47B9">
        <w:t>Manhood Peninsula compared to the rest of the District.</w:t>
      </w:r>
    </w:p>
    <w:p w:rsidR="00BD10C9" w:rsidRDefault="00BD10C9" w:rsidP="00901C92">
      <w:pPr>
        <w:pStyle w:val="Subheadingbold"/>
        <w:rPr>
          <w:rStyle w:val="11BodytextChar"/>
        </w:rPr>
      </w:pPr>
    </w:p>
    <w:p w:rsidR="00C37DA5" w:rsidRPr="00CA47B9" w:rsidRDefault="00C37DA5" w:rsidP="00BD6C75">
      <w:pPr>
        <w:pStyle w:val="Subheadingbold"/>
        <w:ind w:left="567" w:firstLine="0"/>
        <w:rPr>
          <w:rStyle w:val="11BodytextChar"/>
          <w:b w:val="0"/>
          <w:sz w:val="18"/>
          <w:szCs w:val="20"/>
        </w:rPr>
      </w:pPr>
      <w:r w:rsidRPr="00CA47B9">
        <w:rPr>
          <w:rStyle w:val="11BodytextChar"/>
        </w:rPr>
        <w:lastRenderedPageBreak/>
        <w:t>House Price Change</w:t>
      </w:r>
    </w:p>
    <w:p w:rsidR="00C37DA5" w:rsidRPr="00CA47B9" w:rsidRDefault="00C37DA5" w:rsidP="00020CFC">
      <w:pPr>
        <w:pStyle w:val="11Bodytext"/>
        <w:tabs>
          <w:tab w:val="clear" w:pos="2212"/>
          <w:tab w:val="num" w:pos="567"/>
        </w:tabs>
        <w:ind w:left="567" w:hanging="567"/>
      </w:pPr>
      <w:r w:rsidRPr="00CA47B9">
        <w:rPr>
          <w:rStyle w:val="11BodytextChar"/>
        </w:rPr>
        <w:t xml:space="preserve">Figure </w:t>
      </w:r>
      <w:r w:rsidR="00442CA7">
        <w:rPr>
          <w:rStyle w:val="11BodytextChar"/>
        </w:rPr>
        <w:t>4</w:t>
      </w:r>
      <w:r w:rsidRPr="00CA47B9">
        <w:rPr>
          <w:rStyle w:val="11BodytextChar"/>
        </w:rPr>
        <w:t xml:space="preserve"> profiles house price change in Chichester District and the wider comparators from 1997 </w:t>
      </w:r>
      <w:r w:rsidRPr="00CA47B9">
        <w:t>to 2007 (i.e. the pre</w:t>
      </w:r>
      <w:r w:rsidR="00855CA6">
        <w:t>-</w:t>
      </w:r>
      <w:r w:rsidRPr="00CA47B9">
        <w:t xml:space="preserve">recession decade). This shows that house price trends in Chichester closely followed the countywide trend over this period albeit at a higher level. </w:t>
      </w:r>
    </w:p>
    <w:p w:rsidR="00C37DA5" w:rsidRPr="00CA47B9" w:rsidRDefault="00C37DA5" w:rsidP="00020CFC">
      <w:pPr>
        <w:pStyle w:val="11Bodytext"/>
        <w:tabs>
          <w:tab w:val="clear" w:pos="2212"/>
          <w:tab w:val="num" w:pos="567"/>
        </w:tabs>
        <w:ind w:left="567" w:hanging="567"/>
        <w:rPr>
          <w:rStyle w:val="11BodytextChar"/>
          <w:color w:val="auto"/>
        </w:rPr>
      </w:pPr>
      <w:r w:rsidRPr="00CA47B9">
        <w:t xml:space="preserve">Over the pre-recession decade, median prices in Chichester increased from £90,000 to £260,000 – an increase of almost £170,000 (189%). Over the same period, median prices across the wider comparators grew at very similar rates. The </w:t>
      </w:r>
      <w:r w:rsidRPr="00CA47B9">
        <w:rPr>
          <w:rStyle w:val="11BodytextChar"/>
        </w:rPr>
        <w:t>South East rose by £147,250 (189%) and across England prices increased by £117,</w:t>
      </w:r>
      <w:r w:rsidRPr="00CA47B9">
        <w:rPr>
          <w:rStyle w:val="11BodytextChar"/>
          <w:color w:val="auto"/>
        </w:rPr>
        <w:t xml:space="preserve">950 (190%). </w:t>
      </w:r>
    </w:p>
    <w:p w:rsidR="00C37DA5" w:rsidRPr="00CA47B9" w:rsidRDefault="00C37DA5" w:rsidP="0092435E">
      <w:pPr>
        <w:pStyle w:val="FigureHeading"/>
        <w:tabs>
          <w:tab w:val="clear" w:pos="794"/>
          <w:tab w:val="clear" w:pos="1843"/>
          <w:tab w:val="left" w:pos="0"/>
        </w:tabs>
        <w:ind w:left="0" w:firstLine="0"/>
      </w:pPr>
      <w:bookmarkStart w:id="25" w:name="_Toc397074144"/>
      <w:bookmarkStart w:id="26" w:name="_Toc399935827"/>
      <w:bookmarkStart w:id="27" w:name="_Toc428202305"/>
      <w:bookmarkStart w:id="28" w:name="_Toc485905637"/>
      <w:r w:rsidRPr="00CA47B9">
        <w:t>Median House Price</w:t>
      </w:r>
      <w:bookmarkEnd w:id="25"/>
      <w:r w:rsidRPr="00CA47B9">
        <w:t xml:space="preserve"> Trends, 1997-2007</w:t>
      </w:r>
      <w:bookmarkEnd w:id="26"/>
      <w:bookmarkEnd w:id="27"/>
      <w:bookmarkEnd w:id="28"/>
      <w:r w:rsidRPr="00CA47B9">
        <w:t xml:space="preserve"> </w:t>
      </w:r>
    </w:p>
    <w:p w:rsidR="00C37DA5" w:rsidRPr="00CA47B9" w:rsidRDefault="00C37DA5" w:rsidP="00A1178F">
      <w:pPr>
        <w:pStyle w:val="Bodytextwithindent"/>
        <w:keepNext/>
        <w:spacing w:before="0" w:after="0" w:line="240" w:lineRule="auto"/>
        <w:ind w:left="0"/>
      </w:pPr>
      <w:r w:rsidRPr="00CA47B9">
        <w:rPr>
          <w:noProof/>
          <w:color w:val="auto"/>
          <w:lang w:eastAsia="en-GB"/>
        </w:rPr>
        <w:drawing>
          <wp:inline distT="0" distB="0" distL="0" distR="0" wp14:anchorId="5AD899C7" wp14:editId="429044CE">
            <wp:extent cx="6119495" cy="3895090"/>
            <wp:effectExtent l="0" t="0" r="14605" b="10160"/>
            <wp:docPr id="321" name="Chart 321" descr="Chart showing house prices in Chichester as compared to different regions, with median prices charted from 1997 to 2007." title="Figure 4: Median House Price Trends 1997-20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37DA5" w:rsidRPr="00CA47B9" w:rsidRDefault="00C37DA5" w:rsidP="0092435E">
      <w:pPr>
        <w:pStyle w:val="Bulletblueplain"/>
        <w:numPr>
          <w:ilvl w:val="0"/>
          <w:numId w:val="0"/>
        </w:numPr>
      </w:pPr>
      <w:r w:rsidRPr="00CA47B9">
        <w:t>Source: DCLG Live Tables: Land Registry Data</w:t>
      </w:r>
    </w:p>
    <w:p w:rsidR="00C37DA5" w:rsidRPr="00CA47B9" w:rsidRDefault="00C37DA5" w:rsidP="00020CFC">
      <w:pPr>
        <w:pStyle w:val="11Bodytext"/>
        <w:tabs>
          <w:tab w:val="clear" w:pos="2212"/>
          <w:tab w:val="num" w:pos="567"/>
        </w:tabs>
        <w:ind w:left="567" w:hanging="567"/>
      </w:pPr>
      <w:r w:rsidRPr="00CA47B9">
        <w:t xml:space="preserve">The increase in house prices in particular points to an imbalance between supply and demand for housing primarily over the 2001-5 period, when the increase in prices was most notable. </w:t>
      </w:r>
    </w:p>
    <w:p w:rsidR="00C37DA5" w:rsidRPr="00CA47B9" w:rsidRDefault="00C37DA5" w:rsidP="00020CFC">
      <w:pPr>
        <w:pStyle w:val="11Bodytext"/>
        <w:tabs>
          <w:tab w:val="clear" w:pos="2212"/>
          <w:tab w:val="num" w:pos="567"/>
        </w:tabs>
        <w:ind w:left="567" w:hanging="567"/>
      </w:pPr>
      <w:r w:rsidRPr="00CA47B9">
        <w:lastRenderedPageBreak/>
        <w:t>Reflecting the</w:t>
      </w:r>
      <w:r w:rsidR="00DC4BCE">
        <w:t xml:space="preserve"> wider</w:t>
      </w:r>
      <w:r w:rsidRPr="00CA47B9">
        <w:t xml:space="preserve"> economic backdrop, trends in house prices since 2007 have understandably been very different. Chichester District experienced a fall in median prices from early 2008 to 2009 at the onset of the recession, as was the case regionally and nationally. </w:t>
      </w:r>
    </w:p>
    <w:p w:rsidR="00C37DA5" w:rsidRPr="00CA47B9" w:rsidRDefault="00C37DA5" w:rsidP="00020CFC">
      <w:pPr>
        <w:pStyle w:val="11Bodytext"/>
        <w:tabs>
          <w:tab w:val="clear" w:pos="2212"/>
          <w:tab w:val="num" w:pos="567"/>
        </w:tabs>
        <w:ind w:left="567" w:hanging="567"/>
      </w:pPr>
      <w:r w:rsidRPr="00CA47B9">
        <w:t>House prices subsequently rose during 2009 and as of 2010 Q2, median house prices in Chichester were the same as pre-recession levels. Since this time house prices in Chichester have continued to increase at a faster rate than the national trend.</w:t>
      </w:r>
    </w:p>
    <w:p w:rsidR="00C37DA5" w:rsidRPr="00CA47B9" w:rsidRDefault="00C37DA5" w:rsidP="00020CFC">
      <w:pPr>
        <w:pStyle w:val="11Bodytext"/>
        <w:tabs>
          <w:tab w:val="clear" w:pos="2212"/>
          <w:tab w:val="num" w:pos="567"/>
        </w:tabs>
        <w:ind w:left="567" w:hanging="567"/>
      </w:pPr>
      <w:r w:rsidRPr="00CA47B9">
        <w:t xml:space="preserve">Figure </w:t>
      </w:r>
      <w:r w:rsidR="00442CA7">
        <w:t>5</w:t>
      </w:r>
      <w:r w:rsidRPr="00CA47B9">
        <w:t xml:space="preserve"> below </w:t>
      </w:r>
      <w:r w:rsidR="00DC4BCE">
        <w:t>illustrates</w:t>
      </w:r>
      <w:r w:rsidRPr="00CA47B9">
        <w:t xml:space="preserve"> the median house price growth between 2008 and 2018. Median house price growth in Chichester has also been significantly higher than the majority of the comparable areas, apart from Cotswold where the prices have been at a similar level. This suggests that house price affordability is not necessarily a new factor in the district but one that is on a worsening trend.</w:t>
      </w:r>
    </w:p>
    <w:p w:rsidR="00C37DA5" w:rsidRPr="00CA47B9" w:rsidRDefault="00C37DA5" w:rsidP="0092435E">
      <w:pPr>
        <w:pStyle w:val="FigureHeading"/>
        <w:tabs>
          <w:tab w:val="clear" w:pos="794"/>
          <w:tab w:val="clear" w:pos="1843"/>
          <w:tab w:val="left" w:pos="0"/>
        </w:tabs>
        <w:ind w:left="0" w:firstLine="0"/>
      </w:pPr>
      <w:bookmarkStart w:id="29" w:name="_Toc397074145"/>
      <w:bookmarkStart w:id="30" w:name="_Toc399935828"/>
      <w:bookmarkStart w:id="31" w:name="_Toc428202306"/>
      <w:bookmarkStart w:id="32" w:name="_Toc485905638"/>
      <w:r w:rsidRPr="00CA47B9">
        <w:t>Median House Price</w:t>
      </w:r>
      <w:bookmarkEnd w:id="29"/>
      <w:r w:rsidRPr="00CA47B9">
        <w:t xml:space="preserve"> Trends by Local Authority, 2008-201</w:t>
      </w:r>
      <w:bookmarkEnd w:id="30"/>
      <w:bookmarkEnd w:id="31"/>
      <w:bookmarkEnd w:id="32"/>
      <w:r w:rsidRPr="00CA47B9">
        <w:t>8</w:t>
      </w:r>
    </w:p>
    <w:p w:rsidR="00C37DA5" w:rsidRPr="00CA47B9" w:rsidRDefault="00C37DA5" w:rsidP="00A1178F">
      <w:pPr>
        <w:pStyle w:val="Bulletblueplain"/>
        <w:numPr>
          <w:ilvl w:val="0"/>
          <w:numId w:val="0"/>
        </w:numPr>
      </w:pPr>
      <w:r w:rsidRPr="00CA47B9">
        <w:rPr>
          <w:noProof/>
          <w:color w:val="auto"/>
          <w:lang w:eastAsia="en-GB"/>
        </w:rPr>
        <w:drawing>
          <wp:inline distT="0" distB="0" distL="0" distR="0" wp14:anchorId="33AC60B0" wp14:editId="77060F35">
            <wp:extent cx="6120000" cy="4039200"/>
            <wp:effectExtent l="0" t="0" r="14605" b="19050"/>
            <wp:docPr id="234" name="Chart 234" descr="Chart showing" title="Figure 5: Median House Price Trends by Local Authority 2008-20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0E3D52A-2CF6-4BD4-8336-EBB5C0D8C9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CA47B9">
        <w:t>Source: DCLG Live Tables: Land Registry Data</w:t>
      </w:r>
    </w:p>
    <w:p w:rsidR="00C37DA5" w:rsidRPr="00CA47B9" w:rsidRDefault="00C37DA5" w:rsidP="00020CFC">
      <w:pPr>
        <w:pStyle w:val="11Bodytext"/>
        <w:tabs>
          <w:tab w:val="clear" w:pos="2212"/>
          <w:tab w:val="num" w:pos="567"/>
        </w:tabs>
        <w:ind w:left="567" w:hanging="567"/>
      </w:pPr>
      <w:r w:rsidRPr="00CA47B9">
        <w:lastRenderedPageBreak/>
        <w:t xml:space="preserve">While this information presents an interesting picture the overall median house prices are skewed slightly by the proportion of each dwelling type being sold. We have therefore analysed more recent house prices by house type to gain a further understanding of the latest dynamics for different within Chichester and the wider comparators. </w:t>
      </w:r>
    </w:p>
    <w:p w:rsidR="00C37DA5" w:rsidRPr="00CA47B9" w:rsidRDefault="00C37DA5" w:rsidP="00BD6C75">
      <w:pPr>
        <w:pStyle w:val="Subheadingbold"/>
        <w:ind w:left="567" w:firstLine="0"/>
      </w:pPr>
      <w:r w:rsidRPr="00CA47B9">
        <w:t>House Price by Type</w:t>
      </w:r>
    </w:p>
    <w:p w:rsidR="00C37DA5" w:rsidRPr="00CA47B9" w:rsidRDefault="00C37DA5" w:rsidP="00020CFC">
      <w:pPr>
        <w:pStyle w:val="11Bodytext"/>
        <w:tabs>
          <w:tab w:val="clear" w:pos="2212"/>
          <w:tab w:val="num" w:pos="567"/>
        </w:tabs>
        <w:ind w:left="567" w:hanging="567"/>
      </w:pPr>
      <w:bookmarkStart w:id="33" w:name="_Toc397074147"/>
      <w:r w:rsidRPr="00CA47B9">
        <w:t xml:space="preserve">We have examined sales data by type of property for the latest full year (2018). As can be seen in Figure </w:t>
      </w:r>
      <w:r w:rsidR="00442CA7">
        <w:t>6</w:t>
      </w:r>
      <w:r w:rsidRPr="00CA47B9">
        <w:t xml:space="preserve"> there is some variance in median house prices across Chichester and the wider comparators. There is a clear split in house prices with detached house prices in Chichester being significantly higher than the other comparator areas. </w:t>
      </w:r>
    </w:p>
    <w:p w:rsidR="00C37DA5" w:rsidRPr="00CA47B9" w:rsidRDefault="00C37DA5" w:rsidP="00020CFC">
      <w:pPr>
        <w:pStyle w:val="11Bodytext"/>
        <w:tabs>
          <w:tab w:val="clear" w:pos="2212"/>
          <w:tab w:val="num" w:pos="567"/>
        </w:tabs>
        <w:ind w:left="567" w:hanging="567"/>
      </w:pPr>
      <w:r w:rsidRPr="00CA47B9">
        <w:t>However, for semi-detached properties, prices in Chichester fall below those across West Sussex as a whole. For flatted properties</w:t>
      </w:r>
      <w:r w:rsidR="00855CA6">
        <w:t>,</w:t>
      </w:r>
      <w:r w:rsidRPr="00CA47B9">
        <w:t xml:space="preserve"> the district </w:t>
      </w:r>
      <w:r w:rsidR="00E05F8B">
        <w:t>is slightly above th</w:t>
      </w:r>
      <w:r w:rsidRPr="00CA47B9">
        <w:t xml:space="preserve">e South East average. </w:t>
      </w:r>
    </w:p>
    <w:p w:rsidR="00C37DA5" w:rsidRPr="00CA47B9" w:rsidRDefault="00C37DA5" w:rsidP="00020CFC">
      <w:pPr>
        <w:pStyle w:val="11Bodytext"/>
        <w:tabs>
          <w:tab w:val="clear" w:pos="2212"/>
          <w:tab w:val="num" w:pos="567"/>
        </w:tabs>
        <w:ind w:left="567" w:hanging="567"/>
      </w:pPr>
      <w:r w:rsidRPr="00CA47B9">
        <w:t>As noted in the qualitative analysis</w:t>
      </w:r>
      <w:r w:rsidR="00307E12">
        <w:t xml:space="preserve"> (see below)</w:t>
      </w:r>
      <w:r w:rsidRPr="00CA47B9">
        <w:t>, there are a disproportionate amount of older restricted age flats in Chichester City that are often difficult to sell and bring the overall average price down.</w:t>
      </w:r>
      <w:bookmarkStart w:id="34" w:name="_Toc399935829"/>
      <w:bookmarkStart w:id="35" w:name="_Toc428202307"/>
      <w:bookmarkStart w:id="36" w:name="_Toc485905640"/>
      <w:r>
        <w:t xml:space="preserve"> However, the data does not record whether sales are </w:t>
      </w:r>
      <w:r w:rsidR="00855CA6">
        <w:t>age-</w:t>
      </w:r>
      <w:r>
        <w:t>restricted or not, therefore it is not possible to fully understand the impact of this type of accommodation.</w:t>
      </w:r>
    </w:p>
    <w:p w:rsidR="00C37DA5" w:rsidRPr="00CA47B9" w:rsidRDefault="00C37DA5" w:rsidP="0092435E">
      <w:pPr>
        <w:pStyle w:val="FigureHeading"/>
        <w:tabs>
          <w:tab w:val="clear" w:pos="794"/>
          <w:tab w:val="clear" w:pos="1843"/>
          <w:tab w:val="left" w:pos="0"/>
        </w:tabs>
        <w:ind w:left="0" w:firstLine="0"/>
      </w:pPr>
      <w:r w:rsidRPr="00CA47B9">
        <w:lastRenderedPageBreak/>
        <w:t>Median House Prices by Local Authority, 201</w:t>
      </w:r>
      <w:bookmarkEnd w:id="33"/>
      <w:bookmarkEnd w:id="34"/>
      <w:bookmarkEnd w:id="35"/>
      <w:bookmarkEnd w:id="36"/>
      <w:r w:rsidRPr="00CA47B9">
        <w:t>8</w:t>
      </w:r>
    </w:p>
    <w:p w:rsidR="00C37DA5" w:rsidRPr="00CA47B9" w:rsidRDefault="00C37DA5" w:rsidP="00A1178F">
      <w:pPr>
        <w:pStyle w:val="Bulletblueplain"/>
        <w:numPr>
          <w:ilvl w:val="0"/>
          <w:numId w:val="0"/>
        </w:numPr>
        <w:rPr>
          <w:rFonts w:asciiTheme="minorHAnsi" w:hAnsiTheme="minorHAnsi" w:cstheme="minorHAnsi"/>
          <w:highlight w:val="yellow"/>
        </w:rPr>
      </w:pPr>
      <w:r w:rsidRPr="00CA47B9">
        <w:rPr>
          <w:noProof/>
          <w:lang w:eastAsia="en-GB"/>
        </w:rPr>
        <w:drawing>
          <wp:inline distT="0" distB="0" distL="0" distR="0" wp14:anchorId="3E826B33" wp14:editId="2C57629D">
            <wp:extent cx="6120000" cy="4914000"/>
            <wp:effectExtent l="0" t="0" r="14605" b="20320"/>
            <wp:docPr id="235" name="Chart 235" descr="Chart and table showing median home prices in Chichester district compared to other areas, organised by type." title="Figure 6: Median House Prices by Local Authority 20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37DA5" w:rsidRPr="00CA47B9" w:rsidRDefault="00C37DA5" w:rsidP="0092435E">
      <w:pPr>
        <w:pStyle w:val="Bulletblueplain"/>
        <w:numPr>
          <w:ilvl w:val="0"/>
          <w:numId w:val="0"/>
        </w:numPr>
      </w:pPr>
      <w:r w:rsidRPr="00CA47B9">
        <w:t>Source: GLH Analysis: Land Registry Price Paid Data</w:t>
      </w:r>
    </w:p>
    <w:p w:rsidR="00307E12" w:rsidRPr="00307E12" w:rsidRDefault="00C37DA5" w:rsidP="00020CFC">
      <w:pPr>
        <w:pStyle w:val="11Bodytext"/>
        <w:tabs>
          <w:tab w:val="clear" w:pos="2212"/>
          <w:tab w:val="num" w:pos="567"/>
        </w:tabs>
        <w:ind w:left="567" w:hanging="567"/>
        <w:rPr>
          <w:b/>
        </w:rPr>
      </w:pPr>
      <w:r w:rsidRPr="00CA47B9">
        <w:t xml:space="preserve">Figure </w:t>
      </w:r>
      <w:r w:rsidR="00442CA7">
        <w:t>7</w:t>
      </w:r>
      <w:r w:rsidRPr="00CA47B9">
        <w:t xml:space="preserve"> shows that there were considerably more detached house sales in Chichester which confirm that these sales </w:t>
      </w:r>
      <w:proofErr w:type="gramStart"/>
      <w:r w:rsidRPr="00CA47B9">
        <w:t xml:space="preserve">drive </w:t>
      </w:r>
      <w:r w:rsidR="00E05F8B">
        <w:t xml:space="preserve"> up</w:t>
      </w:r>
      <w:proofErr w:type="gramEnd"/>
      <w:r w:rsidR="00E05F8B">
        <w:t xml:space="preserve"> </w:t>
      </w:r>
      <w:r w:rsidRPr="00CA47B9">
        <w:t xml:space="preserve">the average house price in the district. </w:t>
      </w:r>
      <w:bookmarkStart w:id="37" w:name="_Toc397074148"/>
      <w:bookmarkStart w:id="38" w:name="_Toc399935830"/>
      <w:bookmarkStart w:id="39" w:name="_Toc428202308"/>
    </w:p>
    <w:p w:rsidR="00C37DA5" w:rsidRPr="00CA47B9" w:rsidRDefault="00C37DA5" w:rsidP="0092435E">
      <w:pPr>
        <w:pStyle w:val="FigureHeading"/>
        <w:tabs>
          <w:tab w:val="clear" w:pos="794"/>
          <w:tab w:val="clear" w:pos="1843"/>
          <w:tab w:val="left" w:pos="0"/>
        </w:tabs>
        <w:ind w:left="0" w:firstLine="0"/>
      </w:pPr>
      <w:bookmarkStart w:id="40" w:name="_Toc485905641"/>
      <w:r w:rsidRPr="00CA47B9">
        <w:lastRenderedPageBreak/>
        <w:t>Sales by Dwelling Type (2018)</w:t>
      </w:r>
      <w:bookmarkEnd w:id="37"/>
      <w:bookmarkEnd w:id="38"/>
      <w:bookmarkEnd w:id="39"/>
      <w:bookmarkEnd w:id="40"/>
    </w:p>
    <w:p w:rsidR="00C37DA5" w:rsidRPr="00CA47B9" w:rsidRDefault="00C37DA5" w:rsidP="00A1178F">
      <w:pPr>
        <w:pStyle w:val="Bodytextwithindent"/>
        <w:keepNext/>
        <w:spacing w:before="0" w:after="0" w:line="240" w:lineRule="auto"/>
        <w:ind w:left="0"/>
        <w:rPr>
          <w:rFonts w:asciiTheme="minorHAnsi" w:hAnsiTheme="minorHAnsi" w:cstheme="minorHAnsi"/>
        </w:rPr>
      </w:pPr>
      <w:r w:rsidRPr="00CA47B9">
        <w:rPr>
          <w:noProof/>
          <w:lang w:eastAsia="en-GB"/>
        </w:rPr>
        <w:drawing>
          <wp:inline distT="0" distB="0" distL="0" distR="0" wp14:anchorId="2F6EE7C5" wp14:editId="4CBE3606">
            <wp:extent cx="6120000" cy="4010400"/>
            <wp:effectExtent l="0" t="0" r="14605" b="9525"/>
            <wp:docPr id="236" name="Chart 236" descr="Chart showing the breakdown of sales by type in Chichester and other geographies." title="Figure 7: Sales by Dwelling Type 20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810503-E0FE-48B6-9B30-D8864A395B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37DA5" w:rsidRPr="00845AAB" w:rsidRDefault="00C37DA5" w:rsidP="0092435E">
      <w:pPr>
        <w:pStyle w:val="Quotetext"/>
        <w:ind w:left="0"/>
      </w:pPr>
      <w:r w:rsidRPr="00845AAB">
        <w:t>Source: GLH Analysis: Land Registry Price Paid Data</w:t>
      </w:r>
    </w:p>
    <w:p w:rsidR="00307E12" w:rsidRPr="00CA47B9" w:rsidRDefault="00307E12" w:rsidP="00020CFC">
      <w:pPr>
        <w:pStyle w:val="11Bodytext"/>
        <w:tabs>
          <w:tab w:val="clear" w:pos="2212"/>
          <w:tab w:val="num" w:pos="567"/>
        </w:tabs>
        <w:ind w:left="567" w:hanging="567"/>
        <w:rPr>
          <w:b/>
        </w:rPr>
      </w:pPr>
      <w:r w:rsidRPr="00CA47B9">
        <w:t>The Cotswolds, Waverley and South Hams are the most comparable local areas which achieved a similar s</w:t>
      </w:r>
      <w:r>
        <w:t>p</w:t>
      </w:r>
      <w:r w:rsidRPr="00CA47B9">
        <w:t xml:space="preserve">lit in sales of detached, semi-detached, terrace and flat dwellings. </w:t>
      </w:r>
    </w:p>
    <w:p w:rsidR="00C37DA5" w:rsidRPr="00CA47B9" w:rsidRDefault="00C37DA5" w:rsidP="00BD6C75">
      <w:pPr>
        <w:pStyle w:val="SubheadBlue12"/>
        <w:ind w:left="567" w:firstLine="0"/>
      </w:pPr>
      <w:r w:rsidRPr="00CA47B9">
        <w:t>Sales Volumes and Effective Demand</w:t>
      </w:r>
    </w:p>
    <w:p w:rsidR="00C37DA5" w:rsidRPr="00CA47B9" w:rsidRDefault="00C37DA5" w:rsidP="00020CFC">
      <w:pPr>
        <w:pStyle w:val="11Bodytext"/>
        <w:tabs>
          <w:tab w:val="clear" w:pos="2212"/>
          <w:tab w:val="num" w:pos="567"/>
        </w:tabs>
        <w:ind w:left="567" w:hanging="567"/>
        <w:rPr>
          <w:color w:val="auto"/>
        </w:rPr>
      </w:pPr>
      <w:r w:rsidRPr="00CA47B9">
        <w:t xml:space="preserve">We have benchmarked sales performance against long-term trends to assess the relative demand for market homes for sale. Figure </w:t>
      </w:r>
      <w:r w:rsidR="00442CA7">
        <w:t xml:space="preserve">8 </w:t>
      </w:r>
      <w:r w:rsidRPr="00CA47B9">
        <w:t xml:space="preserve">benchmarks annual sales over the period 1996 to 2018 against the pre-recession </w:t>
      </w:r>
      <w:r w:rsidRPr="00CA47B9">
        <w:rPr>
          <w:color w:val="auto"/>
        </w:rPr>
        <w:t xml:space="preserve">index. </w:t>
      </w:r>
    </w:p>
    <w:p w:rsidR="00C37DA5" w:rsidRPr="00CA47B9" w:rsidRDefault="00C37DA5" w:rsidP="0092435E">
      <w:pPr>
        <w:pStyle w:val="FigureHeading"/>
        <w:tabs>
          <w:tab w:val="clear" w:pos="794"/>
          <w:tab w:val="clear" w:pos="1843"/>
          <w:tab w:val="left" w:pos="0"/>
        </w:tabs>
        <w:ind w:left="0" w:firstLine="0"/>
      </w:pPr>
      <w:bookmarkStart w:id="41" w:name="_Toc397074146"/>
      <w:bookmarkStart w:id="42" w:name="_Toc399935831"/>
      <w:bookmarkStart w:id="43" w:name="_Toc428202309"/>
      <w:bookmarkStart w:id="44" w:name="_Toc485905642"/>
      <w:r w:rsidRPr="00CA47B9">
        <w:lastRenderedPageBreak/>
        <w:t>Indexed Analysis of Sales Trends, 1996 – 201</w:t>
      </w:r>
      <w:bookmarkEnd w:id="41"/>
      <w:bookmarkEnd w:id="42"/>
      <w:bookmarkEnd w:id="43"/>
      <w:bookmarkEnd w:id="44"/>
      <w:r w:rsidRPr="00CA47B9">
        <w:t>8</w:t>
      </w:r>
    </w:p>
    <w:p w:rsidR="00C37DA5" w:rsidRPr="00CA47B9" w:rsidRDefault="00C37DA5" w:rsidP="00A1178F">
      <w:pPr>
        <w:pStyle w:val="Bulletblueplain"/>
        <w:numPr>
          <w:ilvl w:val="0"/>
          <w:numId w:val="0"/>
        </w:numPr>
        <w:rPr>
          <w:rFonts w:asciiTheme="minorHAnsi" w:hAnsiTheme="minorHAnsi" w:cstheme="minorHAnsi"/>
          <w:highlight w:val="yellow"/>
        </w:rPr>
      </w:pPr>
      <w:r w:rsidRPr="00CA47B9">
        <w:rPr>
          <w:noProof/>
          <w:lang w:eastAsia="en-GB"/>
        </w:rPr>
        <w:drawing>
          <wp:inline distT="0" distB="0" distL="0" distR="0" wp14:anchorId="382B6CA1" wp14:editId="74F33E44">
            <wp:extent cx="6120000" cy="3657600"/>
            <wp:effectExtent l="0" t="0" r="14605" b="19050"/>
            <wp:docPr id="329" name="Chart 329" descr="Chart showing the relative sales volume change over time in Chichester and other geographies." title="Figure 8: Indexed Analysis of Sales Trends 1996-20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37DA5" w:rsidRDefault="00C37DA5" w:rsidP="0092435E">
      <w:pPr>
        <w:pStyle w:val="Bulletblueplain"/>
        <w:numPr>
          <w:ilvl w:val="0"/>
          <w:numId w:val="0"/>
        </w:numPr>
        <w:jc w:val="left"/>
      </w:pPr>
      <w:r w:rsidRPr="00CA47B9">
        <w:t>Source: DCLG Live Tables and Land Registry Price Paid Data</w:t>
      </w:r>
    </w:p>
    <w:p w:rsidR="00442CA7" w:rsidRPr="00CA47B9" w:rsidRDefault="00442CA7" w:rsidP="00020CFC">
      <w:pPr>
        <w:pStyle w:val="11Bodytext"/>
        <w:tabs>
          <w:tab w:val="clear" w:pos="2212"/>
          <w:tab w:val="num" w:pos="567"/>
        </w:tabs>
        <w:ind w:left="567" w:hanging="567"/>
      </w:pPr>
      <w:r w:rsidRPr="00CA47B9">
        <w:t>As illustrated sales volumes across all geographies experienced a significant drop between 2007 and 2008. During 2008-2012, the recovery in sales volumes was very modest. Since 2013, there has been a gradual growth in sales trends, with a steep increase for West Sussex in 2015 when compared to the other areas.</w:t>
      </w:r>
    </w:p>
    <w:p w:rsidR="00442CA7" w:rsidRPr="00CA47B9" w:rsidRDefault="00442CA7" w:rsidP="00020CFC">
      <w:pPr>
        <w:pStyle w:val="11Bodytext"/>
        <w:tabs>
          <w:tab w:val="clear" w:pos="2212"/>
          <w:tab w:val="num" w:pos="567"/>
        </w:tabs>
        <w:ind w:left="567" w:hanging="567"/>
      </w:pPr>
      <w:r w:rsidRPr="00CA47B9">
        <w:t xml:space="preserve">By 2016, sales volumes in Chichester had recovered to around 90% of their pre-recession levels. This is a slight fall from the previous year when the pre-recession level was exceeded. This trend was also seen nationally indicating similarities within the region and in Chichester and the influence of macro-economic dynamics on sales volumes at a local level. </w:t>
      </w:r>
    </w:p>
    <w:p w:rsidR="00442CA7" w:rsidRPr="00CA47B9" w:rsidRDefault="00442CA7" w:rsidP="00020CFC">
      <w:pPr>
        <w:pStyle w:val="11Bodytext"/>
        <w:tabs>
          <w:tab w:val="clear" w:pos="2212"/>
          <w:tab w:val="num" w:pos="567"/>
        </w:tabs>
        <w:ind w:left="567" w:hanging="567"/>
      </w:pPr>
      <w:r w:rsidRPr="00CA47B9">
        <w:t xml:space="preserve">In the year to 2017, sales volumes severely dropped in West Sussex and other geographies also experienced a slight decrease. The 12 months to 2018 saw a relative increase in sales volumes across all geographies. </w:t>
      </w:r>
    </w:p>
    <w:p w:rsidR="00C37DA5" w:rsidRPr="00CA47B9" w:rsidRDefault="00C37DA5" w:rsidP="00BD6C75">
      <w:pPr>
        <w:pStyle w:val="SubheadBlue12"/>
        <w:ind w:left="567" w:firstLine="0"/>
      </w:pPr>
      <w:bookmarkStart w:id="45" w:name="_Hlk27760233"/>
      <w:r w:rsidRPr="00CA47B9">
        <w:lastRenderedPageBreak/>
        <w:t xml:space="preserve">Rental Trends </w:t>
      </w:r>
    </w:p>
    <w:p w:rsidR="00C37DA5" w:rsidRPr="00CA47B9" w:rsidRDefault="00C37DA5" w:rsidP="00020CFC">
      <w:pPr>
        <w:pStyle w:val="11Bodytext"/>
        <w:tabs>
          <w:tab w:val="clear" w:pos="2212"/>
          <w:tab w:val="num" w:pos="567"/>
        </w:tabs>
        <w:ind w:left="567" w:hanging="567"/>
        <w:rPr>
          <w:b/>
        </w:rPr>
      </w:pPr>
      <w:r w:rsidRPr="00CA47B9">
        <w:t>Mean average private rents in Chichester (£975 per calendar month (pcm)) are slightly lower than the regional average (£984 pcm) but notably higher the national average (£839 pcm).</w:t>
      </w:r>
      <w:bookmarkStart w:id="46" w:name="_Toc399936051"/>
      <w:r w:rsidRPr="00CA47B9">
        <w:t xml:space="preserve"> </w:t>
      </w:r>
    </w:p>
    <w:p w:rsidR="00C37DA5" w:rsidRPr="00CA47B9" w:rsidRDefault="00C37DA5" w:rsidP="00020CFC">
      <w:pPr>
        <w:pStyle w:val="11Bodytext"/>
        <w:tabs>
          <w:tab w:val="clear" w:pos="2212"/>
          <w:tab w:val="num" w:pos="567"/>
        </w:tabs>
        <w:ind w:left="567" w:hanging="567"/>
        <w:rPr>
          <w:rStyle w:val="11BodytextChar"/>
          <w:b/>
          <w:bCs/>
        </w:rPr>
      </w:pPr>
      <w:r w:rsidRPr="00CA47B9">
        <w:rPr>
          <w:rStyle w:val="11BodytextChar"/>
        </w:rPr>
        <w:t xml:space="preserve">Median </w:t>
      </w:r>
      <w:r w:rsidRPr="00020CFC">
        <w:rPr>
          <w:bCs w:val="0"/>
        </w:rPr>
        <w:t>rents</w:t>
      </w:r>
      <w:r w:rsidRPr="00CA47B9">
        <w:rPr>
          <w:rStyle w:val="11BodytextChar"/>
        </w:rPr>
        <w:t xml:space="preserve"> in the District (£895 pcm) are higher than both the regional (£850 pcm) and national figure (£650 pcm).</w:t>
      </w:r>
    </w:p>
    <w:p w:rsidR="00C37DA5" w:rsidRPr="00CA47B9" w:rsidRDefault="00C37DA5" w:rsidP="00020CFC">
      <w:pPr>
        <w:pStyle w:val="11Bodytext"/>
        <w:tabs>
          <w:tab w:val="clear" w:pos="2212"/>
          <w:tab w:val="num" w:pos="567"/>
        </w:tabs>
        <w:ind w:left="567" w:hanging="567"/>
        <w:rPr>
          <w:rStyle w:val="11BodytextChar"/>
          <w:b/>
        </w:rPr>
      </w:pPr>
      <w:r w:rsidRPr="00CA47B9">
        <w:t xml:space="preserve">As shown in Table </w:t>
      </w:r>
      <w:r w:rsidR="00CA6EFA">
        <w:t>3</w:t>
      </w:r>
      <w:r w:rsidRPr="00CA47B9">
        <w:t xml:space="preserve">, in comparison to Cotswold District, Chichester has a lower mean average rent but a higher median average. </w:t>
      </w:r>
      <w:r w:rsidRPr="00CA47B9">
        <w:rPr>
          <w:rStyle w:val="11BodytextChar"/>
        </w:rPr>
        <w:t xml:space="preserve">As with house sales, these differentials are influenced by the balance of property transactions by size. </w:t>
      </w:r>
    </w:p>
    <w:p w:rsidR="00C37DA5" w:rsidRPr="00CA47B9" w:rsidRDefault="00C37DA5" w:rsidP="0092435E">
      <w:pPr>
        <w:pStyle w:val="Tableheading"/>
        <w:tabs>
          <w:tab w:val="clear" w:pos="794"/>
          <w:tab w:val="clear" w:pos="1843"/>
          <w:tab w:val="left" w:pos="0"/>
        </w:tabs>
        <w:ind w:left="0" w:firstLine="0"/>
      </w:pPr>
      <w:bookmarkStart w:id="47" w:name="_Toc428202402"/>
      <w:bookmarkStart w:id="48" w:name="_Toc485905656"/>
      <w:bookmarkStart w:id="49" w:name="_Hlk20844247"/>
      <w:r w:rsidRPr="00CA47B9">
        <w:t>Average and Median Rental Prices (September 2018)</w:t>
      </w:r>
      <w:bookmarkEnd w:id="46"/>
      <w:bookmarkEnd w:id="47"/>
      <w:bookmarkEnd w:id="48"/>
    </w:p>
    <w:tbl>
      <w:tblPr>
        <w:tblStyle w:val="GLHearntable1"/>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3: Average and Median Rental Prices September 2018"/>
      </w:tblPr>
      <w:tblGrid>
        <w:gridCol w:w="4053"/>
        <w:gridCol w:w="2844"/>
        <w:gridCol w:w="2842"/>
      </w:tblGrid>
      <w:tr w:rsidR="00C37DA5" w:rsidRPr="00845AAB" w:rsidTr="00D339A0">
        <w:trPr>
          <w:cnfStyle w:val="100000000000" w:firstRow="1" w:lastRow="0" w:firstColumn="0" w:lastColumn="0" w:oddVBand="0" w:evenVBand="0" w:oddHBand="0" w:evenHBand="0" w:firstRowFirstColumn="0" w:firstRowLastColumn="0" w:lastRowFirstColumn="0" w:lastRowLastColumn="0"/>
          <w:trHeight w:val="578"/>
          <w:tblHeader/>
        </w:trPr>
        <w:tc>
          <w:tcPr>
            <w:cnfStyle w:val="001000000000" w:firstRow="0" w:lastRow="0" w:firstColumn="1" w:lastColumn="0" w:oddVBand="0" w:evenVBand="0" w:oddHBand="0" w:evenHBand="0" w:firstRowFirstColumn="0" w:firstRowLastColumn="0" w:lastRowFirstColumn="0" w:lastRowLastColumn="0"/>
            <w:tcW w:w="2081" w:type="pct"/>
            <w:tcBorders>
              <w:bottom w:val="single" w:sz="4" w:space="0" w:color="auto"/>
            </w:tcBorders>
            <w:noWrap/>
          </w:tcPr>
          <w:p w:rsidR="00C37DA5" w:rsidRPr="00845AAB" w:rsidRDefault="00C37DA5" w:rsidP="00845AAB">
            <w:pPr>
              <w:pStyle w:val="TableBodytext"/>
              <w:keepNext/>
              <w:spacing w:before="0" w:after="0" w:line="240" w:lineRule="auto"/>
              <w:rPr>
                <w:rFonts w:asciiTheme="minorHAnsi" w:hAnsiTheme="minorHAnsi" w:cstheme="minorHAnsi"/>
                <w:b w:val="0"/>
                <w:bCs/>
                <w:sz w:val="24"/>
                <w:szCs w:val="24"/>
              </w:rPr>
            </w:pPr>
            <w:r w:rsidRPr="00845AAB">
              <w:rPr>
                <w:rFonts w:asciiTheme="minorHAnsi" w:hAnsiTheme="minorHAnsi" w:cstheme="minorHAnsi"/>
                <w:b w:val="0"/>
                <w:bCs/>
                <w:sz w:val="24"/>
                <w:szCs w:val="24"/>
              </w:rPr>
              <w:t>Area</w:t>
            </w:r>
          </w:p>
        </w:tc>
        <w:tc>
          <w:tcPr>
            <w:tcW w:w="1460" w:type="pct"/>
            <w:tcBorders>
              <w:bottom w:val="single" w:sz="4" w:space="0" w:color="auto"/>
            </w:tcBorders>
          </w:tcPr>
          <w:p w:rsidR="00C37DA5" w:rsidRPr="00845AAB" w:rsidRDefault="00C37DA5" w:rsidP="00845AAB">
            <w:pPr>
              <w:pStyle w:val="TableBodytext"/>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sz w:val="24"/>
                <w:szCs w:val="24"/>
              </w:rPr>
            </w:pPr>
            <w:r w:rsidRPr="00845AAB">
              <w:rPr>
                <w:rFonts w:asciiTheme="minorHAnsi" w:hAnsiTheme="minorHAnsi" w:cstheme="minorHAnsi"/>
                <w:b w:val="0"/>
                <w:bCs/>
                <w:sz w:val="24"/>
                <w:szCs w:val="24"/>
              </w:rPr>
              <w:t>Mean Average Rent</w:t>
            </w:r>
          </w:p>
          <w:p w:rsidR="00C37DA5" w:rsidRPr="00845AAB" w:rsidRDefault="00C37DA5" w:rsidP="00845AAB">
            <w:pPr>
              <w:pStyle w:val="TableBodytext"/>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sz w:val="24"/>
                <w:szCs w:val="24"/>
              </w:rPr>
            </w:pPr>
            <w:r w:rsidRPr="00845AAB">
              <w:rPr>
                <w:rFonts w:asciiTheme="minorHAnsi" w:hAnsiTheme="minorHAnsi" w:cstheme="minorHAnsi"/>
                <w:b w:val="0"/>
                <w:bCs/>
                <w:sz w:val="24"/>
                <w:szCs w:val="24"/>
              </w:rPr>
              <w:t>(p.c.m.)</w:t>
            </w:r>
          </w:p>
        </w:tc>
        <w:tc>
          <w:tcPr>
            <w:tcW w:w="1459" w:type="pct"/>
            <w:tcBorders>
              <w:bottom w:val="single" w:sz="4" w:space="0" w:color="auto"/>
            </w:tcBorders>
            <w:noWrap/>
          </w:tcPr>
          <w:p w:rsidR="00C37DA5" w:rsidRPr="00845AAB" w:rsidRDefault="00C37DA5" w:rsidP="00845AAB">
            <w:pPr>
              <w:pStyle w:val="TableBodytext"/>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sz w:val="24"/>
                <w:szCs w:val="24"/>
              </w:rPr>
            </w:pPr>
            <w:r w:rsidRPr="00845AAB">
              <w:rPr>
                <w:rFonts w:asciiTheme="minorHAnsi" w:hAnsiTheme="minorHAnsi" w:cstheme="minorHAnsi"/>
                <w:b w:val="0"/>
                <w:bCs/>
                <w:sz w:val="24"/>
                <w:szCs w:val="24"/>
              </w:rPr>
              <w:t>Median Rent</w:t>
            </w:r>
          </w:p>
          <w:p w:rsidR="00C37DA5" w:rsidRPr="00845AAB" w:rsidRDefault="00C37DA5" w:rsidP="00845AAB">
            <w:pPr>
              <w:pStyle w:val="TableBodytext"/>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sz w:val="24"/>
                <w:szCs w:val="24"/>
              </w:rPr>
            </w:pPr>
            <w:r w:rsidRPr="00845AAB">
              <w:rPr>
                <w:rFonts w:asciiTheme="minorHAnsi" w:hAnsiTheme="minorHAnsi" w:cstheme="minorHAnsi"/>
                <w:b w:val="0"/>
                <w:bCs/>
                <w:sz w:val="24"/>
                <w:szCs w:val="24"/>
              </w:rPr>
              <w:t>(p.c.m.)</w:t>
            </w:r>
          </w:p>
        </w:tc>
      </w:tr>
      <w:tr w:rsidR="00C37DA5" w:rsidRPr="00845AAB" w:rsidTr="00D339A0">
        <w:trPr>
          <w:trHeight w:val="276"/>
        </w:trPr>
        <w:tc>
          <w:tcPr>
            <w:cnfStyle w:val="001000000000" w:firstRow="0" w:lastRow="0" w:firstColumn="1" w:lastColumn="0" w:oddVBand="0" w:evenVBand="0" w:oddHBand="0" w:evenHBand="0" w:firstRowFirstColumn="0" w:firstRowLastColumn="0" w:lastRowFirstColumn="0" w:lastRowLastColumn="0"/>
            <w:tcW w:w="2081" w:type="pct"/>
            <w:tcBorders>
              <w:top w:val="single" w:sz="4" w:space="0" w:color="auto"/>
              <w:bottom w:val="single" w:sz="4" w:space="0" w:color="auto"/>
              <w:right w:val="single" w:sz="4" w:space="0" w:color="auto"/>
            </w:tcBorders>
            <w:noWrap/>
          </w:tcPr>
          <w:p w:rsidR="00C37DA5" w:rsidRPr="00845AAB" w:rsidRDefault="00C37DA5" w:rsidP="00845AAB">
            <w:pPr>
              <w:pStyle w:val="TableBodytext"/>
              <w:keepNext/>
              <w:spacing w:before="0" w:after="0" w:line="240" w:lineRule="auto"/>
              <w:rPr>
                <w:rFonts w:asciiTheme="minorHAnsi" w:hAnsiTheme="minorHAnsi" w:cstheme="minorHAnsi"/>
                <w:color w:val="000000"/>
                <w:sz w:val="24"/>
                <w:szCs w:val="24"/>
              </w:rPr>
            </w:pPr>
            <w:r w:rsidRPr="00845AAB">
              <w:rPr>
                <w:rFonts w:asciiTheme="minorHAnsi" w:hAnsiTheme="minorHAnsi" w:cstheme="minorHAnsi"/>
                <w:color w:val="000000"/>
                <w:sz w:val="24"/>
                <w:szCs w:val="24"/>
              </w:rPr>
              <w:t>Chichester District</w:t>
            </w:r>
          </w:p>
        </w:tc>
        <w:tc>
          <w:tcPr>
            <w:tcW w:w="14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7DA5" w:rsidRPr="00845AAB" w:rsidRDefault="00C37DA5" w:rsidP="00845AAB">
            <w:pPr>
              <w:pStyle w:val="TableBodytext"/>
              <w:keepNext/>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highlight w:val="yellow"/>
              </w:rPr>
            </w:pPr>
            <w:r w:rsidRPr="00845AAB">
              <w:rPr>
                <w:b/>
                <w:bCs/>
                <w:color w:val="000000"/>
                <w:sz w:val="24"/>
                <w:szCs w:val="24"/>
              </w:rPr>
              <w:t>£927</w:t>
            </w:r>
          </w:p>
        </w:tc>
        <w:tc>
          <w:tcPr>
            <w:tcW w:w="14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37DA5" w:rsidRPr="00845AAB" w:rsidRDefault="00C37DA5" w:rsidP="00845AAB">
            <w:pPr>
              <w:pStyle w:val="TableBodytext"/>
              <w:keepNext/>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highlight w:val="yellow"/>
              </w:rPr>
            </w:pPr>
            <w:r w:rsidRPr="00845AAB">
              <w:rPr>
                <w:b/>
                <w:bCs/>
                <w:color w:val="000000"/>
                <w:sz w:val="24"/>
                <w:szCs w:val="24"/>
              </w:rPr>
              <w:t>£851</w:t>
            </w:r>
          </w:p>
        </w:tc>
      </w:tr>
      <w:tr w:rsidR="00C37DA5" w:rsidRPr="00845AAB" w:rsidTr="00D339A0">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081" w:type="pct"/>
            <w:tcBorders>
              <w:top w:val="single" w:sz="4" w:space="0" w:color="auto"/>
              <w:bottom w:val="single" w:sz="4" w:space="0" w:color="auto"/>
              <w:right w:val="single" w:sz="4" w:space="0" w:color="auto"/>
            </w:tcBorders>
            <w:shd w:val="clear" w:color="auto" w:fill="auto"/>
            <w:noWrap/>
          </w:tcPr>
          <w:p w:rsidR="00C37DA5" w:rsidRPr="00845AAB" w:rsidRDefault="00C37DA5" w:rsidP="00845AAB">
            <w:pPr>
              <w:pStyle w:val="TableBodytext"/>
              <w:keepNext/>
              <w:spacing w:before="0" w:after="0" w:line="240" w:lineRule="auto"/>
              <w:rPr>
                <w:rFonts w:asciiTheme="minorHAnsi" w:hAnsiTheme="minorHAnsi" w:cstheme="minorHAnsi"/>
                <w:b w:val="0"/>
                <w:color w:val="000000"/>
                <w:sz w:val="24"/>
                <w:szCs w:val="24"/>
              </w:rPr>
            </w:pPr>
            <w:r w:rsidRPr="00845AAB">
              <w:rPr>
                <w:rFonts w:asciiTheme="minorHAnsi" w:hAnsiTheme="minorHAnsi" w:cstheme="minorHAnsi"/>
                <w:b w:val="0"/>
                <w:color w:val="000000"/>
                <w:sz w:val="24"/>
                <w:szCs w:val="24"/>
              </w:rPr>
              <w:t>Arun</w:t>
            </w:r>
          </w:p>
        </w:tc>
        <w:tc>
          <w:tcPr>
            <w:tcW w:w="14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7DA5" w:rsidRPr="00845AAB" w:rsidRDefault="00C37DA5" w:rsidP="00845AAB">
            <w:pPr>
              <w:pStyle w:val="TableBodytext"/>
              <w:keepNext/>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highlight w:val="yellow"/>
              </w:rPr>
            </w:pPr>
            <w:r w:rsidRPr="00845AAB">
              <w:rPr>
                <w:color w:val="000000"/>
                <w:sz w:val="24"/>
                <w:szCs w:val="24"/>
              </w:rPr>
              <w:t>£816</w:t>
            </w:r>
          </w:p>
        </w:tc>
        <w:tc>
          <w:tcPr>
            <w:tcW w:w="14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37DA5" w:rsidRPr="00845AAB" w:rsidRDefault="00C37DA5" w:rsidP="00845AAB">
            <w:pPr>
              <w:pStyle w:val="TableBodytext"/>
              <w:keepNext/>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highlight w:val="yellow"/>
              </w:rPr>
            </w:pPr>
            <w:r w:rsidRPr="00845AAB">
              <w:rPr>
                <w:color w:val="000000"/>
                <w:sz w:val="24"/>
                <w:szCs w:val="24"/>
              </w:rPr>
              <w:t>£775</w:t>
            </w:r>
          </w:p>
        </w:tc>
      </w:tr>
      <w:tr w:rsidR="00C37DA5" w:rsidRPr="00845AAB" w:rsidTr="00D339A0">
        <w:trPr>
          <w:trHeight w:val="289"/>
        </w:trPr>
        <w:tc>
          <w:tcPr>
            <w:cnfStyle w:val="001000000000" w:firstRow="0" w:lastRow="0" w:firstColumn="1" w:lastColumn="0" w:oddVBand="0" w:evenVBand="0" w:oddHBand="0" w:evenHBand="0" w:firstRowFirstColumn="0" w:firstRowLastColumn="0" w:lastRowFirstColumn="0" w:lastRowLastColumn="0"/>
            <w:tcW w:w="2081" w:type="pct"/>
            <w:tcBorders>
              <w:top w:val="single" w:sz="4" w:space="0" w:color="auto"/>
              <w:bottom w:val="single" w:sz="4" w:space="0" w:color="auto"/>
              <w:right w:val="single" w:sz="4" w:space="0" w:color="auto"/>
            </w:tcBorders>
            <w:noWrap/>
          </w:tcPr>
          <w:p w:rsidR="00C37DA5" w:rsidRPr="00845AAB" w:rsidRDefault="00C37DA5" w:rsidP="00845AAB">
            <w:pPr>
              <w:pStyle w:val="TableBodytext"/>
              <w:keepNext/>
              <w:spacing w:before="0" w:after="0" w:line="240" w:lineRule="auto"/>
              <w:rPr>
                <w:rFonts w:asciiTheme="minorHAnsi" w:hAnsiTheme="minorHAnsi" w:cstheme="minorHAnsi"/>
                <w:b w:val="0"/>
                <w:color w:val="000000"/>
                <w:sz w:val="24"/>
                <w:szCs w:val="24"/>
              </w:rPr>
            </w:pPr>
            <w:r w:rsidRPr="00845AAB">
              <w:rPr>
                <w:rFonts w:asciiTheme="minorHAnsi" w:hAnsiTheme="minorHAnsi" w:cstheme="minorHAnsi"/>
                <w:b w:val="0"/>
                <w:color w:val="000000"/>
                <w:sz w:val="24"/>
                <w:szCs w:val="24"/>
              </w:rPr>
              <w:t>Cotswold</w:t>
            </w:r>
          </w:p>
        </w:tc>
        <w:tc>
          <w:tcPr>
            <w:tcW w:w="14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7DA5" w:rsidRPr="00845AAB" w:rsidRDefault="00C37DA5" w:rsidP="00845AAB">
            <w:pPr>
              <w:pStyle w:val="TableBodytext"/>
              <w:keepNext/>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highlight w:val="yellow"/>
              </w:rPr>
            </w:pPr>
            <w:r w:rsidRPr="00845AAB">
              <w:rPr>
                <w:color w:val="000000"/>
                <w:sz w:val="24"/>
                <w:szCs w:val="24"/>
              </w:rPr>
              <w:t>£948</w:t>
            </w:r>
          </w:p>
        </w:tc>
        <w:tc>
          <w:tcPr>
            <w:tcW w:w="14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37DA5" w:rsidRPr="00845AAB" w:rsidRDefault="00C37DA5" w:rsidP="00845AAB">
            <w:pPr>
              <w:pStyle w:val="TableBodytext"/>
              <w:keepNext/>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highlight w:val="yellow"/>
              </w:rPr>
            </w:pPr>
            <w:r w:rsidRPr="00845AAB">
              <w:rPr>
                <w:color w:val="000000"/>
                <w:sz w:val="24"/>
                <w:szCs w:val="24"/>
              </w:rPr>
              <w:t>£825</w:t>
            </w:r>
          </w:p>
        </w:tc>
      </w:tr>
      <w:tr w:rsidR="00C37DA5" w:rsidRPr="00845AAB" w:rsidTr="00D339A0">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081" w:type="pct"/>
            <w:tcBorders>
              <w:top w:val="single" w:sz="4" w:space="0" w:color="auto"/>
              <w:bottom w:val="single" w:sz="4" w:space="0" w:color="auto"/>
              <w:right w:val="single" w:sz="4" w:space="0" w:color="auto"/>
            </w:tcBorders>
            <w:shd w:val="clear" w:color="auto" w:fill="auto"/>
            <w:noWrap/>
          </w:tcPr>
          <w:p w:rsidR="00C37DA5" w:rsidRPr="00845AAB" w:rsidRDefault="00C37DA5" w:rsidP="00845AAB">
            <w:pPr>
              <w:pStyle w:val="TableBodytext"/>
              <w:keepNext/>
              <w:spacing w:before="0" w:after="0" w:line="240" w:lineRule="auto"/>
              <w:rPr>
                <w:rFonts w:asciiTheme="minorHAnsi" w:hAnsiTheme="minorHAnsi" w:cstheme="minorHAnsi"/>
                <w:b w:val="0"/>
                <w:color w:val="000000"/>
                <w:sz w:val="24"/>
                <w:szCs w:val="24"/>
              </w:rPr>
            </w:pPr>
            <w:r w:rsidRPr="00845AAB">
              <w:rPr>
                <w:rFonts w:asciiTheme="minorHAnsi" w:hAnsiTheme="minorHAnsi" w:cstheme="minorHAnsi"/>
                <w:b w:val="0"/>
                <w:color w:val="000000"/>
                <w:sz w:val="24"/>
                <w:szCs w:val="24"/>
              </w:rPr>
              <w:t>West Dorset</w:t>
            </w:r>
          </w:p>
        </w:tc>
        <w:tc>
          <w:tcPr>
            <w:tcW w:w="14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7DA5" w:rsidRPr="00845AAB" w:rsidRDefault="00C37DA5" w:rsidP="00845AAB">
            <w:pPr>
              <w:pStyle w:val="TableBodytext"/>
              <w:keepNext/>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highlight w:val="yellow"/>
              </w:rPr>
            </w:pPr>
            <w:r w:rsidRPr="00845AAB">
              <w:rPr>
                <w:color w:val="000000"/>
                <w:sz w:val="24"/>
                <w:szCs w:val="24"/>
              </w:rPr>
              <w:t>£810</w:t>
            </w:r>
          </w:p>
        </w:tc>
        <w:tc>
          <w:tcPr>
            <w:tcW w:w="14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37DA5" w:rsidRPr="00845AAB" w:rsidRDefault="00C37DA5" w:rsidP="00845AAB">
            <w:pPr>
              <w:pStyle w:val="TableBodytext"/>
              <w:keepNext/>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highlight w:val="yellow"/>
              </w:rPr>
            </w:pPr>
            <w:r w:rsidRPr="00845AAB">
              <w:rPr>
                <w:color w:val="000000"/>
                <w:sz w:val="24"/>
                <w:szCs w:val="24"/>
              </w:rPr>
              <w:t>£750</w:t>
            </w:r>
          </w:p>
        </w:tc>
      </w:tr>
      <w:tr w:rsidR="00C37DA5" w:rsidRPr="00845AAB" w:rsidTr="00D339A0">
        <w:trPr>
          <w:trHeight w:val="289"/>
        </w:trPr>
        <w:tc>
          <w:tcPr>
            <w:cnfStyle w:val="001000000000" w:firstRow="0" w:lastRow="0" w:firstColumn="1" w:lastColumn="0" w:oddVBand="0" w:evenVBand="0" w:oddHBand="0" w:evenHBand="0" w:firstRowFirstColumn="0" w:firstRowLastColumn="0" w:lastRowFirstColumn="0" w:lastRowLastColumn="0"/>
            <w:tcW w:w="2081" w:type="pct"/>
            <w:tcBorders>
              <w:top w:val="single" w:sz="4" w:space="0" w:color="auto"/>
              <w:bottom w:val="single" w:sz="4" w:space="0" w:color="auto"/>
              <w:right w:val="single" w:sz="4" w:space="0" w:color="auto"/>
            </w:tcBorders>
            <w:noWrap/>
          </w:tcPr>
          <w:p w:rsidR="00C37DA5" w:rsidRPr="00845AAB" w:rsidRDefault="00C37DA5" w:rsidP="00845AAB">
            <w:pPr>
              <w:pStyle w:val="TableBodytext"/>
              <w:keepNext/>
              <w:spacing w:before="0" w:after="0" w:line="240" w:lineRule="auto"/>
              <w:rPr>
                <w:rFonts w:asciiTheme="minorHAnsi" w:hAnsiTheme="minorHAnsi" w:cstheme="minorHAnsi"/>
                <w:b w:val="0"/>
                <w:color w:val="000000"/>
                <w:sz w:val="24"/>
                <w:szCs w:val="24"/>
              </w:rPr>
            </w:pPr>
            <w:r w:rsidRPr="00845AAB">
              <w:rPr>
                <w:rFonts w:asciiTheme="minorHAnsi" w:hAnsiTheme="minorHAnsi" w:cstheme="minorHAnsi"/>
                <w:b w:val="0"/>
                <w:color w:val="000000"/>
                <w:sz w:val="24"/>
                <w:szCs w:val="24"/>
              </w:rPr>
              <w:t>Chichester and Bognor HMA</w:t>
            </w:r>
          </w:p>
        </w:tc>
        <w:tc>
          <w:tcPr>
            <w:tcW w:w="14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7DA5" w:rsidRPr="00845AAB" w:rsidRDefault="00C37DA5" w:rsidP="00845AAB">
            <w:pPr>
              <w:pStyle w:val="TableBodytext"/>
              <w:keepNext/>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highlight w:val="yellow"/>
              </w:rPr>
            </w:pPr>
            <w:r w:rsidRPr="00845AAB">
              <w:rPr>
                <w:color w:val="000000"/>
                <w:sz w:val="24"/>
                <w:szCs w:val="24"/>
              </w:rPr>
              <w:t>£872</w:t>
            </w:r>
          </w:p>
        </w:tc>
        <w:tc>
          <w:tcPr>
            <w:tcW w:w="14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37DA5" w:rsidRPr="00845AAB" w:rsidRDefault="00C37DA5" w:rsidP="00845AAB">
            <w:pPr>
              <w:pStyle w:val="TableBodytext"/>
              <w:keepNext/>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highlight w:val="yellow"/>
              </w:rPr>
            </w:pPr>
            <w:r w:rsidRPr="00845AAB">
              <w:rPr>
                <w:color w:val="000000"/>
                <w:sz w:val="24"/>
                <w:szCs w:val="24"/>
              </w:rPr>
              <w:t>£813</w:t>
            </w:r>
          </w:p>
        </w:tc>
      </w:tr>
      <w:tr w:rsidR="00C37DA5" w:rsidRPr="00845AAB" w:rsidTr="00D339A0">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081" w:type="pct"/>
            <w:tcBorders>
              <w:top w:val="single" w:sz="4" w:space="0" w:color="auto"/>
              <w:bottom w:val="single" w:sz="4" w:space="0" w:color="auto"/>
              <w:right w:val="single" w:sz="4" w:space="0" w:color="auto"/>
            </w:tcBorders>
            <w:shd w:val="clear" w:color="auto" w:fill="auto"/>
            <w:noWrap/>
          </w:tcPr>
          <w:p w:rsidR="00C37DA5" w:rsidRPr="00845AAB" w:rsidRDefault="00C37DA5" w:rsidP="00845AAB">
            <w:pPr>
              <w:pStyle w:val="TableBodytext"/>
              <w:keepNext/>
              <w:spacing w:before="0" w:after="0" w:line="240" w:lineRule="auto"/>
              <w:rPr>
                <w:rFonts w:asciiTheme="minorHAnsi" w:hAnsiTheme="minorHAnsi" w:cstheme="minorHAnsi"/>
                <w:b w:val="0"/>
                <w:color w:val="000000"/>
                <w:sz w:val="24"/>
                <w:szCs w:val="24"/>
              </w:rPr>
            </w:pPr>
            <w:r w:rsidRPr="00845AAB">
              <w:rPr>
                <w:rFonts w:asciiTheme="minorHAnsi" w:hAnsiTheme="minorHAnsi" w:cstheme="minorHAnsi"/>
                <w:b w:val="0"/>
                <w:color w:val="000000"/>
                <w:sz w:val="24"/>
                <w:szCs w:val="24"/>
              </w:rPr>
              <w:t>West Sussex</w:t>
            </w:r>
          </w:p>
        </w:tc>
        <w:tc>
          <w:tcPr>
            <w:tcW w:w="14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7DA5" w:rsidRPr="00845AAB" w:rsidRDefault="00C37DA5" w:rsidP="00845AAB">
            <w:pPr>
              <w:pStyle w:val="TableBodytext"/>
              <w:keepNext/>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highlight w:val="yellow"/>
              </w:rPr>
            </w:pPr>
            <w:r w:rsidRPr="00845AAB">
              <w:rPr>
                <w:color w:val="000000"/>
                <w:sz w:val="24"/>
                <w:szCs w:val="24"/>
              </w:rPr>
              <w:t>£929</w:t>
            </w:r>
          </w:p>
        </w:tc>
        <w:tc>
          <w:tcPr>
            <w:tcW w:w="14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37DA5" w:rsidRPr="00845AAB" w:rsidRDefault="00C37DA5" w:rsidP="00845AAB">
            <w:pPr>
              <w:pStyle w:val="TableBodytext"/>
              <w:keepNext/>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highlight w:val="yellow"/>
              </w:rPr>
            </w:pPr>
            <w:r w:rsidRPr="00845AAB">
              <w:rPr>
                <w:color w:val="000000"/>
                <w:sz w:val="24"/>
                <w:szCs w:val="24"/>
              </w:rPr>
              <w:t>£875</w:t>
            </w:r>
          </w:p>
        </w:tc>
      </w:tr>
      <w:tr w:rsidR="00C37DA5" w:rsidRPr="00845AAB" w:rsidTr="00D339A0">
        <w:trPr>
          <w:trHeight w:val="276"/>
        </w:trPr>
        <w:tc>
          <w:tcPr>
            <w:cnfStyle w:val="001000000000" w:firstRow="0" w:lastRow="0" w:firstColumn="1" w:lastColumn="0" w:oddVBand="0" w:evenVBand="0" w:oddHBand="0" w:evenHBand="0" w:firstRowFirstColumn="0" w:firstRowLastColumn="0" w:lastRowFirstColumn="0" w:lastRowLastColumn="0"/>
            <w:tcW w:w="2081" w:type="pct"/>
            <w:tcBorders>
              <w:top w:val="single" w:sz="4" w:space="0" w:color="auto"/>
              <w:bottom w:val="single" w:sz="4" w:space="0" w:color="auto"/>
              <w:right w:val="single" w:sz="4" w:space="0" w:color="auto"/>
            </w:tcBorders>
            <w:noWrap/>
          </w:tcPr>
          <w:p w:rsidR="00C37DA5" w:rsidRPr="00845AAB" w:rsidRDefault="00C37DA5" w:rsidP="00845AAB">
            <w:pPr>
              <w:pStyle w:val="TableBodytext"/>
              <w:keepNext/>
              <w:spacing w:before="0" w:after="0" w:line="240" w:lineRule="auto"/>
              <w:rPr>
                <w:rFonts w:asciiTheme="minorHAnsi" w:hAnsiTheme="minorHAnsi" w:cstheme="minorHAnsi"/>
                <w:b w:val="0"/>
                <w:sz w:val="24"/>
                <w:szCs w:val="24"/>
              </w:rPr>
            </w:pPr>
            <w:r w:rsidRPr="00845AAB">
              <w:rPr>
                <w:rFonts w:asciiTheme="minorHAnsi" w:hAnsiTheme="minorHAnsi" w:cstheme="minorHAnsi"/>
                <w:b w:val="0"/>
                <w:sz w:val="24"/>
                <w:szCs w:val="24"/>
              </w:rPr>
              <w:t>South East</w:t>
            </w:r>
          </w:p>
        </w:tc>
        <w:tc>
          <w:tcPr>
            <w:tcW w:w="14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7DA5" w:rsidRPr="00845AAB" w:rsidRDefault="00C37DA5" w:rsidP="00845AAB">
            <w:pPr>
              <w:pStyle w:val="TableBodytext"/>
              <w:keepNext/>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highlight w:val="yellow"/>
              </w:rPr>
            </w:pPr>
            <w:r w:rsidRPr="00845AAB">
              <w:rPr>
                <w:color w:val="000000"/>
                <w:sz w:val="24"/>
                <w:szCs w:val="24"/>
              </w:rPr>
              <w:t>£984</w:t>
            </w:r>
          </w:p>
        </w:tc>
        <w:tc>
          <w:tcPr>
            <w:tcW w:w="14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37DA5" w:rsidRPr="00845AAB" w:rsidRDefault="00C37DA5" w:rsidP="00845AAB">
            <w:pPr>
              <w:pStyle w:val="TableBodytext"/>
              <w:keepNext/>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highlight w:val="yellow"/>
              </w:rPr>
            </w:pPr>
            <w:r w:rsidRPr="00845AAB">
              <w:rPr>
                <w:color w:val="000000"/>
                <w:sz w:val="24"/>
                <w:szCs w:val="24"/>
              </w:rPr>
              <w:t>£875</w:t>
            </w:r>
          </w:p>
        </w:tc>
      </w:tr>
      <w:tr w:rsidR="00C37DA5" w:rsidRPr="00845AAB" w:rsidTr="00D339A0">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081" w:type="pct"/>
            <w:tcBorders>
              <w:top w:val="single" w:sz="4" w:space="0" w:color="auto"/>
              <w:bottom w:val="single" w:sz="4" w:space="0" w:color="auto"/>
              <w:right w:val="single" w:sz="4" w:space="0" w:color="auto"/>
            </w:tcBorders>
            <w:shd w:val="clear" w:color="auto" w:fill="auto"/>
            <w:noWrap/>
          </w:tcPr>
          <w:p w:rsidR="00C37DA5" w:rsidRPr="00845AAB" w:rsidRDefault="00C37DA5" w:rsidP="00845AAB">
            <w:pPr>
              <w:pStyle w:val="TableBodytext"/>
              <w:keepNext/>
              <w:spacing w:before="0" w:after="0" w:line="240" w:lineRule="auto"/>
              <w:rPr>
                <w:rFonts w:asciiTheme="minorHAnsi" w:hAnsiTheme="minorHAnsi" w:cstheme="minorHAnsi"/>
                <w:b w:val="0"/>
                <w:sz w:val="24"/>
                <w:szCs w:val="24"/>
              </w:rPr>
            </w:pPr>
            <w:r w:rsidRPr="00845AAB">
              <w:rPr>
                <w:rFonts w:asciiTheme="minorHAnsi" w:hAnsiTheme="minorHAnsi" w:cstheme="minorHAnsi"/>
                <w:b w:val="0"/>
                <w:sz w:val="24"/>
                <w:szCs w:val="24"/>
              </w:rPr>
              <w:t>England</w:t>
            </w:r>
          </w:p>
        </w:tc>
        <w:tc>
          <w:tcPr>
            <w:tcW w:w="14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37DA5" w:rsidRPr="00845AAB" w:rsidRDefault="00C37DA5" w:rsidP="00845AAB">
            <w:pPr>
              <w:pStyle w:val="TableBodytext"/>
              <w:keepNext/>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highlight w:val="yellow"/>
              </w:rPr>
            </w:pPr>
            <w:r w:rsidRPr="00845AAB">
              <w:rPr>
                <w:color w:val="000000"/>
                <w:sz w:val="24"/>
                <w:szCs w:val="24"/>
              </w:rPr>
              <w:t>£844</w:t>
            </w:r>
          </w:p>
        </w:tc>
        <w:tc>
          <w:tcPr>
            <w:tcW w:w="14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37DA5" w:rsidRPr="00845AAB" w:rsidRDefault="00C37DA5" w:rsidP="00845AAB">
            <w:pPr>
              <w:pStyle w:val="TableBodytext"/>
              <w:keepNext/>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4"/>
                <w:szCs w:val="24"/>
                <w:highlight w:val="yellow"/>
              </w:rPr>
            </w:pPr>
            <w:r w:rsidRPr="00845AAB">
              <w:rPr>
                <w:color w:val="000000"/>
                <w:sz w:val="24"/>
                <w:szCs w:val="24"/>
              </w:rPr>
              <w:t>£690</w:t>
            </w:r>
          </w:p>
        </w:tc>
      </w:tr>
    </w:tbl>
    <w:p w:rsidR="00C37DA5" w:rsidRPr="00CA47B9" w:rsidRDefault="00C37DA5" w:rsidP="0092435E">
      <w:pPr>
        <w:pStyle w:val="Bulletblueplain"/>
        <w:numPr>
          <w:ilvl w:val="0"/>
          <w:numId w:val="0"/>
        </w:numPr>
        <w:spacing w:before="0" w:after="0" w:line="240" w:lineRule="auto"/>
      </w:pPr>
      <w:r w:rsidRPr="00CA47B9">
        <w:t>Source: VOA Private Rental Data – Table 2.7</w:t>
      </w:r>
    </w:p>
    <w:bookmarkEnd w:id="49"/>
    <w:p w:rsidR="00C37DA5" w:rsidRPr="004F4DBD" w:rsidRDefault="00C37DA5" w:rsidP="00020CFC">
      <w:pPr>
        <w:pStyle w:val="11Bodytext"/>
        <w:tabs>
          <w:tab w:val="clear" w:pos="2212"/>
          <w:tab w:val="num" w:pos="567"/>
        </w:tabs>
        <w:ind w:left="567" w:hanging="567"/>
        <w:rPr>
          <w:b/>
        </w:rPr>
      </w:pPr>
      <w:r w:rsidRPr="00CA47B9">
        <w:t xml:space="preserve">An analysis of median rents by </w:t>
      </w:r>
      <w:r w:rsidR="00855CA6">
        <w:t xml:space="preserve">the </w:t>
      </w:r>
      <w:r w:rsidRPr="00CA47B9">
        <w:t xml:space="preserve">number of bedrooms (see Figure </w:t>
      </w:r>
      <w:r w:rsidR="00442CA7">
        <w:t>9</w:t>
      </w:r>
      <w:r w:rsidRPr="00CA47B9">
        <w:t xml:space="preserve">) indicates that </w:t>
      </w:r>
      <w:r>
        <w:t xml:space="preserve">for 1-bedroom, 2-bedroom and 3-bedroom, the rental value in Chichester District is similar to West Sussex and South East, yet higher than the comparable local authority areas. For studios, the </w:t>
      </w:r>
      <w:r w:rsidRPr="0089381D">
        <w:t xml:space="preserve">rental value </w:t>
      </w:r>
      <w:r w:rsidRPr="008B03A7">
        <w:t>is slightly higher</w:t>
      </w:r>
      <w:r w:rsidR="00717B43">
        <w:t xml:space="preserve"> in</w:t>
      </w:r>
      <w:r w:rsidRPr="008B03A7">
        <w:t xml:space="preserve"> Chichester District</w:t>
      </w:r>
      <w:r w:rsidRPr="00993180">
        <w:t xml:space="preserve"> compared to West Sussex and the South East</w:t>
      </w:r>
      <w:r>
        <w:t xml:space="preserve">. The median rental value of 4-bedroom properties in Chichester District is slightly lower than West Sussex and the South East. </w:t>
      </w:r>
    </w:p>
    <w:p w:rsidR="00C37DA5" w:rsidRPr="00CA47B9" w:rsidRDefault="00C37DA5" w:rsidP="0092435E">
      <w:pPr>
        <w:pStyle w:val="FigureHeading"/>
        <w:tabs>
          <w:tab w:val="clear" w:pos="794"/>
          <w:tab w:val="clear" w:pos="1843"/>
          <w:tab w:val="left" w:pos="0"/>
        </w:tabs>
        <w:spacing w:line="240" w:lineRule="auto"/>
        <w:ind w:left="0" w:firstLine="0"/>
      </w:pPr>
      <w:bookmarkStart w:id="50" w:name="_Toc428202310"/>
      <w:bookmarkStart w:id="51" w:name="_Toc485905643"/>
      <w:r w:rsidRPr="00CA47B9">
        <w:lastRenderedPageBreak/>
        <w:t>Rental Costs by Size, 201</w:t>
      </w:r>
      <w:bookmarkEnd w:id="50"/>
      <w:bookmarkEnd w:id="51"/>
      <w:r w:rsidRPr="00CA47B9">
        <w:t>8</w:t>
      </w:r>
    </w:p>
    <w:p w:rsidR="00C37DA5" w:rsidRPr="00CA47B9" w:rsidRDefault="00C37DA5" w:rsidP="00A1178F">
      <w:pPr>
        <w:pStyle w:val="Bodytextwithindent"/>
        <w:keepNext/>
        <w:spacing w:before="0" w:after="0" w:line="240" w:lineRule="auto"/>
        <w:ind w:left="0"/>
      </w:pPr>
      <w:r w:rsidRPr="00CA47B9">
        <w:rPr>
          <w:noProof/>
          <w:lang w:eastAsia="en-GB"/>
        </w:rPr>
        <w:drawing>
          <wp:inline distT="0" distB="0" distL="0" distR="0" wp14:anchorId="32A8B87B" wp14:editId="0DBA113E">
            <wp:extent cx="6120000" cy="3211200"/>
            <wp:effectExtent l="0" t="0" r="14605" b="27305"/>
            <wp:docPr id="238" name="Chart 238" descr="Chart showing monthly rental cost by number of bedrooms in Chichester and other districts" title="Figure 9: Rental Costs by Size 20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37DA5" w:rsidRPr="00CA47B9" w:rsidRDefault="00C37DA5" w:rsidP="0092435E">
      <w:pPr>
        <w:pStyle w:val="Bulletblueplain"/>
        <w:numPr>
          <w:ilvl w:val="0"/>
          <w:numId w:val="0"/>
        </w:numPr>
        <w:spacing w:before="0" w:after="0" w:line="240" w:lineRule="auto"/>
      </w:pPr>
      <w:r w:rsidRPr="00CA47B9">
        <w:t>Source: VOA Private Rental Data</w:t>
      </w:r>
    </w:p>
    <w:p w:rsidR="00C37DA5" w:rsidRPr="00CA47B9" w:rsidRDefault="00C37DA5" w:rsidP="00020CFC">
      <w:pPr>
        <w:pStyle w:val="11Bodytext"/>
        <w:tabs>
          <w:tab w:val="clear" w:pos="2212"/>
          <w:tab w:val="num" w:pos="567"/>
        </w:tabs>
        <w:ind w:left="567" w:hanging="567"/>
      </w:pPr>
      <w:r w:rsidRPr="00CA47B9">
        <w:t xml:space="preserve">Figure </w:t>
      </w:r>
      <w:r w:rsidR="00442CA7">
        <w:t>10</w:t>
      </w:r>
      <w:r w:rsidRPr="00CA47B9">
        <w:t xml:space="preserve"> shows </w:t>
      </w:r>
      <w:r w:rsidR="00855CA6">
        <w:t xml:space="preserve">the </w:t>
      </w:r>
      <w:r w:rsidRPr="00CA47B9">
        <w:t xml:space="preserve">trend in the rental costs recorded by the VOA, indexed against 2011 figures. This illustrates that the increase in private rental transactions in the District is in line with the trend across the county and the region. </w:t>
      </w:r>
    </w:p>
    <w:p w:rsidR="00C37DA5" w:rsidRPr="00CA47B9" w:rsidRDefault="00C37DA5" w:rsidP="0092435E">
      <w:pPr>
        <w:pStyle w:val="FigureHeading"/>
        <w:tabs>
          <w:tab w:val="clear" w:pos="794"/>
          <w:tab w:val="clear" w:pos="1843"/>
          <w:tab w:val="left" w:pos="0"/>
        </w:tabs>
        <w:ind w:left="0" w:right="-170" w:firstLine="0"/>
      </w:pPr>
      <w:bookmarkStart w:id="52" w:name="_Toc428202312"/>
      <w:bookmarkStart w:id="53" w:name="_Toc485905644"/>
      <w:r w:rsidRPr="00CA47B9">
        <w:t>Trend in Private Rental Transactions, Sept 2011 to June 20</w:t>
      </w:r>
      <w:bookmarkEnd w:id="52"/>
      <w:bookmarkEnd w:id="53"/>
      <w:r w:rsidRPr="00CA47B9">
        <w:t>18</w:t>
      </w:r>
    </w:p>
    <w:p w:rsidR="00C37DA5" w:rsidRPr="00CA47B9" w:rsidRDefault="00C37DA5" w:rsidP="00A1178F">
      <w:pPr>
        <w:pStyle w:val="Bodytextwithindent"/>
        <w:keepNext/>
        <w:spacing w:before="0" w:after="0" w:line="240" w:lineRule="auto"/>
        <w:ind w:left="0"/>
        <w:rPr>
          <w:rFonts w:asciiTheme="minorHAnsi" w:hAnsiTheme="minorHAnsi" w:cstheme="minorHAnsi"/>
          <w:i/>
        </w:rPr>
      </w:pPr>
      <w:r w:rsidRPr="00CA47B9">
        <w:rPr>
          <w:noProof/>
          <w:lang w:eastAsia="en-GB"/>
        </w:rPr>
        <w:drawing>
          <wp:inline distT="0" distB="0" distL="0" distR="0" wp14:anchorId="363420BC" wp14:editId="08D8A265">
            <wp:extent cx="6120000" cy="3182400"/>
            <wp:effectExtent l="0" t="0" r="14605" b="18415"/>
            <wp:docPr id="240" name="Chart 240" descr="Chart showing total change in rental volumes from September 2011 to October 2018, indexed in Chichester and other geographies" title="Figure 10: Trend in Private Rental Transactions Sept 2011 to June 20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BC9517-CB38-4961-BEF1-C788EAF623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37DA5" w:rsidRPr="00845AAB" w:rsidRDefault="00C37DA5" w:rsidP="0092435E">
      <w:pPr>
        <w:pStyle w:val="Bodytextwithindent"/>
        <w:spacing w:before="0" w:after="120"/>
        <w:ind w:left="0"/>
        <w:rPr>
          <w:rFonts w:asciiTheme="minorHAnsi" w:hAnsiTheme="minorHAnsi" w:cstheme="minorHAnsi"/>
          <w:iCs/>
          <w:sz w:val="24"/>
          <w:szCs w:val="22"/>
        </w:rPr>
      </w:pPr>
      <w:r w:rsidRPr="00845AAB">
        <w:rPr>
          <w:rFonts w:asciiTheme="minorHAnsi" w:hAnsiTheme="minorHAnsi" w:cstheme="minorHAnsi"/>
          <w:iCs/>
          <w:sz w:val="24"/>
          <w:szCs w:val="22"/>
        </w:rPr>
        <w:t>Source: VOA Private Rental Data</w:t>
      </w:r>
    </w:p>
    <w:p w:rsidR="00C37DA5" w:rsidRPr="00CA47B9" w:rsidRDefault="00C37DA5" w:rsidP="00020CFC">
      <w:pPr>
        <w:pStyle w:val="11Bodytext"/>
        <w:tabs>
          <w:tab w:val="clear" w:pos="2212"/>
          <w:tab w:val="num" w:pos="567"/>
        </w:tabs>
        <w:ind w:left="567" w:hanging="567"/>
      </w:pPr>
      <w:r w:rsidRPr="00CA47B9">
        <w:lastRenderedPageBreak/>
        <w:t>Over the last 6 years, median rental values in Chichester have grown by 19% compared to 13% nationally and 21% regionally. Again, Cotswold District has higher values than Chichester District.</w:t>
      </w:r>
    </w:p>
    <w:p w:rsidR="00C37DA5" w:rsidRPr="00CA47B9" w:rsidRDefault="00C37DA5" w:rsidP="00BD6C75">
      <w:pPr>
        <w:pStyle w:val="SubheadBlue12"/>
        <w:ind w:left="567" w:firstLine="0"/>
      </w:pPr>
      <w:r w:rsidRPr="00CA47B9">
        <w:t xml:space="preserve">Affordability </w:t>
      </w:r>
    </w:p>
    <w:p w:rsidR="00C37DA5" w:rsidRPr="00CA47B9" w:rsidRDefault="00C37DA5" w:rsidP="00020CFC">
      <w:pPr>
        <w:pStyle w:val="11Bodytext"/>
        <w:tabs>
          <w:tab w:val="clear" w:pos="2212"/>
          <w:tab w:val="num" w:pos="567"/>
        </w:tabs>
        <w:ind w:left="567" w:hanging="567"/>
      </w:pPr>
      <w:r w:rsidRPr="00CA47B9">
        <w:t xml:space="preserve">We have considered affordability by looking specifically at the relationship between house prices and incomes. We have done this for both lower quartile values, which represent </w:t>
      </w:r>
      <w:r w:rsidR="00855CA6" w:rsidRPr="00CA47B9">
        <w:t>entry</w:t>
      </w:r>
      <w:r w:rsidR="00855CA6">
        <w:t>-</w:t>
      </w:r>
      <w:r w:rsidRPr="00CA47B9">
        <w:t>level house prices, and also for median values. For both</w:t>
      </w:r>
      <w:r w:rsidR="00855CA6">
        <w:t>,</w:t>
      </w:r>
      <w:r w:rsidRPr="00CA47B9">
        <w:t xml:space="preserve"> we have also examined the ratio based on residents’ earnings (residen</w:t>
      </w:r>
      <w:r w:rsidR="007A6B08">
        <w:t>ce</w:t>
      </w:r>
      <w:r w:rsidRPr="00CA47B9">
        <w:t xml:space="preserve"> based) and the earning of those working in the district (</w:t>
      </w:r>
      <w:r w:rsidR="00855CA6" w:rsidRPr="00CA47B9">
        <w:t>workplace</w:t>
      </w:r>
      <w:r w:rsidR="00855CA6">
        <w:t>-</w:t>
      </w:r>
      <w:r w:rsidRPr="00CA47B9">
        <w:t>based).</w:t>
      </w:r>
    </w:p>
    <w:p w:rsidR="00C37DA5" w:rsidRPr="00CA47B9" w:rsidRDefault="00C37DA5" w:rsidP="00020CFC">
      <w:pPr>
        <w:pStyle w:val="11Bodytext"/>
        <w:tabs>
          <w:tab w:val="clear" w:pos="2212"/>
          <w:tab w:val="num" w:pos="567"/>
        </w:tabs>
        <w:ind w:left="567" w:hanging="567"/>
      </w:pPr>
      <w:r w:rsidRPr="00CA47B9">
        <w:t xml:space="preserve">As shown in Figure </w:t>
      </w:r>
      <w:r w:rsidR="00442CA7">
        <w:t>11</w:t>
      </w:r>
      <w:r w:rsidRPr="00CA47B9">
        <w:t>, nationally, the ratio of lower quartile house prices to residents’ earnings peaked in 2007 and linked to the recession fell over the following two years. The affordability ratios then plateaued in the following two year</w:t>
      </w:r>
      <w:r w:rsidR="00855CA6">
        <w:t>s</w:t>
      </w:r>
      <w:r w:rsidRPr="00CA47B9">
        <w:t xml:space="preserve"> (12-13) with modest growth since. The most recent data for England and Wales shows affordability at around 0.3 below its 2007 peak.</w:t>
      </w:r>
    </w:p>
    <w:p w:rsidR="00C37DA5" w:rsidRPr="00CA47B9" w:rsidRDefault="00C37DA5" w:rsidP="00020CFC">
      <w:pPr>
        <w:pStyle w:val="11Bodytext"/>
        <w:tabs>
          <w:tab w:val="clear" w:pos="2212"/>
          <w:tab w:val="num" w:pos="567"/>
        </w:tabs>
        <w:ind w:left="567" w:hanging="567"/>
        <w:rPr>
          <w:b/>
        </w:rPr>
      </w:pPr>
      <w:r w:rsidRPr="00CA47B9">
        <w:t xml:space="preserve">Chichester District broadly follows the national trend, albeit at a higher level. There has also been a stronger increase since 2013. </w:t>
      </w:r>
      <w:bookmarkStart w:id="54" w:name="_Toc397074151"/>
      <w:bookmarkStart w:id="55" w:name="_Toc399935834"/>
      <w:bookmarkStart w:id="56" w:name="_Toc428202313"/>
      <w:bookmarkStart w:id="57" w:name="_Toc485905645"/>
      <w:r w:rsidRPr="00CA47B9">
        <w:t>Despite the fall in affordability ratio from 12.5 to 11.6 in 2015 to 2016, Chichester still one of the highest ratios anywhere in the country at 13.59 in 2018. This illustrates the notable affordability pressures at the lower end of the market.</w:t>
      </w:r>
    </w:p>
    <w:p w:rsidR="00C37DA5" w:rsidRPr="00CA47B9" w:rsidRDefault="00315842" w:rsidP="0092435E">
      <w:pPr>
        <w:pStyle w:val="FigureHeading"/>
        <w:tabs>
          <w:tab w:val="clear" w:pos="794"/>
          <w:tab w:val="clear" w:pos="1843"/>
          <w:tab w:val="left" w:pos="0"/>
        </w:tabs>
        <w:ind w:left="0" w:firstLine="0"/>
      </w:pPr>
      <w:r>
        <w:lastRenderedPageBreak/>
        <w:t xml:space="preserve">Residence Based </w:t>
      </w:r>
      <w:r w:rsidR="00C37DA5" w:rsidRPr="00CA47B9">
        <w:t>Lower</w:t>
      </w:r>
      <w:r w:rsidR="00845AAB">
        <w:t xml:space="preserve"> LQ</w:t>
      </w:r>
      <w:r w:rsidR="00C37DA5" w:rsidRPr="00CA47B9">
        <w:t xml:space="preserve"> Af</w:t>
      </w:r>
      <w:r w:rsidR="00845AAB">
        <w:t>f.</w:t>
      </w:r>
      <w:r>
        <w:t xml:space="preserve"> Ratio</w:t>
      </w:r>
      <w:r w:rsidR="00C37DA5" w:rsidRPr="00CA47B9">
        <w:t xml:space="preserve"> Trend,</w:t>
      </w:r>
      <w:bookmarkEnd w:id="54"/>
      <w:bookmarkEnd w:id="55"/>
      <w:bookmarkEnd w:id="56"/>
      <w:r w:rsidR="00C37DA5" w:rsidRPr="00CA47B9">
        <w:t xml:space="preserve"> 2002-201</w:t>
      </w:r>
      <w:bookmarkEnd w:id="57"/>
      <w:r w:rsidR="00C37DA5" w:rsidRPr="00CA47B9">
        <w:t>8</w:t>
      </w:r>
    </w:p>
    <w:p w:rsidR="00C37DA5" w:rsidRPr="00CA47B9" w:rsidRDefault="00C37DA5" w:rsidP="00A1178F">
      <w:pPr>
        <w:pStyle w:val="Bulletblueplain"/>
        <w:numPr>
          <w:ilvl w:val="0"/>
          <w:numId w:val="0"/>
        </w:numPr>
        <w:rPr>
          <w:rFonts w:asciiTheme="minorHAnsi" w:hAnsiTheme="minorHAnsi" w:cstheme="minorHAnsi"/>
        </w:rPr>
      </w:pPr>
      <w:r w:rsidRPr="00CA47B9">
        <w:rPr>
          <w:noProof/>
          <w:lang w:eastAsia="en-GB"/>
        </w:rPr>
        <w:drawing>
          <wp:inline distT="0" distB="0" distL="0" distR="0" wp14:anchorId="79DAA4DA" wp14:editId="53F326D2">
            <wp:extent cx="6120000" cy="2880000"/>
            <wp:effectExtent l="0" t="0" r="14605" b="15875"/>
            <wp:docPr id="241" name="Chart 241" descr="Chart showing affordability ratios in Chichester and other districts, and their change from 2002 to 2018" title="Figure 11: Residence Based Lower LQ Aff Ratio Trend 2002-20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37DA5" w:rsidRPr="00CA47B9" w:rsidRDefault="00C37DA5" w:rsidP="0092435E">
      <w:pPr>
        <w:pStyle w:val="Bulletblueplain"/>
        <w:numPr>
          <w:ilvl w:val="0"/>
          <w:numId w:val="0"/>
        </w:numPr>
      </w:pPr>
      <w:r w:rsidRPr="00CA47B9">
        <w:t>Source: ONS</w:t>
      </w:r>
      <w:r w:rsidR="00315842">
        <w:t xml:space="preserve"> 2018 (</w:t>
      </w:r>
      <w:r w:rsidRPr="00CA47B9">
        <w:t xml:space="preserve">Ratio of </w:t>
      </w:r>
      <w:r w:rsidR="00315842">
        <w:t xml:space="preserve">lower quartile </w:t>
      </w:r>
      <w:r w:rsidRPr="00CA47B9">
        <w:t>house pric</w:t>
      </w:r>
      <w:r w:rsidR="00315842">
        <w:t xml:space="preserve">e </w:t>
      </w:r>
      <w:r w:rsidRPr="00CA47B9">
        <w:t xml:space="preserve">to </w:t>
      </w:r>
      <w:r w:rsidR="00315842">
        <w:t xml:space="preserve">lower quartile </w:t>
      </w:r>
      <w:r w:rsidRPr="00CA47B9">
        <w:t>residence-based earnings</w:t>
      </w:r>
      <w:r w:rsidR="00315842">
        <w:t xml:space="preserve"> </w:t>
      </w:r>
      <w:r w:rsidRPr="00CA47B9">
        <w:t>(lower quartile), 2018</w:t>
      </w:r>
      <w:r w:rsidR="00315842">
        <w:t>)</w:t>
      </w:r>
    </w:p>
    <w:p w:rsidR="00315842" w:rsidRDefault="00C37DA5" w:rsidP="00020CFC">
      <w:pPr>
        <w:pStyle w:val="11Bodytext"/>
        <w:tabs>
          <w:tab w:val="clear" w:pos="2212"/>
          <w:tab w:val="num" w:pos="567"/>
        </w:tabs>
        <w:ind w:left="567" w:hanging="567"/>
      </w:pPr>
      <w:r w:rsidRPr="00CA47B9">
        <w:t>We have also considered and compared lower quartile affordability ratios to the median affordability ratio (</w:t>
      </w:r>
      <w:r w:rsidR="00855CA6">
        <w:t>r</w:t>
      </w:r>
      <w:r w:rsidR="00855CA6" w:rsidRPr="00CA47B9">
        <w:t>esidence</w:t>
      </w:r>
      <w:r w:rsidR="00855CA6">
        <w:t>-</w:t>
      </w:r>
      <w:r w:rsidR="00CB745F">
        <w:t>b</w:t>
      </w:r>
      <w:r w:rsidRPr="00CA47B9">
        <w:t xml:space="preserve">ased) to identify whether affordability is an issue across the market or within a particular segment. </w:t>
      </w:r>
      <w:r w:rsidR="00315842">
        <w:t>Within</w:t>
      </w:r>
      <w:r w:rsidR="00315842" w:rsidRPr="00CA47B9">
        <w:t xml:space="preserve"> </w:t>
      </w:r>
      <w:r w:rsidRPr="00CA47B9">
        <w:t>Chichester District</w:t>
      </w:r>
      <w:r w:rsidR="00855CA6">
        <w:t>,</w:t>
      </w:r>
      <w:r w:rsidRPr="00CA47B9">
        <w:t xml:space="preserve"> the median ratio at 11.</w:t>
      </w:r>
      <w:r w:rsidR="00315842">
        <w:t>82</w:t>
      </w:r>
      <w:r w:rsidR="00315842" w:rsidRPr="00CA47B9">
        <w:t xml:space="preserve"> </w:t>
      </w:r>
      <w:r w:rsidRPr="00CA47B9">
        <w:t>is slightly lower than the lower quartile ratio</w:t>
      </w:r>
      <w:r w:rsidR="00315842">
        <w:t xml:space="preserve"> at 13.59</w:t>
      </w:r>
      <w:r w:rsidRPr="00CA47B9">
        <w:t>.</w:t>
      </w:r>
      <w:r w:rsidR="00855CA6">
        <w:t xml:space="preserve"> </w:t>
      </w:r>
      <w:r w:rsidR="00315842">
        <w:t xml:space="preserve"> </w:t>
      </w:r>
    </w:p>
    <w:p w:rsidR="00315842" w:rsidRPr="00CA47B9" w:rsidRDefault="00315842" w:rsidP="00020CFC">
      <w:pPr>
        <w:pStyle w:val="11Bodytext"/>
        <w:tabs>
          <w:tab w:val="clear" w:pos="2212"/>
          <w:tab w:val="num" w:pos="567"/>
        </w:tabs>
        <w:ind w:left="567" w:hanging="567"/>
      </w:pPr>
      <w:r w:rsidRPr="00CA47B9">
        <w:t xml:space="preserve">This illustrates that affordability is particularly an issue for the lower end of the market and impacts the ability </w:t>
      </w:r>
      <w:r w:rsidR="00855CA6">
        <w:t>of</w:t>
      </w:r>
      <w:r w:rsidR="00855CA6" w:rsidRPr="00CA47B9">
        <w:t xml:space="preserve"> </w:t>
      </w:r>
      <w:r w:rsidRPr="00CA47B9">
        <w:t xml:space="preserve">locals to access the housing ladder. This generally manifests in worsening affordability for </w:t>
      </w:r>
      <w:r w:rsidR="00855CA6" w:rsidRPr="00CA47B9">
        <w:t>first</w:t>
      </w:r>
      <w:r w:rsidR="00855CA6">
        <w:t>-</w:t>
      </w:r>
      <w:r w:rsidRPr="00CA47B9">
        <w:t>time buyers.</w:t>
      </w:r>
    </w:p>
    <w:p w:rsidR="00C37DA5" w:rsidRPr="00CA47B9" w:rsidRDefault="00315842" w:rsidP="00020CFC">
      <w:pPr>
        <w:pStyle w:val="11Bodytext"/>
        <w:tabs>
          <w:tab w:val="clear" w:pos="2212"/>
          <w:tab w:val="num" w:pos="567"/>
        </w:tabs>
        <w:ind w:left="567" w:hanging="567"/>
      </w:pPr>
      <w:r>
        <w:t>Both t</w:t>
      </w:r>
      <w:r w:rsidR="00C37DA5" w:rsidRPr="00CA47B9">
        <w:t>he median</w:t>
      </w:r>
      <w:r>
        <w:t xml:space="preserve"> and lower quartile</w:t>
      </w:r>
      <w:r w:rsidR="00C37DA5" w:rsidRPr="00CA47B9">
        <w:t xml:space="preserve"> ratio</w:t>
      </w:r>
      <w:r>
        <w:t>s</w:t>
      </w:r>
      <w:r w:rsidR="00C37DA5" w:rsidRPr="00CA47B9">
        <w:t xml:space="preserve"> </w:t>
      </w:r>
      <w:r w:rsidR="00855CA6">
        <w:t>are</w:t>
      </w:r>
      <w:r w:rsidR="00855CA6" w:rsidRPr="00CA47B9">
        <w:t xml:space="preserve"> </w:t>
      </w:r>
      <w:r w:rsidR="00C37DA5" w:rsidRPr="00CA47B9">
        <w:t xml:space="preserve">also notably higher </w:t>
      </w:r>
      <w:r w:rsidR="00855CA6" w:rsidRPr="00CA47B9">
        <w:t>tha</w:t>
      </w:r>
      <w:r w:rsidR="00855CA6">
        <w:t>n</w:t>
      </w:r>
      <w:r w:rsidR="00855CA6" w:rsidRPr="00CA47B9">
        <w:t xml:space="preserve"> </w:t>
      </w:r>
      <w:r w:rsidR="00C37DA5" w:rsidRPr="00CA47B9">
        <w:t>the other comparator areas, apart from Cotswold district</w:t>
      </w:r>
      <w:r>
        <w:t>, although in both cases the Chichester ratio is still higher</w:t>
      </w:r>
      <w:r w:rsidR="00C37DA5" w:rsidRPr="00CA47B9">
        <w:t>.</w:t>
      </w:r>
      <w:bookmarkStart w:id="58" w:name="_Toc399936052"/>
      <w:bookmarkStart w:id="59" w:name="_Toc428202403"/>
      <w:bookmarkStart w:id="60" w:name="_Toc485905657"/>
    </w:p>
    <w:p w:rsidR="00C37DA5" w:rsidRPr="002A1A42" w:rsidRDefault="00C37DA5" w:rsidP="0092435E">
      <w:pPr>
        <w:pStyle w:val="Tableheading"/>
        <w:tabs>
          <w:tab w:val="clear" w:pos="794"/>
          <w:tab w:val="clear" w:pos="1843"/>
          <w:tab w:val="left" w:pos="0"/>
        </w:tabs>
        <w:ind w:left="0" w:firstLine="0"/>
      </w:pPr>
      <w:r w:rsidRPr="002A1A42">
        <w:lastRenderedPageBreak/>
        <w:t>Residence Based Affordability Ratios</w:t>
      </w:r>
      <w:bookmarkEnd w:id="58"/>
      <w:bookmarkEnd w:id="59"/>
      <w:bookmarkEnd w:id="60"/>
      <w:r w:rsidRPr="002A1A42">
        <w:t xml:space="preserve"> 2018</w:t>
      </w:r>
    </w:p>
    <w:tbl>
      <w:tblPr>
        <w:tblStyle w:val="GLHearntable1"/>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4: Residence Based Affordability Ratios 2018"/>
      </w:tblPr>
      <w:tblGrid>
        <w:gridCol w:w="3271"/>
        <w:gridCol w:w="2404"/>
        <w:gridCol w:w="1942"/>
        <w:gridCol w:w="2122"/>
      </w:tblGrid>
      <w:tr w:rsidR="00C37DA5" w:rsidRPr="002A1A42" w:rsidTr="00D339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24" w:type="pct"/>
            <w:noWrap/>
            <w:hideMark/>
          </w:tcPr>
          <w:p w:rsidR="00C37DA5" w:rsidRPr="002A1A42" w:rsidRDefault="00C37DA5" w:rsidP="002A1A42">
            <w:pPr>
              <w:keepNext/>
              <w:spacing w:line="240" w:lineRule="auto"/>
              <w:rPr>
                <w:rFonts w:asciiTheme="minorHAnsi" w:hAnsiTheme="minorHAnsi" w:cstheme="minorHAnsi"/>
                <w:b w:val="0"/>
                <w:bCs/>
                <w:sz w:val="24"/>
                <w:szCs w:val="24"/>
              </w:rPr>
            </w:pPr>
          </w:p>
        </w:tc>
        <w:tc>
          <w:tcPr>
            <w:tcW w:w="1234" w:type="pct"/>
            <w:noWrap/>
            <w:hideMark/>
          </w:tcPr>
          <w:p w:rsidR="00C37DA5" w:rsidRPr="002A1A42" w:rsidRDefault="00C37DA5" w:rsidP="002A1A42">
            <w:pPr>
              <w:keepNext/>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sz w:val="24"/>
                <w:szCs w:val="24"/>
              </w:rPr>
            </w:pPr>
            <w:r w:rsidRPr="002A1A42">
              <w:rPr>
                <w:rFonts w:asciiTheme="minorHAnsi" w:hAnsiTheme="minorHAnsi" w:cstheme="minorHAnsi"/>
                <w:b w:val="0"/>
                <w:bCs/>
                <w:sz w:val="24"/>
                <w:szCs w:val="24"/>
              </w:rPr>
              <w:t>Lower Quartile Ratio</w:t>
            </w:r>
          </w:p>
        </w:tc>
        <w:tc>
          <w:tcPr>
            <w:tcW w:w="1025" w:type="pct"/>
            <w:noWrap/>
            <w:hideMark/>
          </w:tcPr>
          <w:p w:rsidR="00C37DA5" w:rsidRPr="002A1A42" w:rsidRDefault="00C37DA5" w:rsidP="002A1A42">
            <w:pPr>
              <w:keepNext/>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sz w:val="24"/>
                <w:szCs w:val="24"/>
              </w:rPr>
            </w:pPr>
            <w:r w:rsidRPr="002A1A42">
              <w:rPr>
                <w:rFonts w:asciiTheme="minorHAnsi" w:hAnsiTheme="minorHAnsi" w:cstheme="minorHAnsi"/>
                <w:b w:val="0"/>
                <w:bCs/>
                <w:sz w:val="24"/>
                <w:szCs w:val="24"/>
              </w:rPr>
              <w:t>Median Ratio</w:t>
            </w:r>
          </w:p>
        </w:tc>
        <w:tc>
          <w:tcPr>
            <w:tcW w:w="1117" w:type="pct"/>
            <w:noWrap/>
            <w:hideMark/>
          </w:tcPr>
          <w:p w:rsidR="00C37DA5" w:rsidRPr="002A1A42" w:rsidRDefault="00C37DA5" w:rsidP="002A1A42">
            <w:pPr>
              <w:keepNext/>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sz w:val="24"/>
                <w:szCs w:val="24"/>
              </w:rPr>
            </w:pPr>
            <w:r w:rsidRPr="002A1A42">
              <w:rPr>
                <w:rFonts w:asciiTheme="minorHAnsi" w:hAnsiTheme="minorHAnsi" w:cstheme="minorHAnsi"/>
                <w:b w:val="0"/>
                <w:bCs/>
                <w:sz w:val="24"/>
                <w:szCs w:val="24"/>
              </w:rPr>
              <w:t>Difference</w:t>
            </w:r>
          </w:p>
        </w:tc>
      </w:tr>
      <w:tr w:rsidR="00C37DA5" w:rsidRPr="002A1A42" w:rsidTr="00D339A0">
        <w:tc>
          <w:tcPr>
            <w:cnfStyle w:val="001000000000" w:firstRow="0" w:lastRow="0" w:firstColumn="1" w:lastColumn="0" w:oddVBand="0" w:evenVBand="0" w:oddHBand="0" w:evenHBand="0" w:firstRowFirstColumn="0" w:firstRowLastColumn="0" w:lastRowFirstColumn="0" w:lastRowLastColumn="0"/>
            <w:tcW w:w="1624" w:type="pct"/>
            <w:noWrap/>
            <w:vAlign w:val="bottom"/>
            <w:hideMark/>
          </w:tcPr>
          <w:p w:rsidR="00C37DA5" w:rsidRPr="002A1A42" w:rsidRDefault="00C37DA5" w:rsidP="002A1A42">
            <w:pPr>
              <w:keepNext/>
              <w:spacing w:line="240" w:lineRule="auto"/>
              <w:rPr>
                <w:rFonts w:asciiTheme="minorHAnsi" w:hAnsiTheme="minorHAnsi" w:cstheme="minorHAnsi"/>
                <w:color w:val="000000"/>
                <w:sz w:val="24"/>
                <w:szCs w:val="24"/>
              </w:rPr>
            </w:pPr>
            <w:r w:rsidRPr="002A1A42">
              <w:rPr>
                <w:rFonts w:asciiTheme="minorHAnsi" w:hAnsiTheme="minorHAnsi" w:cstheme="minorHAnsi"/>
                <w:color w:val="000000"/>
                <w:sz w:val="24"/>
                <w:szCs w:val="24"/>
              </w:rPr>
              <w:t>Chichester District</w:t>
            </w:r>
          </w:p>
        </w:tc>
        <w:tc>
          <w:tcPr>
            <w:tcW w:w="1234" w:type="pct"/>
            <w:noWrap/>
            <w:vAlign w:val="center"/>
          </w:tcPr>
          <w:p w:rsidR="00C37DA5" w:rsidRPr="002A1A42" w:rsidRDefault="00C37DA5" w:rsidP="002A1A42">
            <w:pPr>
              <w:keepNext/>
              <w:spacing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000000"/>
                <w:sz w:val="24"/>
                <w:szCs w:val="24"/>
              </w:rPr>
            </w:pPr>
            <w:r w:rsidRPr="002A1A42">
              <w:rPr>
                <w:b/>
                <w:color w:val="000000"/>
                <w:sz w:val="24"/>
                <w:szCs w:val="24"/>
              </w:rPr>
              <w:t>13.59</w:t>
            </w:r>
          </w:p>
        </w:tc>
        <w:tc>
          <w:tcPr>
            <w:tcW w:w="1025" w:type="pct"/>
            <w:noWrap/>
            <w:vAlign w:val="center"/>
          </w:tcPr>
          <w:p w:rsidR="00C37DA5" w:rsidRPr="002A1A42" w:rsidRDefault="00C37DA5" w:rsidP="002A1A42">
            <w:pPr>
              <w:keepNext/>
              <w:spacing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000000"/>
                <w:sz w:val="24"/>
                <w:szCs w:val="24"/>
              </w:rPr>
            </w:pPr>
            <w:r w:rsidRPr="002A1A42">
              <w:rPr>
                <w:b/>
                <w:color w:val="000000"/>
                <w:sz w:val="24"/>
                <w:szCs w:val="24"/>
              </w:rPr>
              <w:t>11.82</w:t>
            </w:r>
          </w:p>
        </w:tc>
        <w:tc>
          <w:tcPr>
            <w:tcW w:w="1117" w:type="pct"/>
            <w:noWrap/>
            <w:vAlign w:val="center"/>
          </w:tcPr>
          <w:p w:rsidR="00C37DA5" w:rsidRPr="002A1A42" w:rsidRDefault="00C37DA5" w:rsidP="002A1A42">
            <w:pPr>
              <w:keepNext/>
              <w:spacing w:line="240" w:lineRule="auto"/>
              <w:contextualSpacing/>
              <w:jc w:val="center"/>
              <w:cnfStyle w:val="000000000000" w:firstRow="0" w:lastRow="0" w:firstColumn="0" w:lastColumn="0" w:oddVBand="0" w:evenVBand="0" w:oddHBand="0" w:evenHBand="0" w:firstRowFirstColumn="0" w:firstRowLastColumn="0" w:lastRowFirstColumn="0" w:lastRowLastColumn="0"/>
              <w:rPr>
                <w:b/>
                <w:color w:val="000000"/>
                <w:sz w:val="24"/>
                <w:szCs w:val="24"/>
              </w:rPr>
            </w:pPr>
            <w:r w:rsidRPr="002A1A42">
              <w:rPr>
                <w:b/>
                <w:color w:val="000000"/>
                <w:sz w:val="24"/>
                <w:szCs w:val="24"/>
              </w:rPr>
              <w:t>1.77</w:t>
            </w:r>
          </w:p>
        </w:tc>
      </w:tr>
      <w:tr w:rsidR="00C37DA5" w:rsidRPr="002A1A42" w:rsidTr="00D339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4" w:type="pct"/>
            <w:shd w:val="clear" w:color="auto" w:fill="auto"/>
            <w:noWrap/>
            <w:vAlign w:val="bottom"/>
            <w:hideMark/>
          </w:tcPr>
          <w:p w:rsidR="00C37DA5" w:rsidRPr="002A1A42" w:rsidRDefault="00C37DA5" w:rsidP="002A1A42">
            <w:pPr>
              <w:keepNext/>
              <w:spacing w:line="240" w:lineRule="auto"/>
              <w:contextualSpacing/>
              <w:rPr>
                <w:rFonts w:asciiTheme="minorHAnsi" w:hAnsiTheme="minorHAnsi" w:cstheme="minorHAnsi"/>
                <w:b w:val="0"/>
                <w:color w:val="000000"/>
                <w:sz w:val="24"/>
                <w:szCs w:val="24"/>
              </w:rPr>
            </w:pPr>
            <w:r w:rsidRPr="002A1A42">
              <w:rPr>
                <w:rFonts w:asciiTheme="minorHAnsi" w:hAnsiTheme="minorHAnsi" w:cstheme="minorHAnsi"/>
                <w:b w:val="0"/>
                <w:color w:val="000000"/>
                <w:sz w:val="24"/>
                <w:szCs w:val="24"/>
              </w:rPr>
              <w:t>Arun</w:t>
            </w:r>
          </w:p>
        </w:tc>
        <w:tc>
          <w:tcPr>
            <w:tcW w:w="1234" w:type="pct"/>
            <w:shd w:val="clear" w:color="auto" w:fill="auto"/>
            <w:noWrap/>
            <w:vAlign w:val="center"/>
          </w:tcPr>
          <w:p w:rsidR="00C37DA5" w:rsidRPr="002A1A42" w:rsidRDefault="00C37DA5" w:rsidP="002A1A42">
            <w:pPr>
              <w:keepNext/>
              <w:spacing w:line="240" w:lineRule="auto"/>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2A1A42">
              <w:rPr>
                <w:color w:val="000000"/>
                <w:sz w:val="24"/>
                <w:szCs w:val="24"/>
              </w:rPr>
              <w:t>11.40</w:t>
            </w:r>
          </w:p>
        </w:tc>
        <w:tc>
          <w:tcPr>
            <w:tcW w:w="1025" w:type="pct"/>
            <w:shd w:val="clear" w:color="auto" w:fill="auto"/>
            <w:noWrap/>
            <w:vAlign w:val="center"/>
          </w:tcPr>
          <w:p w:rsidR="00C37DA5" w:rsidRPr="002A1A42" w:rsidRDefault="00C37DA5" w:rsidP="002A1A42">
            <w:pPr>
              <w:keepNext/>
              <w:spacing w:line="240" w:lineRule="auto"/>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2A1A42">
              <w:rPr>
                <w:color w:val="000000"/>
                <w:sz w:val="24"/>
                <w:szCs w:val="24"/>
              </w:rPr>
              <w:t>10.28</w:t>
            </w:r>
          </w:p>
        </w:tc>
        <w:tc>
          <w:tcPr>
            <w:tcW w:w="1117" w:type="pct"/>
            <w:shd w:val="clear" w:color="auto" w:fill="auto"/>
            <w:noWrap/>
            <w:vAlign w:val="center"/>
          </w:tcPr>
          <w:p w:rsidR="00C37DA5" w:rsidRPr="002A1A42" w:rsidRDefault="00C37DA5" w:rsidP="002A1A42">
            <w:pPr>
              <w:keepNext/>
              <w:spacing w:line="240" w:lineRule="auto"/>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2A1A42">
              <w:rPr>
                <w:color w:val="000000"/>
                <w:sz w:val="24"/>
                <w:szCs w:val="24"/>
              </w:rPr>
              <w:t>1.12</w:t>
            </w:r>
          </w:p>
        </w:tc>
      </w:tr>
      <w:tr w:rsidR="00C37DA5" w:rsidRPr="002A1A42" w:rsidTr="00D339A0">
        <w:tc>
          <w:tcPr>
            <w:cnfStyle w:val="001000000000" w:firstRow="0" w:lastRow="0" w:firstColumn="1" w:lastColumn="0" w:oddVBand="0" w:evenVBand="0" w:oddHBand="0" w:evenHBand="0" w:firstRowFirstColumn="0" w:firstRowLastColumn="0" w:lastRowFirstColumn="0" w:lastRowLastColumn="0"/>
            <w:tcW w:w="1624" w:type="pct"/>
            <w:noWrap/>
            <w:vAlign w:val="bottom"/>
            <w:hideMark/>
          </w:tcPr>
          <w:p w:rsidR="00C37DA5" w:rsidRPr="002A1A42" w:rsidRDefault="00C37DA5" w:rsidP="002A1A42">
            <w:pPr>
              <w:keepNext/>
              <w:spacing w:line="240" w:lineRule="auto"/>
              <w:contextualSpacing/>
              <w:rPr>
                <w:rFonts w:asciiTheme="minorHAnsi" w:hAnsiTheme="minorHAnsi" w:cstheme="minorHAnsi"/>
                <w:b w:val="0"/>
                <w:color w:val="000000"/>
                <w:sz w:val="24"/>
                <w:szCs w:val="24"/>
              </w:rPr>
            </w:pPr>
            <w:r w:rsidRPr="002A1A42">
              <w:rPr>
                <w:rFonts w:asciiTheme="minorHAnsi" w:hAnsiTheme="minorHAnsi" w:cstheme="minorHAnsi"/>
                <w:b w:val="0"/>
                <w:color w:val="000000"/>
                <w:sz w:val="24"/>
                <w:szCs w:val="24"/>
              </w:rPr>
              <w:t>Cotswold</w:t>
            </w:r>
          </w:p>
        </w:tc>
        <w:tc>
          <w:tcPr>
            <w:tcW w:w="1234" w:type="pct"/>
            <w:noWrap/>
            <w:vAlign w:val="center"/>
          </w:tcPr>
          <w:p w:rsidR="00C37DA5" w:rsidRPr="002A1A42" w:rsidRDefault="00C37DA5" w:rsidP="002A1A42">
            <w:pPr>
              <w:keepNext/>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A1A42">
              <w:rPr>
                <w:color w:val="000000"/>
                <w:sz w:val="24"/>
                <w:szCs w:val="24"/>
              </w:rPr>
              <w:t>11.77</w:t>
            </w:r>
          </w:p>
        </w:tc>
        <w:tc>
          <w:tcPr>
            <w:tcW w:w="1025" w:type="pct"/>
            <w:noWrap/>
            <w:vAlign w:val="center"/>
          </w:tcPr>
          <w:p w:rsidR="00C37DA5" w:rsidRPr="002A1A42" w:rsidRDefault="00C37DA5" w:rsidP="002A1A42">
            <w:pPr>
              <w:keepNext/>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A1A42">
              <w:rPr>
                <w:color w:val="000000"/>
                <w:sz w:val="24"/>
                <w:szCs w:val="24"/>
              </w:rPr>
              <w:t>10.96</w:t>
            </w:r>
          </w:p>
        </w:tc>
        <w:tc>
          <w:tcPr>
            <w:tcW w:w="1117" w:type="pct"/>
            <w:noWrap/>
            <w:vAlign w:val="center"/>
          </w:tcPr>
          <w:p w:rsidR="00C37DA5" w:rsidRPr="002A1A42" w:rsidRDefault="00C37DA5" w:rsidP="002A1A42">
            <w:pPr>
              <w:keepNext/>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A1A42">
              <w:rPr>
                <w:color w:val="000000"/>
                <w:sz w:val="24"/>
                <w:szCs w:val="24"/>
              </w:rPr>
              <w:t>0.81</w:t>
            </w:r>
          </w:p>
        </w:tc>
      </w:tr>
      <w:tr w:rsidR="00C37DA5" w:rsidRPr="002A1A42" w:rsidTr="00D339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4" w:type="pct"/>
            <w:shd w:val="clear" w:color="auto" w:fill="auto"/>
            <w:noWrap/>
            <w:vAlign w:val="bottom"/>
            <w:hideMark/>
          </w:tcPr>
          <w:p w:rsidR="00C37DA5" w:rsidRPr="002A1A42" w:rsidRDefault="00C37DA5" w:rsidP="002A1A42">
            <w:pPr>
              <w:keepNext/>
              <w:spacing w:line="240" w:lineRule="auto"/>
              <w:contextualSpacing/>
              <w:rPr>
                <w:rFonts w:asciiTheme="minorHAnsi" w:hAnsiTheme="minorHAnsi" w:cstheme="minorHAnsi"/>
                <w:b w:val="0"/>
                <w:color w:val="000000"/>
                <w:sz w:val="24"/>
                <w:szCs w:val="24"/>
              </w:rPr>
            </w:pPr>
            <w:r w:rsidRPr="002A1A42">
              <w:rPr>
                <w:rFonts w:asciiTheme="minorHAnsi" w:hAnsiTheme="minorHAnsi" w:cstheme="minorHAnsi"/>
                <w:b w:val="0"/>
                <w:color w:val="000000"/>
                <w:sz w:val="24"/>
                <w:szCs w:val="24"/>
              </w:rPr>
              <w:t>West Dorset</w:t>
            </w:r>
          </w:p>
        </w:tc>
        <w:tc>
          <w:tcPr>
            <w:tcW w:w="1234" w:type="pct"/>
            <w:shd w:val="clear" w:color="auto" w:fill="auto"/>
            <w:noWrap/>
            <w:vAlign w:val="center"/>
          </w:tcPr>
          <w:p w:rsidR="00C37DA5" w:rsidRPr="002A1A42" w:rsidRDefault="00C37DA5" w:rsidP="002A1A42">
            <w:pPr>
              <w:keepNext/>
              <w:spacing w:line="240" w:lineRule="auto"/>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2A1A42">
              <w:rPr>
                <w:color w:val="000000"/>
                <w:sz w:val="24"/>
                <w:szCs w:val="24"/>
              </w:rPr>
              <w:t>10.49</w:t>
            </w:r>
          </w:p>
        </w:tc>
        <w:tc>
          <w:tcPr>
            <w:tcW w:w="1025" w:type="pct"/>
            <w:shd w:val="clear" w:color="auto" w:fill="auto"/>
            <w:noWrap/>
            <w:vAlign w:val="center"/>
          </w:tcPr>
          <w:p w:rsidR="00C37DA5" w:rsidRPr="002A1A42" w:rsidRDefault="00C37DA5" w:rsidP="002A1A42">
            <w:pPr>
              <w:keepNext/>
              <w:spacing w:line="240" w:lineRule="auto"/>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2A1A42">
              <w:rPr>
                <w:color w:val="000000"/>
                <w:sz w:val="24"/>
                <w:szCs w:val="24"/>
              </w:rPr>
              <w:t>10.31</w:t>
            </w:r>
          </w:p>
        </w:tc>
        <w:tc>
          <w:tcPr>
            <w:tcW w:w="1117" w:type="pct"/>
            <w:shd w:val="clear" w:color="auto" w:fill="auto"/>
            <w:noWrap/>
            <w:vAlign w:val="center"/>
          </w:tcPr>
          <w:p w:rsidR="00C37DA5" w:rsidRPr="002A1A42" w:rsidRDefault="00C37DA5" w:rsidP="002A1A42">
            <w:pPr>
              <w:keepNext/>
              <w:spacing w:line="240" w:lineRule="auto"/>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2A1A42">
              <w:rPr>
                <w:color w:val="000000"/>
                <w:sz w:val="24"/>
                <w:szCs w:val="24"/>
              </w:rPr>
              <w:t>0.18</w:t>
            </w:r>
          </w:p>
        </w:tc>
      </w:tr>
      <w:tr w:rsidR="00C37DA5" w:rsidRPr="002A1A42" w:rsidTr="00D339A0">
        <w:tc>
          <w:tcPr>
            <w:cnfStyle w:val="001000000000" w:firstRow="0" w:lastRow="0" w:firstColumn="1" w:lastColumn="0" w:oddVBand="0" w:evenVBand="0" w:oddHBand="0" w:evenHBand="0" w:firstRowFirstColumn="0" w:firstRowLastColumn="0" w:lastRowFirstColumn="0" w:lastRowLastColumn="0"/>
            <w:tcW w:w="1624" w:type="pct"/>
            <w:noWrap/>
            <w:vAlign w:val="bottom"/>
          </w:tcPr>
          <w:p w:rsidR="00C37DA5" w:rsidRPr="002A1A42" w:rsidRDefault="00C37DA5" w:rsidP="002A1A42">
            <w:pPr>
              <w:keepNext/>
              <w:spacing w:line="240" w:lineRule="auto"/>
              <w:contextualSpacing/>
              <w:rPr>
                <w:rFonts w:asciiTheme="minorHAnsi" w:hAnsiTheme="minorHAnsi" w:cstheme="minorHAnsi"/>
                <w:b w:val="0"/>
                <w:color w:val="000000"/>
                <w:sz w:val="24"/>
                <w:szCs w:val="24"/>
              </w:rPr>
            </w:pPr>
            <w:r w:rsidRPr="002A1A42">
              <w:rPr>
                <w:rFonts w:asciiTheme="minorHAnsi" w:hAnsiTheme="minorHAnsi" w:cstheme="minorHAnsi"/>
                <w:b w:val="0"/>
                <w:color w:val="000000"/>
                <w:sz w:val="24"/>
                <w:szCs w:val="24"/>
              </w:rPr>
              <w:t>Chichester and Bognor HMA</w:t>
            </w:r>
          </w:p>
        </w:tc>
        <w:tc>
          <w:tcPr>
            <w:tcW w:w="1234" w:type="pct"/>
            <w:noWrap/>
            <w:vAlign w:val="center"/>
          </w:tcPr>
          <w:p w:rsidR="00C37DA5" w:rsidRPr="002A1A42" w:rsidRDefault="00C37DA5" w:rsidP="002A1A42">
            <w:pPr>
              <w:keepNext/>
              <w:spacing w:line="240" w:lineRule="auto"/>
              <w:contextualSpacing/>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A1A42">
              <w:rPr>
                <w:color w:val="000000"/>
                <w:sz w:val="24"/>
                <w:szCs w:val="24"/>
              </w:rPr>
              <w:t>12.50</w:t>
            </w:r>
          </w:p>
        </w:tc>
        <w:tc>
          <w:tcPr>
            <w:tcW w:w="1025" w:type="pct"/>
            <w:noWrap/>
            <w:vAlign w:val="center"/>
          </w:tcPr>
          <w:p w:rsidR="00C37DA5" w:rsidRPr="002A1A42" w:rsidRDefault="00C37DA5" w:rsidP="002A1A42">
            <w:pPr>
              <w:keepNext/>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A1A42">
              <w:rPr>
                <w:color w:val="000000"/>
                <w:sz w:val="24"/>
                <w:szCs w:val="24"/>
              </w:rPr>
              <w:t>11.05</w:t>
            </w:r>
          </w:p>
        </w:tc>
        <w:tc>
          <w:tcPr>
            <w:tcW w:w="1117" w:type="pct"/>
            <w:noWrap/>
            <w:vAlign w:val="center"/>
          </w:tcPr>
          <w:p w:rsidR="00C37DA5" w:rsidRPr="002A1A42" w:rsidRDefault="00C37DA5" w:rsidP="002A1A42">
            <w:pPr>
              <w:keepNext/>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A1A42">
              <w:rPr>
                <w:color w:val="000000"/>
                <w:sz w:val="24"/>
                <w:szCs w:val="24"/>
              </w:rPr>
              <w:t>1.45</w:t>
            </w:r>
          </w:p>
        </w:tc>
      </w:tr>
      <w:tr w:rsidR="00C37DA5" w:rsidRPr="002A1A42" w:rsidTr="00D339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4" w:type="pct"/>
            <w:shd w:val="clear" w:color="auto" w:fill="auto"/>
            <w:noWrap/>
            <w:vAlign w:val="bottom"/>
          </w:tcPr>
          <w:p w:rsidR="00C37DA5" w:rsidRPr="002A1A42" w:rsidRDefault="00C37DA5" w:rsidP="002A1A42">
            <w:pPr>
              <w:keepNext/>
              <w:spacing w:line="240" w:lineRule="auto"/>
              <w:contextualSpacing/>
              <w:rPr>
                <w:rFonts w:asciiTheme="minorHAnsi" w:hAnsiTheme="minorHAnsi" w:cstheme="minorHAnsi"/>
                <w:b w:val="0"/>
                <w:color w:val="000000"/>
                <w:sz w:val="24"/>
                <w:szCs w:val="24"/>
              </w:rPr>
            </w:pPr>
            <w:r w:rsidRPr="002A1A42">
              <w:rPr>
                <w:rFonts w:asciiTheme="minorHAnsi" w:hAnsiTheme="minorHAnsi" w:cstheme="minorHAnsi"/>
                <w:b w:val="0"/>
                <w:color w:val="000000"/>
                <w:sz w:val="24"/>
                <w:szCs w:val="24"/>
              </w:rPr>
              <w:t>West Sussex</w:t>
            </w:r>
          </w:p>
        </w:tc>
        <w:tc>
          <w:tcPr>
            <w:tcW w:w="1234" w:type="pct"/>
            <w:shd w:val="clear" w:color="auto" w:fill="auto"/>
            <w:noWrap/>
            <w:vAlign w:val="center"/>
          </w:tcPr>
          <w:p w:rsidR="00C37DA5" w:rsidRPr="002A1A42" w:rsidRDefault="00C37DA5" w:rsidP="002A1A42">
            <w:pPr>
              <w:keepNext/>
              <w:spacing w:line="240" w:lineRule="auto"/>
              <w:contextualSpacing/>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2A1A42">
              <w:rPr>
                <w:color w:val="000000"/>
                <w:sz w:val="24"/>
                <w:szCs w:val="24"/>
              </w:rPr>
              <w:t>11.59</w:t>
            </w:r>
          </w:p>
        </w:tc>
        <w:tc>
          <w:tcPr>
            <w:tcW w:w="1025" w:type="pct"/>
            <w:shd w:val="clear" w:color="auto" w:fill="auto"/>
            <w:noWrap/>
            <w:vAlign w:val="center"/>
          </w:tcPr>
          <w:p w:rsidR="00C37DA5" w:rsidRPr="002A1A42" w:rsidRDefault="00C37DA5" w:rsidP="002A1A42">
            <w:pPr>
              <w:keepNext/>
              <w:spacing w:line="240" w:lineRule="auto"/>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2A1A42">
              <w:rPr>
                <w:color w:val="000000"/>
                <w:sz w:val="24"/>
                <w:szCs w:val="24"/>
              </w:rPr>
              <w:t>10.82</w:t>
            </w:r>
          </w:p>
        </w:tc>
        <w:tc>
          <w:tcPr>
            <w:tcW w:w="1117" w:type="pct"/>
            <w:shd w:val="clear" w:color="auto" w:fill="auto"/>
            <w:noWrap/>
            <w:vAlign w:val="center"/>
          </w:tcPr>
          <w:p w:rsidR="00C37DA5" w:rsidRPr="002A1A42" w:rsidRDefault="00C37DA5" w:rsidP="002A1A42">
            <w:pPr>
              <w:keepNext/>
              <w:spacing w:line="240" w:lineRule="auto"/>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2A1A42">
              <w:rPr>
                <w:color w:val="000000"/>
                <w:sz w:val="24"/>
                <w:szCs w:val="24"/>
              </w:rPr>
              <w:t>0.77</w:t>
            </w:r>
          </w:p>
        </w:tc>
      </w:tr>
      <w:tr w:rsidR="00C37DA5" w:rsidRPr="002A1A42" w:rsidTr="00D339A0">
        <w:tc>
          <w:tcPr>
            <w:cnfStyle w:val="001000000000" w:firstRow="0" w:lastRow="0" w:firstColumn="1" w:lastColumn="0" w:oddVBand="0" w:evenVBand="0" w:oddHBand="0" w:evenHBand="0" w:firstRowFirstColumn="0" w:firstRowLastColumn="0" w:lastRowFirstColumn="0" w:lastRowLastColumn="0"/>
            <w:tcW w:w="1624" w:type="pct"/>
            <w:noWrap/>
            <w:vAlign w:val="bottom"/>
          </w:tcPr>
          <w:p w:rsidR="00C37DA5" w:rsidRPr="002A1A42" w:rsidRDefault="00C37DA5" w:rsidP="002A1A42">
            <w:pPr>
              <w:keepNext/>
              <w:spacing w:line="240" w:lineRule="auto"/>
              <w:contextualSpacing/>
              <w:rPr>
                <w:rFonts w:asciiTheme="minorHAnsi" w:hAnsiTheme="minorHAnsi" w:cstheme="minorHAnsi"/>
                <w:b w:val="0"/>
                <w:color w:val="000000"/>
                <w:sz w:val="24"/>
                <w:szCs w:val="24"/>
              </w:rPr>
            </w:pPr>
            <w:r w:rsidRPr="002A1A42">
              <w:rPr>
                <w:rFonts w:asciiTheme="minorHAnsi" w:hAnsiTheme="minorHAnsi" w:cstheme="minorHAnsi"/>
                <w:b w:val="0"/>
                <w:color w:val="000000"/>
                <w:sz w:val="24"/>
                <w:szCs w:val="24"/>
              </w:rPr>
              <w:t>South East</w:t>
            </w:r>
          </w:p>
        </w:tc>
        <w:tc>
          <w:tcPr>
            <w:tcW w:w="1234" w:type="pct"/>
            <w:noWrap/>
            <w:vAlign w:val="center"/>
          </w:tcPr>
          <w:p w:rsidR="00C37DA5" w:rsidRPr="002A1A42" w:rsidRDefault="00C37DA5" w:rsidP="002A1A42">
            <w:pPr>
              <w:keepNext/>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A1A42">
              <w:rPr>
                <w:color w:val="000000"/>
                <w:sz w:val="24"/>
                <w:szCs w:val="24"/>
              </w:rPr>
              <w:t>10.51</w:t>
            </w:r>
          </w:p>
        </w:tc>
        <w:tc>
          <w:tcPr>
            <w:tcW w:w="1025" w:type="pct"/>
            <w:noWrap/>
            <w:vAlign w:val="center"/>
          </w:tcPr>
          <w:p w:rsidR="00C37DA5" w:rsidRPr="002A1A42" w:rsidRDefault="00C37DA5" w:rsidP="002A1A42">
            <w:pPr>
              <w:keepNext/>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A1A42">
              <w:rPr>
                <w:color w:val="000000"/>
                <w:sz w:val="24"/>
                <w:szCs w:val="24"/>
              </w:rPr>
              <w:t>9.93</w:t>
            </w:r>
          </w:p>
        </w:tc>
        <w:tc>
          <w:tcPr>
            <w:tcW w:w="1117" w:type="pct"/>
            <w:noWrap/>
            <w:vAlign w:val="center"/>
          </w:tcPr>
          <w:p w:rsidR="00C37DA5" w:rsidRPr="002A1A42" w:rsidRDefault="00C37DA5" w:rsidP="002A1A42">
            <w:pPr>
              <w:keepNext/>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A1A42">
              <w:rPr>
                <w:color w:val="000000"/>
                <w:sz w:val="24"/>
                <w:szCs w:val="24"/>
              </w:rPr>
              <w:t>0.58</w:t>
            </w:r>
          </w:p>
        </w:tc>
      </w:tr>
      <w:tr w:rsidR="00C37DA5" w:rsidRPr="002A1A42" w:rsidTr="00D339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4" w:type="pct"/>
            <w:shd w:val="clear" w:color="auto" w:fill="auto"/>
            <w:noWrap/>
            <w:vAlign w:val="bottom"/>
          </w:tcPr>
          <w:p w:rsidR="00C37DA5" w:rsidRPr="002A1A42" w:rsidRDefault="00C37DA5" w:rsidP="002A1A42">
            <w:pPr>
              <w:keepNext/>
              <w:spacing w:line="240" w:lineRule="auto"/>
              <w:contextualSpacing/>
              <w:rPr>
                <w:rFonts w:asciiTheme="minorHAnsi" w:hAnsiTheme="minorHAnsi" w:cstheme="minorHAnsi"/>
                <w:b w:val="0"/>
                <w:color w:val="000000"/>
                <w:sz w:val="24"/>
                <w:szCs w:val="24"/>
              </w:rPr>
            </w:pPr>
            <w:r w:rsidRPr="002A1A42">
              <w:rPr>
                <w:rFonts w:asciiTheme="minorHAnsi" w:hAnsiTheme="minorHAnsi" w:cstheme="minorHAnsi"/>
                <w:b w:val="0"/>
                <w:color w:val="000000"/>
                <w:sz w:val="24"/>
                <w:szCs w:val="24"/>
              </w:rPr>
              <w:t>England and Wales</w:t>
            </w:r>
          </w:p>
        </w:tc>
        <w:tc>
          <w:tcPr>
            <w:tcW w:w="1234" w:type="pct"/>
            <w:shd w:val="clear" w:color="auto" w:fill="auto"/>
            <w:noWrap/>
            <w:vAlign w:val="center"/>
          </w:tcPr>
          <w:p w:rsidR="00C37DA5" w:rsidRPr="002A1A42" w:rsidRDefault="00C37DA5" w:rsidP="002A1A42">
            <w:pPr>
              <w:keepNext/>
              <w:spacing w:line="240" w:lineRule="auto"/>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2A1A42">
              <w:rPr>
                <w:color w:val="000000"/>
                <w:sz w:val="24"/>
                <w:szCs w:val="24"/>
              </w:rPr>
              <w:t>7.17</w:t>
            </w:r>
          </w:p>
        </w:tc>
        <w:tc>
          <w:tcPr>
            <w:tcW w:w="1025" w:type="pct"/>
            <w:shd w:val="clear" w:color="auto" w:fill="auto"/>
            <w:noWrap/>
            <w:vAlign w:val="center"/>
          </w:tcPr>
          <w:p w:rsidR="00C37DA5" w:rsidRPr="002A1A42" w:rsidRDefault="00C37DA5" w:rsidP="002A1A42">
            <w:pPr>
              <w:keepNext/>
              <w:spacing w:line="240" w:lineRule="auto"/>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2A1A42">
              <w:rPr>
                <w:color w:val="000000"/>
                <w:sz w:val="24"/>
                <w:szCs w:val="24"/>
              </w:rPr>
              <w:t>7.83</w:t>
            </w:r>
          </w:p>
        </w:tc>
        <w:tc>
          <w:tcPr>
            <w:tcW w:w="1117" w:type="pct"/>
            <w:shd w:val="clear" w:color="auto" w:fill="auto"/>
            <w:noWrap/>
            <w:vAlign w:val="center"/>
          </w:tcPr>
          <w:p w:rsidR="00C37DA5" w:rsidRPr="002A1A42" w:rsidRDefault="00C37DA5" w:rsidP="002A1A42">
            <w:pPr>
              <w:keepNext/>
              <w:spacing w:line="240" w:lineRule="auto"/>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2A1A42">
              <w:rPr>
                <w:color w:val="000000"/>
                <w:sz w:val="24"/>
                <w:szCs w:val="24"/>
              </w:rPr>
              <w:t>-0.66</w:t>
            </w:r>
          </w:p>
        </w:tc>
      </w:tr>
    </w:tbl>
    <w:p w:rsidR="00C37DA5" w:rsidRPr="002A1A42" w:rsidRDefault="00C37DA5" w:rsidP="0092435E">
      <w:pPr>
        <w:pStyle w:val="111Bodytext"/>
        <w:numPr>
          <w:ilvl w:val="0"/>
          <w:numId w:val="0"/>
        </w:numPr>
        <w:spacing w:before="0" w:line="240" w:lineRule="auto"/>
      </w:pPr>
      <w:r w:rsidRPr="002A1A42">
        <w:t xml:space="preserve">Source: ONS </w:t>
      </w:r>
      <w:r w:rsidR="00855CA6" w:rsidRPr="002A1A42">
        <w:t xml:space="preserve">ratio </w:t>
      </w:r>
      <w:r w:rsidRPr="002A1A42">
        <w:t>of house price to residence-based earnings (lower quartile and median), 2002 to 2018</w:t>
      </w:r>
    </w:p>
    <w:p w:rsidR="00C37DA5" w:rsidRPr="00CA47B9" w:rsidRDefault="00C37DA5" w:rsidP="00020CFC">
      <w:pPr>
        <w:pStyle w:val="11Bodytext"/>
        <w:tabs>
          <w:tab w:val="clear" w:pos="2212"/>
          <w:tab w:val="num" w:pos="567"/>
        </w:tabs>
        <w:ind w:left="567" w:hanging="567"/>
      </w:pPr>
      <w:r w:rsidRPr="00CA47B9">
        <w:t xml:space="preserve">Figure </w:t>
      </w:r>
      <w:r w:rsidR="00442CA7">
        <w:t>12</w:t>
      </w:r>
      <w:r w:rsidRPr="00CA47B9">
        <w:t xml:space="preserve"> shows that workplace affordability</w:t>
      </w:r>
      <w:r w:rsidR="00315842">
        <w:t xml:space="preserve"> (as used in developing the housing need numbers)</w:t>
      </w:r>
      <w:r w:rsidRPr="00CA47B9">
        <w:t xml:space="preserve"> has worsened since 2012 in Chichester (the ratio between house prices and workplace earnings)</w:t>
      </w:r>
      <w:r w:rsidR="00717B43">
        <w:t xml:space="preserve"> however</w:t>
      </w:r>
      <w:r w:rsidRPr="00CA47B9">
        <w:t xml:space="preserve"> Chichester has followed national and regional trends </w:t>
      </w:r>
      <w:r w:rsidR="00855CA6" w:rsidRPr="00CA47B9">
        <w:t>post</w:t>
      </w:r>
      <w:r w:rsidR="00855CA6">
        <w:t>-</w:t>
      </w:r>
      <w:r w:rsidRPr="00CA47B9">
        <w:t xml:space="preserve">2009, albeit at a higher level. However, Chichester experienced a decline in the affordability ratio of 0.40 since 2017 to reach 13.10 </w:t>
      </w:r>
      <w:r w:rsidR="00855CA6">
        <w:t>in</w:t>
      </w:r>
      <w:r w:rsidR="00855CA6" w:rsidRPr="00CA47B9">
        <w:t xml:space="preserve"> </w:t>
      </w:r>
      <w:r w:rsidRPr="00CA47B9">
        <w:t xml:space="preserve">2018. </w:t>
      </w:r>
    </w:p>
    <w:p w:rsidR="00C37DA5" w:rsidRPr="00CA47B9" w:rsidRDefault="00C37DA5" w:rsidP="0092435E">
      <w:pPr>
        <w:pStyle w:val="FigureHeading"/>
        <w:tabs>
          <w:tab w:val="clear" w:pos="794"/>
          <w:tab w:val="clear" w:pos="1843"/>
          <w:tab w:val="left" w:pos="0"/>
        </w:tabs>
        <w:spacing w:line="240" w:lineRule="auto"/>
        <w:ind w:left="0" w:firstLine="0"/>
      </w:pPr>
      <w:r w:rsidRPr="00CA47B9">
        <w:t>Workplace-based median affordability ratio, 2002-2018</w:t>
      </w:r>
    </w:p>
    <w:p w:rsidR="00C37DA5" w:rsidRPr="00CA47B9" w:rsidRDefault="00C37DA5" w:rsidP="00A1178F">
      <w:pPr>
        <w:pStyle w:val="11Bodytext"/>
        <w:numPr>
          <w:ilvl w:val="0"/>
          <w:numId w:val="0"/>
        </w:numPr>
        <w:spacing w:before="0" w:after="0" w:line="240" w:lineRule="auto"/>
      </w:pPr>
      <w:r w:rsidRPr="00CA47B9">
        <w:rPr>
          <w:noProof/>
          <w:lang w:eastAsia="en-GB"/>
        </w:rPr>
        <w:drawing>
          <wp:inline distT="0" distB="0" distL="0" distR="0" wp14:anchorId="32252839" wp14:editId="5684D5B1">
            <wp:extent cx="6120000" cy="2880000"/>
            <wp:effectExtent l="0" t="0" r="14605" b="15875"/>
            <wp:docPr id="242" name="Chart 242" descr="Chart showing workplace-based median affordability ratios from 2002 to 2018 in Chichester and other geographies" title="Figure 12: Workplace based median affordability ratio 2002-20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BC14943-8E92-4E9B-AEE3-3E1296773A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37DA5" w:rsidRPr="00CA47B9" w:rsidRDefault="00C37DA5" w:rsidP="0092435E">
      <w:pPr>
        <w:pStyle w:val="111Bodytext"/>
        <w:numPr>
          <w:ilvl w:val="0"/>
          <w:numId w:val="0"/>
        </w:numPr>
        <w:spacing w:before="0" w:line="240" w:lineRule="auto"/>
      </w:pPr>
      <w:r w:rsidRPr="00CA47B9">
        <w:t xml:space="preserve">Source: DCLG </w:t>
      </w:r>
      <w:r w:rsidR="00855CA6" w:rsidRPr="00CA47B9">
        <w:t>Workplace</w:t>
      </w:r>
      <w:r w:rsidR="00855CA6">
        <w:t>-</w:t>
      </w:r>
      <w:r w:rsidRPr="00CA47B9">
        <w:t>Based Affordability Ratio</w:t>
      </w:r>
    </w:p>
    <w:p w:rsidR="00C37DA5" w:rsidRDefault="00C37DA5" w:rsidP="00020CFC">
      <w:pPr>
        <w:pStyle w:val="11Bodytext"/>
        <w:tabs>
          <w:tab w:val="clear" w:pos="2212"/>
          <w:tab w:val="num" w:pos="567"/>
        </w:tabs>
        <w:ind w:left="567" w:hanging="567"/>
      </w:pPr>
      <w:r w:rsidRPr="00CA47B9">
        <w:t xml:space="preserve">Table </w:t>
      </w:r>
      <w:r w:rsidR="00CA6EFA">
        <w:t>5</w:t>
      </w:r>
      <w:r w:rsidRPr="00CA47B9">
        <w:t xml:space="preserve"> presents the most recent median workplace-based affordability ratios. This includes the median ratio which according to the proposed methodology is the key market signal for consideration when calculating the district’s </w:t>
      </w:r>
      <w:r w:rsidR="00862432">
        <w:t>housing need</w:t>
      </w:r>
      <w:r w:rsidRPr="00CA47B9">
        <w:t xml:space="preserve">. At 2018, the median ratio was 13.10 in Chichester. This is above all the comparable ratios illustrating severe affordability pressures in Chichester. </w:t>
      </w:r>
    </w:p>
    <w:p w:rsidR="00F932F8" w:rsidRPr="00CA47B9" w:rsidRDefault="00F932F8" w:rsidP="00020CFC">
      <w:pPr>
        <w:pStyle w:val="11Bodytext"/>
        <w:tabs>
          <w:tab w:val="clear" w:pos="2212"/>
          <w:tab w:val="num" w:pos="567"/>
        </w:tabs>
        <w:ind w:left="567" w:hanging="567"/>
      </w:pPr>
      <w:r>
        <w:lastRenderedPageBreak/>
        <w:t xml:space="preserve">The </w:t>
      </w:r>
      <w:r w:rsidR="00855CA6">
        <w:t>workplace-</w:t>
      </w:r>
      <w:r>
        <w:t>based affordability ratios are also higher than the residen</w:t>
      </w:r>
      <w:r w:rsidR="007A6B08">
        <w:t>ce</w:t>
      </w:r>
      <w:r>
        <w:t xml:space="preserve"> based ratio illustrating the significantly higher earnings of those living in the district compared to those working in it.</w:t>
      </w:r>
      <w:r w:rsidR="00855CA6">
        <w:t xml:space="preserve"> </w:t>
      </w:r>
      <w:r w:rsidR="00315842">
        <w:t>It also illustrates the difficulty of people working in the district being able to live close to their place of work.</w:t>
      </w:r>
    </w:p>
    <w:p w:rsidR="00C37DA5" w:rsidRPr="002A1A42" w:rsidRDefault="00855CA6" w:rsidP="0092435E">
      <w:pPr>
        <w:pStyle w:val="Tableheading"/>
        <w:tabs>
          <w:tab w:val="clear" w:pos="794"/>
          <w:tab w:val="clear" w:pos="1843"/>
          <w:tab w:val="left" w:pos="0"/>
        </w:tabs>
        <w:ind w:left="0" w:firstLine="0"/>
      </w:pPr>
      <w:r w:rsidRPr="002A1A42">
        <w:t>Workplace-</w:t>
      </w:r>
      <w:r w:rsidR="00F932F8" w:rsidRPr="002A1A42">
        <w:t xml:space="preserve">Based </w:t>
      </w:r>
      <w:r w:rsidR="00C37DA5" w:rsidRPr="002A1A42">
        <w:t xml:space="preserve">Affordability Ratio 2018 </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5: Workplace based Affordability Ratio 2018"/>
      </w:tblPr>
      <w:tblGrid>
        <w:gridCol w:w="3290"/>
        <w:gridCol w:w="2339"/>
        <w:gridCol w:w="2211"/>
        <w:gridCol w:w="1899"/>
      </w:tblGrid>
      <w:tr w:rsidR="00C37DA5" w:rsidRPr="002A1A42" w:rsidTr="00D339A0">
        <w:trPr>
          <w:tblHeader/>
        </w:trPr>
        <w:tc>
          <w:tcPr>
            <w:tcW w:w="1689" w:type="pct"/>
            <w:shd w:val="clear" w:color="000000" w:fill="0093D5"/>
            <w:noWrap/>
            <w:vAlign w:val="center"/>
            <w:hideMark/>
          </w:tcPr>
          <w:p w:rsidR="00C37DA5" w:rsidRPr="002A1A42" w:rsidRDefault="00C37DA5" w:rsidP="002A1A42">
            <w:pPr>
              <w:keepNext/>
              <w:ind w:left="74"/>
              <w:rPr>
                <w:rFonts w:eastAsia="Times New Roman"/>
                <w:color w:val="000000"/>
                <w:sz w:val="24"/>
                <w:szCs w:val="24"/>
                <w:lang w:eastAsia="en-GB"/>
              </w:rPr>
            </w:pPr>
          </w:p>
        </w:tc>
        <w:tc>
          <w:tcPr>
            <w:tcW w:w="1201" w:type="pct"/>
            <w:shd w:val="clear" w:color="000000" w:fill="0093D5"/>
          </w:tcPr>
          <w:p w:rsidR="00C37DA5" w:rsidRPr="002A1A42" w:rsidRDefault="00C37DA5" w:rsidP="002A1A42">
            <w:pPr>
              <w:keepNext/>
              <w:jc w:val="center"/>
              <w:rPr>
                <w:rFonts w:eastAsia="Times New Roman"/>
                <w:color w:val="FFFFFF"/>
                <w:sz w:val="24"/>
                <w:szCs w:val="24"/>
                <w:lang w:eastAsia="en-GB"/>
              </w:rPr>
            </w:pPr>
            <w:r w:rsidRPr="002A1A42">
              <w:rPr>
                <w:rFonts w:eastAsia="Times New Roman"/>
                <w:color w:val="FFFFFF"/>
                <w:sz w:val="24"/>
                <w:szCs w:val="24"/>
                <w:lang w:eastAsia="en-GB"/>
              </w:rPr>
              <w:t>Lower Quartile Ratio</w:t>
            </w:r>
          </w:p>
        </w:tc>
        <w:tc>
          <w:tcPr>
            <w:tcW w:w="1135" w:type="pct"/>
            <w:shd w:val="clear" w:color="000000" w:fill="0093D5"/>
            <w:noWrap/>
            <w:vAlign w:val="center"/>
            <w:hideMark/>
          </w:tcPr>
          <w:p w:rsidR="00C37DA5" w:rsidRPr="002A1A42" w:rsidRDefault="00C37DA5" w:rsidP="002A1A42">
            <w:pPr>
              <w:keepNext/>
              <w:jc w:val="center"/>
              <w:rPr>
                <w:rFonts w:eastAsia="Times New Roman"/>
                <w:color w:val="FFFFFF"/>
                <w:sz w:val="24"/>
                <w:szCs w:val="24"/>
                <w:lang w:eastAsia="en-GB"/>
              </w:rPr>
            </w:pPr>
            <w:r w:rsidRPr="002A1A42">
              <w:rPr>
                <w:rFonts w:eastAsia="Times New Roman"/>
                <w:color w:val="FFFFFF"/>
                <w:sz w:val="24"/>
                <w:szCs w:val="24"/>
                <w:lang w:eastAsia="en-GB"/>
              </w:rPr>
              <w:t>Median Ratio</w:t>
            </w:r>
          </w:p>
        </w:tc>
        <w:tc>
          <w:tcPr>
            <w:tcW w:w="975" w:type="pct"/>
            <w:shd w:val="clear" w:color="000000" w:fill="0093D5"/>
          </w:tcPr>
          <w:p w:rsidR="00C37DA5" w:rsidRPr="002A1A42" w:rsidRDefault="00C37DA5" w:rsidP="002A1A42">
            <w:pPr>
              <w:keepNext/>
              <w:jc w:val="center"/>
              <w:rPr>
                <w:rFonts w:eastAsia="Times New Roman"/>
                <w:color w:val="FFFFFF"/>
                <w:sz w:val="24"/>
                <w:szCs w:val="24"/>
                <w:lang w:eastAsia="en-GB"/>
              </w:rPr>
            </w:pPr>
            <w:r w:rsidRPr="002A1A42">
              <w:rPr>
                <w:rFonts w:eastAsia="Times New Roman"/>
                <w:color w:val="FFFFFF"/>
                <w:sz w:val="24"/>
                <w:szCs w:val="24"/>
                <w:lang w:eastAsia="en-GB"/>
              </w:rPr>
              <w:t>Difference</w:t>
            </w:r>
          </w:p>
        </w:tc>
      </w:tr>
      <w:tr w:rsidR="00C37DA5" w:rsidRPr="002A1A42" w:rsidTr="00D339A0">
        <w:tc>
          <w:tcPr>
            <w:tcW w:w="1689" w:type="pct"/>
            <w:shd w:val="clear" w:color="auto" w:fill="auto"/>
            <w:noWrap/>
            <w:vAlign w:val="center"/>
            <w:hideMark/>
          </w:tcPr>
          <w:p w:rsidR="00C37DA5" w:rsidRPr="002A1A42" w:rsidRDefault="00C37DA5" w:rsidP="002A1A42">
            <w:pPr>
              <w:keepNext/>
              <w:rPr>
                <w:rFonts w:eastAsia="Times New Roman"/>
                <w:b/>
                <w:bCs/>
                <w:color w:val="000000"/>
                <w:sz w:val="24"/>
                <w:szCs w:val="24"/>
                <w:lang w:eastAsia="en-GB"/>
              </w:rPr>
            </w:pPr>
            <w:r w:rsidRPr="002A1A42">
              <w:rPr>
                <w:rFonts w:eastAsia="Times New Roman"/>
                <w:b/>
                <w:bCs/>
                <w:color w:val="000000"/>
                <w:sz w:val="24"/>
                <w:szCs w:val="24"/>
                <w:lang w:eastAsia="en-GB"/>
              </w:rPr>
              <w:t>Chichester District</w:t>
            </w:r>
          </w:p>
        </w:tc>
        <w:tc>
          <w:tcPr>
            <w:tcW w:w="1201" w:type="pct"/>
            <w:vAlign w:val="center"/>
          </w:tcPr>
          <w:p w:rsidR="00C37DA5" w:rsidRPr="002A1A42" w:rsidRDefault="00C37DA5" w:rsidP="002A1A42">
            <w:pPr>
              <w:keepNext/>
              <w:jc w:val="center"/>
              <w:rPr>
                <w:rFonts w:eastAsia="Times New Roman"/>
                <w:b/>
                <w:bCs/>
                <w:color w:val="000000"/>
                <w:sz w:val="24"/>
                <w:szCs w:val="24"/>
                <w:lang w:eastAsia="en-GB"/>
              </w:rPr>
            </w:pPr>
            <w:r w:rsidRPr="002A1A42">
              <w:rPr>
                <w:b/>
                <w:bCs/>
                <w:color w:val="000000"/>
                <w:sz w:val="24"/>
                <w:szCs w:val="24"/>
              </w:rPr>
              <w:t>14.51</w:t>
            </w:r>
          </w:p>
        </w:tc>
        <w:tc>
          <w:tcPr>
            <w:tcW w:w="1135" w:type="pct"/>
            <w:shd w:val="clear" w:color="auto" w:fill="auto"/>
            <w:noWrap/>
            <w:vAlign w:val="center"/>
          </w:tcPr>
          <w:p w:rsidR="00C37DA5" w:rsidRPr="002A1A42" w:rsidRDefault="00C37DA5" w:rsidP="002A1A42">
            <w:pPr>
              <w:keepNext/>
              <w:jc w:val="center"/>
              <w:rPr>
                <w:rFonts w:eastAsia="Times New Roman"/>
                <w:b/>
                <w:bCs/>
                <w:color w:val="000000"/>
                <w:sz w:val="24"/>
                <w:szCs w:val="24"/>
                <w:lang w:eastAsia="en-GB"/>
              </w:rPr>
            </w:pPr>
            <w:r w:rsidRPr="002A1A42">
              <w:rPr>
                <w:b/>
                <w:bCs/>
                <w:color w:val="000000"/>
                <w:sz w:val="24"/>
                <w:szCs w:val="24"/>
              </w:rPr>
              <w:t>13.10</w:t>
            </w:r>
          </w:p>
        </w:tc>
        <w:tc>
          <w:tcPr>
            <w:tcW w:w="975" w:type="pct"/>
            <w:vAlign w:val="center"/>
          </w:tcPr>
          <w:p w:rsidR="00C37DA5" w:rsidRPr="002A1A42" w:rsidRDefault="00C37DA5" w:rsidP="002A1A42">
            <w:pPr>
              <w:keepNext/>
              <w:jc w:val="center"/>
              <w:rPr>
                <w:rFonts w:eastAsia="Times New Roman"/>
                <w:b/>
                <w:bCs/>
                <w:color w:val="000000"/>
                <w:sz w:val="24"/>
                <w:szCs w:val="24"/>
                <w:lang w:eastAsia="en-GB"/>
              </w:rPr>
            </w:pPr>
            <w:r w:rsidRPr="002A1A42">
              <w:rPr>
                <w:b/>
                <w:bCs/>
                <w:color w:val="000000"/>
                <w:sz w:val="24"/>
                <w:szCs w:val="24"/>
              </w:rPr>
              <w:t>1.41</w:t>
            </w:r>
          </w:p>
        </w:tc>
      </w:tr>
      <w:tr w:rsidR="00C37DA5" w:rsidRPr="002A1A42" w:rsidTr="00D339A0">
        <w:tc>
          <w:tcPr>
            <w:tcW w:w="1689" w:type="pct"/>
            <w:shd w:val="clear" w:color="auto" w:fill="auto"/>
            <w:noWrap/>
            <w:vAlign w:val="center"/>
            <w:hideMark/>
          </w:tcPr>
          <w:p w:rsidR="00C37DA5" w:rsidRPr="002A1A42" w:rsidRDefault="00C37DA5" w:rsidP="002A1A42">
            <w:pPr>
              <w:keepNext/>
              <w:rPr>
                <w:rFonts w:eastAsia="Times New Roman"/>
                <w:color w:val="000000"/>
                <w:sz w:val="24"/>
                <w:szCs w:val="24"/>
                <w:lang w:eastAsia="en-GB"/>
              </w:rPr>
            </w:pPr>
            <w:r w:rsidRPr="002A1A42">
              <w:rPr>
                <w:rFonts w:eastAsia="Times New Roman"/>
                <w:color w:val="000000"/>
                <w:sz w:val="24"/>
                <w:szCs w:val="24"/>
                <w:lang w:eastAsia="en-GB"/>
              </w:rPr>
              <w:t>Arun</w:t>
            </w:r>
          </w:p>
        </w:tc>
        <w:tc>
          <w:tcPr>
            <w:tcW w:w="1201" w:type="pct"/>
            <w:vAlign w:val="center"/>
          </w:tcPr>
          <w:p w:rsidR="00C37DA5" w:rsidRPr="002A1A42" w:rsidRDefault="00C37DA5" w:rsidP="002A1A42">
            <w:pPr>
              <w:keepNext/>
              <w:jc w:val="center"/>
              <w:rPr>
                <w:rFonts w:eastAsia="Times New Roman"/>
                <w:color w:val="000000"/>
                <w:sz w:val="24"/>
                <w:szCs w:val="24"/>
                <w:lang w:eastAsia="en-GB"/>
              </w:rPr>
            </w:pPr>
            <w:r w:rsidRPr="002A1A42">
              <w:rPr>
                <w:bCs/>
                <w:color w:val="000000"/>
                <w:sz w:val="24"/>
                <w:szCs w:val="24"/>
              </w:rPr>
              <w:t>11.98</w:t>
            </w:r>
          </w:p>
        </w:tc>
        <w:tc>
          <w:tcPr>
            <w:tcW w:w="1135" w:type="pct"/>
            <w:shd w:val="clear" w:color="auto" w:fill="auto"/>
            <w:noWrap/>
            <w:vAlign w:val="center"/>
          </w:tcPr>
          <w:p w:rsidR="00C37DA5" w:rsidRPr="002A1A42" w:rsidRDefault="00C37DA5" w:rsidP="002A1A42">
            <w:pPr>
              <w:keepNext/>
              <w:jc w:val="center"/>
              <w:rPr>
                <w:rFonts w:eastAsia="Times New Roman"/>
                <w:color w:val="000000"/>
                <w:sz w:val="24"/>
                <w:szCs w:val="24"/>
                <w:lang w:eastAsia="en-GB"/>
              </w:rPr>
            </w:pPr>
            <w:r w:rsidRPr="002A1A42">
              <w:rPr>
                <w:color w:val="000000"/>
                <w:sz w:val="24"/>
                <w:szCs w:val="24"/>
              </w:rPr>
              <w:t>12.13</w:t>
            </w:r>
          </w:p>
        </w:tc>
        <w:tc>
          <w:tcPr>
            <w:tcW w:w="975" w:type="pct"/>
            <w:vAlign w:val="center"/>
          </w:tcPr>
          <w:p w:rsidR="00C37DA5" w:rsidRPr="002A1A42" w:rsidRDefault="00C37DA5" w:rsidP="002A1A42">
            <w:pPr>
              <w:keepNext/>
              <w:jc w:val="center"/>
              <w:rPr>
                <w:rFonts w:eastAsia="Times New Roman"/>
                <w:color w:val="000000"/>
                <w:sz w:val="24"/>
                <w:szCs w:val="24"/>
                <w:lang w:eastAsia="en-GB"/>
              </w:rPr>
            </w:pPr>
            <w:r w:rsidRPr="002A1A42">
              <w:rPr>
                <w:bCs/>
                <w:color w:val="000000"/>
                <w:sz w:val="24"/>
                <w:szCs w:val="24"/>
              </w:rPr>
              <w:t>-0.15</w:t>
            </w:r>
          </w:p>
        </w:tc>
      </w:tr>
      <w:tr w:rsidR="00C37DA5" w:rsidRPr="002A1A42" w:rsidTr="00D339A0">
        <w:tc>
          <w:tcPr>
            <w:tcW w:w="1689" w:type="pct"/>
            <w:shd w:val="clear" w:color="auto" w:fill="auto"/>
            <w:noWrap/>
            <w:vAlign w:val="center"/>
            <w:hideMark/>
          </w:tcPr>
          <w:p w:rsidR="00C37DA5" w:rsidRPr="002A1A42" w:rsidRDefault="00C37DA5" w:rsidP="002A1A42">
            <w:pPr>
              <w:keepNext/>
              <w:rPr>
                <w:rFonts w:eastAsia="Times New Roman"/>
                <w:color w:val="000000"/>
                <w:sz w:val="24"/>
                <w:szCs w:val="24"/>
                <w:lang w:eastAsia="en-GB"/>
              </w:rPr>
            </w:pPr>
            <w:r w:rsidRPr="002A1A42">
              <w:rPr>
                <w:rFonts w:eastAsia="Times New Roman"/>
                <w:color w:val="000000"/>
                <w:sz w:val="24"/>
                <w:szCs w:val="24"/>
                <w:lang w:eastAsia="en-GB"/>
              </w:rPr>
              <w:t>Cotswold</w:t>
            </w:r>
          </w:p>
        </w:tc>
        <w:tc>
          <w:tcPr>
            <w:tcW w:w="1201" w:type="pct"/>
            <w:vAlign w:val="center"/>
          </w:tcPr>
          <w:p w:rsidR="00C37DA5" w:rsidRPr="002A1A42" w:rsidRDefault="00C37DA5" w:rsidP="002A1A42">
            <w:pPr>
              <w:keepNext/>
              <w:jc w:val="center"/>
              <w:rPr>
                <w:rFonts w:eastAsia="Times New Roman"/>
                <w:color w:val="000000"/>
                <w:sz w:val="24"/>
                <w:szCs w:val="24"/>
                <w:lang w:eastAsia="en-GB"/>
              </w:rPr>
            </w:pPr>
            <w:r w:rsidRPr="002A1A42">
              <w:rPr>
                <w:bCs/>
                <w:color w:val="000000"/>
                <w:sz w:val="24"/>
                <w:szCs w:val="24"/>
              </w:rPr>
              <w:t>12.39</w:t>
            </w:r>
          </w:p>
        </w:tc>
        <w:tc>
          <w:tcPr>
            <w:tcW w:w="1135" w:type="pct"/>
            <w:shd w:val="clear" w:color="auto" w:fill="auto"/>
            <w:noWrap/>
            <w:vAlign w:val="center"/>
          </w:tcPr>
          <w:p w:rsidR="00C37DA5" w:rsidRPr="002A1A42" w:rsidRDefault="00C37DA5" w:rsidP="002A1A42">
            <w:pPr>
              <w:keepNext/>
              <w:jc w:val="center"/>
              <w:rPr>
                <w:rFonts w:eastAsia="Times New Roman"/>
                <w:color w:val="000000"/>
                <w:sz w:val="24"/>
                <w:szCs w:val="24"/>
                <w:lang w:eastAsia="en-GB"/>
              </w:rPr>
            </w:pPr>
            <w:r w:rsidRPr="002A1A42">
              <w:rPr>
                <w:color w:val="000000"/>
                <w:sz w:val="24"/>
                <w:szCs w:val="24"/>
              </w:rPr>
              <w:t>13.63</w:t>
            </w:r>
          </w:p>
        </w:tc>
        <w:tc>
          <w:tcPr>
            <w:tcW w:w="975" w:type="pct"/>
            <w:vAlign w:val="center"/>
          </w:tcPr>
          <w:p w:rsidR="00C37DA5" w:rsidRPr="002A1A42" w:rsidRDefault="00C37DA5" w:rsidP="002A1A42">
            <w:pPr>
              <w:keepNext/>
              <w:jc w:val="center"/>
              <w:rPr>
                <w:rFonts w:eastAsia="Times New Roman"/>
                <w:color w:val="000000"/>
                <w:sz w:val="24"/>
                <w:szCs w:val="24"/>
                <w:lang w:eastAsia="en-GB"/>
              </w:rPr>
            </w:pPr>
            <w:r w:rsidRPr="002A1A42">
              <w:rPr>
                <w:bCs/>
                <w:color w:val="000000"/>
                <w:sz w:val="24"/>
                <w:szCs w:val="24"/>
              </w:rPr>
              <w:t>-1.24</w:t>
            </w:r>
          </w:p>
        </w:tc>
      </w:tr>
      <w:tr w:rsidR="00C37DA5" w:rsidRPr="002A1A42" w:rsidTr="00D339A0">
        <w:tc>
          <w:tcPr>
            <w:tcW w:w="1689" w:type="pct"/>
            <w:shd w:val="clear" w:color="auto" w:fill="auto"/>
            <w:noWrap/>
            <w:vAlign w:val="center"/>
            <w:hideMark/>
          </w:tcPr>
          <w:p w:rsidR="00C37DA5" w:rsidRPr="002A1A42" w:rsidRDefault="00C37DA5" w:rsidP="002A1A42">
            <w:pPr>
              <w:keepNext/>
              <w:rPr>
                <w:rFonts w:eastAsia="Times New Roman"/>
                <w:color w:val="000000"/>
                <w:sz w:val="24"/>
                <w:szCs w:val="24"/>
                <w:lang w:eastAsia="en-GB"/>
              </w:rPr>
            </w:pPr>
            <w:r w:rsidRPr="002A1A42">
              <w:rPr>
                <w:rFonts w:eastAsia="Times New Roman"/>
                <w:color w:val="000000"/>
                <w:sz w:val="24"/>
                <w:szCs w:val="24"/>
                <w:lang w:eastAsia="en-GB"/>
              </w:rPr>
              <w:t>West Dorset</w:t>
            </w:r>
          </w:p>
        </w:tc>
        <w:tc>
          <w:tcPr>
            <w:tcW w:w="1201" w:type="pct"/>
            <w:vAlign w:val="center"/>
          </w:tcPr>
          <w:p w:rsidR="00C37DA5" w:rsidRPr="002A1A42" w:rsidRDefault="00C37DA5" w:rsidP="002A1A42">
            <w:pPr>
              <w:keepNext/>
              <w:jc w:val="center"/>
              <w:rPr>
                <w:rFonts w:eastAsia="Times New Roman"/>
                <w:color w:val="000000"/>
                <w:sz w:val="24"/>
                <w:szCs w:val="24"/>
                <w:lang w:eastAsia="en-GB"/>
              </w:rPr>
            </w:pPr>
            <w:r w:rsidRPr="002A1A42">
              <w:rPr>
                <w:bCs/>
                <w:color w:val="000000"/>
                <w:sz w:val="24"/>
                <w:szCs w:val="24"/>
              </w:rPr>
              <w:t>10.62</w:t>
            </w:r>
          </w:p>
        </w:tc>
        <w:tc>
          <w:tcPr>
            <w:tcW w:w="1135" w:type="pct"/>
            <w:shd w:val="clear" w:color="auto" w:fill="auto"/>
            <w:noWrap/>
            <w:vAlign w:val="center"/>
          </w:tcPr>
          <w:p w:rsidR="00C37DA5" w:rsidRPr="002A1A42" w:rsidRDefault="00C37DA5" w:rsidP="002A1A42">
            <w:pPr>
              <w:keepNext/>
              <w:jc w:val="center"/>
              <w:rPr>
                <w:rFonts w:eastAsia="Times New Roman"/>
                <w:color w:val="000000"/>
                <w:sz w:val="24"/>
                <w:szCs w:val="24"/>
                <w:lang w:eastAsia="en-GB"/>
              </w:rPr>
            </w:pPr>
            <w:r w:rsidRPr="002A1A42">
              <w:rPr>
                <w:color w:val="000000"/>
                <w:sz w:val="24"/>
                <w:szCs w:val="24"/>
              </w:rPr>
              <w:t>11.03</w:t>
            </w:r>
          </w:p>
        </w:tc>
        <w:tc>
          <w:tcPr>
            <w:tcW w:w="975" w:type="pct"/>
            <w:vAlign w:val="center"/>
          </w:tcPr>
          <w:p w:rsidR="00C37DA5" w:rsidRPr="002A1A42" w:rsidRDefault="00C37DA5" w:rsidP="002A1A42">
            <w:pPr>
              <w:keepNext/>
              <w:jc w:val="center"/>
              <w:rPr>
                <w:rFonts w:eastAsia="Times New Roman"/>
                <w:color w:val="000000"/>
                <w:sz w:val="24"/>
                <w:szCs w:val="24"/>
                <w:lang w:eastAsia="en-GB"/>
              </w:rPr>
            </w:pPr>
            <w:r w:rsidRPr="002A1A42">
              <w:rPr>
                <w:bCs/>
                <w:color w:val="000000"/>
                <w:sz w:val="24"/>
                <w:szCs w:val="24"/>
              </w:rPr>
              <w:t>-0.41</w:t>
            </w:r>
          </w:p>
        </w:tc>
      </w:tr>
      <w:tr w:rsidR="00C37DA5" w:rsidRPr="002A1A42" w:rsidTr="00D339A0">
        <w:tc>
          <w:tcPr>
            <w:tcW w:w="1689" w:type="pct"/>
            <w:shd w:val="clear" w:color="auto" w:fill="auto"/>
            <w:noWrap/>
            <w:vAlign w:val="center"/>
            <w:hideMark/>
          </w:tcPr>
          <w:p w:rsidR="00C37DA5" w:rsidRPr="002A1A42" w:rsidRDefault="00C37DA5" w:rsidP="002A1A42">
            <w:pPr>
              <w:keepNext/>
              <w:rPr>
                <w:rFonts w:eastAsia="Times New Roman"/>
                <w:color w:val="000000"/>
                <w:sz w:val="24"/>
                <w:szCs w:val="24"/>
                <w:lang w:eastAsia="en-GB"/>
              </w:rPr>
            </w:pPr>
            <w:r w:rsidRPr="002A1A42">
              <w:rPr>
                <w:rFonts w:eastAsia="Times New Roman"/>
                <w:color w:val="000000"/>
                <w:sz w:val="24"/>
                <w:szCs w:val="24"/>
                <w:lang w:eastAsia="en-GB"/>
              </w:rPr>
              <w:t>Chichester and Bognor HMA</w:t>
            </w:r>
          </w:p>
        </w:tc>
        <w:tc>
          <w:tcPr>
            <w:tcW w:w="1201" w:type="pct"/>
            <w:vAlign w:val="center"/>
          </w:tcPr>
          <w:p w:rsidR="00C37DA5" w:rsidRPr="002A1A42" w:rsidRDefault="00C37DA5" w:rsidP="002A1A42">
            <w:pPr>
              <w:keepNext/>
              <w:jc w:val="center"/>
              <w:rPr>
                <w:rFonts w:eastAsia="Times New Roman"/>
                <w:color w:val="000000"/>
                <w:sz w:val="24"/>
                <w:szCs w:val="24"/>
                <w:lang w:eastAsia="en-GB"/>
              </w:rPr>
            </w:pPr>
            <w:r w:rsidRPr="002A1A42">
              <w:rPr>
                <w:bCs/>
                <w:color w:val="000000"/>
                <w:sz w:val="24"/>
                <w:szCs w:val="24"/>
              </w:rPr>
              <w:t>13.25</w:t>
            </w:r>
          </w:p>
        </w:tc>
        <w:tc>
          <w:tcPr>
            <w:tcW w:w="1135" w:type="pct"/>
            <w:shd w:val="clear" w:color="auto" w:fill="auto"/>
            <w:noWrap/>
            <w:vAlign w:val="center"/>
          </w:tcPr>
          <w:p w:rsidR="00C37DA5" w:rsidRPr="002A1A42" w:rsidRDefault="00C37DA5" w:rsidP="002A1A42">
            <w:pPr>
              <w:keepNext/>
              <w:jc w:val="center"/>
              <w:rPr>
                <w:rFonts w:eastAsia="Times New Roman"/>
                <w:color w:val="000000"/>
                <w:sz w:val="24"/>
                <w:szCs w:val="24"/>
                <w:lang w:eastAsia="en-GB"/>
              </w:rPr>
            </w:pPr>
            <w:r w:rsidRPr="002A1A42">
              <w:rPr>
                <w:color w:val="000000"/>
                <w:sz w:val="24"/>
                <w:szCs w:val="24"/>
              </w:rPr>
              <w:t>12.62</w:t>
            </w:r>
          </w:p>
        </w:tc>
        <w:tc>
          <w:tcPr>
            <w:tcW w:w="975" w:type="pct"/>
            <w:vAlign w:val="center"/>
          </w:tcPr>
          <w:p w:rsidR="00C37DA5" w:rsidRPr="002A1A42" w:rsidRDefault="00C37DA5" w:rsidP="002A1A42">
            <w:pPr>
              <w:keepNext/>
              <w:jc w:val="center"/>
              <w:rPr>
                <w:rFonts w:eastAsia="Times New Roman"/>
                <w:color w:val="000000"/>
                <w:sz w:val="24"/>
                <w:szCs w:val="24"/>
                <w:lang w:eastAsia="en-GB"/>
              </w:rPr>
            </w:pPr>
            <w:r w:rsidRPr="002A1A42">
              <w:rPr>
                <w:bCs/>
                <w:color w:val="000000"/>
                <w:sz w:val="24"/>
                <w:szCs w:val="24"/>
              </w:rPr>
              <w:t>0.63</w:t>
            </w:r>
          </w:p>
        </w:tc>
      </w:tr>
      <w:tr w:rsidR="00C37DA5" w:rsidRPr="002A1A42" w:rsidTr="00D339A0">
        <w:tc>
          <w:tcPr>
            <w:tcW w:w="1689" w:type="pct"/>
            <w:shd w:val="clear" w:color="auto" w:fill="auto"/>
            <w:noWrap/>
            <w:vAlign w:val="center"/>
            <w:hideMark/>
          </w:tcPr>
          <w:p w:rsidR="00C37DA5" w:rsidRPr="002A1A42" w:rsidRDefault="00C37DA5" w:rsidP="002A1A42">
            <w:pPr>
              <w:keepNext/>
              <w:rPr>
                <w:rFonts w:eastAsia="Times New Roman"/>
                <w:color w:val="000000"/>
                <w:sz w:val="24"/>
                <w:szCs w:val="24"/>
                <w:lang w:eastAsia="en-GB"/>
              </w:rPr>
            </w:pPr>
            <w:r w:rsidRPr="002A1A42">
              <w:rPr>
                <w:rFonts w:eastAsia="Times New Roman"/>
                <w:color w:val="000000"/>
                <w:sz w:val="24"/>
                <w:szCs w:val="24"/>
                <w:lang w:eastAsia="en-GB"/>
              </w:rPr>
              <w:t>West Sussex</w:t>
            </w:r>
          </w:p>
        </w:tc>
        <w:tc>
          <w:tcPr>
            <w:tcW w:w="1201" w:type="pct"/>
            <w:vAlign w:val="center"/>
          </w:tcPr>
          <w:p w:rsidR="00C37DA5" w:rsidRPr="002A1A42" w:rsidRDefault="00C37DA5" w:rsidP="002A1A42">
            <w:pPr>
              <w:keepNext/>
              <w:jc w:val="center"/>
              <w:rPr>
                <w:rFonts w:eastAsia="Times New Roman"/>
                <w:color w:val="000000"/>
                <w:sz w:val="24"/>
                <w:szCs w:val="24"/>
                <w:lang w:eastAsia="en-GB"/>
              </w:rPr>
            </w:pPr>
            <w:r w:rsidRPr="002A1A42">
              <w:rPr>
                <w:bCs/>
                <w:color w:val="000000"/>
                <w:sz w:val="24"/>
                <w:szCs w:val="24"/>
              </w:rPr>
              <w:t>12.19</w:t>
            </w:r>
          </w:p>
        </w:tc>
        <w:tc>
          <w:tcPr>
            <w:tcW w:w="1135" w:type="pct"/>
            <w:shd w:val="clear" w:color="auto" w:fill="auto"/>
            <w:noWrap/>
            <w:vAlign w:val="center"/>
          </w:tcPr>
          <w:p w:rsidR="00C37DA5" w:rsidRPr="002A1A42" w:rsidRDefault="00C37DA5" w:rsidP="002A1A42">
            <w:pPr>
              <w:keepNext/>
              <w:jc w:val="center"/>
              <w:rPr>
                <w:rFonts w:eastAsia="Times New Roman"/>
                <w:color w:val="000000"/>
                <w:sz w:val="24"/>
                <w:szCs w:val="24"/>
                <w:lang w:eastAsia="en-GB"/>
              </w:rPr>
            </w:pPr>
            <w:r w:rsidRPr="002A1A42">
              <w:rPr>
                <w:color w:val="000000"/>
                <w:sz w:val="24"/>
                <w:szCs w:val="24"/>
              </w:rPr>
              <w:t>11.38</w:t>
            </w:r>
          </w:p>
        </w:tc>
        <w:tc>
          <w:tcPr>
            <w:tcW w:w="975" w:type="pct"/>
            <w:vAlign w:val="center"/>
          </w:tcPr>
          <w:p w:rsidR="00C37DA5" w:rsidRPr="002A1A42" w:rsidRDefault="00C37DA5" w:rsidP="002A1A42">
            <w:pPr>
              <w:keepNext/>
              <w:jc w:val="center"/>
              <w:rPr>
                <w:rFonts w:eastAsia="Times New Roman"/>
                <w:color w:val="000000"/>
                <w:sz w:val="24"/>
                <w:szCs w:val="24"/>
                <w:lang w:eastAsia="en-GB"/>
              </w:rPr>
            </w:pPr>
            <w:r w:rsidRPr="002A1A42">
              <w:rPr>
                <w:rFonts w:eastAsia="Times New Roman"/>
                <w:color w:val="000000"/>
                <w:sz w:val="24"/>
                <w:szCs w:val="24"/>
                <w:lang w:eastAsia="en-GB"/>
              </w:rPr>
              <w:t>0.81</w:t>
            </w:r>
          </w:p>
        </w:tc>
      </w:tr>
      <w:tr w:rsidR="00C37DA5" w:rsidRPr="002A1A42" w:rsidTr="00D339A0">
        <w:tc>
          <w:tcPr>
            <w:tcW w:w="1689" w:type="pct"/>
            <w:shd w:val="clear" w:color="auto" w:fill="auto"/>
            <w:noWrap/>
            <w:vAlign w:val="center"/>
            <w:hideMark/>
          </w:tcPr>
          <w:p w:rsidR="00C37DA5" w:rsidRPr="002A1A42" w:rsidRDefault="00C37DA5" w:rsidP="002A1A42">
            <w:pPr>
              <w:keepNext/>
              <w:rPr>
                <w:rFonts w:eastAsia="Times New Roman"/>
                <w:color w:val="000000"/>
                <w:sz w:val="24"/>
                <w:szCs w:val="24"/>
                <w:lang w:eastAsia="en-GB"/>
              </w:rPr>
            </w:pPr>
            <w:r w:rsidRPr="002A1A42">
              <w:rPr>
                <w:rFonts w:eastAsia="Times New Roman"/>
                <w:color w:val="000000"/>
                <w:sz w:val="24"/>
                <w:szCs w:val="24"/>
                <w:lang w:eastAsia="en-GB"/>
              </w:rPr>
              <w:t>South East</w:t>
            </w:r>
          </w:p>
        </w:tc>
        <w:tc>
          <w:tcPr>
            <w:tcW w:w="1201" w:type="pct"/>
            <w:vAlign w:val="center"/>
          </w:tcPr>
          <w:p w:rsidR="00C37DA5" w:rsidRPr="002A1A42" w:rsidRDefault="00C37DA5" w:rsidP="002A1A42">
            <w:pPr>
              <w:keepNext/>
              <w:jc w:val="center"/>
              <w:rPr>
                <w:rFonts w:eastAsia="Times New Roman"/>
                <w:color w:val="000000"/>
                <w:sz w:val="24"/>
                <w:szCs w:val="24"/>
                <w:lang w:eastAsia="en-GB"/>
              </w:rPr>
            </w:pPr>
            <w:r w:rsidRPr="002A1A42">
              <w:rPr>
                <w:bCs/>
                <w:color w:val="000000"/>
                <w:sz w:val="24"/>
                <w:szCs w:val="24"/>
              </w:rPr>
              <w:t>10.81</w:t>
            </w:r>
          </w:p>
        </w:tc>
        <w:tc>
          <w:tcPr>
            <w:tcW w:w="1135" w:type="pct"/>
            <w:shd w:val="clear" w:color="auto" w:fill="auto"/>
            <w:noWrap/>
            <w:vAlign w:val="center"/>
          </w:tcPr>
          <w:p w:rsidR="00C37DA5" w:rsidRPr="002A1A42" w:rsidRDefault="00C37DA5" w:rsidP="002A1A42">
            <w:pPr>
              <w:keepNext/>
              <w:jc w:val="center"/>
              <w:rPr>
                <w:rFonts w:eastAsia="Times New Roman"/>
                <w:color w:val="000000"/>
                <w:sz w:val="24"/>
                <w:szCs w:val="24"/>
                <w:lang w:eastAsia="en-GB"/>
              </w:rPr>
            </w:pPr>
            <w:r w:rsidRPr="002A1A42">
              <w:rPr>
                <w:rFonts w:eastAsia="Times New Roman"/>
                <w:color w:val="000000"/>
                <w:sz w:val="24"/>
                <w:szCs w:val="24"/>
                <w:lang w:eastAsia="en-GB"/>
              </w:rPr>
              <w:t>10.38</w:t>
            </w:r>
          </w:p>
        </w:tc>
        <w:tc>
          <w:tcPr>
            <w:tcW w:w="975" w:type="pct"/>
            <w:vAlign w:val="center"/>
          </w:tcPr>
          <w:p w:rsidR="00C37DA5" w:rsidRPr="002A1A42" w:rsidRDefault="00C37DA5" w:rsidP="002A1A42">
            <w:pPr>
              <w:keepNext/>
              <w:jc w:val="center"/>
              <w:rPr>
                <w:rFonts w:eastAsia="Times New Roman"/>
                <w:color w:val="000000"/>
                <w:sz w:val="24"/>
                <w:szCs w:val="24"/>
                <w:lang w:eastAsia="en-GB"/>
              </w:rPr>
            </w:pPr>
            <w:r w:rsidRPr="002A1A42">
              <w:rPr>
                <w:rFonts w:eastAsia="Times New Roman"/>
                <w:color w:val="000000"/>
                <w:sz w:val="24"/>
                <w:szCs w:val="24"/>
                <w:lang w:eastAsia="en-GB"/>
              </w:rPr>
              <w:t>0.43</w:t>
            </w:r>
          </w:p>
        </w:tc>
      </w:tr>
      <w:tr w:rsidR="00C37DA5" w:rsidRPr="002A1A42" w:rsidTr="00D339A0">
        <w:tc>
          <w:tcPr>
            <w:tcW w:w="1689" w:type="pct"/>
            <w:shd w:val="clear" w:color="auto" w:fill="auto"/>
            <w:noWrap/>
            <w:vAlign w:val="center"/>
            <w:hideMark/>
          </w:tcPr>
          <w:p w:rsidR="00C37DA5" w:rsidRPr="002A1A42" w:rsidRDefault="00C37DA5" w:rsidP="002A1A42">
            <w:pPr>
              <w:keepNext/>
              <w:rPr>
                <w:rFonts w:eastAsia="Times New Roman"/>
                <w:color w:val="000000"/>
                <w:sz w:val="24"/>
                <w:szCs w:val="24"/>
                <w:lang w:eastAsia="en-GB"/>
              </w:rPr>
            </w:pPr>
            <w:r w:rsidRPr="002A1A42">
              <w:rPr>
                <w:rFonts w:eastAsia="Times New Roman"/>
                <w:color w:val="000000"/>
                <w:sz w:val="24"/>
                <w:szCs w:val="24"/>
                <w:lang w:eastAsia="en-GB"/>
              </w:rPr>
              <w:t>England and Wales</w:t>
            </w:r>
          </w:p>
        </w:tc>
        <w:tc>
          <w:tcPr>
            <w:tcW w:w="1201" w:type="pct"/>
            <w:vAlign w:val="center"/>
          </w:tcPr>
          <w:p w:rsidR="00C37DA5" w:rsidRPr="002A1A42" w:rsidRDefault="00C37DA5" w:rsidP="002A1A42">
            <w:pPr>
              <w:keepNext/>
              <w:jc w:val="center"/>
              <w:rPr>
                <w:rFonts w:eastAsia="Times New Roman"/>
                <w:color w:val="000000"/>
                <w:sz w:val="24"/>
                <w:szCs w:val="24"/>
                <w:lang w:eastAsia="en-GB"/>
              </w:rPr>
            </w:pPr>
            <w:r w:rsidRPr="002A1A42">
              <w:rPr>
                <w:rFonts w:eastAsia="Times New Roman"/>
                <w:color w:val="000000"/>
                <w:sz w:val="24"/>
                <w:szCs w:val="24"/>
                <w:lang w:eastAsia="en-GB"/>
              </w:rPr>
              <w:t>7.18</w:t>
            </w:r>
          </w:p>
        </w:tc>
        <w:tc>
          <w:tcPr>
            <w:tcW w:w="1135" w:type="pct"/>
            <w:shd w:val="clear" w:color="auto" w:fill="auto"/>
            <w:noWrap/>
            <w:vAlign w:val="center"/>
          </w:tcPr>
          <w:p w:rsidR="00C37DA5" w:rsidRPr="002A1A42" w:rsidRDefault="00C37DA5" w:rsidP="002A1A42">
            <w:pPr>
              <w:keepNext/>
              <w:jc w:val="center"/>
              <w:rPr>
                <w:rFonts w:eastAsia="Times New Roman"/>
                <w:color w:val="000000"/>
                <w:sz w:val="24"/>
                <w:szCs w:val="24"/>
                <w:lang w:eastAsia="en-GB"/>
              </w:rPr>
            </w:pPr>
            <w:r w:rsidRPr="002A1A42">
              <w:rPr>
                <w:color w:val="000000"/>
                <w:sz w:val="24"/>
                <w:szCs w:val="24"/>
              </w:rPr>
              <w:t>7.83</w:t>
            </w:r>
          </w:p>
        </w:tc>
        <w:tc>
          <w:tcPr>
            <w:tcW w:w="975" w:type="pct"/>
            <w:vAlign w:val="center"/>
          </w:tcPr>
          <w:p w:rsidR="00C37DA5" w:rsidRPr="002A1A42" w:rsidRDefault="00C37DA5" w:rsidP="002A1A42">
            <w:pPr>
              <w:keepNext/>
              <w:jc w:val="center"/>
              <w:rPr>
                <w:rFonts w:eastAsia="Times New Roman"/>
                <w:color w:val="000000"/>
                <w:sz w:val="24"/>
                <w:szCs w:val="24"/>
                <w:lang w:eastAsia="en-GB"/>
              </w:rPr>
            </w:pPr>
            <w:r w:rsidRPr="002A1A42">
              <w:rPr>
                <w:rFonts w:eastAsia="Times New Roman"/>
                <w:color w:val="000000"/>
                <w:sz w:val="24"/>
                <w:szCs w:val="24"/>
                <w:lang w:eastAsia="en-GB"/>
              </w:rPr>
              <w:t>-0.65</w:t>
            </w:r>
          </w:p>
        </w:tc>
      </w:tr>
    </w:tbl>
    <w:p w:rsidR="00C37DA5" w:rsidRPr="002A1A42" w:rsidRDefault="00C37DA5" w:rsidP="0092435E">
      <w:pPr>
        <w:pStyle w:val="Bodytextwithindent"/>
        <w:spacing w:before="0" w:after="0" w:line="240" w:lineRule="auto"/>
        <w:ind w:left="0"/>
        <w:rPr>
          <w:iCs/>
          <w:sz w:val="24"/>
          <w:szCs w:val="24"/>
        </w:rPr>
      </w:pPr>
      <w:r w:rsidRPr="002A1A42">
        <w:rPr>
          <w:rFonts w:asciiTheme="minorHAnsi" w:hAnsiTheme="minorHAnsi" w:cstheme="minorHAnsi"/>
          <w:iCs/>
          <w:sz w:val="24"/>
          <w:szCs w:val="24"/>
        </w:rPr>
        <w:t>Source: ONS, 2018</w:t>
      </w:r>
    </w:p>
    <w:p w:rsidR="00C37DA5" w:rsidRPr="00855CA6" w:rsidRDefault="00C37DA5" w:rsidP="00020CFC">
      <w:pPr>
        <w:pStyle w:val="11Bodytext"/>
        <w:tabs>
          <w:tab w:val="clear" w:pos="2212"/>
          <w:tab w:val="num" w:pos="567"/>
        </w:tabs>
        <w:ind w:left="567" w:hanging="567"/>
      </w:pPr>
      <w:r w:rsidRPr="00CA47B9">
        <w:t xml:space="preserve">The </w:t>
      </w:r>
      <w:r w:rsidR="00855CA6" w:rsidRPr="00CA47B9">
        <w:t>workplace</w:t>
      </w:r>
      <w:r w:rsidR="00855CA6">
        <w:t>-</w:t>
      </w:r>
      <w:r w:rsidRPr="00CA47B9">
        <w:t xml:space="preserve">based median ratio is lower </w:t>
      </w:r>
      <w:r w:rsidR="00855CA6" w:rsidRPr="00CA47B9">
        <w:t>tha</w:t>
      </w:r>
      <w:r w:rsidR="00855CA6">
        <w:t>n</w:t>
      </w:r>
      <w:r w:rsidR="00855CA6" w:rsidRPr="00CA47B9">
        <w:t xml:space="preserve"> </w:t>
      </w:r>
      <w:r w:rsidRPr="00CA47B9">
        <w:t xml:space="preserve">the </w:t>
      </w:r>
      <w:r w:rsidR="00855CA6">
        <w:t>workplace-</w:t>
      </w:r>
      <w:r w:rsidR="00F932F8">
        <w:t xml:space="preserve">based </w:t>
      </w:r>
      <w:r w:rsidR="00855CA6">
        <w:t>l</w:t>
      </w:r>
      <w:r w:rsidRPr="00CA47B9">
        <w:t>ower</w:t>
      </w:r>
      <w:r w:rsidR="00855CA6">
        <w:t>-</w:t>
      </w:r>
      <w:r w:rsidR="00855CA6" w:rsidRPr="00855CA6">
        <w:t>q</w:t>
      </w:r>
      <w:r w:rsidRPr="00855CA6">
        <w:t>uartile ratio</w:t>
      </w:r>
      <w:r w:rsidR="00315842" w:rsidRPr="00855CA6">
        <w:t xml:space="preserve"> in Chichester</w:t>
      </w:r>
      <w:r w:rsidRPr="00855CA6">
        <w:t>. This</w:t>
      </w:r>
      <w:r w:rsidR="00315842" w:rsidRPr="00855CA6">
        <w:t xml:space="preserve"> again</w:t>
      </w:r>
      <w:r w:rsidRPr="00855CA6">
        <w:t xml:space="preserve"> demonstrates a more acute affordability issue </w:t>
      </w:r>
      <w:r w:rsidR="00315842" w:rsidRPr="00855CA6">
        <w:t>at</w:t>
      </w:r>
      <w:r w:rsidRPr="00855CA6">
        <w:t xml:space="preserve"> </w:t>
      </w:r>
      <w:r w:rsidR="00855CA6" w:rsidRPr="00855CA6">
        <w:t>entry-</w:t>
      </w:r>
      <w:r w:rsidRPr="00855CA6">
        <w:t>level. Although this is also the case across the County, Region. Indeed, while the ratio in the wider areas are lower the difference is less marked.</w:t>
      </w:r>
    </w:p>
    <w:p w:rsidR="00F932F8" w:rsidRPr="00CA47B9" w:rsidRDefault="00F932F8" w:rsidP="00BD6C75">
      <w:pPr>
        <w:pStyle w:val="SubheadBlue12"/>
        <w:ind w:left="567" w:firstLine="0"/>
      </w:pPr>
      <w:r w:rsidRPr="00CA47B9">
        <w:t>Sub-area analysis</w:t>
      </w:r>
    </w:p>
    <w:p w:rsidR="00F932F8" w:rsidRPr="00CA47B9" w:rsidRDefault="00F932F8" w:rsidP="00020CFC">
      <w:pPr>
        <w:pStyle w:val="11Bodytext"/>
        <w:tabs>
          <w:tab w:val="clear" w:pos="2212"/>
          <w:tab w:val="num" w:pos="567"/>
        </w:tabs>
        <w:ind w:left="567" w:hanging="567"/>
      </w:pPr>
      <w:r w:rsidRPr="00CA47B9">
        <w:t xml:space="preserve">We sought to also analyse the local market signals </w:t>
      </w:r>
      <w:r>
        <w:t>at a</w:t>
      </w:r>
      <w:r w:rsidRPr="00CA47B9">
        <w:t xml:space="preserve"> sub-area level to </w:t>
      </w:r>
      <w:r>
        <w:t xml:space="preserve">examine </w:t>
      </w:r>
      <w:r w:rsidRPr="00CA47B9">
        <w:t xml:space="preserve">more localised market interrelationships. Figure 2 in Chapter 1 illustrates the sub-areas for which we have provided the following analysis. </w:t>
      </w:r>
    </w:p>
    <w:p w:rsidR="00F932F8" w:rsidRPr="00CA47B9" w:rsidRDefault="00F932F8" w:rsidP="008D1859">
      <w:pPr>
        <w:pStyle w:val="Subheadingbold"/>
        <w:ind w:left="567" w:firstLine="0"/>
      </w:pPr>
      <w:r w:rsidRPr="00CA47B9">
        <w:t>House Prices</w:t>
      </w:r>
    </w:p>
    <w:p w:rsidR="00F932F8" w:rsidRPr="00CA47B9" w:rsidRDefault="00F932F8" w:rsidP="00020CFC">
      <w:pPr>
        <w:pStyle w:val="11Bodytext"/>
        <w:tabs>
          <w:tab w:val="clear" w:pos="2212"/>
          <w:tab w:val="num" w:pos="567"/>
        </w:tabs>
        <w:ind w:left="567" w:hanging="567"/>
      </w:pPr>
      <w:r w:rsidRPr="00CA47B9">
        <w:t xml:space="preserve">Figure </w:t>
      </w:r>
      <w:r w:rsidR="00CB745F">
        <w:t>13</w:t>
      </w:r>
      <w:r w:rsidR="00CB745F" w:rsidRPr="00CA47B9">
        <w:t xml:space="preserve"> </w:t>
      </w:r>
      <w:r w:rsidRPr="00CA47B9">
        <w:t>illustrates the median house prices by type of dwelling for 2018. The Plan Area (North) and South Downs National Park sub-areas demonstrate some of the highest prices across each dwelling type.</w:t>
      </w:r>
      <w:bookmarkStart w:id="61" w:name="_Toc485905651"/>
      <w:r w:rsidRPr="00CA47B9">
        <w:t xml:space="preserve"> </w:t>
      </w:r>
    </w:p>
    <w:p w:rsidR="00F932F8" w:rsidRPr="002A1A42" w:rsidRDefault="00F932F8" w:rsidP="0009738C">
      <w:pPr>
        <w:pStyle w:val="FigureHeading"/>
        <w:tabs>
          <w:tab w:val="clear" w:pos="794"/>
          <w:tab w:val="clear" w:pos="1843"/>
          <w:tab w:val="left" w:pos="0"/>
        </w:tabs>
        <w:ind w:left="0" w:firstLine="0"/>
        <w:rPr>
          <w:szCs w:val="24"/>
        </w:rPr>
      </w:pPr>
      <w:r w:rsidRPr="002A1A42">
        <w:rPr>
          <w:szCs w:val="24"/>
        </w:rPr>
        <w:lastRenderedPageBreak/>
        <w:t>Median House Prices by Type, 201</w:t>
      </w:r>
      <w:bookmarkEnd w:id="61"/>
      <w:r w:rsidRPr="002A1A42">
        <w:rPr>
          <w:szCs w:val="24"/>
        </w:rPr>
        <w:t>8</w:t>
      </w:r>
    </w:p>
    <w:p w:rsidR="00F932F8" w:rsidRPr="002A1A42" w:rsidRDefault="00F932F8" w:rsidP="00A1178F">
      <w:pPr>
        <w:pStyle w:val="Bodytextwithindent"/>
        <w:keepNext/>
        <w:spacing w:before="0" w:after="0" w:line="240" w:lineRule="auto"/>
        <w:ind w:left="0"/>
        <w:rPr>
          <w:rFonts w:asciiTheme="minorHAnsi" w:hAnsiTheme="minorHAnsi" w:cstheme="minorHAnsi"/>
          <w:sz w:val="24"/>
          <w:szCs w:val="24"/>
        </w:rPr>
      </w:pPr>
      <w:r w:rsidRPr="002A1A42">
        <w:rPr>
          <w:rFonts w:asciiTheme="minorHAnsi" w:hAnsiTheme="minorHAnsi" w:cstheme="minorHAnsi"/>
          <w:noProof/>
          <w:sz w:val="24"/>
          <w:szCs w:val="24"/>
          <w:lang w:eastAsia="en-GB"/>
        </w:rPr>
        <w:drawing>
          <wp:inline distT="0" distB="0" distL="0" distR="0" wp14:anchorId="4106CFFA" wp14:editId="3D657A25">
            <wp:extent cx="6120000" cy="3744000"/>
            <wp:effectExtent l="0" t="0" r="14605" b="27940"/>
            <wp:docPr id="243" name="Chart 243" descr="Median house prices by type in Chichester sub-areas" title="Figure 13: Median House Prices by Type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932F8" w:rsidRPr="002A1A42" w:rsidRDefault="00F932F8" w:rsidP="0009738C">
      <w:pPr>
        <w:pStyle w:val="Bodytextwithindent"/>
        <w:spacing w:before="0" w:after="120"/>
        <w:ind w:left="0"/>
        <w:rPr>
          <w:rFonts w:asciiTheme="minorHAnsi" w:hAnsiTheme="minorHAnsi" w:cstheme="minorHAnsi"/>
          <w:sz w:val="24"/>
          <w:szCs w:val="24"/>
        </w:rPr>
      </w:pPr>
      <w:r w:rsidRPr="002A1A42">
        <w:rPr>
          <w:rFonts w:asciiTheme="minorHAnsi" w:hAnsiTheme="minorHAnsi" w:cstheme="minorHAnsi"/>
          <w:sz w:val="24"/>
          <w:szCs w:val="24"/>
        </w:rPr>
        <w:t>Source: Land Registry Price Paid Data, 2018</w:t>
      </w:r>
    </w:p>
    <w:p w:rsidR="00F932F8" w:rsidRPr="00CA47B9" w:rsidRDefault="00F932F8" w:rsidP="00020CFC">
      <w:pPr>
        <w:pStyle w:val="11Bodytext"/>
        <w:tabs>
          <w:tab w:val="clear" w:pos="2212"/>
          <w:tab w:val="num" w:pos="567"/>
        </w:tabs>
        <w:ind w:left="567" w:hanging="567"/>
      </w:pPr>
      <w:r w:rsidRPr="00CA47B9">
        <w:t>Despite being the largest urban area, the Chichester City sub-area shows relatively high median prices for all typologies. In contrast</w:t>
      </w:r>
      <w:r w:rsidR="00855CA6">
        <w:t>,</w:t>
      </w:r>
      <w:r w:rsidRPr="00CA47B9">
        <w:t xml:space="preserve"> the Manhood Peninsula has the lowest median prices for all typologies.</w:t>
      </w:r>
    </w:p>
    <w:p w:rsidR="00F932F8" w:rsidRPr="00CA47B9" w:rsidRDefault="00F932F8" w:rsidP="00BD6C75">
      <w:pPr>
        <w:pStyle w:val="Subheadingbold"/>
        <w:ind w:left="567" w:hanging="28"/>
      </w:pPr>
      <w:r w:rsidRPr="00CA47B9">
        <w:t>Sales Volume</w:t>
      </w:r>
    </w:p>
    <w:p w:rsidR="00F932F8" w:rsidRPr="00CA47B9" w:rsidRDefault="00F932F8" w:rsidP="00020CFC">
      <w:pPr>
        <w:pStyle w:val="11Bodytext"/>
        <w:tabs>
          <w:tab w:val="clear" w:pos="2212"/>
          <w:tab w:val="num" w:pos="567"/>
        </w:tabs>
        <w:ind w:left="567" w:hanging="567"/>
      </w:pPr>
      <w:r w:rsidRPr="00CA47B9">
        <w:t xml:space="preserve">At 2018, the largest number of sales across the </w:t>
      </w:r>
      <w:r w:rsidR="00855CA6" w:rsidRPr="00CA47B9">
        <w:t>sub</w:t>
      </w:r>
      <w:r w:rsidR="00855CA6">
        <w:t>-</w:t>
      </w:r>
      <w:r w:rsidRPr="00CA47B9">
        <w:t xml:space="preserve">areas have been achieved in detached properties (787), followed by semi-detached (469) and terraced (433) across the District. </w:t>
      </w:r>
    </w:p>
    <w:p w:rsidR="00F932F8" w:rsidRPr="00CA47B9" w:rsidRDefault="00F932F8" w:rsidP="00020CFC">
      <w:pPr>
        <w:pStyle w:val="11Bodytext"/>
        <w:tabs>
          <w:tab w:val="clear" w:pos="2212"/>
          <w:tab w:val="num" w:pos="567"/>
        </w:tabs>
        <w:ind w:left="567" w:hanging="567"/>
      </w:pPr>
      <w:r w:rsidRPr="00CA47B9">
        <w:t>Despite the Manhood Peninsula sub-area being the second least expensive</w:t>
      </w:r>
      <w:r>
        <w:t>,</w:t>
      </w:r>
      <w:r w:rsidRPr="00CA47B9">
        <w:t xml:space="preserve"> it </w:t>
      </w:r>
      <w:r>
        <w:t xml:space="preserve">is </w:t>
      </w:r>
      <w:r w:rsidRPr="00CA47B9">
        <w:t xml:space="preserve">perhaps </w:t>
      </w:r>
      <w:r w:rsidR="00855CA6" w:rsidRPr="00CA47B9">
        <w:t>counter</w:t>
      </w:r>
      <w:r w:rsidR="00855CA6">
        <w:t>-</w:t>
      </w:r>
      <w:r w:rsidRPr="00CA47B9">
        <w:t>intuitive</w:t>
      </w:r>
      <w:r>
        <w:t xml:space="preserve"> that there are</w:t>
      </w:r>
      <w:r w:rsidRPr="00CA47B9">
        <w:t xml:space="preserve"> significantly more sales in detached and semi-detached properties (which typically command higher prices) compared to the remaining sub-areas. </w:t>
      </w:r>
      <w:r>
        <w:t>This may be a result of the</w:t>
      </w:r>
      <w:r w:rsidRPr="00CA47B9">
        <w:t xml:space="preserve"> type of detached properties that are</w:t>
      </w:r>
      <w:r>
        <w:t xml:space="preserve"> being sold are at</w:t>
      </w:r>
      <w:r w:rsidRPr="00CA47B9">
        <w:t xml:space="preserve"> reduc</w:t>
      </w:r>
      <w:r>
        <w:t>ed</w:t>
      </w:r>
      <w:r w:rsidRPr="00CA47B9">
        <w:t xml:space="preserve"> prices</w:t>
      </w:r>
      <w:r>
        <w:t>. For instance, there may be more bungalows selling, however</w:t>
      </w:r>
      <w:r w:rsidR="00855CA6">
        <w:t>,</w:t>
      </w:r>
      <w:r>
        <w:t xml:space="preserve"> data records </w:t>
      </w:r>
      <w:r w:rsidR="00B116C3">
        <w:t>do not distinguish between bungalows</w:t>
      </w:r>
      <w:r w:rsidR="00CB745F">
        <w:t xml:space="preserve"> and other detached properties</w:t>
      </w:r>
      <w:r>
        <w:t>.</w:t>
      </w:r>
    </w:p>
    <w:p w:rsidR="00F932F8" w:rsidRPr="00CA47B9" w:rsidRDefault="00F932F8" w:rsidP="0009738C">
      <w:pPr>
        <w:pStyle w:val="Tableheading"/>
        <w:tabs>
          <w:tab w:val="clear" w:pos="794"/>
          <w:tab w:val="clear" w:pos="1843"/>
          <w:tab w:val="left" w:pos="0"/>
        </w:tabs>
        <w:ind w:left="0" w:firstLine="0"/>
      </w:pPr>
      <w:bookmarkStart w:id="62" w:name="_Toc485905659"/>
      <w:r w:rsidRPr="00CA47B9">
        <w:lastRenderedPageBreak/>
        <w:t>Number of sales (%) by type, 201</w:t>
      </w:r>
      <w:bookmarkEnd w:id="62"/>
      <w:r w:rsidRPr="00CA47B9">
        <w:t>8</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6: Number of sales (%) by type 2018"/>
      </w:tblPr>
      <w:tblGrid>
        <w:gridCol w:w="2120"/>
        <w:gridCol w:w="913"/>
        <w:gridCol w:w="913"/>
        <w:gridCol w:w="913"/>
        <w:gridCol w:w="913"/>
        <w:gridCol w:w="914"/>
        <w:gridCol w:w="914"/>
        <w:gridCol w:w="1124"/>
        <w:gridCol w:w="1015"/>
      </w:tblGrid>
      <w:tr w:rsidR="00F932F8" w:rsidRPr="002A1A42" w:rsidTr="00D339A0">
        <w:trPr>
          <w:tblHeader/>
        </w:trPr>
        <w:tc>
          <w:tcPr>
            <w:tcW w:w="1089" w:type="pct"/>
            <w:vMerge w:val="restart"/>
            <w:shd w:val="clear" w:color="000000" w:fill="0192FF"/>
            <w:noWrap/>
            <w:vAlign w:val="center"/>
          </w:tcPr>
          <w:p w:rsidR="00F932F8" w:rsidRPr="002A1A42" w:rsidRDefault="00855CA6" w:rsidP="002C72FE">
            <w:pPr>
              <w:keepNext/>
              <w:spacing w:line="300" w:lineRule="auto"/>
              <w:rPr>
                <w:rFonts w:ascii="Arial Narrow" w:hAnsi="Arial Narrow"/>
                <w:color w:val="FFFFFF"/>
                <w:sz w:val="24"/>
                <w:szCs w:val="24"/>
              </w:rPr>
            </w:pPr>
            <w:r w:rsidRPr="002A1A42">
              <w:rPr>
                <w:rFonts w:ascii="Arial Narrow" w:hAnsi="Arial Narrow"/>
                <w:color w:val="FFFFFF"/>
                <w:sz w:val="24"/>
                <w:szCs w:val="24"/>
              </w:rPr>
              <w:t>Sub-area</w:t>
            </w:r>
          </w:p>
        </w:tc>
        <w:tc>
          <w:tcPr>
            <w:tcW w:w="1875" w:type="pct"/>
            <w:gridSpan w:val="4"/>
            <w:shd w:val="clear" w:color="000000" w:fill="0192FF"/>
            <w:vAlign w:val="center"/>
          </w:tcPr>
          <w:p w:rsidR="00F932F8" w:rsidRPr="002A1A42" w:rsidRDefault="00F932F8" w:rsidP="002C72FE">
            <w:pPr>
              <w:keepNext/>
              <w:spacing w:line="300" w:lineRule="auto"/>
              <w:jc w:val="center"/>
              <w:rPr>
                <w:rFonts w:ascii="Arial Narrow" w:hAnsi="Arial Narrow"/>
                <w:color w:val="FFFFFF"/>
                <w:sz w:val="24"/>
                <w:szCs w:val="24"/>
              </w:rPr>
            </w:pPr>
            <w:r w:rsidRPr="002A1A42">
              <w:rPr>
                <w:rFonts w:ascii="Arial Narrow" w:hAnsi="Arial Narrow"/>
                <w:color w:val="FFFFFF"/>
                <w:sz w:val="24"/>
                <w:szCs w:val="24"/>
              </w:rPr>
              <w:t>2011 Stock</w:t>
            </w:r>
          </w:p>
        </w:tc>
        <w:tc>
          <w:tcPr>
            <w:tcW w:w="2036" w:type="pct"/>
            <w:gridSpan w:val="4"/>
            <w:shd w:val="clear" w:color="000000" w:fill="0192FF"/>
            <w:noWrap/>
            <w:vAlign w:val="center"/>
          </w:tcPr>
          <w:p w:rsidR="00F932F8" w:rsidRPr="002A1A42" w:rsidRDefault="00F932F8" w:rsidP="002C72FE">
            <w:pPr>
              <w:keepNext/>
              <w:spacing w:line="300" w:lineRule="auto"/>
              <w:jc w:val="center"/>
              <w:rPr>
                <w:rFonts w:ascii="Arial Narrow" w:hAnsi="Arial Narrow"/>
                <w:color w:val="FFFFFF"/>
                <w:sz w:val="24"/>
                <w:szCs w:val="24"/>
              </w:rPr>
            </w:pPr>
            <w:r w:rsidRPr="002A1A42">
              <w:rPr>
                <w:rFonts w:ascii="Arial Narrow" w:hAnsi="Arial Narrow"/>
                <w:color w:val="FFFFFF"/>
                <w:sz w:val="24"/>
                <w:szCs w:val="24"/>
              </w:rPr>
              <w:t>2018 Sales</w:t>
            </w:r>
          </w:p>
        </w:tc>
      </w:tr>
      <w:tr w:rsidR="00F932F8" w:rsidRPr="002A1A42" w:rsidTr="00D339A0">
        <w:trPr>
          <w:cantSplit/>
          <w:trHeight w:val="1134"/>
        </w:trPr>
        <w:tc>
          <w:tcPr>
            <w:tcW w:w="1089" w:type="pct"/>
            <w:vMerge/>
            <w:shd w:val="clear" w:color="000000" w:fill="0192FF"/>
            <w:noWrap/>
            <w:vAlign w:val="center"/>
            <w:hideMark/>
          </w:tcPr>
          <w:p w:rsidR="00F932F8" w:rsidRPr="002A1A42" w:rsidRDefault="00F932F8" w:rsidP="002C72FE">
            <w:pPr>
              <w:keepNext/>
              <w:spacing w:line="300" w:lineRule="auto"/>
              <w:rPr>
                <w:rFonts w:ascii="Arial Narrow" w:hAnsi="Arial Narrow"/>
                <w:color w:val="FFFFFF"/>
                <w:sz w:val="24"/>
                <w:szCs w:val="24"/>
              </w:rPr>
            </w:pPr>
          </w:p>
        </w:tc>
        <w:tc>
          <w:tcPr>
            <w:tcW w:w="469" w:type="pct"/>
            <w:shd w:val="clear" w:color="000000" w:fill="0192FF"/>
            <w:textDirection w:val="btLr"/>
            <w:vAlign w:val="center"/>
          </w:tcPr>
          <w:p w:rsidR="00F932F8" w:rsidRPr="002A1A42" w:rsidRDefault="00F932F8" w:rsidP="003D1D66">
            <w:pPr>
              <w:keepNext/>
              <w:spacing w:line="300" w:lineRule="auto"/>
              <w:ind w:left="113" w:right="113"/>
              <w:jc w:val="center"/>
              <w:rPr>
                <w:rFonts w:ascii="Arial Narrow" w:hAnsi="Arial Narrow"/>
                <w:color w:val="FFFFFF"/>
                <w:sz w:val="24"/>
                <w:szCs w:val="24"/>
              </w:rPr>
            </w:pPr>
            <w:r w:rsidRPr="002A1A42">
              <w:rPr>
                <w:rFonts w:ascii="Arial Narrow" w:hAnsi="Arial Narrow"/>
                <w:color w:val="FFFFFF"/>
                <w:sz w:val="24"/>
                <w:szCs w:val="24"/>
              </w:rPr>
              <w:t>Detached</w:t>
            </w:r>
          </w:p>
        </w:tc>
        <w:tc>
          <w:tcPr>
            <w:tcW w:w="469" w:type="pct"/>
            <w:shd w:val="clear" w:color="000000" w:fill="0192FF"/>
            <w:textDirection w:val="btLr"/>
            <w:vAlign w:val="center"/>
          </w:tcPr>
          <w:p w:rsidR="00F932F8" w:rsidRPr="002A1A42" w:rsidRDefault="00F932F8" w:rsidP="003D1D66">
            <w:pPr>
              <w:keepNext/>
              <w:spacing w:line="300" w:lineRule="auto"/>
              <w:ind w:left="113" w:right="113"/>
              <w:jc w:val="center"/>
              <w:rPr>
                <w:rFonts w:ascii="Arial Narrow" w:hAnsi="Arial Narrow"/>
                <w:color w:val="FFFFFF"/>
                <w:sz w:val="24"/>
                <w:szCs w:val="24"/>
              </w:rPr>
            </w:pPr>
            <w:r w:rsidRPr="002A1A42">
              <w:rPr>
                <w:rFonts w:ascii="Arial Narrow" w:hAnsi="Arial Narrow"/>
                <w:color w:val="FFFFFF"/>
                <w:sz w:val="24"/>
                <w:szCs w:val="24"/>
              </w:rPr>
              <w:t>Semi-Detached</w:t>
            </w:r>
          </w:p>
        </w:tc>
        <w:tc>
          <w:tcPr>
            <w:tcW w:w="469" w:type="pct"/>
            <w:shd w:val="clear" w:color="000000" w:fill="0192FF"/>
            <w:textDirection w:val="btLr"/>
            <w:vAlign w:val="center"/>
          </w:tcPr>
          <w:p w:rsidR="00F932F8" w:rsidRPr="002A1A42" w:rsidRDefault="00F932F8" w:rsidP="003D1D66">
            <w:pPr>
              <w:keepNext/>
              <w:spacing w:line="300" w:lineRule="auto"/>
              <w:ind w:left="113" w:right="113"/>
              <w:jc w:val="center"/>
              <w:rPr>
                <w:rFonts w:ascii="Arial Narrow" w:hAnsi="Arial Narrow"/>
                <w:color w:val="FFFFFF"/>
                <w:sz w:val="24"/>
                <w:szCs w:val="24"/>
              </w:rPr>
            </w:pPr>
            <w:r w:rsidRPr="002A1A42">
              <w:rPr>
                <w:rFonts w:ascii="Arial Narrow" w:hAnsi="Arial Narrow"/>
                <w:color w:val="FFFFFF"/>
                <w:sz w:val="24"/>
                <w:szCs w:val="24"/>
              </w:rPr>
              <w:t>Terra-ed</w:t>
            </w:r>
          </w:p>
        </w:tc>
        <w:tc>
          <w:tcPr>
            <w:tcW w:w="469" w:type="pct"/>
            <w:shd w:val="clear" w:color="000000" w:fill="0192FF"/>
            <w:textDirection w:val="btLr"/>
            <w:vAlign w:val="center"/>
          </w:tcPr>
          <w:p w:rsidR="00F932F8" w:rsidRPr="002A1A42" w:rsidRDefault="00F932F8" w:rsidP="003D1D66">
            <w:pPr>
              <w:keepNext/>
              <w:spacing w:line="300" w:lineRule="auto"/>
              <w:ind w:left="113" w:right="113"/>
              <w:jc w:val="center"/>
              <w:rPr>
                <w:rFonts w:ascii="Arial Narrow" w:hAnsi="Arial Narrow"/>
                <w:color w:val="FFFFFF"/>
                <w:sz w:val="24"/>
                <w:szCs w:val="24"/>
              </w:rPr>
            </w:pPr>
            <w:r w:rsidRPr="002A1A42">
              <w:rPr>
                <w:rFonts w:ascii="Arial Narrow" w:hAnsi="Arial Narrow"/>
                <w:color w:val="FFFFFF"/>
                <w:sz w:val="24"/>
                <w:szCs w:val="24"/>
              </w:rPr>
              <w:t>Flats</w:t>
            </w:r>
          </w:p>
        </w:tc>
        <w:tc>
          <w:tcPr>
            <w:tcW w:w="469" w:type="pct"/>
            <w:shd w:val="clear" w:color="000000" w:fill="0192FF"/>
            <w:noWrap/>
            <w:textDirection w:val="btLr"/>
            <w:vAlign w:val="center"/>
            <w:hideMark/>
          </w:tcPr>
          <w:p w:rsidR="00F932F8" w:rsidRPr="002A1A42" w:rsidRDefault="00F932F8" w:rsidP="003D1D66">
            <w:pPr>
              <w:keepNext/>
              <w:spacing w:line="300" w:lineRule="auto"/>
              <w:ind w:left="113" w:right="113"/>
              <w:jc w:val="center"/>
              <w:rPr>
                <w:rFonts w:ascii="Arial Narrow" w:hAnsi="Arial Narrow"/>
                <w:color w:val="FFFFFF"/>
                <w:sz w:val="24"/>
                <w:szCs w:val="24"/>
              </w:rPr>
            </w:pPr>
            <w:r w:rsidRPr="002A1A42">
              <w:rPr>
                <w:rFonts w:ascii="Arial Narrow" w:hAnsi="Arial Narrow"/>
                <w:color w:val="FFFFFF"/>
                <w:sz w:val="24"/>
                <w:szCs w:val="24"/>
              </w:rPr>
              <w:t>Detac</w:t>
            </w:r>
            <w:r w:rsidR="006E29A2" w:rsidRPr="002A1A42">
              <w:rPr>
                <w:rFonts w:ascii="Arial Narrow" w:hAnsi="Arial Narrow"/>
                <w:color w:val="FFFFFF"/>
                <w:sz w:val="24"/>
                <w:szCs w:val="24"/>
              </w:rPr>
              <w:t>h</w:t>
            </w:r>
            <w:r w:rsidRPr="002A1A42">
              <w:rPr>
                <w:rFonts w:ascii="Arial Narrow" w:hAnsi="Arial Narrow"/>
                <w:color w:val="FFFFFF"/>
                <w:sz w:val="24"/>
                <w:szCs w:val="24"/>
              </w:rPr>
              <w:t>ed</w:t>
            </w:r>
          </w:p>
        </w:tc>
        <w:tc>
          <w:tcPr>
            <w:tcW w:w="469" w:type="pct"/>
            <w:shd w:val="clear" w:color="000000" w:fill="0192FF"/>
            <w:noWrap/>
            <w:textDirection w:val="btLr"/>
            <w:vAlign w:val="center"/>
            <w:hideMark/>
          </w:tcPr>
          <w:p w:rsidR="00F932F8" w:rsidRPr="002A1A42" w:rsidRDefault="00F932F8" w:rsidP="003D1D66">
            <w:pPr>
              <w:keepNext/>
              <w:spacing w:line="300" w:lineRule="auto"/>
              <w:ind w:left="113" w:right="113"/>
              <w:jc w:val="center"/>
              <w:rPr>
                <w:rFonts w:ascii="Arial Narrow" w:hAnsi="Arial Narrow"/>
                <w:color w:val="FFFFFF"/>
                <w:sz w:val="24"/>
                <w:szCs w:val="24"/>
              </w:rPr>
            </w:pPr>
            <w:r w:rsidRPr="002A1A42">
              <w:rPr>
                <w:rFonts w:ascii="Arial Narrow" w:hAnsi="Arial Narrow"/>
                <w:color w:val="FFFFFF"/>
                <w:sz w:val="24"/>
                <w:szCs w:val="24"/>
              </w:rPr>
              <w:t>Semi-Detached</w:t>
            </w:r>
          </w:p>
        </w:tc>
        <w:tc>
          <w:tcPr>
            <w:tcW w:w="577" w:type="pct"/>
            <w:shd w:val="clear" w:color="000000" w:fill="0192FF"/>
            <w:noWrap/>
            <w:textDirection w:val="btLr"/>
            <w:vAlign w:val="center"/>
            <w:hideMark/>
          </w:tcPr>
          <w:p w:rsidR="00F932F8" w:rsidRPr="002A1A42" w:rsidRDefault="00F932F8" w:rsidP="003D1D66">
            <w:pPr>
              <w:keepNext/>
              <w:spacing w:line="300" w:lineRule="auto"/>
              <w:ind w:left="113" w:right="113"/>
              <w:jc w:val="center"/>
              <w:rPr>
                <w:rFonts w:ascii="Arial Narrow" w:hAnsi="Arial Narrow"/>
                <w:color w:val="FFFFFF"/>
                <w:sz w:val="24"/>
                <w:szCs w:val="24"/>
              </w:rPr>
            </w:pPr>
            <w:r w:rsidRPr="002A1A42">
              <w:rPr>
                <w:rFonts w:ascii="Arial Narrow" w:hAnsi="Arial Narrow"/>
                <w:color w:val="FFFFFF"/>
                <w:sz w:val="24"/>
                <w:szCs w:val="24"/>
              </w:rPr>
              <w:t>Terraced</w:t>
            </w:r>
          </w:p>
        </w:tc>
        <w:tc>
          <w:tcPr>
            <w:tcW w:w="521" w:type="pct"/>
            <w:shd w:val="clear" w:color="000000" w:fill="0192FF"/>
            <w:noWrap/>
            <w:textDirection w:val="btLr"/>
            <w:vAlign w:val="center"/>
            <w:hideMark/>
          </w:tcPr>
          <w:p w:rsidR="00F932F8" w:rsidRPr="002A1A42" w:rsidRDefault="00F932F8" w:rsidP="003D1D66">
            <w:pPr>
              <w:keepNext/>
              <w:spacing w:line="300" w:lineRule="auto"/>
              <w:ind w:left="113" w:right="113"/>
              <w:jc w:val="center"/>
              <w:rPr>
                <w:rFonts w:ascii="Arial Narrow" w:hAnsi="Arial Narrow"/>
                <w:color w:val="FFFFFF"/>
                <w:sz w:val="24"/>
                <w:szCs w:val="24"/>
              </w:rPr>
            </w:pPr>
            <w:r w:rsidRPr="002A1A42">
              <w:rPr>
                <w:rFonts w:ascii="Arial Narrow" w:hAnsi="Arial Narrow"/>
                <w:color w:val="FFFFFF"/>
                <w:sz w:val="24"/>
                <w:szCs w:val="24"/>
              </w:rPr>
              <w:t>Flats</w:t>
            </w:r>
          </w:p>
        </w:tc>
      </w:tr>
      <w:tr w:rsidR="00F932F8" w:rsidRPr="002A1A42" w:rsidTr="00D339A0">
        <w:tc>
          <w:tcPr>
            <w:tcW w:w="1089" w:type="pct"/>
            <w:shd w:val="clear" w:color="auto" w:fill="auto"/>
            <w:noWrap/>
            <w:vAlign w:val="center"/>
            <w:hideMark/>
          </w:tcPr>
          <w:p w:rsidR="00F932F8" w:rsidRPr="002A1A42" w:rsidRDefault="00F932F8" w:rsidP="002C72FE">
            <w:pPr>
              <w:keepNext/>
              <w:spacing w:line="300" w:lineRule="auto"/>
              <w:rPr>
                <w:rFonts w:ascii="Arial Narrow" w:hAnsi="Arial Narrow"/>
                <w:color w:val="000000"/>
                <w:sz w:val="24"/>
                <w:szCs w:val="24"/>
              </w:rPr>
            </w:pPr>
            <w:r w:rsidRPr="002A1A42">
              <w:rPr>
                <w:rFonts w:ascii="Arial Narrow" w:hAnsi="Arial Narrow"/>
                <w:color w:val="000000"/>
                <w:sz w:val="24"/>
                <w:szCs w:val="24"/>
              </w:rPr>
              <w:t>Chichester City</w:t>
            </w:r>
          </w:p>
        </w:tc>
        <w:tc>
          <w:tcPr>
            <w:tcW w:w="469" w:type="pct"/>
            <w:shd w:val="clear" w:color="auto" w:fill="auto"/>
            <w:vAlign w:val="center"/>
          </w:tcPr>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17%</w:t>
            </w:r>
          </w:p>
        </w:tc>
        <w:tc>
          <w:tcPr>
            <w:tcW w:w="469" w:type="pct"/>
            <w:shd w:val="clear" w:color="auto" w:fill="auto"/>
            <w:vAlign w:val="center"/>
          </w:tcPr>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24%</w:t>
            </w:r>
          </w:p>
        </w:tc>
        <w:tc>
          <w:tcPr>
            <w:tcW w:w="469" w:type="pct"/>
            <w:shd w:val="clear" w:color="auto" w:fill="auto"/>
            <w:vAlign w:val="center"/>
          </w:tcPr>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26%</w:t>
            </w:r>
          </w:p>
        </w:tc>
        <w:tc>
          <w:tcPr>
            <w:tcW w:w="469" w:type="pct"/>
            <w:shd w:val="clear" w:color="auto" w:fill="auto"/>
            <w:vAlign w:val="center"/>
          </w:tcPr>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33%</w:t>
            </w:r>
          </w:p>
        </w:tc>
        <w:tc>
          <w:tcPr>
            <w:tcW w:w="469" w:type="pct"/>
            <w:shd w:val="clear" w:color="000000" w:fill="D6E1F1"/>
            <w:noWrap/>
            <w:vAlign w:val="center"/>
            <w:hideMark/>
          </w:tcPr>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87</w:t>
            </w:r>
          </w:p>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(17%)</w:t>
            </w:r>
          </w:p>
        </w:tc>
        <w:tc>
          <w:tcPr>
            <w:tcW w:w="469" w:type="pct"/>
            <w:shd w:val="clear" w:color="000000" w:fill="F4F6FC"/>
            <w:noWrap/>
            <w:vAlign w:val="center"/>
            <w:hideMark/>
          </w:tcPr>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 xml:space="preserve">95 </w:t>
            </w:r>
          </w:p>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(19%)</w:t>
            </w:r>
          </w:p>
        </w:tc>
        <w:tc>
          <w:tcPr>
            <w:tcW w:w="577" w:type="pct"/>
            <w:shd w:val="clear" w:color="000000" w:fill="FAA4A6"/>
            <w:noWrap/>
            <w:vAlign w:val="center"/>
            <w:hideMark/>
          </w:tcPr>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171 (36%)</w:t>
            </w:r>
          </w:p>
        </w:tc>
        <w:tc>
          <w:tcPr>
            <w:tcW w:w="521" w:type="pct"/>
            <w:shd w:val="clear" w:color="000000" w:fill="FBB4B6"/>
            <w:noWrap/>
            <w:vAlign w:val="center"/>
            <w:hideMark/>
          </w:tcPr>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159</w:t>
            </w:r>
          </w:p>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(31%)</w:t>
            </w:r>
          </w:p>
        </w:tc>
      </w:tr>
      <w:tr w:rsidR="00F932F8" w:rsidRPr="002A1A42" w:rsidTr="00D339A0">
        <w:tc>
          <w:tcPr>
            <w:tcW w:w="1089" w:type="pct"/>
            <w:shd w:val="clear" w:color="auto" w:fill="auto"/>
            <w:noWrap/>
            <w:vAlign w:val="center"/>
            <w:hideMark/>
          </w:tcPr>
          <w:p w:rsidR="00F932F8" w:rsidRPr="002A1A42" w:rsidRDefault="00F932F8" w:rsidP="002C72FE">
            <w:pPr>
              <w:keepNext/>
              <w:spacing w:line="300" w:lineRule="auto"/>
              <w:rPr>
                <w:rFonts w:ascii="Arial Narrow" w:hAnsi="Arial Narrow"/>
                <w:color w:val="000000"/>
                <w:sz w:val="24"/>
                <w:szCs w:val="24"/>
              </w:rPr>
            </w:pPr>
            <w:r w:rsidRPr="002A1A42">
              <w:rPr>
                <w:rFonts w:ascii="Arial Narrow" w:hAnsi="Arial Narrow"/>
                <w:color w:val="000000"/>
                <w:sz w:val="24"/>
                <w:szCs w:val="24"/>
              </w:rPr>
              <w:t>East-West Corridor</w:t>
            </w:r>
          </w:p>
        </w:tc>
        <w:tc>
          <w:tcPr>
            <w:tcW w:w="469" w:type="pct"/>
            <w:shd w:val="clear" w:color="auto" w:fill="auto"/>
            <w:vAlign w:val="center"/>
          </w:tcPr>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39%</w:t>
            </w:r>
          </w:p>
        </w:tc>
        <w:tc>
          <w:tcPr>
            <w:tcW w:w="469" w:type="pct"/>
            <w:shd w:val="clear" w:color="auto" w:fill="auto"/>
            <w:vAlign w:val="center"/>
          </w:tcPr>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32%</w:t>
            </w:r>
          </w:p>
        </w:tc>
        <w:tc>
          <w:tcPr>
            <w:tcW w:w="469" w:type="pct"/>
            <w:shd w:val="clear" w:color="auto" w:fill="auto"/>
            <w:vAlign w:val="center"/>
          </w:tcPr>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21%</w:t>
            </w:r>
          </w:p>
        </w:tc>
        <w:tc>
          <w:tcPr>
            <w:tcW w:w="469" w:type="pct"/>
            <w:shd w:val="clear" w:color="auto" w:fill="auto"/>
            <w:vAlign w:val="center"/>
          </w:tcPr>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8%</w:t>
            </w:r>
          </w:p>
        </w:tc>
        <w:tc>
          <w:tcPr>
            <w:tcW w:w="469" w:type="pct"/>
            <w:shd w:val="clear" w:color="000000" w:fill="FBCDD0"/>
            <w:noWrap/>
            <w:vAlign w:val="center"/>
            <w:hideMark/>
          </w:tcPr>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 xml:space="preserve">182 </w:t>
            </w:r>
          </w:p>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(40%)</w:t>
            </w:r>
          </w:p>
        </w:tc>
        <w:tc>
          <w:tcPr>
            <w:tcW w:w="469" w:type="pct"/>
            <w:shd w:val="clear" w:color="000000" w:fill="FCFCFF"/>
            <w:noWrap/>
            <w:vAlign w:val="center"/>
            <w:hideMark/>
          </w:tcPr>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 xml:space="preserve">130 </w:t>
            </w:r>
          </w:p>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(29%)</w:t>
            </w:r>
          </w:p>
        </w:tc>
        <w:tc>
          <w:tcPr>
            <w:tcW w:w="577" w:type="pct"/>
            <w:shd w:val="clear" w:color="000000" w:fill="FCFBFE"/>
            <w:noWrap/>
            <w:vAlign w:val="center"/>
            <w:hideMark/>
          </w:tcPr>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100</w:t>
            </w:r>
          </w:p>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(26%)</w:t>
            </w:r>
          </w:p>
        </w:tc>
        <w:tc>
          <w:tcPr>
            <w:tcW w:w="521" w:type="pct"/>
            <w:shd w:val="clear" w:color="000000" w:fill="92B1D9"/>
            <w:noWrap/>
            <w:vAlign w:val="center"/>
            <w:hideMark/>
          </w:tcPr>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41</w:t>
            </w:r>
          </w:p>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(9%)</w:t>
            </w:r>
          </w:p>
        </w:tc>
      </w:tr>
      <w:tr w:rsidR="00F932F8" w:rsidRPr="002A1A42" w:rsidTr="00D339A0">
        <w:tc>
          <w:tcPr>
            <w:tcW w:w="1089" w:type="pct"/>
            <w:shd w:val="clear" w:color="auto" w:fill="auto"/>
            <w:noWrap/>
            <w:vAlign w:val="center"/>
            <w:hideMark/>
          </w:tcPr>
          <w:p w:rsidR="00F932F8" w:rsidRPr="002A1A42" w:rsidRDefault="00F932F8" w:rsidP="002C72FE">
            <w:pPr>
              <w:keepNext/>
              <w:spacing w:line="300" w:lineRule="auto"/>
              <w:rPr>
                <w:rFonts w:ascii="Arial Narrow" w:hAnsi="Arial Narrow"/>
                <w:color w:val="000000"/>
                <w:sz w:val="24"/>
                <w:szCs w:val="24"/>
              </w:rPr>
            </w:pPr>
            <w:r w:rsidRPr="002A1A42">
              <w:rPr>
                <w:rFonts w:ascii="Arial Narrow" w:hAnsi="Arial Narrow"/>
                <w:color w:val="000000"/>
                <w:sz w:val="24"/>
                <w:szCs w:val="24"/>
              </w:rPr>
              <w:t>Manhood Peninsula</w:t>
            </w:r>
          </w:p>
        </w:tc>
        <w:tc>
          <w:tcPr>
            <w:tcW w:w="469" w:type="pct"/>
            <w:shd w:val="clear" w:color="auto" w:fill="auto"/>
            <w:vAlign w:val="center"/>
          </w:tcPr>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48%</w:t>
            </w:r>
          </w:p>
        </w:tc>
        <w:tc>
          <w:tcPr>
            <w:tcW w:w="469" w:type="pct"/>
            <w:shd w:val="clear" w:color="auto" w:fill="auto"/>
            <w:vAlign w:val="center"/>
          </w:tcPr>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27%</w:t>
            </w:r>
          </w:p>
        </w:tc>
        <w:tc>
          <w:tcPr>
            <w:tcW w:w="469" w:type="pct"/>
            <w:shd w:val="clear" w:color="auto" w:fill="auto"/>
            <w:vAlign w:val="center"/>
          </w:tcPr>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13%</w:t>
            </w:r>
          </w:p>
        </w:tc>
        <w:tc>
          <w:tcPr>
            <w:tcW w:w="469" w:type="pct"/>
            <w:shd w:val="clear" w:color="auto" w:fill="auto"/>
            <w:vAlign w:val="center"/>
          </w:tcPr>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12%</w:t>
            </w:r>
          </w:p>
        </w:tc>
        <w:tc>
          <w:tcPr>
            <w:tcW w:w="469" w:type="pct"/>
            <w:shd w:val="clear" w:color="000000" w:fill="F8696B"/>
            <w:noWrap/>
            <w:vAlign w:val="center"/>
            <w:hideMark/>
          </w:tcPr>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 xml:space="preserve">262 </w:t>
            </w:r>
          </w:p>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(51%)</w:t>
            </w:r>
          </w:p>
        </w:tc>
        <w:tc>
          <w:tcPr>
            <w:tcW w:w="469" w:type="pct"/>
            <w:shd w:val="clear" w:color="000000" w:fill="FBCBCE"/>
            <w:noWrap/>
            <w:vAlign w:val="center"/>
            <w:hideMark/>
          </w:tcPr>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 xml:space="preserve">128 </w:t>
            </w:r>
          </w:p>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(25%)</w:t>
            </w:r>
          </w:p>
        </w:tc>
        <w:tc>
          <w:tcPr>
            <w:tcW w:w="577" w:type="pct"/>
            <w:shd w:val="clear" w:color="000000" w:fill="FCF8FB"/>
            <w:noWrap/>
            <w:vAlign w:val="center"/>
            <w:hideMark/>
          </w:tcPr>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62</w:t>
            </w:r>
          </w:p>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(17%)</w:t>
            </w:r>
          </w:p>
        </w:tc>
        <w:tc>
          <w:tcPr>
            <w:tcW w:w="521" w:type="pct"/>
            <w:shd w:val="clear" w:color="000000" w:fill="CDDBEE"/>
            <w:noWrap/>
            <w:vAlign w:val="center"/>
            <w:hideMark/>
          </w:tcPr>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66 (13%)</w:t>
            </w:r>
          </w:p>
        </w:tc>
      </w:tr>
      <w:tr w:rsidR="00F932F8" w:rsidRPr="002A1A42" w:rsidTr="00D339A0">
        <w:tc>
          <w:tcPr>
            <w:tcW w:w="1089" w:type="pct"/>
            <w:shd w:val="clear" w:color="auto" w:fill="auto"/>
            <w:noWrap/>
            <w:vAlign w:val="center"/>
            <w:hideMark/>
          </w:tcPr>
          <w:p w:rsidR="00F932F8" w:rsidRPr="002A1A42" w:rsidRDefault="00F932F8" w:rsidP="002C72FE">
            <w:pPr>
              <w:keepNext/>
              <w:spacing w:line="300" w:lineRule="auto"/>
              <w:rPr>
                <w:rFonts w:ascii="Arial Narrow" w:hAnsi="Arial Narrow"/>
                <w:color w:val="000000"/>
                <w:sz w:val="24"/>
                <w:szCs w:val="24"/>
              </w:rPr>
            </w:pPr>
            <w:r w:rsidRPr="002A1A42">
              <w:rPr>
                <w:rFonts w:ascii="Arial Narrow" w:hAnsi="Arial Narrow"/>
                <w:color w:val="000000"/>
                <w:sz w:val="24"/>
                <w:szCs w:val="24"/>
              </w:rPr>
              <w:t>Plan Area North</w:t>
            </w:r>
          </w:p>
        </w:tc>
        <w:tc>
          <w:tcPr>
            <w:tcW w:w="469" w:type="pct"/>
            <w:shd w:val="clear" w:color="auto" w:fill="auto"/>
            <w:vAlign w:val="center"/>
          </w:tcPr>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60%</w:t>
            </w:r>
          </w:p>
        </w:tc>
        <w:tc>
          <w:tcPr>
            <w:tcW w:w="469" w:type="pct"/>
            <w:shd w:val="clear" w:color="auto" w:fill="auto"/>
            <w:vAlign w:val="center"/>
          </w:tcPr>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23%</w:t>
            </w:r>
          </w:p>
        </w:tc>
        <w:tc>
          <w:tcPr>
            <w:tcW w:w="469" w:type="pct"/>
            <w:shd w:val="clear" w:color="auto" w:fill="auto"/>
            <w:vAlign w:val="center"/>
          </w:tcPr>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9%</w:t>
            </w:r>
          </w:p>
        </w:tc>
        <w:tc>
          <w:tcPr>
            <w:tcW w:w="469" w:type="pct"/>
            <w:shd w:val="clear" w:color="auto" w:fill="auto"/>
            <w:vAlign w:val="center"/>
          </w:tcPr>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8%</w:t>
            </w:r>
          </w:p>
        </w:tc>
        <w:tc>
          <w:tcPr>
            <w:tcW w:w="469" w:type="pct"/>
            <w:shd w:val="clear" w:color="000000" w:fill="DCE6F4"/>
            <w:noWrap/>
            <w:vAlign w:val="center"/>
            <w:hideMark/>
          </w:tcPr>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 xml:space="preserve">85 </w:t>
            </w:r>
          </w:p>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(63%)</w:t>
            </w:r>
          </w:p>
        </w:tc>
        <w:tc>
          <w:tcPr>
            <w:tcW w:w="469" w:type="pct"/>
            <w:shd w:val="clear" w:color="000000" w:fill="81A5D3"/>
            <w:noWrap/>
            <w:vAlign w:val="center"/>
            <w:hideMark/>
          </w:tcPr>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33</w:t>
            </w:r>
          </w:p>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(24%)</w:t>
            </w:r>
          </w:p>
        </w:tc>
        <w:tc>
          <w:tcPr>
            <w:tcW w:w="577" w:type="pct"/>
            <w:shd w:val="clear" w:color="000000" w:fill="6793CA"/>
            <w:noWrap/>
            <w:vAlign w:val="center"/>
            <w:hideMark/>
          </w:tcPr>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 xml:space="preserve">16 </w:t>
            </w:r>
          </w:p>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(10%)</w:t>
            </w:r>
          </w:p>
        </w:tc>
        <w:tc>
          <w:tcPr>
            <w:tcW w:w="521" w:type="pct"/>
            <w:shd w:val="clear" w:color="000000" w:fill="5A8AC6"/>
            <w:noWrap/>
            <w:vAlign w:val="center"/>
            <w:hideMark/>
          </w:tcPr>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2</w:t>
            </w:r>
          </w:p>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(1%)</w:t>
            </w:r>
          </w:p>
        </w:tc>
      </w:tr>
      <w:tr w:rsidR="00F932F8" w:rsidRPr="002A1A42" w:rsidTr="00D339A0">
        <w:tc>
          <w:tcPr>
            <w:tcW w:w="1089" w:type="pct"/>
            <w:shd w:val="clear" w:color="auto" w:fill="auto"/>
            <w:noWrap/>
            <w:vAlign w:val="center"/>
            <w:hideMark/>
          </w:tcPr>
          <w:p w:rsidR="00F932F8" w:rsidRPr="002A1A42" w:rsidRDefault="00F932F8" w:rsidP="002C72FE">
            <w:pPr>
              <w:keepNext/>
              <w:spacing w:line="300" w:lineRule="auto"/>
              <w:rPr>
                <w:rFonts w:ascii="Arial Narrow" w:hAnsi="Arial Narrow"/>
                <w:color w:val="000000"/>
                <w:sz w:val="24"/>
                <w:szCs w:val="24"/>
              </w:rPr>
            </w:pPr>
            <w:r w:rsidRPr="002A1A42">
              <w:rPr>
                <w:rFonts w:ascii="Arial Narrow" w:hAnsi="Arial Narrow"/>
                <w:color w:val="000000"/>
                <w:sz w:val="24"/>
                <w:szCs w:val="24"/>
              </w:rPr>
              <w:t>SDNP</w:t>
            </w:r>
          </w:p>
        </w:tc>
        <w:tc>
          <w:tcPr>
            <w:tcW w:w="469" w:type="pct"/>
            <w:shd w:val="clear" w:color="auto" w:fill="auto"/>
            <w:vAlign w:val="center"/>
          </w:tcPr>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41%</w:t>
            </w:r>
          </w:p>
        </w:tc>
        <w:tc>
          <w:tcPr>
            <w:tcW w:w="469" w:type="pct"/>
            <w:shd w:val="clear" w:color="auto" w:fill="auto"/>
            <w:vAlign w:val="center"/>
          </w:tcPr>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30%</w:t>
            </w:r>
          </w:p>
        </w:tc>
        <w:tc>
          <w:tcPr>
            <w:tcW w:w="469" w:type="pct"/>
            <w:shd w:val="clear" w:color="auto" w:fill="auto"/>
            <w:vAlign w:val="center"/>
          </w:tcPr>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16%</w:t>
            </w:r>
          </w:p>
        </w:tc>
        <w:tc>
          <w:tcPr>
            <w:tcW w:w="469" w:type="pct"/>
            <w:shd w:val="clear" w:color="auto" w:fill="auto"/>
            <w:vAlign w:val="center"/>
          </w:tcPr>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12%</w:t>
            </w:r>
          </w:p>
        </w:tc>
        <w:tc>
          <w:tcPr>
            <w:tcW w:w="469" w:type="pct"/>
            <w:shd w:val="clear" w:color="000000" w:fill="FA9A9C"/>
            <w:noWrap/>
            <w:vAlign w:val="center"/>
            <w:hideMark/>
          </w:tcPr>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 xml:space="preserve">171 </w:t>
            </w:r>
          </w:p>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(40%)</w:t>
            </w:r>
          </w:p>
        </w:tc>
        <w:tc>
          <w:tcPr>
            <w:tcW w:w="469" w:type="pct"/>
            <w:shd w:val="clear" w:color="000000" w:fill="FAFAFE"/>
            <w:noWrap/>
            <w:vAlign w:val="center"/>
            <w:hideMark/>
          </w:tcPr>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 xml:space="preserve">83 </w:t>
            </w:r>
          </w:p>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(19%)</w:t>
            </w:r>
          </w:p>
        </w:tc>
        <w:tc>
          <w:tcPr>
            <w:tcW w:w="577" w:type="pct"/>
            <w:shd w:val="clear" w:color="000000" w:fill="FCE7EA"/>
            <w:noWrap/>
            <w:vAlign w:val="center"/>
            <w:hideMark/>
          </w:tcPr>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84 (23%)</w:t>
            </w:r>
          </w:p>
        </w:tc>
        <w:tc>
          <w:tcPr>
            <w:tcW w:w="521" w:type="pct"/>
            <w:shd w:val="clear" w:color="000000" w:fill="F6F7FC"/>
            <w:noWrap/>
            <w:vAlign w:val="center"/>
            <w:hideMark/>
          </w:tcPr>
          <w:p w:rsidR="00F932F8" w:rsidRPr="002A1A42" w:rsidRDefault="00F932F8" w:rsidP="002C72FE">
            <w:pPr>
              <w:keepNext/>
              <w:spacing w:line="300" w:lineRule="auto"/>
              <w:jc w:val="center"/>
              <w:rPr>
                <w:rFonts w:ascii="Arial Narrow" w:hAnsi="Arial Narrow"/>
                <w:color w:val="000000"/>
                <w:sz w:val="24"/>
                <w:szCs w:val="24"/>
              </w:rPr>
            </w:pPr>
            <w:r w:rsidRPr="002A1A42">
              <w:rPr>
                <w:rFonts w:ascii="Arial Narrow" w:hAnsi="Arial Narrow"/>
                <w:color w:val="000000"/>
                <w:sz w:val="24"/>
                <w:szCs w:val="24"/>
              </w:rPr>
              <w:t>88 (21%)</w:t>
            </w:r>
          </w:p>
        </w:tc>
      </w:tr>
      <w:tr w:rsidR="00F932F8" w:rsidRPr="002A1A42" w:rsidTr="00D339A0">
        <w:tc>
          <w:tcPr>
            <w:tcW w:w="1089" w:type="pct"/>
            <w:shd w:val="clear" w:color="auto" w:fill="auto"/>
            <w:noWrap/>
            <w:vAlign w:val="center"/>
          </w:tcPr>
          <w:p w:rsidR="00F932F8" w:rsidRPr="002A1A42" w:rsidRDefault="00F932F8" w:rsidP="002C72FE">
            <w:pPr>
              <w:keepNext/>
              <w:spacing w:line="300" w:lineRule="auto"/>
              <w:rPr>
                <w:rFonts w:ascii="Arial Narrow" w:hAnsi="Arial Narrow"/>
                <w:b/>
                <w:color w:val="000000"/>
                <w:sz w:val="24"/>
                <w:szCs w:val="24"/>
              </w:rPr>
            </w:pPr>
            <w:r w:rsidRPr="002A1A42">
              <w:rPr>
                <w:rFonts w:ascii="Arial Narrow" w:hAnsi="Arial Narrow"/>
                <w:b/>
                <w:color w:val="000000"/>
                <w:sz w:val="24"/>
                <w:szCs w:val="24"/>
              </w:rPr>
              <w:t>District</w:t>
            </w:r>
          </w:p>
        </w:tc>
        <w:tc>
          <w:tcPr>
            <w:tcW w:w="469" w:type="pct"/>
            <w:shd w:val="clear" w:color="auto" w:fill="auto"/>
            <w:vAlign w:val="bottom"/>
          </w:tcPr>
          <w:p w:rsidR="00F932F8" w:rsidRPr="002A1A42" w:rsidRDefault="00F932F8" w:rsidP="002C72FE">
            <w:pPr>
              <w:keepNext/>
              <w:spacing w:line="300" w:lineRule="auto"/>
              <w:jc w:val="center"/>
              <w:rPr>
                <w:rFonts w:ascii="Arial Narrow" w:hAnsi="Arial Narrow"/>
                <w:b/>
                <w:color w:val="000000"/>
                <w:sz w:val="24"/>
                <w:szCs w:val="24"/>
              </w:rPr>
            </w:pPr>
            <w:r w:rsidRPr="002A1A42">
              <w:rPr>
                <w:rFonts w:ascii="Arial Narrow" w:hAnsi="Arial Narrow"/>
                <w:b/>
                <w:color w:val="000000"/>
                <w:sz w:val="24"/>
                <w:szCs w:val="24"/>
              </w:rPr>
              <w:t>38%</w:t>
            </w:r>
          </w:p>
        </w:tc>
        <w:tc>
          <w:tcPr>
            <w:tcW w:w="469" w:type="pct"/>
            <w:shd w:val="clear" w:color="auto" w:fill="auto"/>
            <w:vAlign w:val="bottom"/>
          </w:tcPr>
          <w:p w:rsidR="00F932F8" w:rsidRPr="002A1A42" w:rsidRDefault="00F932F8" w:rsidP="002C72FE">
            <w:pPr>
              <w:keepNext/>
              <w:spacing w:line="300" w:lineRule="auto"/>
              <w:jc w:val="center"/>
              <w:rPr>
                <w:rFonts w:ascii="Arial Narrow" w:hAnsi="Arial Narrow"/>
                <w:b/>
                <w:color w:val="000000"/>
                <w:sz w:val="24"/>
                <w:szCs w:val="24"/>
              </w:rPr>
            </w:pPr>
            <w:r w:rsidRPr="002A1A42">
              <w:rPr>
                <w:rFonts w:ascii="Arial Narrow" w:hAnsi="Arial Narrow"/>
                <w:b/>
                <w:color w:val="000000"/>
                <w:sz w:val="24"/>
                <w:szCs w:val="24"/>
              </w:rPr>
              <w:t>28%</w:t>
            </w:r>
          </w:p>
        </w:tc>
        <w:tc>
          <w:tcPr>
            <w:tcW w:w="469" w:type="pct"/>
            <w:shd w:val="clear" w:color="auto" w:fill="auto"/>
            <w:vAlign w:val="bottom"/>
          </w:tcPr>
          <w:p w:rsidR="00F932F8" w:rsidRPr="002A1A42" w:rsidRDefault="00F932F8" w:rsidP="002C72FE">
            <w:pPr>
              <w:keepNext/>
              <w:spacing w:line="300" w:lineRule="auto"/>
              <w:jc w:val="center"/>
              <w:rPr>
                <w:rFonts w:ascii="Arial Narrow" w:hAnsi="Arial Narrow"/>
                <w:b/>
                <w:color w:val="000000"/>
                <w:sz w:val="24"/>
                <w:szCs w:val="24"/>
              </w:rPr>
            </w:pPr>
            <w:r w:rsidRPr="002A1A42">
              <w:rPr>
                <w:rFonts w:ascii="Arial Narrow" w:hAnsi="Arial Narrow"/>
                <w:b/>
                <w:color w:val="000000"/>
                <w:sz w:val="24"/>
                <w:szCs w:val="24"/>
              </w:rPr>
              <w:t>18%</w:t>
            </w:r>
          </w:p>
        </w:tc>
        <w:tc>
          <w:tcPr>
            <w:tcW w:w="469" w:type="pct"/>
            <w:shd w:val="clear" w:color="auto" w:fill="auto"/>
            <w:vAlign w:val="bottom"/>
          </w:tcPr>
          <w:p w:rsidR="00F932F8" w:rsidRPr="002A1A42" w:rsidRDefault="00F932F8" w:rsidP="002C72FE">
            <w:pPr>
              <w:keepNext/>
              <w:spacing w:line="300" w:lineRule="auto"/>
              <w:jc w:val="center"/>
              <w:rPr>
                <w:rFonts w:ascii="Arial Narrow" w:hAnsi="Arial Narrow"/>
                <w:b/>
                <w:color w:val="000000"/>
                <w:sz w:val="24"/>
                <w:szCs w:val="24"/>
              </w:rPr>
            </w:pPr>
            <w:r w:rsidRPr="002A1A42">
              <w:rPr>
                <w:rFonts w:ascii="Arial Narrow" w:hAnsi="Arial Narrow"/>
                <w:b/>
                <w:color w:val="000000"/>
                <w:sz w:val="24"/>
                <w:szCs w:val="24"/>
              </w:rPr>
              <w:t>16%</w:t>
            </w:r>
          </w:p>
        </w:tc>
        <w:tc>
          <w:tcPr>
            <w:tcW w:w="469" w:type="pct"/>
            <w:shd w:val="clear" w:color="000000" w:fill="FA9A9C"/>
            <w:noWrap/>
            <w:vAlign w:val="bottom"/>
          </w:tcPr>
          <w:p w:rsidR="00F932F8" w:rsidRPr="002A1A42" w:rsidRDefault="00F932F8" w:rsidP="002C72FE">
            <w:pPr>
              <w:keepNext/>
              <w:spacing w:line="300" w:lineRule="auto"/>
              <w:jc w:val="center"/>
              <w:rPr>
                <w:rFonts w:ascii="Arial Narrow" w:hAnsi="Arial Narrow"/>
                <w:b/>
                <w:color w:val="000000"/>
                <w:sz w:val="24"/>
                <w:szCs w:val="24"/>
              </w:rPr>
            </w:pPr>
            <w:r w:rsidRPr="002A1A42">
              <w:rPr>
                <w:rFonts w:ascii="Arial Narrow" w:hAnsi="Arial Narrow"/>
                <w:b/>
                <w:color w:val="000000"/>
                <w:sz w:val="24"/>
                <w:szCs w:val="24"/>
              </w:rPr>
              <w:t>38%</w:t>
            </w:r>
          </w:p>
        </w:tc>
        <w:tc>
          <w:tcPr>
            <w:tcW w:w="469" w:type="pct"/>
            <w:shd w:val="clear" w:color="000000" w:fill="FAFAFE"/>
            <w:noWrap/>
            <w:vAlign w:val="bottom"/>
          </w:tcPr>
          <w:p w:rsidR="00F932F8" w:rsidRPr="002A1A42" w:rsidRDefault="00F932F8" w:rsidP="002C72FE">
            <w:pPr>
              <w:keepNext/>
              <w:spacing w:line="300" w:lineRule="auto"/>
              <w:jc w:val="center"/>
              <w:rPr>
                <w:rFonts w:ascii="Arial Narrow" w:hAnsi="Arial Narrow"/>
                <w:b/>
                <w:color w:val="000000"/>
                <w:sz w:val="24"/>
                <w:szCs w:val="24"/>
              </w:rPr>
            </w:pPr>
            <w:r w:rsidRPr="002A1A42">
              <w:rPr>
                <w:rFonts w:ascii="Arial Narrow" w:hAnsi="Arial Narrow"/>
                <w:b/>
                <w:color w:val="000000"/>
                <w:sz w:val="24"/>
                <w:szCs w:val="24"/>
              </w:rPr>
              <w:t>23%</w:t>
            </w:r>
          </w:p>
        </w:tc>
        <w:tc>
          <w:tcPr>
            <w:tcW w:w="577" w:type="pct"/>
            <w:shd w:val="clear" w:color="000000" w:fill="FCE7EA"/>
            <w:noWrap/>
            <w:vAlign w:val="bottom"/>
          </w:tcPr>
          <w:p w:rsidR="00F932F8" w:rsidRPr="002A1A42" w:rsidRDefault="00F932F8" w:rsidP="002C72FE">
            <w:pPr>
              <w:keepNext/>
              <w:spacing w:line="300" w:lineRule="auto"/>
              <w:jc w:val="center"/>
              <w:rPr>
                <w:rFonts w:ascii="Arial Narrow" w:hAnsi="Arial Narrow"/>
                <w:b/>
                <w:color w:val="000000"/>
                <w:sz w:val="24"/>
                <w:szCs w:val="24"/>
              </w:rPr>
            </w:pPr>
            <w:r w:rsidRPr="002A1A42">
              <w:rPr>
                <w:rFonts w:ascii="Arial Narrow" w:hAnsi="Arial Narrow"/>
                <w:b/>
                <w:color w:val="000000"/>
                <w:sz w:val="24"/>
                <w:szCs w:val="24"/>
              </w:rPr>
              <w:t>21%</w:t>
            </w:r>
          </w:p>
        </w:tc>
        <w:tc>
          <w:tcPr>
            <w:tcW w:w="521" w:type="pct"/>
            <w:shd w:val="clear" w:color="000000" w:fill="F6F7FC"/>
            <w:noWrap/>
            <w:vAlign w:val="bottom"/>
          </w:tcPr>
          <w:p w:rsidR="00F932F8" w:rsidRPr="002A1A42" w:rsidRDefault="00F932F8" w:rsidP="002C72FE">
            <w:pPr>
              <w:keepNext/>
              <w:spacing w:line="300" w:lineRule="auto"/>
              <w:jc w:val="center"/>
              <w:rPr>
                <w:rFonts w:ascii="Arial Narrow" w:hAnsi="Arial Narrow"/>
                <w:b/>
                <w:color w:val="000000"/>
                <w:sz w:val="24"/>
                <w:szCs w:val="24"/>
              </w:rPr>
            </w:pPr>
            <w:r w:rsidRPr="002A1A42">
              <w:rPr>
                <w:rFonts w:ascii="Arial Narrow" w:hAnsi="Arial Narrow"/>
                <w:b/>
                <w:color w:val="000000"/>
                <w:sz w:val="24"/>
                <w:szCs w:val="24"/>
              </w:rPr>
              <w:t>17%</w:t>
            </w:r>
          </w:p>
        </w:tc>
      </w:tr>
    </w:tbl>
    <w:p w:rsidR="00F932F8" w:rsidRPr="002A1A42" w:rsidRDefault="00F932F8" w:rsidP="0009738C">
      <w:pPr>
        <w:pStyle w:val="Bodytextwithindent"/>
        <w:spacing w:before="0" w:after="120"/>
        <w:ind w:left="0"/>
        <w:rPr>
          <w:rFonts w:asciiTheme="minorHAnsi" w:hAnsiTheme="minorHAnsi" w:cstheme="minorHAnsi"/>
          <w:sz w:val="24"/>
          <w:szCs w:val="22"/>
        </w:rPr>
      </w:pPr>
      <w:r w:rsidRPr="002A1A42">
        <w:rPr>
          <w:rFonts w:asciiTheme="minorHAnsi" w:hAnsiTheme="minorHAnsi" w:cstheme="minorHAnsi"/>
          <w:sz w:val="24"/>
          <w:szCs w:val="22"/>
        </w:rPr>
        <w:t>Source: Land Registry Price Paid Data, 2018</w:t>
      </w:r>
    </w:p>
    <w:p w:rsidR="00F932F8" w:rsidRPr="00CA47B9" w:rsidRDefault="00F932F8" w:rsidP="00020CFC">
      <w:pPr>
        <w:pStyle w:val="11Bodytext"/>
        <w:tabs>
          <w:tab w:val="clear" w:pos="2212"/>
          <w:tab w:val="num" w:pos="567"/>
        </w:tabs>
        <w:ind w:left="567" w:hanging="567"/>
        <w:rPr>
          <w:rFonts w:ascii="Calibri" w:eastAsia="Times New Roman" w:hAnsi="Calibri" w:cs="Times New Roman"/>
          <w:b/>
          <w:color w:val="auto"/>
          <w:lang w:eastAsia="en-GB"/>
        </w:rPr>
      </w:pPr>
      <w:r w:rsidRPr="00CA47B9">
        <w:t>The Chichester City sub-area has the lowest number of sales in detached properties, however</w:t>
      </w:r>
      <w:r w:rsidR="00855CA6">
        <w:t>,</w:t>
      </w:r>
      <w:r w:rsidRPr="00CA47B9">
        <w:t xml:space="preserve"> the highest in terraced and flats when compared to other sub-areas.</w:t>
      </w:r>
    </w:p>
    <w:p w:rsidR="00F932F8" w:rsidRPr="002A1A42" w:rsidRDefault="00F932F8" w:rsidP="00BD6C75">
      <w:pPr>
        <w:pStyle w:val="Headsubbold"/>
        <w:ind w:left="567" w:firstLine="0"/>
      </w:pPr>
      <w:r w:rsidRPr="002A1A42">
        <w:t>Rental Costs</w:t>
      </w:r>
    </w:p>
    <w:p w:rsidR="00F932F8" w:rsidRPr="00CA47B9" w:rsidRDefault="00F932F8" w:rsidP="00020CFC">
      <w:pPr>
        <w:pStyle w:val="11Bodytext"/>
        <w:tabs>
          <w:tab w:val="clear" w:pos="2212"/>
          <w:tab w:val="num" w:pos="567"/>
        </w:tabs>
        <w:ind w:left="567" w:hanging="567"/>
      </w:pPr>
      <w:r w:rsidRPr="00CA47B9">
        <w:t xml:space="preserve">Analysis of rental costs by sub-area has been calculated by using data from Rightmove and aligning this to the Chichester data produced by the VOA (March 2019). Notably, there is limited data available to depict the value of a room and studio accommodation given the nature of housing in the District. </w:t>
      </w:r>
    </w:p>
    <w:p w:rsidR="00F932F8" w:rsidRPr="00CA47B9" w:rsidRDefault="00F932F8" w:rsidP="00020CFC">
      <w:pPr>
        <w:pStyle w:val="11Bodytext"/>
        <w:tabs>
          <w:tab w:val="clear" w:pos="2212"/>
          <w:tab w:val="num" w:pos="567"/>
        </w:tabs>
        <w:ind w:left="567" w:hanging="567"/>
      </w:pPr>
      <w:r w:rsidRPr="00CA47B9">
        <w:t xml:space="preserve">Across all properties, the </w:t>
      </w:r>
      <w:r w:rsidR="00855CA6" w:rsidRPr="00CA47B9">
        <w:t>District</w:t>
      </w:r>
      <w:r w:rsidR="00855CA6">
        <w:t>-</w:t>
      </w:r>
      <w:r w:rsidRPr="00CA47B9">
        <w:t xml:space="preserve">wide lower quartile rental value is £720 per month. The rental value of a 1-bedroom at the District level is £610 per month, £795 for a 2-bedroom, £975 for a 3-bedroom and £1,400 for a 4-bedroom. </w:t>
      </w:r>
    </w:p>
    <w:p w:rsidR="00F932F8" w:rsidRPr="00CA47B9" w:rsidRDefault="00F932F8" w:rsidP="00020CFC">
      <w:pPr>
        <w:pStyle w:val="11Bodytext"/>
        <w:tabs>
          <w:tab w:val="clear" w:pos="2212"/>
          <w:tab w:val="num" w:pos="567"/>
        </w:tabs>
        <w:ind w:left="567" w:hanging="567"/>
      </w:pPr>
      <w:r w:rsidRPr="00CA47B9">
        <w:t xml:space="preserve">The lower quartile rental value is highest in the Plan Area North at £1,020 per month and lowest in Chichester </w:t>
      </w:r>
      <w:r>
        <w:t>City</w:t>
      </w:r>
      <w:r w:rsidRPr="00CA47B9">
        <w:t xml:space="preserve"> at £670 per month. </w:t>
      </w:r>
    </w:p>
    <w:p w:rsidR="00F932F8" w:rsidRPr="00CA47B9" w:rsidRDefault="00F932F8" w:rsidP="0009738C">
      <w:pPr>
        <w:pStyle w:val="Tableheading"/>
        <w:tabs>
          <w:tab w:val="clear" w:pos="794"/>
          <w:tab w:val="clear" w:pos="1843"/>
          <w:tab w:val="left" w:pos="0"/>
        </w:tabs>
        <w:ind w:left="0" w:firstLine="0"/>
      </w:pPr>
      <w:r w:rsidRPr="00CA47B9">
        <w:lastRenderedPageBreak/>
        <w:t>Lower Quartile Market Rents by Sub-Area (2019)</w:t>
      </w:r>
    </w:p>
    <w:tbl>
      <w:tblPr>
        <w:tblStyle w:val="TableGridLight1"/>
        <w:tblW w:w="4894" w:type="pct"/>
        <w:tblInd w:w="108" w:type="dxa"/>
        <w:tblLook w:val="04A0" w:firstRow="1" w:lastRow="0" w:firstColumn="1" w:lastColumn="0" w:noHBand="0" w:noVBand="1"/>
        <w:tblCaption w:val="Table 7: Lower Quartile Market Rents by Sub-Area 2019"/>
      </w:tblPr>
      <w:tblGrid>
        <w:gridCol w:w="1612"/>
        <w:gridCol w:w="1423"/>
        <w:gridCol w:w="1349"/>
        <w:gridCol w:w="1398"/>
        <w:gridCol w:w="1313"/>
        <w:gridCol w:w="1126"/>
        <w:gridCol w:w="1417"/>
      </w:tblGrid>
      <w:tr w:rsidR="00F932F8" w:rsidRPr="00CA47B9" w:rsidTr="0009738C">
        <w:trPr>
          <w:trHeight w:val="276"/>
          <w:tblHeader/>
        </w:trPr>
        <w:tc>
          <w:tcPr>
            <w:tcW w:w="837" w:type="pct"/>
            <w:tcBorders>
              <w:top w:val="single" w:sz="4" w:space="0" w:color="auto"/>
              <w:left w:val="single" w:sz="4" w:space="0" w:color="auto"/>
              <w:bottom w:val="single" w:sz="4" w:space="0" w:color="auto"/>
              <w:right w:val="single" w:sz="4" w:space="0" w:color="auto"/>
            </w:tcBorders>
            <w:shd w:val="clear" w:color="auto" w:fill="0093D5" w:themeFill="accent2"/>
          </w:tcPr>
          <w:p w:rsidR="00F932F8" w:rsidRPr="00CA47B9" w:rsidRDefault="00F932F8" w:rsidP="002C72FE">
            <w:pPr>
              <w:keepNext/>
              <w:spacing w:line="300" w:lineRule="auto"/>
              <w:rPr>
                <w:rFonts w:ascii="Arial" w:hAnsi="Arial" w:cs="Arial"/>
                <w:bCs/>
                <w:color w:val="FFFFFF" w:themeColor="background1"/>
              </w:rPr>
            </w:pPr>
          </w:p>
        </w:tc>
        <w:tc>
          <w:tcPr>
            <w:tcW w:w="738" w:type="pct"/>
            <w:tcBorders>
              <w:top w:val="single" w:sz="4" w:space="0" w:color="auto"/>
              <w:left w:val="single" w:sz="4" w:space="0" w:color="auto"/>
              <w:bottom w:val="single" w:sz="4" w:space="0" w:color="auto"/>
              <w:right w:val="single" w:sz="4" w:space="0" w:color="auto"/>
            </w:tcBorders>
            <w:shd w:val="clear" w:color="auto" w:fill="0093D5" w:themeFill="accent2"/>
            <w:hideMark/>
          </w:tcPr>
          <w:p w:rsidR="00F932F8" w:rsidRPr="00CA47B9" w:rsidRDefault="00F932F8" w:rsidP="002C72FE">
            <w:pPr>
              <w:keepNext/>
              <w:spacing w:line="300" w:lineRule="auto"/>
              <w:jc w:val="center"/>
              <w:rPr>
                <w:rFonts w:ascii="Arial" w:hAnsi="Arial" w:cs="Arial"/>
                <w:bCs/>
                <w:color w:val="FFFFFF" w:themeColor="background1"/>
              </w:rPr>
            </w:pPr>
            <w:r w:rsidRPr="00CA47B9">
              <w:rPr>
                <w:rFonts w:ascii="Arial" w:hAnsi="Arial" w:cs="Arial"/>
                <w:bCs/>
                <w:color w:val="FFFFFF" w:themeColor="background1"/>
              </w:rPr>
              <w:t xml:space="preserve">Chichester </w:t>
            </w:r>
            <w:r w:rsidR="0083714C">
              <w:rPr>
                <w:rFonts w:ascii="Arial" w:hAnsi="Arial" w:cs="Arial"/>
                <w:bCs/>
                <w:color w:val="FFFFFF" w:themeColor="background1"/>
              </w:rPr>
              <w:t>City</w:t>
            </w:r>
          </w:p>
        </w:tc>
        <w:tc>
          <w:tcPr>
            <w:tcW w:w="700" w:type="pct"/>
            <w:tcBorders>
              <w:top w:val="single" w:sz="4" w:space="0" w:color="auto"/>
              <w:left w:val="single" w:sz="4" w:space="0" w:color="auto"/>
              <w:bottom w:val="single" w:sz="4" w:space="0" w:color="auto"/>
              <w:right w:val="single" w:sz="4" w:space="0" w:color="auto"/>
            </w:tcBorders>
            <w:shd w:val="clear" w:color="auto" w:fill="0093D5" w:themeFill="accent2"/>
            <w:hideMark/>
          </w:tcPr>
          <w:p w:rsidR="00F932F8" w:rsidRPr="00CA47B9" w:rsidRDefault="00F932F8" w:rsidP="002C72FE">
            <w:pPr>
              <w:keepNext/>
              <w:spacing w:line="300" w:lineRule="auto"/>
              <w:jc w:val="center"/>
              <w:rPr>
                <w:rFonts w:ascii="Arial" w:hAnsi="Arial" w:cs="Arial"/>
                <w:bCs/>
                <w:color w:val="FFFFFF" w:themeColor="background1"/>
              </w:rPr>
            </w:pPr>
            <w:r w:rsidRPr="00CA47B9">
              <w:rPr>
                <w:rFonts w:ascii="Arial" w:hAnsi="Arial" w:cs="Arial"/>
                <w:bCs/>
                <w:color w:val="FFFFFF" w:themeColor="background1"/>
              </w:rPr>
              <w:t>East-West Corridor</w:t>
            </w:r>
          </w:p>
        </w:tc>
        <w:tc>
          <w:tcPr>
            <w:tcW w:w="725" w:type="pct"/>
            <w:tcBorders>
              <w:top w:val="single" w:sz="4" w:space="0" w:color="auto"/>
              <w:left w:val="single" w:sz="4" w:space="0" w:color="auto"/>
              <w:bottom w:val="single" w:sz="4" w:space="0" w:color="auto"/>
              <w:right w:val="single" w:sz="4" w:space="0" w:color="auto"/>
            </w:tcBorders>
            <w:shd w:val="clear" w:color="auto" w:fill="0093D5" w:themeFill="accent2"/>
            <w:hideMark/>
          </w:tcPr>
          <w:p w:rsidR="00F932F8" w:rsidRPr="00CA47B9" w:rsidRDefault="00F932F8" w:rsidP="002C72FE">
            <w:pPr>
              <w:keepNext/>
              <w:spacing w:line="300" w:lineRule="auto"/>
              <w:jc w:val="center"/>
              <w:rPr>
                <w:rFonts w:ascii="Arial" w:hAnsi="Arial" w:cs="Arial"/>
                <w:bCs/>
                <w:color w:val="FFFFFF" w:themeColor="background1"/>
              </w:rPr>
            </w:pPr>
            <w:r w:rsidRPr="00CA47B9">
              <w:rPr>
                <w:rFonts w:ascii="Arial" w:hAnsi="Arial" w:cs="Arial"/>
                <w:bCs/>
                <w:color w:val="FFFFFF" w:themeColor="background1"/>
              </w:rPr>
              <w:t xml:space="preserve">Manhood </w:t>
            </w:r>
            <w:r w:rsidR="00056D14">
              <w:rPr>
                <w:rFonts w:ascii="Arial" w:hAnsi="Arial" w:cs="Arial"/>
                <w:bCs/>
                <w:color w:val="FFFFFF" w:themeColor="background1"/>
              </w:rPr>
              <w:t>Peninsula</w:t>
            </w:r>
          </w:p>
        </w:tc>
        <w:tc>
          <w:tcPr>
            <w:tcW w:w="681" w:type="pct"/>
            <w:tcBorders>
              <w:top w:val="single" w:sz="4" w:space="0" w:color="auto"/>
              <w:left w:val="single" w:sz="4" w:space="0" w:color="auto"/>
              <w:bottom w:val="single" w:sz="4" w:space="0" w:color="auto"/>
              <w:right w:val="single" w:sz="4" w:space="0" w:color="auto"/>
            </w:tcBorders>
            <w:shd w:val="clear" w:color="auto" w:fill="0093D5" w:themeFill="accent2"/>
            <w:hideMark/>
          </w:tcPr>
          <w:p w:rsidR="00F932F8" w:rsidRPr="00CA47B9" w:rsidRDefault="00F932F8" w:rsidP="002C72FE">
            <w:pPr>
              <w:keepNext/>
              <w:spacing w:line="300" w:lineRule="auto"/>
              <w:jc w:val="center"/>
              <w:rPr>
                <w:rFonts w:ascii="Arial" w:hAnsi="Arial" w:cs="Arial"/>
                <w:bCs/>
                <w:color w:val="FFFFFF" w:themeColor="background1"/>
              </w:rPr>
            </w:pPr>
            <w:r w:rsidRPr="00CA47B9">
              <w:rPr>
                <w:rFonts w:ascii="Arial" w:hAnsi="Arial" w:cs="Arial"/>
                <w:bCs/>
                <w:color w:val="FFFFFF" w:themeColor="background1"/>
              </w:rPr>
              <w:t>Plan Area North</w:t>
            </w:r>
          </w:p>
        </w:tc>
        <w:tc>
          <w:tcPr>
            <w:tcW w:w="584" w:type="pct"/>
            <w:tcBorders>
              <w:top w:val="single" w:sz="4" w:space="0" w:color="auto"/>
              <w:left w:val="single" w:sz="4" w:space="0" w:color="auto"/>
              <w:bottom w:val="single" w:sz="4" w:space="0" w:color="auto"/>
              <w:right w:val="single" w:sz="4" w:space="0" w:color="auto"/>
            </w:tcBorders>
            <w:shd w:val="clear" w:color="auto" w:fill="0093D5" w:themeFill="accent2"/>
            <w:hideMark/>
          </w:tcPr>
          <w:p w:rsidR="00F932F8" w:rsidRPr="00CA47B9" w:rsidRDefault="00F932F8" w:rsidP="002C72FE">
            <w:pPr>
              <w:keepNext/>
              <w:spacing w:line="300" w:lineRule="auto"/>
              <w:jc w:val="center"/>
              <w:rPr>
                <w:rFonts w:ascii="Arial" w:hAnsi="Arial" w:cs="Arial"/>
                <w:bCs/>
                <w:color w:val="FFFFFF" w:themeColor="background1"/>
              </w:rPr>
            </w:pPr>
            <w:r w:rsidRPr="00CA47B9">
              <w:rPr>
                <w:rFonts w:ascii="Arial" w:hAnsi="Arial" w:cs="Arial"/>
                <w:bCs/>
                <w:color w:val="FFFFFF" w:themeColor="background1"/>
              </w:rPr>
              <w:t>SDNP</w:t>
            </w:r>
          </w:p>
        </w:tc>
        <w:tc>
          <w:tcPr>
            <w:tcW w:w="735" w:type="pct"/>
            <w:tcBorders>
              <w:top w:val="single" w:sz="4" w:space="0" w:color="auto"/>
              <w:left w:val="single" w:sz="4" w:space="0" w:color="auto"/>
              <w:bottom w:val="single" w:sz="4" w:space="0" w:color="auto"/>
              <w:right w:val="single" w:sz="4" w:space="0" w:color="auto"/>
            </w:tcBorders>
            <w:shd w:val="clear" w:color="auto" w:fill="0093D5" w:themeFill="accent2"/>
            <w:hideMark/>
          </w:tcPr>
          <w:p w:rsidR="00F932F8" w:rsidRPr="00CA47B9" w:rsidRDefault="00F932F8" w:rsidP="002C72FE">
            <w:pPr>
              <w:keepNext/>
              <w:spacing w:line="300" w:lineRule="auto"/>
              <w:jc w:val="center"/>
              <w:rPr>
                <w:rFonts w:ascii="Arial" w:hAnsi="Arial" w:cs="Arial"/>
                <w:bCs/>
                <w:color w:val="FFFFFF" w:themeColor="background1"/>
              </w:rPr>
            </w:pPr>
            <w:r w:rsidRPr="00CA47B9">
              <w:rPr>
                <w:rFonts w:ascii="Arial" w:hAnsi="Arial" w:cs="Arial"/>
                <w:bCs/>
                <w:color w:val="FFFFFF" w:themeColor="background1"/>
              </w:rPr>
              <w:t>District-wide</w:t>
            </w:r>
          </w:p>
        </w:tc>
      </w:tr>
      <w:tr w:rsidR="00F932F8" w:rsidRPr="00CA47B9" w:rsidTr="0009738C">
        <w:trPr>
          <w:trHeight w:val="276"/>
        </w:trPr>
        <w:tc>
          <w:tcPr>
            <w:tcW w:w="837" w:type="pct"/>
            <w:tcBorders>
              <w:top w:val="single" w:sz="4" w:space="0" w:color="auto"/>
              <w:left w:val="single" w:sz="4" w:space="0" w:color="auto"/>
              <w:bottom w:val="single" w:sz="4" w:space="0" w:color="auto"/>
              <w:right w:val="single" w:sz="4" w:space="0" w:color="auto"/>
            </w:tcBorders>
            <w:hideMark/>
          </w:tcPr>
          <w:p w:rsidR="00F932F8" w:rsidRPr="00CA47B9" w:rsidRDefault="00F932F8" w:rsidP="002C72FE">
            <w:pPr>
              <w:keepNext/>
              <w:spacing w:line="300" w:lineRule="auto"/>
              <w:rPr>
                <w:rFonts w:ascii="Arial" w:hAnsi="Arial" w:cs="Arial"/>
              </w:rPr>
            </w:pPr>
            <w:r w:rsidRPr="00CA47B9">
              <w:rPr>
                <w:rFonts w:ascii="Arial" w:hAnsi="Arial" w:cs="Arial"/>
              </w:rPr>
              <w:t>Room only</w:t>
            </w:r>
          </w:p>
        </w:tc>
        <w:tc>
          <w:tcPr>
            <w:tcW w:w="738" w:type="pct"/>
            <w:tcBorders>
              <w:top w:val="single" w:sz="4" w:space="0" w:color="auto"/>
              <w:left w:val="single" w:sz="4" w:space="0" w:color="auto"/>
              <w:bottom w:val="single" w:sz="4" w:space="0" w:color="auto"/>
              <w:right w:val="single" w:sz="4" w:space="0" w:color="auto"/>
            </w:tcBorders>
            <w:vAlign w:val="bottom"/>
            <w:hideMark/>
          </w:tcPr>
          <w:p w:rsidR="00F932F8" w:rsidRPr="00CA47B9" w:rsidRDefault="00F932F8" w:rsidP="002C72FE">
            <w:pPr>
              <w:keepNext/>
              <w:spacing w:line="300" w:lineRule="auto"/>
              <w:jc w:val="center"/>
              <w:outlineLvl w:val="2"/>
              <w:rPr>
                <w:rFonts w:ascii="Arial" w:hAnsi="Arial" w:cs="Arial"/>
              </w:rPr>
            </w:pPr>
            <w:r w:rsidRPr="00CA47B9">
              <w:rPr>
                <w:rFonts w:ascii="Arial" w:hAnsi="Arial" w:cs="Arial"/>
              </w:rPr>
              <w:t>-</w:t>
            </w:r>
          </w:p>
        </w:tc>
        <w:tc>
          <w:tcPr>
            <w:tcW w:w="700" w:type="pct"/>
            <w:tcBorders>
              <w:top w:val="single" w:sz="4" w:space="0" w:color="auto"/>
              <w:left w:val="single" w:sz="4" w:space="0" w:color="auto"/>
              <w:bottom w:val="single" w:sz="4" w:space="0" w:color="auto"/>
              <w:right w:val="single" w:sz="4" w:space="0" w:color="auto"/>
            </w:tcBorders>
            <w:vAlign w:val="bottom"/>
            <w:hideMark/>
          </w:tcPr>
          <w:p w:rsidR="00F932F8" w:rsidRPr="00CA47B9" w:rsidRDefault="00F932F8" w:rsidP="002C72FE">
            <w:pPr>
              <w:keepNext/>
              <w:spacing w:line="300" w:lineRule="auto"/>
              <w:jc w:val="center"/>
              <w:outlineLvl w:val="2"/>
              <w:rPr>
                <w:rFonts w:ascii="Arial" w:hAnsi="Arial" w:cs="Arial"/>
              </w:rPr>
            </w:pPr>
            <w:r w:rsidRPr="00CA47B9">
              <w:rPr>
                <w:rFonts w:ascii="Arial" w:hAnsi="Arial" w:cs="Arial"/>
              </w:rPr>
              <w:t>-</w:t>
            </w:r>
          </w:p>
        </w:tc>
        <w:tc>
          <w:tcPr>
            <w:tcW w:w="725" w:type="pct"/>
            <w:tcBorders>
              <w:top w:val="single" w:sz="4" w:space="0" w:color="auto"/>
              <w:left w:val="single" w:sz="4" w:space="0" w:color="auto"/>
              <w:bottom w:val="single" w:sz="4" w:space="0" w:color="auto"/>
              <w:right w:val="single" w:sz="4" w:space="0" w:color="auto"/>
            </w:tcBorders>
            <w:vAlign w:val="bottom"/>
            <w:hideMark/>
          </w:tcPr>
          <w:p w:rsidR="00F932F8" w:rsidRPr="00CA47B9" w:rsidRDefault="00F932F8" w:rsidP="002C72FE">
            <w:pPr>
              <w:keepNext/>
              <w:spacing w:line="300" w:lineRule="auto"/>
              <w:jc w:val="center"/>
              <w:outlineLvl w:val="2"/>
              <w:rPr>
                <w:rFonts w:ascii="Arial" w:hAnsi="Arial" w:cs="Arial"/>
              </w:rPr>
            </w:pPr>
            <w:r w:rsidRPr="00CA47B9">
              <w:rPr>
                <w:rFonts w:ascii="Arial" w:hAnsi="Arial" w:cs="Arial"/>
              </w:rPr>
              <w:t>-</w:t>
            </w:r>
          </w:p>
        </w:tc>
        <w:tc>
          <w:tcPr>
            <w:tcW w:w="681" w:type="pct"/>
            <w:tcBorders>
              <w:top w:val="single" w:sz="4" w:space="0" w:color="auto"/>
              <w:left w:val="single" w:sz="4" w:space="0" w:color="auto"/>
              <w:bottom w:val="single" w:sz="4" w:space="0" w:color="auto"/>
              <w:right w:val="single" w:sz="4" w:space="0" w:color="auto"/>
            </w:tcBorders>
            <w:vAlign w:val="bottom"/>
            <w:hideMark/>
          </w:tcPr>
          <w:p w:rsidR="00F932F8" w:rsidRPr="00CA47B9" w:rsidRDefault="00F932F8" w:rsidP="002C72FE">
            <w:pPr>
              <w:keepNext/>
              <w:spacing w:line="300" w:lineRule="auto"/>
              <w:jc w:val="center"/>
              <w:outlineLvl w:val="2"/>
              <w:rPr>
                <w:rFonts w:ascii="Arial" w:hAnsi="Arial" w:cs="Arial"/>
              </w:rPr>
            </w:pPr>
            <w:r w:rsidRPr="00CA47B9">
              <w:rPr>
                <w:rFonts w:ascii="Arial" w:hAnsi="Arial" w:cs="Arial"/>
              </w:rPr>
              <w:t>-</w:t>
            </w:r>
          </w:p>
        </w:tc>
        <w:tc>
          <w:tcPr>
            <w:tcW w:w="584" w:type="pct"/>
            <w:tcBorders>
              <w:top w:val="single" w:sz="4" w:space="0" w:color="auto"/>
              <w:left w:val="single" w:sz="4" w:space="0" w:color="auto"/>
              <w:bottom w:val="single" w:sz="4" w:space="0" w:color="auto"/>
              <w:right w:val="single" w:sz="4" w:space="0" w:color="auto"/>
            </w:tcBorders>
            <w:vAlign w:val="bottom"/>
            <w:hideMark/>
          </w:tcPr>
          <w:p w:rsidR="00F932F8" w:rsidRPr="00CA47B9" w:rsidRDefault="00F932F8" w:rsidP="002C72FE">
            <w:pPr>
              <w:keepNext/>
              <w:spacing w:line="300" w:lineRule="auto"/>
              <w:jc w:val="center"/>
              <w:outlineLvl w:val="2"/>
              <w:rPr>
                <w:rFonts w:ascii="Arial" w:hAnsi="Arial" w:cs="Arial"/>
              </w:rPr>
            </w:pPr>
            <w:r w:rsidRPr="00CA47B9">
              <w:rPr>
                <w:rFonts w:ascii="Arial" w:hAnsi="Arial" w:cs="Arial"/>
              </w:rPr>
              <w:t>-</w:t>
            </w:r>
          </w:p>
        </w:tc>
        <w:tc>
          <w:tcPr>
            <w:tcW w:w="735" w:type="pct"/>
            <w:tcBorders>
              <w:top w:val="single" w:sz="4" w:space="0" w:color="auto"/>
              <w:left w:val="single" w:sz="4" w:space="0" w:color="auto"/>
              <w:bottom w:val="single" w:sz="4" w:space="0" w:color="auto"/>
              <w:right w:val="single" w:sz="4" w:space="0" w:color="auto"/>
            </w:tcBorders>
            <w:vAlign w:val="bottom"/>
            <w:hideMark/>
          </w:tcPr>
          <w:p w:rsidR="00F932F8" w:rsidRPr="00CA47B9" w:rsidRDefault="00F932F8" w:rsidP="002C72FE">
            <w:pPr>
              <w:keepNext/>
              <w:spacing w:line="300" w:lineRule="auto"/>
              <w:jc w:val="center"/>
              <w:outlineLvl w:val="2"/>
              <w:rPr>
                <w:rFonts w:ascii="Arial" w:hAnsi="Arial" w:cs="Arial"/>
              </w:rPr>
            </w:pPr>
            <w:r w:rsidRPr="00CA47B9">
              <w:rPr>
                <w:rFonts w:ascii="Arial" w:hAnsi="Arial" w:cs="Arial"/>
              </w:rPr>
              <w:t>£395</w:t>
            </w:r>
          </w:p>
        </w:tc>
      </w:tr>
      <w:tr w:rsidR="00F932F8" w:rsidRPr="00CA47B9" w:rsidTr="0009738C">
        <w:trPr>
          <w:trHeight w:val="276"/>
        </w:trPr>
        <w:tc>
          <w:tcPr>
            <w:tcW w:w="837" w:type="pct"/>
            <w:tcBorders>
              <w:top w:val="single" w:sz="4" w:space="0" w:color="auto"/>
              <w:left w:val="single" w:sz="4" w:space="0" w:color="auto"/>
              <w:bottom w:val="single" w:sz="4" w:space="0" w:color="auto"/>
              <w:right w:val="single" w:sz="4" w:space="0" w:color="auto"/>
            </w:tcBorders>
            <w:hideMark/>
          </w:tcPr>
          <w:p w:rsidR="00F932F8" w:rsidRPr="00CA47B9" w:rsidRDefault="00F932F8" w:rsidP="002C72FE">
            <w:pPr>
              <w:keepNext/>
              <w:spacing w:line="300" w:lineRule="auto"/>
              <w:rPr>
                <w:rFonts w:ascii="Arial" w:hAnsi="Arial" w:cs="Arial"/>
              </w:rPr>
            </w:pPr>
            <w:r w:rsidRPr="00CA47B9">
              <w:rPr>
                <w:rFonts w:ascii="Arial" w:hAnsi="Arial" w:cs="Arial"/>
              </w:rPr>
              <w:t>Studio</w:t>
            </w:r>
          </w:p>
        </w:tc>
        <w:tc>
          <w:tcPr>
            <w:tcW w:w="738" w:type="pct"/>
            <w:tcBorders>
              <w:top w:val="single" w:sz="4" w:space="0" w:color="auto"/>
              <w:left w:val="single" w:sz="4" w:space="0" w:color="auto"/>
              <w:bottom w:val="single" w:sz="4" w:space="0" w:color="auto"/>
              <w:right w:val="single" w:sz="4" w:space="0" w:color="auto"/>
            </w:tcBorders>
            <w:vAlign w:val="bottom"/>
            <w:hideMark/>
          </w:tcPr>
          <w:p w:rsidR="00F932F8" w:rsidRPr="00CA47B9" w:rsidRDefault="00F932F8" w:rsidP="002C72FE">
            <w:pPr>
              <w:keepNext/>
              <w:spacing w:line="300" w:lineRule="auto"/>
              <w:jc w:val="center"/>
              <w:outlineLvl w:val="2"/>
              <w:rPr>
                <w:rFonts w:ascii="Arial" w:hAnsi="Arial" w:cs="Arial"/>
              </w:rPr>
            </w:pPr>
            <w:r w:rsidRPr="00CA47B9">
              <w:rPr>
                <w:rFonts w:ascii="Arial" w:hAnsi="Arial" w:cs="Arial"/>
              </w:rPr>
              <w:t>-</w:t>
            </w:r>
          </w:p>
        </w:tc>
        <w:tc>
          <w:tcPr>
            <w:tcW w:w="700" w:type="pct"/>
            <w:tcBorders>
              <w:top w:val="single" w:sz="4" w:space="0" w:color="auto"/>
              <w:left w:val="single" w:sz="4" w:space="0" w:color="auto"/>
              <w:bottom w:val="single" w:sz="4" w:space="0" w:color="auto"/>
              <w:right w:val="single" w:sz="4" w:space="0" w:color="auto"/>
            </w:tcBorders>
            <w:vAlign w:val="bottom"/>
            <w:hideMark/>
          </w:tcPr>
          <w:p w:rsidR="00F932F8" w:rsidRPr="00CA47B9" w:rsidRDefault="00F932F8" w:rsidP="002C72FE">
            <w:pPr>
              <w:keepNext/>
              <w:spacing w:line="300" w:lineRule="auto"/>
              <w:jc w:val="center"/>
              <w:outlineLvl w:val="2"/>
              <w:rPr>
                <w:rFonts w:ascii="Arial" w:hAnsi="Arial" w:cs="Arial"/>
              </w:rPr>
            </w:pPr>
            <w:r w:rsidRPr="00CA47B9">
              <w:rPr>
                <w:rFonts w:ascii="Arial" w:hAnsi="Arial" w:cs="Arial"/>
              </w:rPr>
              <w:t>-</w:t>
            </w:r>
          </w:p>
        </w:tc>
        <w:tc>
          <w:tcPr>
            <w:tcW w:w="725" w:type="pct"/>
            <w:tcBorders>
              <w:top w:val="single" w:sz="4" w:space="0" w:color="auto"/>
              <w:left w:val="single" w:sz="4" w:space="0" w:color="auto"/>
              <w:bottom w:val="single" w:sz="4" w:space="0" w:color="auto"/>
              <w:right w:val="single" w:sz="4" w:space="0" w:color="auto"/>
            </w:tcBorders>
            <w:vAlign w:val="bottom"/>
            <w:hideMark/>
          </w:tcPr>
          <w:p w:rsidR="00F932F8" w:rsidRPr="00CA47B9" w:rsidRDefault="00F932F8" w:rsidP="002C72FE">
            <w:pPr>
              <w:keepNext/>
              <w:spacing w:line="300" w:lineRule="auto"/>
              <w:jc w:val="center"/>
              <w:outlineLvl w:val="2"/>
              <w:rPr>
                <w:rFonts w:ascii="Arial" w:hAnsi="Arial" w:cs="Arial"/>
              </w:rPr>
            </w:pPr>
            <w:r w:rsidRPr="00CA47B9">
              <w:rPr>
                <w:rFonts w:ascii="Arial" w:hAnsi="Arial" w:cs="Arial"/>
              </w:rPr>
              <w:t>-</w:t>
            </w:r>
          </w:p>
        </w:tc>
        <w:tc>
          <w:tcPr>
            <w:tcW w:w="681" w:type="pct"/>
            <w:tcBorders>
              <w:top w:val="single" w:sz="4" w:space="0" w:color="auto"/>
              <w:left w:val="single" w:sz="4" w:space="0" w:color="auto"/>
              <w:bottom w:val="single" w:sz="4" w:space="0" w:color="auto"/>
              <w:right w:val="single" w:sz="4" w:space="0" w:color="auto"/>
            </w:tcBorders>
            <w:vAlign w:val="bottom"/>
            <w:hideMark/>
          </w:tcPr>
          <w:p w:rsidR="00F932F8" w:rsidRPr="00CA47B9" w:rsidRDefault="00F932F8" w:rsidP="002C72FE">
            <w:pPr>
              <w:keepNext/>
              <w:spacing w:line="300" w:lineRule="auto"/>
              <w:jc w:val="center"/>
              <w:outlineLvl w:val="2"/>
              <w:rPr>
                <w:rFonts w:ascii="Arial" w:hAnsi="Arial" w:cs="Arial"/>
              </w:rPr>
            </w:pPr>
            <w:r w:rsidRPr="00CA47B9">
              <w:rPr>
                <w:rFonts w:ascii="Arial" w:hAnsi="Arial" w:cs="Arial"/>
              </w:rPr>
              <w:t>-</w:t>
            </w:r>
          </w:p>
        </w:tc>
        <w:tc>
          <w:tcPr>
            <w:tcW w:w="584" w:type="pct"/>
            <w:tcBorders>
              <w:top w:val="single" w:sz="4" w:space="0" w:color="auto"/>
              <w:left w:val="single" w:sz="4" w:space="0" w:color="auto"/>
              <w:bottom w:val="single" w:sz="4" w:space="0" w:color="auto"/>
              <w:right w:val="single" w:sz="4" w:space="0" w:color="auto"/>
            </w:tcBorders>
            <w:vAlign w:val="bottom"/>
            <w:hideMark/>
          </w:tcPr>
          <w:p w:rsidR="00F932F8" w:rsidRPr="00CA47B9" w:rsidRDefault="00F932F8" w:rsidP="002C72FE">
            <w:pPr>
              <w:keepNext/>
              <w:spacing w:line="300" w:lineRule="auto"/>
              <w:jc w:val="center"/>
              <w:outlineLvl w:val="2"/>
              <w:rPr>
                <w:rFonts w:ascii="Arial" w:hAnsi="Arial" w:cs="Arial"/>
              </w:rPr>
            </w:pPr>
            <w:r w:rsidRPr="00CA47B9">
              <w:rPr>
                <w:rFonts w:ascii="Arial" w:hAnsi="Arial" w:cs="Arial"/>
              </w:rPr>
              <w:t>-</w:t>
            </w:r>
          </w:p>
        </w:tc>
        <w:tc>
          <w:tcPr>
            <w:tcW w:w="735" w:type="pct"/>
            <w:tcBorders>
              <w:top w:val="single" w:sz="4" w:space="0" w:color="auto"/>
              <w:left w:val="single" w:sz="4" w:space="0" w:color="auto"/>
              <w:bottom w:val="single" w:sz="4" w:space="0" w:color="auto"/>
              <w:right w:val="single" w:sz="4" w:space="0" w:color="auto"/>
            </w:tcBorders>
            <w:vAlign w:val="bottom"/>
            <w:hideMark/>
          </w:tcPr>
          <w:p w:rsidR="00F932F8" w:rsidRPr="00CA47B9" w:rsidRDefault="00F932F8" w:rsidP="002C72FE">
            <w:pPr>
              <w:keepNext/>
              <w:spacing w:line="300" w:lineRule="auto"/>
              <w:jc w:val="center"/>
              <w:outlineLvl w:val="2"/>
              <w:rPr>
                <w:rFonts w:ascii="Arial" w:hAnsi="Arial" w:cs="Arial"/>
              </w:rPr>
            </w:pPr>
            <w:r w:rsidRPr="00CA47B9">
              <w:rPr>
                <w:rFonts w:ascii="Arial" w:hAnsi="Arial" w:cs="Arial"/>
              </w:rPr>
              <w:t>£475</w:t>
            </w:r>
          </w:p>
        </w:tc>
      </w:tr>
      <w:tr w:rsidR="00F932F8" w:rsidRPr="00CA47B9" w:rsidTr="0009738C">
        <w:trPr>
          <w:trHeight w:val="276"/>
        </w:trPr>
        <w:tc>
          <w:tcPr>
            <w:tcW w:w="837" w:type="pct"/>
            <w:tcBorders>
              <w:top w:val="single" w:sz="4" w:space="0" w:color="auto"/>
              <w:left w:val="single" w:sz="4" w:space="0" w:color="auto"/>
              <w:bottom w:val="single" w:sz="4" w:space="0" w:color="auto"/>
              <w:right w:val="single" w:sz="4" w:space="0" w:color="auto"/>
            </w:tcBorders>
            <w:hideMark/>
          </w:tcPr>
          <w:p w:rsidR="00F932F8" w:rsidRPr="00CA47B9" w:rsidRDefault="00F932F8" w:rsidP="002C72FE">
            <w:pPr>
              <w:keepNext/>
              <w:spacing w:line="300" w:lineRule="auto"/>
              <w:rPr>
                <w:rFonts w:ascii="Arial" w:hAnsi="Arial" w:cs="Arial"/>
              </w:rPr>
            </w:pPr>
            <w:r w:rsidRPr="00CA47B9">
              <w:rPr>
                <w:rFonts w:ascii="Arial" w:hAnsi="Arial" w:cs="Arial"/>
              </w:rPr>
              <w:t>1-bedroom</w:t>
            </w:r>
          </w:p>
        </w:tc>
        <w:tc>
          <w:tcPr>
            <w:tcW w:w="738" w:type="pct"/>
            <w:tcBorders>
              <w:top w:val="single" w:sz="4" w:space="0" w:color="auto"/>
              <w:left w:val="single" w:sz="4" w:space="0" w:color="auto"/>
              <w:bottom w:val="single" w:sz="4" w:space="0" w:color="auto"/>
              <w:right w:val="single" w:sz="4" w:space="0" w:color="auto"/>
            </w:tcBorders>
            <w:vAlign w:val="bottom"/>
            <w:hideMark/>
          </w:tcPr>
          <w:p w:rsidR="00F932F8" w:rsidRPr="00CA47B9" w:rsidRDefault="00F932F8" w:rsidP="002C72FE">
            <w:pPr>
              <w:keepNext/>
              <w:spacing w:line="300" w:lineRule="auto"/>
              <w:jc w:val="center"/>
              <w:outlineLvl w:val="2"/>
              <w:rPr>
                <w:rFonts w:ascii="Arial" w:hAnsi="Arial" w:cs="Arial"/>
              </w:rPr>
            </w:pPr>
            <w:r w:rsidRPr="00CA47B9">
              <w:rPr>
                <w:rFonts w:ascii="Arial" w:hAnsi="Arial" w:cs="Arial"/>
                <w:color w:val="000000"/>
              </w:rPr>
              <w:t>£600</w:t>
            </w:r>
          </w:p>
        </w:tc>
        <w:tc>
          <w:tcPr>
            <w:tcW w:w="700" w:type="pct"/>
            <w:tcBorders>
              <w:top w:val="single" w:sz="4" w:space="0" w:color="auto"/>
              <w:left w:val="single" w:sz="4" w:space="0" w:color="auto"/>
              <w:bottom w:val="single" w:sz="4" w:space="0" w:color="auto"/>
              <w:right w:val="single" w:sz="4" w:space="0" w:color="auto"/>
            </w:tcBorders>
            <w:vAlign w:val="bottom"/>
            <w:hideMark/>
          </w:tcPr>
          <w:p w:rsidR="00F932F8" w:rsidRPr="00CA47B9" w:rsidRDefault="00F932F8" w:rsidP="002C72FE">
            <w:pPr>
              <w:keepNext/>
              <w:spacing w:line="300" w:lineRule="auto"/>
              <w:jc w:val="center"/>
              <w:outlineLvl w:val="2"/>
              <w:rPr>
                <w:rFonts w:ascii="Arial" w:hAnsi="Arial" w:cs="Arial"/>
              </w:rPr>
            </w:pPr>
            <w:r w:rsidRPr="00CA47B9">
              <w:rPr>
                <w:rFonts w:ascii="Arial" w:hAnsi="Arial" w:cs="Arial"/>
                <w:color w:val="000000"/>
              </w:rPr>
              <w:t>£575</w:t>
            </w:r>
          </w:p>
        </w:tc>
        <w:tc>
          <w:tcPr>
            <w:tcW w:w="725" w:type="pct"/>
            <w:tcBorders>
              <w:top w:val="single" w:sz="4" w:space="0" w:color="auto"/>
              <w:left w:val="single" w:sz="4" w:space="0" w:color="auto"/>
              <w:bottom w:val="single" w:sz="4" w:space="0" w:color="auto"/>
              <w:right w:val="single" w:sz="4" w:space="0" w:color="auto"/>
            </w:tcBorders>
            <w:vAlign w:val="bottom"/>
            <w:hideMark/>
          </w:tcPr>
          <w:p w:rsidR="00F932F8" w:rsidRPr="00CA47B9" w:rsidRDefault="00F932F8" w:rsidP="002C72FE">
            <w:pPr>
              <w:keepNext/>
              <w:spacing w:line="300" w:lineRule="auto"/>
              <w:jc w:val="center"/>
              <w:outlineLvl w:val="2"/>
              <w:rPr>
                <w:rFonts w:ascii="Arial" w:hAnsi="Arial" w:cs="Arial"/>
              </w:rPr>
            </w:pPr>
            <w:r w:rsidRPr="00CA47B9">
              <w:rPr>
                <w:rFonts w:ascii="Arial" w:hAnsi="Arial" w:cs="Arial"/>
                <w:color w:val="000000"/>
              </w:rPr>
              <w:t>£550</w:t>
            </w:r>
          </w:p>
        </w:tc>
        <w:tc>
          <w:tcPr>
            <w:tcW w:w="681" w:type="pct"/>
            <w:tcBorders>
              <w:top w:val="single" w:sz="4" w:space="0" w:color="auto"/>
              <w:left w:val="single" w:sz="4" w:space="0" w:color="auto"/>
              <w:bottom w:val="single" w:sz="4" w:space="0" w:color="auto"/>
              <w:right w:val="single" w:sz="4" w:space="0" w:color="auto"/>
            </w:tcBorders>
            <w:vAlign w:val="bottom"/>
            <w:hideMark/>
          </w:tcPr>
          <w:p w:rsidR="00F932F8" w:rsidRPr="00CA47B9" w:rsidRDefault="00F932F8" w:rsidP="002C72FE">
            <w:pPr>
              <w:keepNext/>
              <w:spacing w:line="300" w:lineRule="auto"/>
              <w:jc w:val="center"/>
              <w:outlineLvl w:val="2"/>
              <w:rPr>
                <w:rFonts w:ascii="Arial" w:hAnsi="Arial" w:cs="Arial"/>
              </w:rPr>
            </w:pPr>
            <w:r w:rsidRPr="00CA47B9">
              <w:rPr>
                <w:rFonts w:ascii="Arial" w:hAnsi="Arial" w:cs="Arial"/>
                <w:color w:val="000000"/>
              </w:rPr>
              <w:t>£665</w:t>
            </w:r>
          </w:p>
        </w:tc>
        <w:tc>
          <w:tcPr>
            <w:tcW w:w="584" w:type="pct"/>
            <w:tcBorders>
              <w:top w:val="single" w:sz="4" w:space="0" w:color="auto"/>
              <w:left w:val="single" w:sz="4" w:space="0" w:color="auto"/>
              <w:bottom w:val="single" w:sz="4" w:space="0" w:color="auto"/>
              <w:right w:val="single" w:sz="4" w:space="0" w:color="auto"/>
            </w:tcBorders>
            <w:vAlign w:val="bottom"/>
            <w:hideMark/>
          </w:tcPr>
          <w:p w:rsidR="00F932F8" w:rsidRPr="00CA47B9" w:rsidRDefault="00F932F8" w:rsidP="002C72FE">
            <w:pPr>
              <w:keepNext/>
              <w:spacing w:line="300" w:lineRule="auto"/>
              <w:jc w:val="center"/>
              <w:outlineLvl w:val="2"/>
              <w:rPr>
                <w:rFonts w:ascii="Arial" w:hAnsi="Arial" w:cs="Arial"/>
              </w:rPr>
            </w:pPr>
            <w:r w:rsidRPr="00CA47B9">
              <w:rPr>
                <w:rFonts w:ascii="Arial" w:hAnsi="Arial" w:cs="Arial"/>
                <w:color w:val="000000"/>
              </w:rPr>
              <w:t>£615</w:t>
            </w:r>
          </w:p>
        </w:tc>
        <w:tc>
          <w:tcPr>
            <w:tcW w:w="735" w:type="pct"/>
            <w:tcBorders>
              <w:top w:val="single" w:sz="4" w:space="0" w:color="auto"/>
              <w:left w:val="single" w:sz="4" w:space="0" w:color="auto"/>
              <w:bottom w:val="single" w:sz="4" w:space="0" w:color="auto"/>
              <w:right w:val="single" w:sz="4" w:space="0" w:color="auto"/>
            </w:tcBorders>
            <w:vAlign w:val="bottom"/>
            <w:hideMark/>
          </w:tcPr>
          <w:p w:rsidR="00F932F8" w:rsidRPr="00CA47B9" w:rsidRDefault="00F932F8" w:rsidP="002C72FE">
            <w:pPr>
              <w:keepNext/>
              <w:spacing w:line="300" w:lineRule="auto"/>
              <w:jc w:val="center"/>
              <w:outlineLvl w:val="2"/>
              <w:rPr>
                <w:rFonts w:ascii="Arial" w:hAnsi="Arial" w:cs="Arial"/>
              </w:rPr>
            </w:pPr>
            <w:r w:rsidRPr="00CA47B9">
              <w:rPr>
                <w:rFonts w:ascii="Arial" w:hAnsi="Arial" w:cs="Arial"/>
                <w:color w:val="000000"/>
              </w:rPr>
              <w:t>£610</w:t>
            </w:r>
          </w:p>
        </w:tc>
      </w:tr>
      <w:tr w:rsidR="00F932F8" w:rsidRPr="00CA47B9" w:rsidTr="0009738C">
        <w:trPr>
          <w:trHeight w:val="288"/>
        </w:trPr>
        <w:tc>
          <w:tcPr>
            <w:tcW w:w="837" w:type="pct"/>
            <w:tcBorders>
              <w:top w:val="single" w:sz="4" w:space="0" w:color="auto"/>
              <w:left w:val="single" w:sz="4" w:space="0" w:color="auto"/>
              <w:bottom w:val="single" w:sz="4" w:space="0" w:color="auto"/>
              <w:right w:val="single" w:sz="4" w:space="0" w:color="auto"/>
            </w:tcBorders>
            <w:hideMark/>
          </w:tcPr>
          <w:p w:rsidR="00F932F8" w:rsidRPr="00CA47B9" w:rsidRDefault="00F932F8" w:rsidP="002C72FE">
            <w:pPr>
              <w:keepNext/>
              <w:spacing w:line="300" w:lineRule="auto"/>
              <w:rPr>
                <w:rFonts w:ascii="Arial" w:hAnsi="Arial" w:cs="Arial"/>
              </w:rPr>
            </w:pPr>
            <w:r w:rsidRPr="00CA47B9">
              <w:rPr>
                <w:rFonts w:ascii="Arial" w:hAnsi="Arial" w:cs="Arial"/>
              </w:rPr>
              <w:t>2-bedrooms</w:t>
            </w:r>
          </w:p>
        </w:tc>
        <w:tc>
          <w:tcPr>
            <w:tcW w:w="738" w:type="pct"/>
            <w:tcBorders>
              <w:top w:val="single" w:sz="4" w:space="0" w:color="auto"/>
              <w:left w:val="single" w:sz="4" w:space="0" w:color="auto"/>
              <w:bottom w:val="single" w:sz="4" w:space="0" w:color="auto"/>
              <w:right w:val="single" w:sz="4" w:space="0" w:color="auto"/>
            </w:tcBorders>
            <w:vAlign w:val="bottom"/>
            <w:hideMark/>
          </w:tcPr>
          <w:p w:rsidR="00F932F8" w:rsidRPr="00CA47B9" w:rsidRDefault="00F932F8" w:rsidP="002C72FE">
            <w:pPr>
              <w:keepNext/>
              <w:spacing w:line="300" w:lineRule="auto"/>
              <w:jc w:val="center"/>
              <w:outlineLvl w:val="2"/>
              <w:rPr>
                <w:rFonts w:ascii="Arial" w:hAnsi="Arial" w:cs="Arial"/>
              </w:rPr>
            </w:pPr>
            <w:r w:rsidRPr="00CA47B9">
              <w:rPr>
                <w:rFonts w:ascii="Arial" w:hAnsi="Arial" w:cs="Arial"/>
                <w:color w:val="000000"/>
              </w:rPr>
              <w:t>£780</w:t>
            </w:r>
          </w:p>
        </w:tc>
        <w:tc>
          <w:tcPr>
            <w:tcW w:w="700" w:type="pct"/>
            <w:tcBorders>
              <w:top w:val="single" w:sz="4" w:space="0" w:color="auto"/>
              <w:left w:val="single" w:sz="4" w:space="0" w:color="auto"/>
              <w:bottom w:val="single" w:sz="4" w:space="0" w:color="auto"/>
              <w:right w:val="single" w:sz="4" w:space="0" w:color="auto"/>
            </w:tcBorders>
            <w:vAlign w:val="bottom"/>
            <w:hideMark/>
          </w:tcPr>
          <w:p w:rsidR="00F932F8" w:rsidRPr="00CA47B9" w:rsidRDefault="00F932F8" w:rsidP="002C72FE">
            <w:pPr>
              <w:keepNext/>
              <w:spacing w:line="300" w:lineRule="auto"/>
              <w:jc w:val="center"/>
              <w:outlineLvl w:val="2"/>
              <w:rPr>
                <w:rFonts w:ascii="Arial" w:hAnsi="Arial" w:cs="Arial"/>
              </w:rPr>
            </w:pPr>
            <w:r w:rsidRPr="00CA47B9">
              <w:rPr>
                <w:rFonts w:ascii="Arial" w:hAnsi="Arial" w:cs="Arial"/>
                <w:color w:val="000000"/>
              </w:rPr>
              <w:t>£735</w:t>
            </w:r>
          </w:p>
        </w:tc>
        <w:tc>
          <w:tcPr>
            <w:tcW w:w="725" w:type="pct"/>
            <w:tcBorders>
              <w:top w:val="single" w:sz="4" w:space="0" w:color="auto"/>
              <w:left w:val="single" w:sz="4" w:space="0" w:color="auto"/>
              <w:bottom w:val="single" w:sz="4" w:space="0" w:color="auto"/>
              <w:right w:val="single" w:sz="4" w:space="0" w:color="auto"/>
            </w:tcBorders>
            <w:vAlign w:val="bottom"/>
            <w:hideMark/>
          </w:tcPr>
          <w:p w:rsidR="00F932F8" w:rsidRPr="00CA47B9" w:rsidRDefault="00F932F8" w:rsidP="002C72FE">
            <w:pPr>
              <w:keepNext/>
              <w:spacing w:line="300" w:lineRule="auto"/>
              <w:jc w:val="center"/>
              <w:outlineLvl w:val="2"/>
              <w:rPr>
                <w:rFonts w:ascii="Arial" w:hAnsi="Arial" w:cs="Arial"/>
              </w:rPr>
            </w:pPr>
            <w:r w:rsidRPr="00CA47B9">
              <w:rPr>
                <w:rFonts w:ascii="Arial" w:hAnsi="Arial" w:cs="Arial"/>
                <w:color w:val="000000"/>
              </w:rPr>
              <w:t>£695</w:t>
            </w:r>
          </w:p>
        </w:tc>
        <w:tc>
          <w:tcPr>
            <w:tcW w:w="681" w:type="pct"/>
            <w:tcBorders>
              <w:top w:val="single" w:sz="4" w:space="0" w:color="auto"/>
              <w:left w:val="single" w:sz="4" w:space="0" w:color="auto"/>
              <w:bottom w:val="single" w:sz="4" w:space="0" w:color="auto"/>
              <w:right w:val="single" w:sz="4" w:space="0" w:color="auto"/>
            </w:tcBorders>
            <w:vAlign w:val="bottom"/>
            <w:hideMark/>
          </w:tcPr>
          <w:p w:rsidR="00F932F8" w:rsidRPr="00CA47B9" w:rsidRDefault="00F932F8" w:rsidP="002C72FE">
            <w:pPr>
              <w:keepNext/>
              <w:spacing w:line="300" w:lineRule="auto"/>
              <w:jc w:val="center"/>
              <w:outlineLvl w:val="2"/>
              <w:rPr>
                <w:rFonts w:ascii="Arial" w:hAnsi="Arial" w:cs="Arial"/>
              </w:rPr>
            </w:pPr>
            <w:r w:rsidRPr="00CA47B9">
              <w:rPr>
                <w:rFonts w:ascii="Arial" w:hAnsi="Arial" w:cs="Arial"/>
                <w:color w:val="000000"/>
              </w:rPr>
              <w:t>£880</w:t>
            </w:r>
          </w:p>
        </w:tc>
        <w:tc>
          <w:tcPr>
            <w:tcW w:w="584" w:type="pct"/>
            <w:tcBorders>
              <w:top w:val="single" w:sz="4" w:space="0" w:color="auto"/>
              <w:left w:val="single" w:sz="4" w:space="0" w:color="auto"/>
              <w:bottom w:val="single" w:sz="4" w:space="0" w:color="auto"/>
              <w:right w:val="single" w:sz="4" w:space="0" w:color="auto"/>
            </w:tcBorders>
            <w:vAlign w:val="bottom"/>
            <w:hideMark/>
          </w:tcPr>
          <w:p w:rsidR="00F932F8" w:rsidRPr="00CA47B9" w:rsidRDefault="00F932F8" w:rsidP="002C72FE">
            <w:pPr>
              <w:keepNext/>
              <w:spacing w:line="300" w:lineRule="auto"/>
              <w:jc w:val="center"/>
              <w:outlineLvl w:val="2"/>
              <w:rPr>
                <w:rFonts w:ascii="Arial" w:hAnsi="Arial" w:cs="Arial"/>
              </w:rPr>
            </w:pPr>
            <w:r w:rsidRPr="00CA47B9">
              <w:rPr>
                <w:rFonts w:ascii="Arial" w:hAnsi="Arial" w:cs="Arial"/>
                <w:color w:val="000000"/>
              </w:rPr>
              <w:t>£805</w:t>
            </w:r>
          </w:p>
        </w:tc>
        <w:tc>
          <w:tcPr>
            <w:tcW w:w="735" w:type="pct"/>
            <w:tcBorders>
              <w:top w:val="single" w:sz="4" w:space="0" w:color="auto"/>
              <w:left w:val="single" w:sz="4" w:space="0" w:color="auto"/>
              <w:bottom w:val="single" w:sz="4" w:space="0" w:color="auto"/>
              <w:right w:val="single" w:sz="4" w:space="0" w:color="auto"/>
            </w:tcBorders>
            <w:vAlign w:val="bottom"/>
            <w:hideMark/>
          </w:tcPr>
          <w:p w:rsidR="00F932F8" w:rsidRPr="00CA47B9" w:rsidRDefault="00F932F8" w:rsidP="002C72FE">
            <w:pPr>
              <w:keepNext/>
              <w:spacing w:line="300" w:lineRule="auto"/>
              <w:jc w:val="center"/>
              <w:outlineLvl w:val="2"/>
              <w:rPr>
                <w:rFonts w:ascii="Arial" w:hAnsi="Arial" w:cs="Arial"/>
              </w:rPr>
            </w:pPr>
            <w:r w:rsidRPr="00CA47B9">
              <w:rPr>
                <w:rFonts w:ascii="Arial" w:hAnsi="Arial" w:cs="Arial"/>
                <w:color w:val="000000"/>
              </w:rPr>
              <w:t>£795</w:t>
            </w:r>
          </w:p>
        </w:tc>
      </w:tr>
      <w:tr w:rsidR="00F932F8" w:rsidRPr="00CA47B9" w:rsidTr="0009738C">
        <w:trPr>
          <w:trHeight w:val="276"/>
        </w:trPr>
        <w:tc>
          <w:tcPr>
            <w:tcW w:w="837" w:type="pct"/>
            <w:tcBorders>
              <w:top w:val="single" w:sz="4" w:space="0" w:color="auto"/>
              <w:left w:val="single" w:sz="4" w:space="0" w:color="auto"/>
              <w:bottom w:val="single" w:sz="4" w:space="0" w:color="auto"/>
              <w:right w:val="single" w:sz="4" w:space="0" w:color="auto"/>
            </w:tcBorders>
            <w:hideMark/>
          </w:tcPr>
          <w:p w:rsidR="00F932F8" w:rsidRPr="00CA47B9" w:rsidRDefault="00F932F8" w:rsidP="002C72FE">
            <w:pPr>
              <w:keepNext/>
              <w:spacing w:line="300" w:lineRule="auto"/>
              <w:rPr>
                <w:rFonts w:ascii="Arial" w:hAnsi="Arial" w:cs="Arial"/>
              </w:rPr>
            </w:pPr>
            <w:r w:rsidRPr="00CA47B9">
              <w:rPr>
                <w:rFonts w:ascii="Arial" w:hAnsi="Arial" w:cs="Arial"/>
              </w:rPr>
              <w:t>3-bedrooms</w:t>
            </w:r>
          </w:p>
        </w:tc>
        <w:tc>
          <w:tcPr>
            <w:tcW w:w="738" w:type="pct"/>
            <w:tcBorders>
              <w:top w:val="single" w:sz="4" w:space="0" w:color="auto"/>
              <w:left w:val="single" w:sz="4" w:space="0" w:color="auto"/>
              <w:bottom w:val="single" w:sz="4" w:space="0" w:color="auto"/>
              <w:right w:val="single" w:sz="4" w:space="0" w:color="auto"/>
            </w:tcBorders>
            <w:vAlign w:val="bottom"/>
            <w:hideMark/>
          </w:tcPr>
          <w:p w:rsidR="00F932F8" w:rsidRPr="00CA47B9" w:rsidRDefault="00F932F8" w:rsidP="002C72FE">
            <w:pPr>
              <w:keepNext/>
              <w:spacing w:line="300" w:lineRule="auto"/>
              <w:jc w:val="center"/>
              <w:outlineLvl w:val="2"/>
              <w:rPr>
                <w:rFonts w:ascii="Arial" w:hAnsi="Arial" w:cs="Arial"/>
              </w:rPr>
            </w:pPr>
            <w:r w:rsidRPr="00CA47B9">
              <w:rPr>
                <w:rFonts w:ascii="Arial" w:hAnsi="Arial" w:cs="Arial"/>
                <w:color w:val="000000"/>
              </w:rPr>
              <w:t>£950</w:t>
            </w:r>
          </w:p>
        </w:tc>
        <w:tc>
          <w:tcPr>
            <w:tcW w:w="700" w:type="pct"/>
            <w:tcBorders>
              <w:top w:val="single" w:sz="4" w:space="0" w:color="auto"/>
              <w:left w:val="single" w:sz="4" w:space="0" w:color="auto"/>
              <w:bottom w:val="single" w:sz="4" w:space="0" w:color="auto"/>
              <w:right w:val="single" w:sz="4" w:space="0" w:color="auto"/>
            </w:tcBorders>
            <w:vAlign w:val="bottom"/>
            <w:hideMark/>
          </w:tcPr>
          <w:p w:rsidR="00F932F8" w:rsidRPr="00CA47B9" w:rsidRDefault="00F932F8" w:rsidP="002C72FE">
            <w:pPr>
              <w:keepNext/>
              <w:spacing w:line="300" w:lineRule="auto"/>
              <w:jc w:val="center"/>
              <w:outlineLvl w:val="2"/>
              <w:rPr>
                <w:rFonts w:ascii="Arial" w:hAnsi="Arial" w:cs="Arial"/>
              </w:rPr>
            </w:pPr>
            <w:r w:rsidRPr="00CA47B9">
              <w:rPr>
                <w:rFonts w:ascii="Arial" w:hAnsi="Arial" w:cs="Arial"/>
                <w:color w:val="000000"/>
              </w:rPr>
              <w:t>£890</w:t>
            </w:r>
          </w:p>
        </w:tc>
        <w:tc>
          <w:tcPr>
            <w:tcW w:w="725" w:type="pct"/>
            <w:tcBorders>
              <w:top w:val="single" w:sz="4" w:space="0" w:color="auto"/>
              <w:left w:val="single" w:sz="4" w:space="0" w:color="auto"/>
              <w:bottom w:val="single" w:sz="4" w:space="0" w:color="auto"/>
              <w:right w:val="single" w:sz="4" w:space="0" w:color="auto"/>
            </w:tcBorders>
            <w:vAlign w:val="bottom"/>
            <w:hideMark/>
          </w:tcPr>
          <w:p w:rsidR="00F932F8" w:rsidRPr="00CA47B9" w:rsidRDefault="00F932F8" w:rsidP="002C72FE">
            <w:pPr>
              <w:keepNext/>
              <w:spacing w:line="300" w:lineRule="auto"/>
              <w:jc w:val="center"/>
              <w:outlineLvl w:val="2"/>
              <w:rPr>
                <w:rFonts w:ascii="Arial" w:hAnsi="Arial" w:cs="Arial"/>
              </w:rPr>
            </w:pPr>
            <w:r w:rsidRPr="00CA47B9">
              <w:rPr>
                <w:rFonts w:ascii="Arial" w:hAnsi="Arial" w:cs="Arial"/>
                <w:color w:val="000000"/>
              </w:rPr>
              <w:t>£835</w:t>
            </w:r>
          </w:p>
        </w:tc>
        <w:tc>
          <w:tcPr>
            <w:tcW w:w="681" w:type="pct"/>
            <w:tcBorders>
              <w:top w:val="single" w:sz="4" w:space="0" w:color="auto"/>
              <w:left w:val="single" w:sz="4" w:space="0" w:color="auto"/>
              <w:bottom w:val="single" w:sz="4" w:space="0" w:color="auto"/>
              <w:right w:val="single" w:sz="4" w:space="0" w:color="auto"/>
            </w:tcBorders>
            <w:vAlign w:val="bottom"/>
            <w:hideMark/>
          </w:tcPr>
          <w:p w:rsidR="00F932F8" w:rsidRPr="00CA47B9" w:rsidRDefault="00F932F8" w:rsidP="002C72FE">
            <w:pPr>
              <w:keepNext/>
              <w:spacing w:line="300" w:lineRule="auto"/>
              <w:jc w:val="center"/>
              <w:outlineLvl w:val="2"/>
              <w:rPr>
                <w:rFonts w:ascii="Arial" w:hAnsi="Arial" w:cs="Arial"/>
              </w:rPr>
            </w:pPr>
            <w:r w:rsidRPr="00CA47B9">
              <w:rPr>
                <w:rFonts w:ascii="Arial" w:hAnsi="Arial" w:cs="Arial"/>
                <w:color w:val="000000"/>
              </w:rPr>
              <w:t>£1,095</w:t>
            </w:r>
          </w:p>
        </w:tc>
        <w:tc>
          <w:tcPr>
            <w:tcW w:w="584" w:type="pct"/>
            <w:tcBorders>
              <w:top w:val="single" w:sz="4" w:space="0" w:color="auto"/>
              <w:left w:val="single" w:sz="4" w:space="0" w:color="auto"/>
              <w:bottom w:val="single" w:sz="4" w:space="0" w:color="auto"/>
              <w:right w:val="single" w:sz="4" w:space="0" w:color="auto"/>
            </w:tcBorders>
            <w:vAlign w:val="bottom"/>
            <w:hideMark/>
          </w:tcPr>
          <w:p w:rsidR="00F932F8" w:rsidRPr="00CA47B9" w:rsidRDefault="00F932F8" w:rsidP="002C72FE">
            <w:pPr>
              <w:keepNext/>
              <w:spacing w:line="300" w:lineRule="auto"/>
              <w:jc w:val="center"/>
              <w:outlineLvl w:val="2"/>
              <w:rPr>
                <w:rFonts w:ascii="Arial" w:hAnsi="Arial" w:cs="Arial"/>
              </w:rPr>
            </w:pPr>
            <w:r w:rsidRPr="00CA47B9">
              <w:rPr>
                <w:rFonts w:ascii="Arial" w:hAnsi="Arial" w:cs="Arial"/>
                <w:color w:val="000000"/>
              </w:rPr>
              <w:t>£990</w:t>
            </w:r>
          </w:p>
        </w:tc>
        <w:tc>
          <w:tcPr>
            <w:tcW w:w="735" w:type="pct"/>
            <w:tcBorders>
              <w:top w:val="single" w:sz="4" w:space="0" w:color="auto"/>
              <w:left w:val="single" w:sz="4" w:space="0" w:color="auto"/>
              <w:bottom w:val="single" w:sz="4" w:space="0" w:color="auto"/>
              <w:right w:val="single" w:sz="4" w:space="0" w:color="auto"/>
            </w:tcBorders>
            <w:vAlign w:val="bottom"/>
            <w:hideMark/>
          </w:tcPr>
          <w:p w:rsidR="00F932F8" w:rsidRPr="00CA47B9" w:rsidRDefault="00F932F8" w:rsidP="002C72FE">
            <w:pPr>
              <w:keepNext/>
              <w:spacing w:line="300" w:lineRule="auto"/>
              <w:jc w:val="center"/>
              <w:outlineLvl w:val="2"/>
              <w:rPr>
                <w:rFonts w:ascii="Arial" w:hAnsi="Arial" w:cs="Arial"/>
              </w:rPr>
            </w:pPr>
            <w:r w:rsidRPr="00CA47B9">
              <w:rPr>
                <w:rFonts w:ascii="Arial" w:hAnsi="Arial" w:cs="Arial"/>
                <w:color w:val="000000"/>
              </w:rPr>
              <w:t>£975</w:t>
            </w:r>
          </w:p>
        </w:tc>
      </w:tr>
      <w:tr w:rsidR="00F932F8" w:rsidRPr="00CA47B9" w:rsidTr="0009738C">
        <w:trPr>
          <w:trHeight w:val="276"/>
        </w:trPr>
        <w:tc>
          <w:tcPr>
            <w:tcW w:w="837" w:type="pct"/>
            <w:tcBorders>
              <w:top w:val="single" w:sz="4" w:space="0" w:color="auto"/>
              <w:left w:val="single" w:sz="4" w:space="0" w:color="auto"/>
              <w:bottom w:val="single" w:sz="4" w:space="0" w:color="auto"/>
              <w:right w:val="single" w:sz="4" w:space="0" w:color="auto"/>
            </w:tcBorders>
            <w:hideMark/>
          </w:tcPr>
          <w:p w:rsidR="00F932F8" w:rsidRPr="00CA47B9" w:rsidRDefault="00F932F8" w:rsidP="002C72FE">
            <w:pPr>
              <w:keepNext/>
              <w:spacing w:line="300" w:lineRule="auto"/>
              <w:rPr>
                <w:rFonts w:ascii="Arial" w:hAnsi="Arial" w:cs="Arial"/>
              </w:rPr>
            </w:pPr>
            <w:r w:rsidRPr="00CA47B9">
              <w:rPr>
                <w:rFonts w:ascii="Arial" w:hAnsi="Arial" w:cs="Arial"/>
              </w:rPr>
              <w:t>4-bedrooms</w:t>
            </w:r>
          </w:p>
        </w:tc>
        <w:tc>
          <w:tcPr>
            <w:tcW w:w="738" w:type="pct"/>
            <w:tcBorders>
              <w:top w:val="single" w:sz="4" w:space="0" w:color="auto"/>
              <w:left w:val="single" w:sz="4" w:space="0" w:color="auto"/>
              <w:bottom w:val="single" w:sz="4" w:space="0" w:color="auto"/>
              <w:right w:val="single" w:sz="4" w:space="0" w:color="auto"/>
            </w:tcBorders>
            <w:vAlign w:val="bottom"/>
            <w:hideMark/>
          </w:tcPr>
          <w:p w:rsidR="00F932F8" w:rsidRPr="00CA47B9" w:rsidRDefault="00F932F8" w:rsidP="002C72FE">
            <w:pPr>
              <w:keepNext/>
              <w:spacing w:line="300" w:lineRule="auto"/>
              <w:jc w:val="center"/>
              <w:outlineLvl w:val="2"/>
              <w:rPr>
                <w:rFonts w:ascii="Arial" w:hAnsi="Arial" w:cs="Arial"/>
              </w:rPr>
            </w:pPr>
            <w:r w:rsidRPr="00CA47B9">
              <w:rPr>
                <w:rFonts w:ascii="Arial" w:hAnsi="Arial" w:cs="Arial"/>
                <w:color w:val="000000"/>
              </w:rPr>
              <w:t>£1,365</w:t>
            </w:r>
          </w:p>
        </w:tc>
        <w:tc>
          <w:tcPr>
            <w:tcW w:w="700" w:type="pct"/>
            <w:tcBorders>
              <w:top w:val="single" w:sz="4" w:space="0" w:color="auto"/>
              <w:left w:val="single" w:sz="4" w:space="0" w:color="auto"/>
              <w:bottom w:val="single" w:sz="4" w:space="0" w:color="auto"/>
              <w:right w:val="single" w:sz="4" w:space="0" w:color="auto"/>
            </w:tcBorders>
            <w:vAlign w:val="bottom"/>
            <w:hideMark/>
          </w:tcPr>
          <w:p w:rsidR="00F932F8" w:rsidRPr="00CA47B9" w:rsidRDefault="00F932F8" w:rsidP="002C72FE">
            <w:pPr>
              <w:keepNext/>
              <w:spacing w:line="300" w:lineRule="auto"/>
              <w:jc w:val="center"/>
              <w:outlineLvl w:val="2"/>
              <w:rPr>
                <w:rFonts w:ascii="Arial" w:hAnsi="Arial" w:cs="Arial"/>
              </w:rPr>
            </w:pPr>
            <w:r w:rsidRPr="00CA47B9">
              <w:rPr>
                <w:rFonts w:ascii="Arial" w:hAnsi="Arial" w:cs="Arial"/>
                <w:color w:val="000000"/>
              </w:rPr>
              <w:t>£1,275</w:t>
            </w:r>
          </w:p>
        </w:tc>
        <w:tc>
          <w:tcPr>
            <w:tcW w:w="725" w:type="pct"/>
            <w:tcBorders>
              <w:top w:val="single" w:sz="4" w:space="0" w:color="auto"/>
              <w:left w:val="single" w:sz="4" w:space="0" w:color="auto"/>
              <w:bottom w:val="single" w:sz="4" w:space="0" w:color="auto"/>
              <w:right w:val="single" w:sz="4" w:space="0" w:color="auto"/>
            </w:tcBorders>
            <w:vAlign w:val="bottom"/>
            <w:hideMark/>
          </w:tcPr>
          <w:p w:rsidR="00F932F8" w:rsidRPr="00CA47B9" w:rsidRDefault="00F932F8" w:rsidP="002C72FE">
            <w:pPr>
              <w:keepNext/>
              <w:spacing w:line="300" w:lineRule="auto"/>
              <w:jc w:val="center"/>
              <w:outlineLvl w:val="2"/>
              <w:rPr>
                <w:rFonts w:ascii="Arial" w:hAnsi="Arial" w:cs="Arial"/>
              </w:rPr>
            </w:pPr>
            <w:r w:rsidRPr="00CA47B9">
              <w:rPr>
                <w:rFonts w:ascii="Arial" w:hAnsi="Arial" w:cs="Arial"/>
                <w:color w:val="000000"/>
              </w:rPr>
              <w:t>£1,195</w:t>
            </w:r>
          </w:p>
        </w:tc>
        <w:tc>
          <w:tcPr>
            <w:tcW w:w="681" w:type="pct"/>
            <w:tcBorders>
              <w:top w:val="single" w:sz="4" w:space="0" w:color="auto"/>
              <w:left w:val="single" w:sz="4" w:space="0" w:color="auto"/>
              <w:bottom w:val="single" w:sz="4" w:space="0" w:color="auto"/>
              <w:right w:val="single" w:sz="4" w:space="0" w:color="auto"/>
            </w:tcBorders>
            <w:vAlign w:val="bottom"/>
            <w:hideMark/>
          </w:tcPr>
          <w:p w:rsidR="00F932F8" w:rsidRPr="00CA47B9" w:rsidRDefault="00F932F8" w:rsidP="002C72FE">
            <w:pPr>
              <w:keepNext/>
              <w:spacing w:line="300" w:lineRule="auto"/>
              <w:jc w:val="center"/>
              <w:outlineLvl w:val="2"/>
              <w:rPr>
                <w:rFonts w:ascii="Arial" w:hAnsi="Arial" w:cs="Arial"/>
              </w:rPr>
            </w:pPr>
            <w:r w:rsidRPr="00CA47B9">
              <w:rPr>
                <w:rFonts w:ascii="Arial" w:hAnsi="Arial" w:cs="Arial"/>
                <w:color w:val="000000"/>
              </w:rPr>
              <w:t>£1,580</w:t>
            </w:r>
          </w:p>
        </w:tc>
        <w:tc>
          <w:tcPr>
            <w:tcW w:w="584" w:type="pct"/>
            <w:tcBorders>
              <w:top w:val="single" w:sz="4" w:space="0" w:color="auto"/>
              <w:left w:val="single" w:sz="4" w:space="0" w:color="auto"/>
              <w:bottom w:val="single" w:sz="4" w:space="0" w:color="auto"/>
              <w:right w:val="single" w:sz="4" w:space="0" w:color="auto"/>
            </w:tcBorders>
            <w:vAlign w:val="bottom"/>
            <w:hideMark/>
          </w:tcPr>
          <w:p w:rsidR="00F932F8" w:rsidRPr="00CA47B9" w:rsidRDefault="00F932F8" w:rsidP="002C72FE">
            <w:pPr>
              <w:keepNext/>
              <w:spacing w:line="300" w:lineRule="auto"/>
              <w:jc w:val="center"/>
              <w:outlineLvl w:val="2"/>
              <w:rPr>
                <w:rFonts w:ascii="Arial" w:hAnsi="Arial" w:cs="Arial"/>
              </w:rPr>
            </w:pPr>
            <w:r w:rsidRPr="00CA47B9">
              <w:rPr>
                <w:rFonts w:ascii="Arial" w:hAnsi="Arial" w:cs="Arial"/>
                <w:color w:val="000000"/>
              </w:rPr>
              <w:t>£1,420</w:t>
            </w:r>
          </w:p>
        </w:tc>
        <w:tc>
          <w:tcPr>
            <w:tcW w:w="735" w:type="pct"/>
            <w:tcBorders>
              <w:top w:val="single" w:sz="4" w:space="0" w:color="auto"/>
              <w:left w:val="single" w:sz="4" w:space="0" w:color="auto"/>
              <w:bottom w:val="single" w:sz="4" w:space="0" w:color="auto"/>
              <w:right w:val="single" w:sz="4" w:space="0" w:color="auto"/>
            </w:tcBorders>
            <w:vAlign w:val="bottom"/>
            <w:hideMark/>
          </w:tcPr>
          <w:p w:rsidR="00F932F8" w:rsidRPr="00CA47B9" w:rsidRDefault="00F932F8" w:rsidP="002C72FE">
            <w:pPr>
              <w:keepNext/>
              <w:spacing w:line="300" w:lineRule="auto"/>
              <w:jc w:val="center"/>
              <w:outlineLvl w:val="2"/>
              <w:rPr>
                <w:rFonts w:ascii="Arial" w:hAnsi="Arial" w:cs="Arial"/>
              </w:rPr>
            </w:pPr>
            <w:r w:rsidRPr="00CA47B9">
              <w:rPr>
                <w:rFonts w:ascii="Arial" w:hAnsi="Arial" w:cs="Arial"/>
                <w:color w:val="000000"/>
              </w:rPr>
              <w:t>£1,400</w:t>
            </w:r>
          </w:p>
        </w:tc>
      </w:tr>
      <w:tr w:rsidR="00F932F8" w:rsidRPr="00CA47B9" w:rsidTr="0009738C">
        <w:trPr>
          <w:trHeight w:val="276"/>
        </w:trPr>
        <w:tc>
          <w:tcPr>
            <w:tcW w:w="837" w:type="pct"/>
            <w:tcBorders>
              <w:top w:val="single" w:sz="4" w:space="0" w:color="auto"/>
              <w:left w:val="single" w:sz="4" w:space="0" w:color="auto"/>
              <w:bottom w:val="single" w:sz="4" w:space="0" w:color="auto"/>
              <w:right w:val="single" w:sz="4" w:space="0" w:color="auto"/>
            </w:tcBorders>
            <w:hideMark/>
          </w:tcPr>
          <w:p w:rsidR="00F932F8" w:rsidRPr="00CA47B9" w:rsidRDefault="00F932F8" w:rsidP="002C72FE">
            <w:pPr>
              <w:keepNext/>
              <w:spacing w:line="300" w:lineRule="auto"/>
              <w:rPr>
                <w:rFonts w:ascii="Arial" w:hAnsi="Arial" w:cs="Arial"/>
              </w:rPr>
            </w:pPr>
            <w:r w:rsidRPr="00CA47B9">
              <w:rPr>
                <w:rFonts w:ascii="Arial" w:hAnsi="Arial" w:cs="Arial"/>
              </w:rPr>
              <w:t>All properties</w:t>
            </w:r>
          </w:p>
        </w:tc>
        <w:tc>
          <w:tcPr>
            <w:tcW w:w="738" w:type="pct"/>
            <w:tcBorders>
              <w:top w:val="single" w:sz="4" w:space="0" w:color="auto"/>
              <w:left w:val="single" w:sz="4" w:space="0" w:color="auto"/>
              <w:bottom w:val="single" w:sz="4" w:space="0" w:color="auto"/>
              <w:right w:val="single" w:sz="4" w:space="0" w:color="auto"/>
            </w:tcBorders>
            <w:vAlign w:val="bottom"/>
            <w:hideMark/>
          </w:tcPr>
          <w:p w:rsidR="00F932F8" w:rsidRPr="00CA47B9" w:rsidRDefault="00F932F8" w:rsidP="002C72FE">
            <w:pPr>
              <w:keepNext/>
              <w:spacing w:line="300" w:lineRule="auto"/>
              <w:jc w:val="center"/>
              <w:outlineLvl w:val="2"/>
              <w:rPr>
                <w:rFonts w:ascii="Arial" w:hAnsi="Arial" w:cs="Arial"/>
              </w:rPr>
            </w:pPr>
            <w:r w:rsidRPr="00CA47B9">
              <w:rPr>
                <w:rFonts w:ascii="Arial" w:hAnsi="Arial" w:cs="Arial"/>
                <w:color w:val="000000"/>
              </w:rPr>
              <w:t>£670</w:t>
            </w:r>
          </w:p>
        </w:tc>
        <w:tc>
          <w:tcPr>
            <w:tcW w:w="700" w:type="pct"/>
            <w:tcBorders>
              <w:top w:val="single" w:sz="4" w:space="0" w:color="auto"/>
              <w:left w:val="single" w:sz="4" w:space="0" w:color="auto"/>
              <w:bottom w:val="single" w:sz="4" w:space="0" w:color="auto"/>
              <w:right w:val="single" w:sz="4" w:space="0" w:color="auto"/>
            </w:tcBorders>
            <w:vAlign w:val="bottom"/>
            <w:hideMark/>
          </w:tcPr>
          <w:p w:rsidR="00F932F8" w:rsidRPr="00CA47B9" w:rsidRDefault="00F932F8" w:rsidP="002C72FE">
            <w:pPr>
              <w:keepNext/>
              <w:spacing w:line="300" w:lineRule="auto"/>
              <w:jc w:val="center"/>
              <w:outlineLvl w:val="2"/>
              <w:rPr>
                <w:rFonts w:ascii="Arial" w:hAnsi="Arial" w:cs="Arial"/>
              </w:rPr>
            </w:pPr>
            <w:r w:rsidRPr="00CA47B9">
              <w:rPr>
                <w:rFonts w:ascii="Arial" w:hAnsi="Arial" w:cs="Arial"/>
                <w:color w:val="000000"/>
              </w:rPr>
              <w:t>£705</w:t>
            </w:r>
          </w:p>
        </w:tc>
        <w:tc>
          <w:tcPr>
            <w:tcW w:w="725" w:type="pct"/>
            <w:tcBorders>
              <w:top w:val="single" w:sz="4" w:space="0" w:color="auto"/>
              <w:left w:val="single" w:sz="4" w:space="0" w:color="auto"/>
              <w:bottom w:val="single" w:sz="4" w:space="0" w:color="auto"/>
              <w:right w:val="single" w:sz="4" w:space="0" w:color="auto"/>
            </w:tcBorders>
            <w:vAlign w:val="bottom"/>
            <w:hideMark/>
          </w:tcPr>
          <w:p w:rsidR="00F932F8" w:rsidRPr="00CA47B9" w:rsidRDefault="00F932F8" w:rsidP="002C72FE">
            <w:pPr>
              <w:keepNext/>
              <w:spacing w:line="300" w:lineRule="auto"/>
              <w:jc w:val="center"/>
              <w:outlineLvl w:val="2"/>
              <w:rPr>
                <w:rFonts w:ascii="Arial" w:hAnsi="Arial" w:cs="Arial"/>
              </w:rPr>
            </w:pPr>
            <w:r w:rsidRPr="00CA47B9">
              <w:rPr>
                <w:rFonts w:ascii="Arial" w:hAnsi="Arial" w:cs="Arial"/>
                <w:color w:val="000000"/>
              </w:rPr>
              <w:t>£695</w:t>
            </w:r>
          </w:p>
        </w:tc>
        <w:tc>
          <w:tcPr>
            <w:tcW w:w="681" w:type="pct"/>
            <w:tcBorders>
              <w:top w:val="single" w:sz="4" w:space="0" w:color="auto"/>
              <w:left w:val="single" w:sz="4" w:space="0" w:color="auto"/>
              <w:bottom w:val="single" w:sz="4" w:space="0" w:color="auto"/>
              <w:right w:val="single" w:sz="4" w:space="0" w:color="auto"/>
            </w:tcBorders>
            <w:vAlign w:val="bottom"/>
            <w:hideMark/>
          </w:tcPr>
          <w:p w:rsidR="00F932F8" w:rsidRPr="00CA47B9" w:rsidRDefault="00F932F8" w:rsidP="002C72FE">
            <w:pPr>
              <w:keepNext/>
              <w:spacing w:line="300" w:lineRule="auto"/>
              <w:jc w:val="center"/>
              <w:outlineLvl w:val="2"/>
              <w:rPr>
                <w:rFonts w:ascii="Arial" w:hAnsi="Arial" w:cs="Arial"/>
              </w:rPr>
            </w:pPr>
            <w:r w:rsidRPr="00CA47B9">
              <w:rPr>
                <w:rFonts w:ascii="Arial" w:hAnsi="Arial" w:cs="Arial"/>
                <w:color w:val="000000"/>
              </w:rPr>
              <w:t>£1,020</w:t>
            </w:r>
          </w:p>
        </w:tc>
        <w:tc>
          <w:tcPr>
            <w:tcW w:w="584" w:type="pct"/>
            <w:tcBorders>
              <w:top w:val="single" w:sz="4" w:space="0" w:color="auto"/>
              <w:left w:val="single" w:sz="4" w:space="0" w:color="auto"/>
              <w:bottom w:val="single" w:sz="4" w:space="0" w:color="auto"/>
              <w:right w:val="single" w:sz="4" w:space="0" w:color="auto"/>
            </w:tcBorders>
            <w:vAlign w:val="bottom"/>
            <w:hideMark/>
          </w:tcPr>
          <w:p w:rsidR="00F932F8" w:rsidRPr="00CA47B9" w:rsidRDefault="00F932F8" w:rsidP="002C72FE">
            <w:pPr>
              <w:keepNext/>
              <w:spacing w:line="300" w:lineRule="auto"/>
              <w:jc w:val="center"/>
              <w:outlineLvl w:val="2"/>
              <w:rPr>
                <w:rFonts w:ascii="Arial" w:hAnsi="Arial" w:cs="Arial"/>
              </w:rPr>
            </w:pPr>
            <w:r w:rsidRPr="00CA47B9">
              <w:rPr>
                <w:rFonts w:ascii="Arial" w:hAnsi="Arial" w:cs="Arial"/>
                <w:color w:val="000000"/>
              </w:rPr>
              <w:t>£820</w:t>
            </w:r>
          </w:p>
        </w:tc>
        <w:tc>
          <w:tcPr>
            <w:tcW w:w="735" w:type="pct"/>
            <w:tcBorders>
              <w:top w:val="single" w:sz="4" w:space="0" w:color="auto"/>
              <w:left w:val="single" w:sz="4" w:space="0" w:color="auto"/>
              <w:bottom w:val="single" w:sz="4" w:space="0" w:color="auto"/>
              <w:right w:val="single" w:sz="4" w:space="0" w:color="auto"/>
            </w:tcBorders>
            <w:vAlign w:val="bottom"/>
            <w:hideMark/>
          </w:tcPr>
          <w:p w:rsidR="00F932F8" w:rsidRPr="00CA47B9" w:rsidRDefault="00F932F8" w:rsidP="002C72FE">
            <w:pPr>
              <w:keepNext/>
              <w:spacing w:line="300" w:lineRule="auto"/>
              <w:jc w:val="center"/>
              <w:outlineLvl w:val="2"/>
              <w:rPr>
                <w:rFonts w:ascii="Arial" w:hAnsi="Arial" w:cs="Arial"/>
              </w:rPr>
            </w:pPr>
            <w:r w:rsidRPr="00CA47B9">
              <w:rPr>
                <w:rFonts w:ascii="Arial" w:hAnsi="Arial" w:cs="Arial"/>
                <w:color w:val="000000"/>
              </w:rPr>
              <w:t>£720</w:t>
            </w:r>
          </w:p>
        </w:tc>
      </w:tr>
    </w:tbl>
    <w:p w:rsidR="00F932F8" w:rsidRPr="00CA47B9" w:rsidRDefault="00F932F8" w:rsidP="0009738C">
      <w:pPr>
        <w:pStyle w:val="Bodytextwithindent"/>
        <w:spacing w:before="0" w:after="120"/>
        <w:ind w:left="0"/>
        <w:rPr>
          <w:rFonts w:asciiTheme="minorHAnsi" w:hAnsiTheme="minorHAnsi" w:cstheme="minorHAnsi"/>
        </w:rPr>
      </w:pPr>
      <w:r w:rsidRPr="00CA47B9">
        <w:rPr>
          <w:rFonts w:asciiTheme="minorHAnsi" w:hAnsiTheme="minorHAnsi" w:cstheme="minorHAnsi"/>
        </w:rPr>
        <w:t>Source: GL Hearn Analysis of Rightmove and VOA data</w:t>
      </w:r>
    </w:p>
    <w:p w:rsidR="00C37DA5" w:rsidRPr="00A54ECA" w:rsidRDefault="00C37DA5" w:rsidP="00BD6C75">
      <w:pPr>
        <w:pStyle w:val="SubheadBlue12"/>
        <w:ind w:left="567" w:firstLine="0"/>
      </w:pPr>
      <w:r w:rsidRPr="00A54ECA">
        <w:t>Change in Tenure</w:t>
      </w:r>
    </w:p>
    <w:p w:rsidR="00C37DA5" w:rsidRPr="002029B9" w:rsidRDefault="00C37DA5" w:rsidP="00020CFC">
      <w:pPr>
        <w:pStyle w:val="11Bodytext"/>
        <w:tabs>
          <w:tab w:val="clear" w:pos="2212"/>
          <w:tab w:val="num" w:pos="567"/>
        </w:tabs>
        <w:ind w:left="567" w:hanging="567"/>
      </w:pPr>
      <w:r w:rsidRPr="002029B9">
        <w:t>This data remains unchanged from the 2018 HEDNA</w:t>
      </w:r>
      <w:r w:rsidR="002029B9">
        <w:t xml:space="preserve"> and shows </w:t>
      </w:r>
      <w:r w:rsidR="00133E03">
        <w:t xml:space="preserve">that </w:t>
      </w:r>
      <w:r w:rsidR="002029B9">
        <w:t>a</w:t>
      </w:r>
      <w:r w:rsidRPr="002029B9">
        <w:t xml:space="preserve"> combination of deteriorating affordability, restricted access to mortgage products and a lack of social housing supply over the 2001-11 decade has resulted in fewer households being able to buy and thus increased pressures on the existing affordable housing stock. </w:t>
      </w:r>
    </w:p>
    <w:p w:rsidR="00C37DA5" w:rsidRPr="00CA47B9" w:rsidRDefault="00C37DA5" w:rsidP="00020CFC">
      <w:pPr>
        <w:pStyle w:val="11Bodytext"/>
        <w:tabs>
          <w:tab w:val="clear" w:pos="2212"/>
          <w:tab w:val="num" w:pos="567"/>
        </w:tabs>
        <w:ind w:left="567" w:hanging="567"/>
        <w:rPr>
          <w:b/>
        </w:rPr>
      </w:pPr>
      <w:r w:rsidRPr="00CA47B9">
        <w:t xml:space="preserve">These factors have also resulted in strong growth in the private rented sector as households are being forced to rent longer or cannot secure alternative accommodation. As illustrated in Table </w:t>
      </w:r>
      <w:r w:rsidR="008E2D6E">
        <w:t>8</w:t>
      </w:r>
      <w:r w:rsidRPr="00CA47B9">
        <w:t>, the percentage of all households who own their house with a mortgage fell significantly between 2001 and 2011. Over this same period</w:t>
      </w:r>
      <w:r w:rsidR="00855CA6">
        <w:t>,</w:t>
      </w:r>
      <w:r w:rsidRPr="00CA47B9">
        <w:t xml:space="preserve"> there has been substantial growth in the private rented sector, although this trend was less evident in Chichester than in the rest of the region and country.</w:t>
      </w:r>
      <w:bookmarkStart w:id="63" w:name="_Toc397074152"/>
      <w:bookmarkStart w:id="64" w:name="_Toc399935835"/>
      <w:bookmarkStart w:id="65" w:name="_Toc428202314"/>
      <w:bookmarkStart w:id="66" w:name="_Toc485905646"/>
    </w:p>
    <w:p w:rsidR="00C37DA5" w:rsidRPr="00CA47B9" w:rsidRDefault="00C37DA5" w:rsidP="0009738C">
      <w:pPr>
        <w:pStyle w:val="Tableheading"/>
        <w:tabs>
          <w:tab w:val="clear" w:pos="794"/>
          <w:tab w:val="clear" w:pos="1843"/>
          <w:tab w:val="left" w:pos="0"/>
        </w:tabs>
        <w:ind w:left="0" w:firstLine="0"/>
      </w:pPr>
      <w:r w:rsidRPr="00CA47B9">
        <w:lastRenderedPageBreak/>
        <w:t>Change in Households by Tenure, 2001-11</w:t>
      </w:r>
      <w:bookmarkEnd w:id="63"/>
      <w:bookmarkEnd w:id="64"/>
      <w:bookmarkEnd w:id="65"/>
      <w:bookmarkEnd w:id="66"/>
      <w:r w:rsidRPr="00CA47B9">
        <w:t xml:space="preserve"> </w:t>
      </w:r>
    </w:p>
    <w:tbl>
      <w:tblPr>
        <w:tblStyle w:val="Style1"/>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8: Change in Households by Tenure 2001-11"/>
      </w:tblPr>
      <w:tblGrid>
        <w:gridCol w:w="1867"/>
        <w:gridCol w:w="1037"/>
        <w:gridCol w:w="1328"/>
        <w:gridCol w:w="1157"/>
        <w:gridCol w:w="1223"/>
        <w:gridCol w:w="1274"/>
        <w:gridCol w:w="775"/>
        <w:gridCol w:w="977"/>
      </w:tblGrid>
      <w:tr w:rsidR="00C37DA5" w:rsidRPr="00A54ECA" w:rsidTr="000973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69" w:type="pct"/>
          </w:tcPr>
          <w:p w:rsidR="00C37DA5" w:rsidRPr="00A54ECA" w:rsidRDefault="00C37DA5" w:rsidP="002A213E">
            <w:pPr>
              <w:pStyle w:val="TableBodytext"/>
              <w:keepNext/>
              <w:spacing w:before="0" w:after="0" w:line="300" w:lineRule="auto"/>
              <w:rPr>
                <w:rFonts w:ascii="Arial Narrow" w:hAnsi="Arial Narrow"/>
                <w:sz w:val="24"/>
                <w:szCs w:val="24"/>
                <w:highlight w:val="yellow"/>
              </w:rPr>
            </w:pPr>
          </w:p>
        </w:tc>
        <w:tc>
          <w:tcPr>
            <w:tcW w:w="538" w:type="pct"/>
          </w:tcPr>
          <w:p w:rsidR="00C37DA5" w:rsidRPr="00A54ECA" w:rsidRDefault="00C37DA5" w:rsidP="002A213E">
            <w:pPr>
              <w:pStyle w:val="TableBodytext"/>
              <w:keepNext/>
              <w:spacing w:before="0" w:after="0" w:line="30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A54ECA">
              <w:rPr>
                <w:rFonts w:ascii="Arial Narrow" w:hAnsi="Arial Narrow"/>
                <w:sz w:val="24"/>
                <w:szCs w:val="24"/>
              </w:rPr>
              <w:t>Owned Outright</w:t>
            </w:r>
          </w:p>
        </w:tc>
        <w:tc>
          <w:tcPr>
            <w:tcW w:w="689" w:type="pct"/>
          </w:tcPr>
          <w:p w:rsidR="00C37DA5" w:rsidRPr="00A54ECA" w:rsidRDefault="00C37DA5" w:rsidP="002A213E">
            <w:pPr>
              <w:pStyle w:val="TableBodytext"/>
              <w:keepNext/>
              <w:spacing w:before="0" w:after="0" w:line="30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A54ECA">
              <w:rPr>
                <w:rFonts w:ascii="Arial Narrow" w:hAnsi="Arial Narrow"/>
                <w:sz w:val="24"/>
                <w:szCs w:val="24"/>
              </w:rPr>
              <w:t>Owned with mortgage</w:t>
            </w:r>
          </w:p>
        </w:tc>
        <w:tc>
          <w:tcPr>
            <w:tcW w:w="600" w:type="pct"/>
          </w:tcPr>
          <w:p w:rsidR="00C37DA5" w:rsidRPr="00A54ECA" w:rsidRDefault="00C37DA5" w:rsidP="002A213E">
            <w:pPr>
              <w:pStyle w:val="TableBodytext"/>
              <w:keepNext/>
              <w:spacing w:before="0" w:after="0" w:line="30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A54ECA">
              <w:rPr>
                <w:rFonts w:ascii="Arial Narrow" w:hAnsi="Arial Narrow"/>
                <w:sz w:val="24"/>
                <w:szCs w:val="24"/>
              </w:rPr>
              <w:t>Shared Ownership</w:t>
            </w:r>
          </w:p>
        </w:tc>
        <w:tc>
          <w:tcPr>
            <w:tcW w:w="634" w:type="pct"/>
          </w:tcPr>
          <w:p w:rsidR="00C37DA5" w:rsidRPr="00A54ECA" w:rsidRDefault="00C37DA5" w:rsidP="002A213E">
            <w:pPr>
              <w:pStyle w:val="TableBodytext"/>
              <w:keepNext/>
              <w:spacing w:before="0" w:after="0" w:line="30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A54ECA">
              <w:rPr>
                <w:rFonts w:ascii="Arial Narrow" w:hAnsi="Arial Narrow"/>
                <w:sz w:val="24"/>
                <w:szCs w:val="24"/>
              </w:rPr>
              <w:t>Renting:RP</w:t>
            </w:r>
          </w:p>
        </w:tc>
        <w:tc>
          <w:tcPr>
            <w:tcW w:w="661" w:type="pct"/>
          </w:tcPr>
          <w:p w:rsidR="00C37DA5" w:rsidRPr="00A54ECA" w:rsidRDefault="00C37DA5" w:rsidP="002A213E">
            <w:pPr>
              <w:pStyle w:val="TableBodytext"/>
              <w:keepNext/>
              <w:spacing w:before="0" w:after="0" w:line="30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A54ECA">
              <w:rPr>
                <w:rFonts w:ascii="Arial Narrow" w:hAnsi="Arial Narrow"/>
                <w:sz w:val="24"/>
                <w:szCs w:val="24"/>
              </w:rPr>
              <w:t>Renting: Council</w:t>
            </w:r>
          </w:p>
        </w:tc>
        <w:tc>
          <w:tcPr>
            <w:tcW w:w="402" w:type="pct"/>
          </w:tcPr>
          <w:p w:rsidR="00C37DA5" w:rsidRPr="00A54ECA" w:rsidRDefault="00C37DA5" w:rsidP="002A213E">
            <w:pPr>
              <w:pStyle w:val="TableBodytext"/>
              <w:keepNext/>
              <w:spacing w:before="0" w:after="0" w:line="30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A54ECA">
              <w:rPr>
                <w:rFonts w:ascii="Arial Narrow" w:hAnsi="Arial Narrow"/>
                <w:sz w:val="24"/>
                <w:szCs w:val="24"/>
              </w:rPr>
              <w:t>PRS</w:t>
            </w:r>
          </w:p>
        </w:tc>
        <w:tc>
          <w:tcPr>
            <w:tcW w:w="507" w:type="pct"/>
          </w:tcPr>
          <w:p w:rsidR="00C37DA5" w:rsidRPr="00A54ECA" w:rsidRDefault="00C37DA5" w:rsidP="002A213E">
            <w:pPr>
              <w:pStyle w:val="TableBodytext"/>
              <w:keepNext/>
              <w:spacing w:before="0" w:after="0" w:line="30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A54ECA">
              <w:rPr>
                <w:rFonts w:ascii="Arial Narrow" w:hAnsi="Arial Narrow"/>
                <w:sz w:val="24"/>
                <w:szCs w:val="24"/>
              </w:rPr>
              <w:t>Living Rent Free</w:t>
            </w:r>
          </w:p>
        </w:tc>
      </w:tr>
      <w:tr w:rsidR="00C37DA5" w:rsidRPr="00A54ECA" w:rsidTr="0009738C">
        <w:tc>
          <w:tcPr>
            <w:cnfStyle w:val="001000000000" w:firstRow="0" w:lastRow="0" w:firstColumn="1" w:lastColumn="0" w:oddVBand="0" w:evenVBand="0" w:oddHBand="0" w:evenHBand="0" w:firstRowFirstColumn="0" w:firstRowLastColumn="0" w:lastRowFirstColumn="0" w:lastRowLastColumn="0"/>
            <w:tcW w:w="969" w:type="pct"/>
          </w:tcPr>
          <w:p w:rsidR="00C37DA5" w:rsidRPr="00A54ECA" w:rsidRDefault="00C37DA5" w:rsidP="002A213E">
            <w:pPr>
              <w:pStyle w:val="TableBodytext"/>
              <w:keepNext/>
              <w:spacing w:before="0" w:after="0" w:line="300" w:lineRule="auto"/>
              <w:rPr>
                <w:rFonts w:ascii="Arial Narrow" w:hAnsi="Arial Narrow"/>
                <w:sz w:val="24"/>
                <w:szCs w:val="24"/>
              </w:rPr>
            </w:pPr>
            <w:r w:rsidRPr="00A54ECA">
              <w:rPr>
                <w:rFonts w:ascii="Arial Narrow" w:hAnsi="Arial Narrow"/>
                <w:sz w:val="24"/>
                <w:szCs w:val="24"/>
              </w:rPr>
              <w:t>Chichester 2001</w:t>
            </w:r>
          </w:p>
        </w:tc>
        <w:tc>
          <w:tcPr>
            <w:tcW w:w="538" w:type="pct"/>
          </w:tcPr>
          <w:p w:rsidR="00C37DA5" w:rsidRPr="00A54ECA" w:rsidRDefault="00C37DA5" w:rsidP="002A213E">
            <w:pPr>
              <w:pStyle w:val="TableBodytext"/>
              <w:keepNext/>
              <w:spacing w:before="0" w:after="0" w:line="30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39.1%</w:t>
            </w:r>
          </w:p>
        </w:tc>
        <w:tc>
          <w:tcPr>
            <w:tcW w:w="689" w:type="pct"/>
          </w:tcPr>
          <w:p w:rsidR="00C37DA5" w:rsidRPr="00A54ECA" w:rsidRDefault="00C37DA5" w:rsidP="002A213E">
            <w:pPr>
              <w:pStyle w:val="TableBodytext"/>
              <w:keepNext/>
              <w:spacing w:before="0" w:after="0" w:line="30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31.1%</w:t>
            </w:r>
          </w:p>
        </w:tc>
        <w:tc>
          <w:tcPr>
            <w:tcW w:w="600" w:type="pct"/>
          </w:tcPr>
          <w:p w:rsidR="00C37DA5" w:rsidRPr="00A54ECA" w:rsidRDefault="00C37DA5" w:rsidP="002A213E">
            <w:pPr>
              <w:pStyle w:val="TableBodytext"/>
              <w:keepNext/>
              <w:spacing w:before="0" w:after="0" w:line="30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0.4%</w:t>
            </w:r>
          </w:p>
        </w:tc>
        <w:tc>
          <w:tcPr>
            <w:tcW w:w="634" w:type="pct"/>
          </w:tcPr>
          <w:p w:rsidR="00C37DA5" w:rsidRPr="00A54ECA" w:rsidRDefault="00C37DA5" w:rsidP="002A213E">
            <w:pPr>
              <w:pStyle w:val="TableBodytext"/>
              <w:keepNext/>
              <w:spacing w:before="0" w:after="0" w:line="30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7.9%</w:t>
            </w:r>
          </w:p>
        </w:tc>
        <w:tc>
          <w:tcPr>
            <w:tcW w:w="661" w:type="pct"/>
          </w:tcPr>
          <w:p w:rsidR="00C37DA5" w:rsidRPr="00A54ECA" w:rsidRDefault="00C37DA5" w:rsidP="002A213E">
            <w:pPr>
              <w:pStyle w:val="TableBodytext"/>
              <w:keepNext/>
              <w:spacing w:before="0" w:after="0" w:line="30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6.8%</w:t>
            </w:r>
          </w:p>
        </w:tc>
        <w:tc>
          <w:tcPr>
            <w:tcW w:w="402" w:type="pct"/>
          </w:tcPr>
          <w:p w:rsidR="00C37DA5" w:rsidRPr="00A54ECA" w:rsidRDefault="00C37DA5" w:rsidP="002A213E">
            <w:pPr>
              <w:pStyle w:val="TableBodytext"/>
              <w:keepNext/>
              <w:spacing w:before="0" w:after="0" w:line="30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11.1%</w:t>
            </w:r>
          </w:p>
        </w:tc>
        <w:tc>
          <w:tcPr>
            <w:tcW w:w="507" w:type="pct"/>
          </w:tcPr>
          <w:p w:rsidR="00C37DA5" w:rsidRPr="00A54ECA" w:rsidRDefault="00C37DA5" w:rsidP="002A213E">
            <w:pPr>
              <w:pStyle w:val="TableBodytext"/>
              <w:keepNext/>
              <w:spacing w:before="0" w:after="0" w:line="30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3.6%</w:t>
            </w:r>
          </w:p>
        </w:tc>
      </w:tr>
      <w:tr w:rsidR="00C37DA5" w:rsidRPr="00A54ECA" w:rsidTr="0009738C">
        <w:tc>
          <w:tcPr>
            <w:cnfStyle w:val="001000000000" w:firstRow="0" w:lastRow="0" w:firstColumn="1" w:lastColumn="0" w:oddVBand="0" w:evenVBand="0" w:oddHBand="0" w:evenHBand="0" w:firstRowFirstColumn="0" w:firstRowLastColumn="0" w:lastRowFirstColumn="0" w:lastRowLastColumn="0"/>
            <w:tcW w:w="969" w:type="pct"/>
          </w:tcPr>
          <w:p w:rsidR="00C37DA5" w:rsidRPr="00A54ECA" w:rsidRDefault="00C37DA5" w:rsidP="002A213E">
            <w:pPr>
              <w:pStyle w:val="TableBodytext"/>
              <w:keepNext/>
              <w:spacing w:before="0" w:after="0" w:line="300" w:lineRule="auto"/>
              <w:rPr>
                <w:rFonts w:ascii="Arial Narrow" w:hAnsi="Arial Narrow"/>
                <w:sz w:val="24"/>
                <w:szCs w:val="24"/>
              </w:rPr>
            </w:pPr>
            <w:r w:rsidRPr="00A54ECA">
              <w:rPr>
                <w:rFonts w:ascii="Arial Narrow" w:hAnsi="Arial Narrow"/>
                <w:sz w:val="24"/>
                <w:szCs w:val="24"/>
              </w:rPr>
              <w:t>Chichester 2011</w:t>
            </w:r>
          </w:p>
        </w:tc>
        <w:tc>
          <w:tcPr>
            <w:tcW w:w="538" w:type="pct"/>
          </w:tcPr>
          <w:p w:rsidR="00C37DA5" w:rsidRPr="00A54ECA" w:rsidRDefault="00C37DA5" w:rsidP="002A213E">
            <w:pPr>
              <w:pStyle w:val="TableBodytext"/>
              <w:keepNext/>
              <w:spacing w:before="0" w:after="0" w:line="30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40.5%</w:t>
            </w:r>
          </w:p>
        </w:tc>
        <w:tc>
          <w:tcPr>
            <w:tcW w:w="689" w:type="pct"/>
          </w:tcPr>
          <w:p w:rsidR="00C37DA5" w:rsidRPr="00A54ECA" w:rsidRDefault="00C37DA5" w:rsidP="002A213E">
            <w:pPr>
              <w:pStyle w:val="TableBodytext"/>
              <w:keepNext/>
              <w:spacing w:before="0" w:after="0" w:line="30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26.6%</w:t>
            </w:r>
          </w:p>
        </w:tc>
        <w:tc>
          <w:tcPr>
            <w:tcW w:w="600" w:type="pct"/>
          </w:tcPr>
          <w:p w:rsidR="00C37DA5" w:rsidRPr="00A54ECA" w:rsidRDefault="00C37DA5" w:rsidP="002A213E">
            <w:pPr>
              <w:pStyle w:val="TableBodytext"/>
              <w:keepNext/>
              <w:spacing w:before="0" w:after="0" w:line="30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0.9%</w:t>
            </w:r>
          </w:p>
        </w:tc>
        <w:tc>
          <w:tcPr>
            <w:tcW w:w="634" w:type="pct"/>
          </w:tcPr>
          <w:p w:rsidR="00C37DA5" w:rsidRPr="00A54ECA" w:rsidRDefault="00C37DA5" w:rsidP="002A213E">
            <w:pPr>
              <w:pStyle w:val="TableBodytext"/>
              <w:keepNext/>
              <w:spacing w:before="0" w:after="0" w:line="30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12.7%</w:t>
            </w:r>
          </w:p>
        </w:tc>
        <w:tc>
          <w:tcPr>
            <w:tcW w:w="661" w:type="pct"/>
          </w:tcPr>
          <w:p w:rsidR="00C37DA5" w:rsidRPr="00A54ECA" w:rsidRDefault="00C37DA5" w:rsidP="002A213E">
            <w:pPr>
              <w:pStyle w:val="TableBodytext"/>
              <w:keepNext/>
              <w:spacing w:before="0" w:after="0" w:line="30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2.2%</w:t>
            </w:r>
          </w:p>
        </w:tc>
        <w:tc>
          <w:tcPr>
            <w:tcW w:w="402" w:type="pct"/>
          </w:tcPr>
          <w:p w:rsidR="00C37DA5" w:rsidRPr="00A54ECA" w:rsidRDefault="00C37DA5" w:rsidP="002A213E">
            <w:pPr>
              <w:pStyle w:val="TableBodytext"/>
              <w:keepNext/>
              <w:spacing w:before="0" w:after="0" w:line="30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14.9%</w:t>
            </w:r>
          </w:p>
        </w:tc>
        <w:tc>
          <w:tcPr>
            <w:tcW w:w="507" w:type="pct"/>
          </w:tcPr>
          <w:p w:rsidR="00C37DA5" w:rsidRPr="00A54ECA" w:rsidRDefault="00C37DA5" w:rsidP="002A213E">
            <w:pPr>
              <w:pStyle w:val="TableBodytext"/>
              <w:keepNext/>
              <w:spacing w:before="0" w:after="0" w:line="30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2.2%</w:t>
            </w:r>
          </w:p>
        </w:tc>
      </w:tr>
      <w:tr w:rsidR="00C37DA5" w:rsidRPr="00A54ECA" w:rsidTr="0009738C">
        <w:tc>
          <w:tcPr>
            <w:cnfStyle w:val="001000000000" w:firstRow="0" w:lastRow="0" w:firstColumn="1" w:lastColumn="0" w:oddVBand="0" w:evenVBand="0" w:oddHBand="0" w:evenHBand="0" w:firstRowFirstColumn="0" w:firstRowLastColumn="0" w:lastRowFirstColumn="0" w:lastRowLastColumn="0"/>
            <w:tcW w:w="969" w:type="pct"/>
          </w:tcPr>
          <w:p w:rsidR="00C37DA5" w:rsidRPr="00A54ECA" w:rsidRDefault="00C37DA5" w:rsidP="002A213E">
            <w:pPr>
              <w:pStyle w:val="TableBodytext"/>
              <w:keepNext/>
              <w:spacing w:before="0" w:after="0" w:line="300" w:lineRule="auto"/>
              <w:rPr>
                <w:rFonts w:ascii="Arial Narrow" w:hAnsi="Arial Narrow"/>
                <w:b/>
                <w:sz w:val="24"/>
                <w:szCs w:val="24"/>
                <w:highlight w:val="yellow"/>
              </w:rPr>
            </w:pPr>
            <w:r w:rsidRPr="00A54ECA">
              <w:rPr>
                <w:rFonts w:ascii="Arial Narrow" w:hAnsi="Arial Narrow"/>
                <w:b/>
                <w:sz w:val="24"/>
                <w:szCs w:val="24"/>
              </w:rPr>
              <w:t>Chichester District</w:t>
            </w:r>
            <w:r w:rsidR="00E05F8B">
              <w:rPr>
                <w:rFonts w:ascii="Arial Narrow" w:hAnsi="Arial Narrow"/>
                <w:b/>
                <w:sz w:val="24"/>
                <w:szCs w:val="24"/>
              </w:rPr>
              <w:t xml:space="preserve"> Change 2001-11</w:t>
            </w:r>
          </w:p>
        </w:tc>
        <w:tc>
          <w:tcPr>
            <w:tcW w:w="538" w:type="pct"/>
          </w:tcPr>
          <w:p w:rsidR="00C37DA5" w:rsidRPr="00A54ECA" w:rsidRDefault="00C37DA5" w:rsidP="002A213E">
            <w:pPr>
              <w:pStyle w:val="TableBodytext"/>
              <w:keepNext/>
              <w:spacing w:before="0" w:after="0" w:line="30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 w:val="24"/>
                <w:szCs w:val="24"/>
              </w:rPr>
            </w:pPr>
            <w:r w:rsidRPr="00A54ECA">
              <w:rPr>
                <w:rFonts w:ascii="Arial Narrow" w:hAnsi="Arial Narrow"/>
                <w:b/>
                <w:color w:val="000000"/>
                <w:sz w:val="24"/>
                <w:szCs w:val="24"/>
              </w:rPr>
              <w:t>1.5%</w:t>
            </w:r>
          </w:p>
        </w:tc>
        <w:tc>
          <w:tcPr>
            <w:tcW w:w="689" w:type="pct"/>
          </w:tcPr>
          <w:p w:rsidR="00C37DA5" w:rsidRPr="00A54ECA" w:rsidRDefault="00C37DA5" w:rsidP="002A213E">
            <w:pPr>
              <w:pStyle w:val="TableBodytext"/>
              <w:keepNext/>
              <w:spacing w:before="0" w:after="0" w:line="30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 w:val="24"/>
                <w:szCs w:val="24"/>
              </w:rPr>
            </w:pPr>
            <w:r w:rsidRPr="00A54ECA">
              <w:rPr>
                <w:rFonts w:ascii="Arial Narrow" w:hAnsi="Arial Narrow"/>
                <w:b/>
                <w:color w:val="000000"/>
                <w:sz w:val="24"/>
                <w:szCs w:val="24"/>
              </w:rPr>
              <w:t>-4.5%</w:t>
            </w:r>
          </w:p>
        </w:tc>
        <w:tc>
          <w:tcPr>
            <w:tcW w:w="600" w:type="pct"/>
          </w:tcPr>
          <w:p w:rsidR="00C37DA5" w:rsidRPr="00A54ECA" w:rsidRDefault="00C37DA5" w:rsidP="002A213E">
            <w:pPr>
              <w:pStyle w:val="TableBodytext"/>
              <w:keepNext/>
              <w:spacing w:before="0" w:after="0" w:line="30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 w:val="24"/>
                <w:szCs w:val="24"/>
              </w:rPr>
            </w:pPr>
            <w:r w:rsidRPr="00A54ECA">
              <w:rPr>
                <w:rFonts w:ascii="Arial Narrow" w:hAnsi="Arial Narrow"/>
                <w:b/>
                <w:color w:val="000000"/>
                <w:sz w:val="24"/>
                <w:szCs w:val="24"/>
              </w:rPr>
              <w:t>0.5%</w:t>
            </w:r>
          </w:p>
        </w:tc>
        <w:tc>
          <w:tcPr>
            <w:tcW w:w="634" w:type="pct"/>
          </w:tcPr>
          <w:p w:rsidR="00C37DA5" w:rsidRPr="00A54ECA" w:rsidRDefault="00C37DA5" w:rsidP="002A213E">
            <w:pPr>
              <w:pStyle w:val="TableBodytext"/>
              <w:keepNext/>
              <w:spacing w:before="0" w:after="0" w:line="30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 w:val="24"/>
                <w:szCs w:val="24"/>
              </w:rPr>
            </w:pPr>
            <w:r w:rsidRPr="00A54ECA">
              <w:rPr>
                <w:rFonts w:ascii="Arial Narrow" w:hAnsi="Arial Narrow"/>
                <w:b/>
                <w:color w:val="000000"/>
                <w:sz w:val="24"/>
                <w:szCs w:val="24"/>
              </w:rPr>
              <w:t>4.8%</w:t>
            </w:r>
          </w:p>
        </w:tc>
        <w:tc>
          <w:tcPr>
            <w:tcW w:w="661" w:type="pct"/>
          </w:tcPr>
          <w:p w:rsidR="00C37DA5" w:rsidRPr="00A54ECA" w:rsidRDefault="00C37DA5" w:rsidP="002A213E">
            <w:pPr>
              <w:pStyle w:val="TableBodytext"/>
              <w:keepNext/>
              <w:spacing w:before="0" w:after="0" w:line="30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 w:val="24"/>
                <w:szCs w:val="24"/>
              </w:rPr>
            </w:pPr>
            <w:r w:rsidRPr="00A54ECA">
              <w:rPr>
                <w:rFonts w:ascii="Arial Narrow" w:hAnsi="Arial Narrow"/>
                <w:b/>
                <w:color w:val="000000"/>
                <w:sz w:val="24"/>
                <w:szCs w:val="24"/>
              </w:rPr>
              <w:t>-4.7%</w:t>
            </w:r>
          </w:p>
        </w:tc>
        <w:tc>
          <w:tcPr>
            <w:tcW w:w="402" w:type="pct"/>
          </w:tcPr>
          <w:p w:rsidR="00C37DA5" w:rsidRPr="00A54ECA" w:rsidRDefault="00C37DA5" w:rsidP="002A213E">
            <w:pPr>
              <w:pStyle w:val="TableBodytext"/>
              <w:keepNext/>
              <w:spacing w:before="0" w:after="0" w:line="30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 w:val="24"/>
                <w:szCs w:val="24"/>
              </w:rPr>
            </w:pPr>
            <w:r w:rsidRPr="00A54ECA">
              <w:rPr>
                <w:rFonts w:ascii="Arial Narrow" w:hAnsi="Arial Narrow"/>
                <w:b/>
                <w:color w:val="000000"/>
                <w:sz w:val="24"/>
                <w:szCs w:val="24"/>
              </w:rPr>
              <w:t>3.7%</w:t>
            </w:r>
          </w:p>
        </w:tc>
        <w:tc>
          <w:tcPr>
            <w:tcW w:w="507" w:type="pct"/>
          </w:tcPr>
          <w:p w:rsidR="00C37DA5" w:rsidRPr="00A54ECA" w:rsidRDefault="00C37DA5" w:rsidP="002A213E">
            <w:pPr>
              <w:pStyle w:val="TableBodytext"/>
              <w:keepNext/>
              <w:spacing w:before="0" w:after="0" w:line="30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 w:val="24"/>
                <w:szCs w:val="24"/>
              </w:rPr>
            </w:pPr>
            <w:r w:rsidRPr="00A54ECA">
              <w:rPr>
                <w:rFonts w:ascii="Arial Narrow" w:hAnsi="Arial Narrow"/>
                <w:b/>
                <w:color w:val="000000"/>
                <w:sz w:val="24"/>
                <w:szCs w:val="24"/>
              </w:rPr>
              <w:t>-1.4%</w:t>
            </w:r>
          </w:p>
        </w:tc>
      </w:tr>
      <w:tr w:rsidR="00C37DA5" w:rsidRPr="00A54ECA" w:rsidTr="0009738C">
        <w:tc>
          <w:tcPr>
            <w:cnfStyle w:val="001000000000" w:firstRow="0" w:lastRow="0" w:firstColumn="1" w:lastColumn="0" w:oddVBand="0" w:evenVBand="0" w:oddHBand="0" w:evenHBand="0" w:firstRowFirstColumn="0" w:firstRowLastColumn="0" w:lastRowFirstColumn="0" w:lastRowLastColumn="0"/>
            <w:tcW w:w="969" w:type="pct"/>
          </w:tcPr>
          <w:p w:rsidR="00C37DA5" w:rsidRPr="00A54ECA" w:rsidRDefault="00C37DA5" w:rsidP="002A213E">
            <w:pPr>
              <w:pStyle w:val="TableBodytext"/>
              <w:keepNext/>
              <w:spacing w:before="0" w:after="0" w:line="300" w:lineRule="auto"/>
              <w:rPr>
                <w:rFonts w:ascii="Arial Narrow" w:hAnsi="Arial Narrow"/>
                <w:sz w:val="24"/>
                <w:szCs w:val="24"/>
              </w:rPr>
            </w:pPr>
            <w:r w:rsidRPr="00A54ECA">
              <w:rPr>
                <w:rFonts w:ascii="Arial Narrow" w:hAnsi="Arial Narrow"/>
                <w:sz w:val="24"/>
                <w:szCs w:val="24"/>
              </w:rPr>
              <w:t>Arun</w:t>
            </w:r>
          </w:p>
        </w:tc>
        <w:tc>
          <w:tcPr>
            <w:tcW w:w="538" w:type="pct"/>
          </w:tcPr>
          <w:p w:rsidR="00C37DA5" w:rsidRPr="00A54ECA" w:rsidRDefault="00C37DA5" w:rsidP="002A213E">
            <w:pPr>
              <w:pStyle w:val="TableBodytext"/>
              <w:keepNext/>
              <w:spacing w:before="0"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1.2%</w:t>
            </w:r>
          </w:p>
        </w:tc>
        <w:tc>
          <w:tcPr>
            <w:tcW w:w="689" w:type="pct"/>
          </w:tcPr>
          <w:p w:rsidR="00C37DA5" w:rsidRPr="00A54ECA" w:rsidRDefault="00C37DA5" w:rsidP="002A213E">
            <w:pPr>
              <w:pStyle w:val="TableBodytext"/>
              <w:keepNext/>
              <w:spacing w:before="0"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-6.0%</w:t>
            </w:r>
          </w:p>
        </w:tc>
        <w:tc>
          <w:tcPr>
            <w:tcW w:w="600" w:type="pct"/>
          </w:tcPr>
          <w:p w:rsidR="00C37DA5" w:rsidRPr="00A54ECA" w:rsidRDefault="00C37DA5" w:rsidP="002A213E">
            <w:pPr>
              <w:pStyle w:val="TableBodytext"/>
              <w:keepNext/>
              <w:spacing w:before="0"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-0.1%</w:t>
            </w:r>
          </w:p>
        </w:tc>
        <w:tc>
          <w:tcPr>
            <w:tcW w:w="634" w:type="pct"/>
          </w:tcPr>
          <w:p w:rsidR="00C37DA5" w:rsidRPr="00A54ECA" w:rsidRDefault="00C37DA5" w:rsidP="002A213E">
            <w:pPr>
              <w:pStyle w:val="TableBodytext"/>
              <w:keepNext/>
              <w:spacing w:before="0"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0.7%</w:t>
            </w:r>
          </w:p>
        </w:tc>
        <w:tc>
          <w:tcPr>
            <w:tcW w:w="661" w:type="pct"/>
          </w:tcPr>
          <w:p w:rsidR="00C37DA5" w:rsidRPr="00A54ECA" w:rsidRDefault="00C37DA5" w:rsidP="002A213E">
            <w:pPr>
              <w:pStyle w:val="TableBodytext"/>
              <w:keepNext/>
              <w:spacing w:before="0"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-0.9%</w:t>
            </w:r>
          </w:p>
        </w:tc>
        <w:tc>
          <w:tcPr>
            <w:tcW w:w="402" w:type="pct"/>
          </w:tcPr>
          <w:p w:rsidR="00C37DA5" w:rsidRPr="00A54ECA" w:rsidRDefault="00C37DA5" w:rsidP="002A213E">
            <w:pPr>
              <w:pStyle w:val="TableBodytext"/>
              <w:keepNext/>
              <w:spacing w:before="0"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5.7%</w:t>
            </w:r>
          </w:p>
        </w:tc>
        <w:tc>
          <w:tcPr>
            <w:tcW w:w="507" w:type="pct"/>
          </w:tcPr>
          <w:p w:rsidR="00C37DA5" w:rsidRPr="00A54ECA" w:rsidRDefault="00C37DA5" w:rsidP="002A213E">
            <w:pPr>
              <w:pStyle w:val="TableBodytext"/>
              <w:keepNext/>
              <w:spacing w:before="0"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-0.6%</w:t>
            </w:r>
          </w:p>
        </w:tc>
      </w:tr>
      <w:tr w:rsidR="00C37DA5" w:rsidRPr="00A54ECA" w:rsidTr="0009738C">
        <w:tc>
          <w:tcPr>
            <w:cnfStyle w:val="001000000000" w:firstRow="0" w:lastRow="0" w:firstColumn="1" w:lastColumn="0" w:oddVBand="0" w:evenVBand="0" w:oddHBand="0" w:evenHBand="0" w:firstRowFirstColumn="0" w:firstRowLastColumn="0" w:lastRowFirstColumn="0" w:lastRowLastColumn="0"/>
            <w:tcW w:w="969" w:type="pct"/>
          </w:tcPr>
          <w:p w:rsidR="00C37DA5" w:rsidRPr="00A54ECA" w:rsidRDefault="00C37DA5" w:rsidP="002A213E">
            <w:pPr>
              <w:pStyle w:val="TableBodytext"/>
              <w:keepNext/>
              <w:spacing w:before="0" w:after="0" w:line="300" w:lineRule="auto"/>
              <w:rPr>
                <w:rFonts w:ascii="Arial Narrow" w:hAnsi="Arial Narrow"/>
                <w:sz w:val="24"/>
                <w:szCs w:val="24"/>
              </w:rPr>
            </w:pPr>
            <w:r w:rsidRPr="00A54ECA">
              <w:rPr>
                <w:rFonts w:ascii="Arial Narrow" w:hAnsi="Arial Narrow"/>
                <w:sz w:val="24"/>
                <w:szCs w:val="24"/>
              </w:rPr>
              <w:t>Cotswold</w:t>
            </w:r>
          </w:p>
        </w:tc>
        <w:tc>
          <w:tcPr>
            <w:tcW w:w="538" w:type="pct"/>
          </w:tcPr>
          <w:p w:rsidR="00C37DA5" w:rsidRPr="00A54ECA" w:rsidRDefault="00C37DA5" w:rsidP="002A213E">
            <w:pPr>
              <w:pStyle w:val="TableBodytext"/>
              <w:keepNext/>
              <w:spacing w:before="0"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3.6%</w:t>
            </w:r>
          </w:p>
        </w:tc>
        <w:tc>
          <w:tcPr>
            <w:tcW w:w="689" w:type="pct"/>
          </w:tcPr>
          <w:p w:rsidR="00C37DA5" w:rsidRPr="00A54ECA" w:rsidRDefault="00C37DA5" w:rsidP="002A213E">
            <w:pPr>
              <w:pStyle w:val="TableBodytext"/>
              <w:keepNext/>
              <w:spacing w:before="0"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-5.8%</w:t>
            </w:r>
          </w:p>
        </w:tc>
        <w:tc>
          <w:tcPr>
            <w:tcW w:w="600" w:type="pct"/>
          </w:tcPr>
          <w:p w:rsidR="00C37DA5" w:rsidRPr="00A54ECA" w:rsidRDefault="00C37DA5" w:rsidP="002A213E">
            <w:pPr>
              <w:pStyle w:val="TableBodytext"/>
              <w:keepNext/>
              <w:spacing w:before="0"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0.2%</w:t>
            </w:r>
          </w:p>
        </w:tc>
        <w:tc>
          <w:tcPr>
            <w:tcW w:w="634" w:type="pct"/>
          </w:tcPr>
          <w:p w:rsidR="00C37DA5" w:rsidRPr="00A54ECA" w:rsidRDefault="00C37DA5" w:rsidP="002A213E">
            <w:pPr>
              <w:pStyle w:val="TableBodytext"/>
              <w:keepNext/>
              <w:spacing w:before="0"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0.3%</w:t>
            </w:r>
          </w:p>
        </w:tc>
        <w:tc>
          <w:tcPr>
            <w:tcW w:w="661" w:type="pct"/>
          </w:tcPr>
          <w:p w:rsidR="00C37DA5" w:rsidRPr="00A54ECA" w:rsidRDefault="00C37DA5" w:rsidP="002A213E">
            <w:pPr>
              <w:pStyle w:val="TableBodytext"/>
              <w:keepNext/>
              <w:spacing w:before="0"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0.2%</w:t>
            </w:r>
          </w:p>
        </w:tc>
        <w:tc>
          <w:tcPr>
            <w:tcW w:w="402" w:type="pct"/>
          </w:tcPr>
          <w:p w:rsidR="00C37DA5" w:rsidRPr="00A54ECA" w:rsidRDefault="00C37DA5" w:rsidP="002A213E">
            <w:pPr>
              <w:pStyle w:val="TableBodytext"/>
              <w:keepNext/>
              <w:spacing w:before="0"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3.2%</w:t>
            </w:r>
          </w:p>
        </w:tc>
        <w:tc>
          <w:tcPr>
            <w:tcW w:w="507" w:type="pct"/>
          </w:tcPr>
          <w:p w:rsidR="00C37DA5" w:rsidRPr="00A54ECA" w:rsidRDefault="00C37DA5" w:rsidP="002A213E">
            <w:pPr>
              <w:pStyle w:val="TableBodytext"/>
              <w:keepNext/>
              <w:spacing w:before="0"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-1.7%</w:t>
            </w:r>
          </w:p>
        </w:tc>
      </w:tr>
      <w:tr w:rsidR="00C37DA5" w:rsidRPr="00A54ECA" w:rsidTr="0009738C">
        <w:tc>
          <w:tcPr>
            <w:cnfStyle w:val="001000000000" w:firstRow="0" w:lastRow="0" w:firstColumn="1" w:lastColumn="0" w:oddVBand="0" w:evenVBand="0" w:oddHBand="0" w:evenHBand="0" w:firstRowFirstColumn="0" w:firstRowLastColumn="0" w:lastRowFirstColumn="0" w:lastRowLastColumn="0"/>
            <w:tcW w:w="969" w:type="pct"/>
          </w:tcPr>
          <w:p w:rsidR="00C37DA5" w:rsidRPr="00A54ECA" w:rsidRDefault="00C37DA5" w:rsidP="002A213E">
            <w:pPr>
              <w:pStyle w:val="TableBodytext"/>
              <w:keepNext/>
              <w:spacing w:before="0" w:after="0" w:line="300" w:lineRule="auto"/>
              <w:rPr>
                <w:rFonts w:ascii="Arial Narrow" w:hAnsi="Arial Narrow"/>
                <w:sz w:val="24"/>
                <w:szCs w:val="24"/>
              </w:rPr>
            </w:pPr>
            <w:r w:rsidRPr="00A54ECA">
              <w:rPr>
                <w:rFonts w:ascii="Arial Narrow" w:hAnsi="Arial Narrow"/>
                <w:sz w:val="24"/>
                <w:szCs w:val="24"/>
              </w:rPr>
              <w:t>West Dorset</w:t>
            </w:r>
          </w:p>
        </w:tc>
        <w:tc>
          <w:tcPr>
            <w:tcW w:w="538" w:type="pct"/>
          </w:tcPr>
          <w:p w:rsidR="00C37DA5" w:rsidRPr="00A54ECA" w:rsidRDefault="00C37DA5" w:rsidP="002A213E">
            <w:pPr>
              <w:pStyle w:val="TableBodytext"/>
              <w:keepNext/>
              <w:spacing w:before="0"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2.7%</w:t>
            </w:r>
          </w:p>
        </w:tc>
        <w:tc>
          <w:tcPr>
            <w:tcW w:w="689" w:type="pct"/>
          </w:tcPr>
          <w:p w:rsidR="00C37DA5" w:rsidRPr="00A54ECA" w:rsidRDefault="00C37DA5" w:rsidP="002A213E">
            <w:pPr>
              <w:pStyle w:val="TableBodytext"/>
              <w:keepNext/>
              <w:spacing w:before="0"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-5.2%</w:t>
            </w:r>
          </w:p>
        </w:tc>
        <w:tc>
          <w:tcPr>
            <w:tcW w:w="600" w:type="pct"/>
          </w:tcPr>
          <w:p w:rsidR="00C37DA5" w:rsidRPr="00A54ECA" w:rsidRDefault="00C37DA5" w:rsidP="002A213E">
            <w:pPr>
              <w:pStyle w:val="TableBodytext"/>
              <w:keepNext/>
              <w:spacing w:before="0"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0.3%</w:t>
            </w:r>
          </w:p>
        </w:tc>
        <w:tc>
          <w:tcPr>
            <w:tcW w:w="634" w:type="pct"/>
          </w:tcPr>
          <w:p w:rsidR="00C37DA5" w:rsidRPr="00A54ECA" w:rsidRDefault="00C37DA5" w:rsidP="002A213E">
            <w:pPr>
              <w:pStyle w:val="TableBodytext"/>
              <w:keepNext/>
              <w:spacing w:before="0"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-0.2%</w:t>
            </w:r>
          </w:p>
        </w:tc>
        <w:tc>
          <w:tcPr>
            <w:tcW w:w="661" w:type="pct"/>
          </w:tcPr>
          <w:p w:rsidR="00C37DA5" w:rsidRPr="00A54ECA" w:rsidRDefault="00C37DA5" w:rsidP="002A213E">
            <w:pPr>
              <w:pStyle w:val="TableBodytext"/>
              <w:keepNext/>
              <w:spacing w:before="0"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0.1%</w:t>
            </w:r>
          </w:p>
        </w:tc>
        <w:tc>
          <w:tcPr>
            <w:tcW w:w="402" w:type="pct"/>
          </w:tcPr>
          <w:p w:rsidR="00C37DA5" w:rsidRPr="00A54ECA" w:rsidRDefault="00C37DA5" w:rsidP="002A213E">
            <w:pPr>
              <w:pStyle w:val="TableBodytext"/>
              <w:keepNext/>
              <w:spacing w:before="0"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3.4%</w:t>
            </w:r>
          </w:p>
        </w:tc>
        <w:tc>
          <w:tcPr>
            <w:tcW w:w="507" w:type="pct"/>
          </w:tcPr>
          <w:p w:rsidR="00C37DA5" w:rsidRPr="00A54ECA" w:rsidRDefault="00C37DA5" w:rsidP="002A213E">
            <w:pPr>
              <w:pStyle w:val="TableBodytext"/>
              <w:keepNext/>
              <w:spacing w:before="0"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-1.1%</w:t>
            </w:r>
          </w:p>
        </w:tc>
      </w:tr>
      <w:tr w:rsidR="00C37DA5" w:rsidRPr="00A54ECA" w:rsidTr="0009738C">
        <w:tc>
          <w:tcPr>
            <w:cnfStyle w:val="001000000000" w:firstRow="0" w:lastRow="0" w:firstColumn="1" w:lastColumn="0" w:oddVBand="0" w:evenVBand="0" w:oddHBand="0" w:evenHBand="0" w:firstRowFirstColumn="0" w:firstRowLastColumn="0" w:lastRowFirstColumn="0" w:lastRowLastColumn="0"/>
            <w:tcW w:w="969" w:type="pct"/>
          </w:tcPr>
          <w:p w:rsidR="00C37DA5" w:rsidRPr="00A54ECA" w:rsidRDefault="00C37DA5" w:rsidP="002A213E">
            <w:pPr>
              <w:pStyle w:val="TableBodytext"/>
              <w:keepNext/>
              <w:spacing w:before="0" w:after="0" w:line="300" w:lineRule="auto"/>
              <w:rPr>
                <w:rFonts w:ascii="Arial Narrow" w:hAnsi="Arial Narrow"/>
                <w:sz w:val="24"/>
                <w:szCs w:val="24"/>
              </w:rPr>
            </w:pPr>
            <w:r w:rsidRPr="00A54ECA">
              <w:rPr>
                <w:rFonts w:ascii="Arial Narrow" w:hAnsi="Arial Narrow"/>
                <w:sz w:val="24"/>
                <w:szCs w:val="24"/>
              </w:rPr>
              <w:t>West Sussex</w:t>
            </w:r>
          </w:p>
        </w:tc>
        <w:tc>
          <w:tcPr>
            <w:tcW w:w="538" w:type="pct"/>
          </w:tcPr>
          <w:p w:rsidR="00C37DA5" w:rsidRPr="00A54ECA" w:rsidRDefault="00C37DA5" w:rsidP="002A213E">
            <w:pPr>
              <w:pStyle w:val="TableBodytext"/>
              <w:keepNext/>
              <w:spacing w:before="0"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1.1%</w:t>
            </w:r>
          </w:p>
        </w:tc>
        <w:tc>
          <w:tcPr>
            <w:tcW w:w="689" w:type="pct"/>
          </w:tcPr>
          <w:p w:rsidR="00C37DA5" w:rsidRPr="00A54ECA" w:rsidRDefault="00C37DA5" w:rsidP="002A213E">
            <w:pPr>
              <w:pStyle w:val="TableBodytext"/>
              <w:keepNext/>
              <w:spacing w:before="0"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-6.3%</w:t>
            </w:r>
          </w:p>
        </w:tc>
        <w:tc>
          <w:tcPr>
            <w:tcW w:w="600" w:type="pct"/>
          </w:tcPr>
          <w:p w:rsidR="00C37DA5" w:rsidRPr="00A54ECA" w:rsidRDefault="00C37DA5" w:rsidP="002A213E">
            <w:pPr>
              <w:pStyle w:val="TableBodytext"/>
              <w:keepNext/>
              <w:spacing w:before="0"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0.2%</w:t>
            </w:r>
          </w:p>
        </w:tc>
        <w:tc>
          <w:tcPr>
            <w:tcW w:w="634" w:type="pct"/>
          </w:tcPr>
          <w:p w:rsidR="00C37DA5" w:rsidRPr="00A54ECA" w:rsidRDefault="00C37DA5" w:rsidP="002A213E">
            <w:pPr>
              <w:pStyle w:val="TableBodytext"/>
              <w:keepNext/>
              <w:spacing w:before="0"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1.8%</w:t>
            </w:r>
          </w:p>
        </w:tc>
        <w:tc>
          <w:tcPr>
            <w:tcW w:w="661" w:type="pct"/>
          </w:tcPr>
          <w:p w:rsidR="00C37DA5" w:rsidRPr="00A54ECA" w:rsidRDefault="00C37DA5" w:rsidP="002A213E">
            <w:pPr>
              <w:pStyle w:val="TableBodytext"/>
              <w:keepNext/>
              <w:spacing w:before="0"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-1.7%</w:t>
            </w:r>
          </w:p>
        </w:tc>
        <w:tc>
          <w:tcPr>
            <w:tcW w:w="402" w:type="pct"/>
          </w:tcPr>
          <w:p w:rsidR="00C37DA5" w:rsidRPr="00A54ECA" w:rsidRDefault="00C37DA5" w:rsidP="002A213E">
            <w:pPr>
              <w:pStyle w:val="TableBodytext"/>
              <w:keepNext/>
              <w:spacing w:before="0"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5.6%</w:t>
            </w:r>
          </w:p>
        </w:tc>
        <w:tc>
          <w:tcPr>
            <w:tcW w:w="507" w:type="pct"/>
          </w:tcPr>
          <w:p w:rsidR="00C37DA5" w:rsidRPr="00A54ECA" w:rsidRDefault="00C37DA5" w:rsidP="002A213E">
            <w:pPr>
              <w:pStyle w:val="TableBodytext"/>
              <w:keepNext/>
              <w:spacing w:before="0"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-0.7%</w:t>
            </w:r>
          </w:p>
        </w:tc>
      </w:tr>
      <w:tr w:rsidR="00C37DA5" w:rsidRPr="00A54ECA" w:rsidTr="0009738C">
        <w:tc>
          <w:tcPr>
            <w:cnfStyle w:val="001000000000" w:firstRow="0" w:lastRow="0" w:firstColumn="1" w:lastColumn="0" w:oddVBand="0" w:evenVBand="0" w:oddHBand="0" w:evenHBand="0" w:firstRowFirstColumn="0" w:firstRowLastColumn="0" w:lastRowFirstColumn="0" w:lastRowLastColumn="0"/>
            <w:tcW w:w="969" w:type="pct"/>
          </w:tcPr>
          <w:p w:rsidR="00C37DA5" w:rsidRPr="00A54ECA" w:rsidRDefault="00C37DA5" w:rsidP="002A213E">
            <w:pPr>
              <w:pStyle w:val="TableBodytext"/>
              <w:keepNext/>
              <w:spacing w:before="0" w:after="0" w:line="300" w:lineRule="auto"/>
              <w:rPr>
                <w:rFonts w:ascii="Arial Narrow" w:hAnsi="Arial Narrow"/>
                <w:sz w:val="24"/>
                <w:szCs w:val="24"/>
              </w:rPr>
            </w:pPr>
            <w:r w:rsidRPr="00A54ECA">
              <w:rPr>
                <w:rFonts w:ascii="Arial Narrow" w:hAnsi="Arial Narrow"/>
                <w:sz w:val="24"/>
                <w:szCs w:val="24"/>
              </w:rPr>
              <w:t>Chichester and Bognor HMA</w:t>
            </w:r>
          </w:p>
        </w:tc>
        <w:tc>
          <w:tcPr>
            <w:tcW w:w="538" w:type="pct"/>
          </w:tcPr>
          <w:p w:rsidR="00C37DA5" w:rsidRPr="00A54ECA" w:rsidRDefault="00C37DA5" w:rsidP="002A213E">
            <w:pPr>
              <w:pStyle w:val="TableBodytext"/>
              <w:keepNext/>
              <w:spacing w:before="0"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1.3%</w:t>
            </w:r>
          </w:p>
        </w:tc>
        <w:tc>
          <w:tcPr>
            <w:tcW w:w="689" w:type="pct"/>
          </w:tcPr>
          <w:p w:rsidR="00C37DA5" w:rsidRPr="00A54ECA" w:rsidRDefault="00C37DA5" w:rsidP="002A213E">
            <w:pPr>
              <w:pStyle w:val="TableBodytext"/>
              <w:keepNext/>
              <w:spacing w:before="0"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-5.4%</w:t>
            </w:r>
          </w:p>
        </w:tc>
        <w:tc>
          <w:tcPr>
            <w:tcW w:w="600" w:type="pct"/>
          </w:tcPr>
          <w:p w:rsidR="00C37DA5" w:rsidRPr="00A54ECA" w:rsidRDefault="00C37DA5" w:rsidP="002A213E">
            <w:pPr>
              <w:pStyle w:val="TableBodytext"/>
              <w:keepNext/>
              <w:spacing w:before="0"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0.2%</w:t>
            </w:r>
          </w:p>
        </w:tc>
        <w:tc>
          <w:tcPr>
            <w:tcW w:w="634" w:type="pct"/>
          </w:tcPr>
          <w:p w:rsidR="00C37DA5" w:rsidRPr="00A54ECA" w:rsidRDefault="00C37DA5" w:rsidP="002A213E">
            <w:pPr>
              <w:pStyle w:val="TableBodytext"/>
              <w:keepNext/>
              <w:spacing w:before="0"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2.5%</w:t>
            </w:r>
          </w:p>
        </w:tc>
        <w:tc>
          <w:tcPr>
            <w:tcW w:w="661" w:type="pct"/>
          </w:tcPr>
          <w:p w:rsidR="00C37DA5" w:rsidRPr="00A54ECA" w:rsidRDefault="00C37DA5" w:rsidP="002A213E">
            <w:pPr>
              <w:pStyle w:val="TableBodytext"/>
              <w:keepNext/>
              <w:spacing w:before="0"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-2.5%</w:t>
            </w:r>
          </w:p>
        </w:tc>
        <w:tc>
          <w:tcPr>
            <w:tcW w:w="402" w:type="pct"/>
          </w:tcPr>
          <w:p w:rsidR="00C37DA5" w:rsidRPr="00A54ECA" w:rsidRDefault="00C37DA5" w:rsidP="002A213E">
            <w:pPr>
              <w:pStyle w:val="TableBodytext"/>
              <w:keepNext/>
              <w:spacing w:before="0"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4.9%</w:t>
            </w:r>
          </w:p>
        </w:tc>
        <w:tc>
          <w:tcPr>
            <w:tcW w:w="507" w:type="pct"/>
          </w:tcPr>
          <w:p w:rsidR="00C37DA5" w:rsidRPr="00A54ECA" w:rsidRDefault="00C37DA5" w:rsidP="002A213E">
            <w:pPr>
              <w:pStyle w:val="TableBodytext"/>
              <w:keepNext/>
              <w:spacing w:before="0"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-0.9%</w:t>
            </w:r>
          </w:p>
        </w:tc>
      </w:tr>
      <w:tr w:rsidR="00C37DA5" w:rsidRPr="00A54ECA" w:rsidTr="0009738C">
        <w:tc>
          <w:tcPr>
            <w:cnfStyle w:val="001000000000" w:firstRow="0" w:lastRow="0" w:firstColumn="1" w:lastColumn="0" w:oddVBand="0" w:evenVBand="0" w:oddHBand="0" w:evenHBand="0" w:firstRowFirstColumn="0" w:firstRowLastColumn="0" w:lastRowFirstColumn="0" w:lastRowLastColumn="0"/>
            <w:tcW w:w="969" w:type="pct"/>
          </w:tcPr>
          <w:p w:rsidR="00C37DA5" w:rsidRPr="00A54ECA" w:rsidRDefault="00C37DA5" w:rsidP="002A213E">
            <w:pPr>
              <w:pStyle w:val="TableBodytext"/>
              <w:keepNext/>
              <w:spacing w:before="0" w:after="0" w:line="300" w:lineRule="auto"/>
              <w:rPr>
                <w:rFonts w:ascii="Arial Narrow" w:hAnsi="Arial Narrow"/>
                <w:sz w:val="24"/>
                <w:szCs w:val="24"/>
              </w:rPr>
            </w:pPr>
            <w:r w:rsidRPr="00A54ECA">
              <w:rPr>
                <w:rFonts w:ascii="Arial Narrow" w:hAnsi="Arial Narrow"/>
                <w:sz w:val="24"/>
                <w:szCs w:val="24"/>
              </w:rPr>
              <w:t>South East</w:t>
            </w:r>
          </w:p>
        </w:tc>
        <w:tc>
          <w:tcPr>
            <w:tcW w:w="538" w:type="pct"/>
          </w:tcPr>
          <w:p w:rsidR="00C37DA5" w:rsidRPr="00A54ECA" w:rsidRDefault="00C37DA5" w:rsidP="002A213E">
            <w:pPr>
              <w:pStyle w:val="TableBodytext"/>
              <w:keepNext/>
              <w:spacing w:before="0"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1.2%</w:t>
            </w:r>
          </w:p>
        </w:tc>
        <w:tc>
          <w:tcPr>
            <w:tcW w:w="689" w:type="pct"/>
          </w:tcPr>
          <w:p w:rsidR="00C37DA5" w:rsidRPr="00A54ECA" w:rsidRDefault="00C37DA5" w:rsidP="002A213E">
            <w:pPr>
              <w:pStyle w:val="TableBodytext"/>
              <w:keepNext/>
              <w:spacing w:before="0"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-6.8%</w:t>
            </w:r>
          </w:p>
        </w:tc>
        <w:tc>
          <w:tcPr>
            <w:tcW w:w="600" w:type="pct"/>
          </w:tcPr>
          <w:p w:rsidR="00C37DA5" w:rsidRPr="00A54ECA" w:rsidRDefault="00C37DA5" w:rsidP="002A213E">
            <w:pPr>
              <w:pStyle w:val="TableBodytext"/>
              <w:keepNext/>
              <w:spacing w:before="0"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0.3%</w:t>
            </w:r>
          </w:p>
        </w:tc>
        <w:tc>
          <w:tcPr>
            <w:tcW w:w="634" w:type="pct"/>
          </w:tcPr>
          <w:p w:rsidR="00C37DA5" w:rsidRPr="00A54ECA" w:rsidRDefault="00C37DA5" w:rsidP="002A213E">
            <w:pPr>
              <w:pStyle w:val="TableBodytext"/>
              <w:keepNext/>
              <w:spacing w:before="0"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1.3%</w:t>
            </w:r>
          </w:p>
        </w:tc>
        <w:tc>
          <w:tcPr>
            <w:tcW w:w="661" w:type="pct"/>
          </w:tcPr>
          <w:p w:rsidR="00C37DA5" w:rsidRPr="00A54ECA" w:rsidRDefault="00C37DA5" w:rsidP="002A213E">
            <w:pPr>
              <w:pStyle w:val="TableBodytext"/>
              <w:keepNext/>
              <w:spacing w:before="0"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-1.5%</w:t>
            </w:r>
          </w:p>
        </w:tc>
        <w:tc>
          <w:tcPr>
            <w:tcW w:w="402" w:type="pct"/>
          </w:tcPr>
          <w:p w:rsidR="00C37DA5" w:rsidRPr="00A54ECA" w:rsidRDefault="00C37DA5" w:rsidP="002A213E">
            <w:pPr>
              <w:pStyle w:val="TableBodytext"/>
              <w:keepNext/>
              <w:spacing w:before="0"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6.1%</w:t>
            </w:r>
          </w:p>
        </w:tc>
        <w:tc>
          <w:tcPr>
            <w:tcW w:w="507" w:type="pct"/>
          </w:tcPr>
          <w:p w:rsidR="00C37DA5" w:rsidRPr="00A54ECA" w:rsidRDefault="00C37DA5" w:rsidP="002A213E">
            <w:pPr>
              <w:pStyle w:val="TableBodytext"/>
              <w:keepNext/>
              <w:spacing w:before="0"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-0.6%</w:t>
            </w:r>
          </w:p>
        </w:tc>
      </w:tr>
      <w:tr w:rsidR="00C37DA5" w:rsidRPr="00A54ECA" w:rsidTr="0009738C">
        <w:tc>
          <w:tcPr>
            <w:cnfStyle w:val="001000000000" w:firstRow="0" w:lastRow="0" w:firstColumn="1" w:lastColumn="0" w:oddVBand="0" w:evenVBand="0" w:oddHBand="0" w:evenHBand="0" w:firstRowFirstColumn="0" w:firstRowLastColumn="0" w:lastRowFirstColumn="0" w:lastRowLastColumn="0"/>
            <w:tcW w:w="969" w:type="pct"/>
          </w:tcPr>
          <w:p w:rsidR="00C37DA5" w:rsidRPr="00A54ECA" w:rsidRDefault="00C37DA5" w:rsidP="002A213E">
            <w:pPr>
              <w:pStyle w:val="TableBodytext"/>
              <w:keepNext/>
              <w:spacing w:before="0" w:after="0" w:line="300" w:lineRule="auto"/>
              <w:rPr>
                <w:rFonts w:ascii="Arial Narrow" w:hAnsi="Arial Narrow"/>
                <w:sz w:val="24"/>
                <w:szCs w:val="24"/>
              </w:rPr>
            </w:pPr>
            <w:r w:rsidRPr="00A54ECA">
              <w:rPr>
                <w:rFonts w:ascii="Arial Narrow" w:hAnsi="Arial Narrow"/>
                <w:sz w:val="24"/>
                <w:szCs w:val="24"/>
              </w:rPr>
              <w:t>England &amp; Wales</w:t>
            </w:r>
          </w:p>
        </w:tc>
        <w:tc>
          <w:tcPr>
            <w:tcW w:w="538" w:type="pct"/>
          </w:tcPr>
          <w:p w:rsidR="00C37DA5" w:rsidRPr="00A54ECA" w:rsidRDefault="00C37DA5" w:rsidP="002A213E">
            <w:pPr>
              <w:pStyle w:val="TableBodytext"/>
              <w:keepNext/>
              <w:spacing w:before="0"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1.4%</w:t>
            </w:r>
          </w:p>
        </w:tc>
        <w:tc>
          <w:tcPr>
            <w:tcW w:w="689" w:type="pct"/>
          </w:tcPr>
          <w:p w:rsidR="00C37DA5" w:rsidRPr="00A54ECA" w:rsidRDefault="00C37DA5" w:rsidP="002A213E">
            <w:pPr>
              <w:pStyle w:val="TableBodytext"/>
              <w:keepNext/>
              <w:spacing w:before="0"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-6.0%</w:t>
            </w:r>
          </w:p>
        </w:tc>
        <w:tc>
          <w:tcPr>
            <w:tcW w:w="600" w:type="pct"/>
          </w:tcPr>
          <w:p w:rsidR="00C37DA5" w:rsidRPr="00A54ECA" w:rsidRDefault="00C37DA5" w:rsidP="002A213E">
            <w:pPr>
              <w:pStyle w:val="TableBodytext"/>
              <w:keepNext/>
              <w:spacing w:before="0"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0.1%</w:t>
            </w:r>
          </w:p>
        </w:tc>
        <w:tc>
          <w:tcPr>
            <w:tcW w:w="634" w:type="pct"/>
          </w:tcPr>
          <w:p w:rsidR="00C37DA5" w:rsidRPr="00A54ECA" w:rsidRDefault="00C37DA5" w:rsidP="002A213E">
            <w:pPr>
              <w:pStyle w:val="TableBodytext"/>
              <w:keepNext/>
              <w:spacing w:before="0"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2.2%</w:t>
            </w:r>
          </w:p>
        </w:tc>
        <w:tc>
          <w:tcPr>
            <w:tcW w:w="661" w:type="pct"/>
          </w:tcPr>
          <w:p w:rsidR="00C37DA5" w:rsidRPr="00A54ECA" w:rsidRDefault="00C37DA5" w:rsidP="002A213E">
            <w:pPr>
              <w:pStyle w:val="TableBodytext"/>
              <w:keepNext/>
              <w:spacing w:before="0"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-3.8%</w:t>
            </w:r>
          </w:p>
        </w:tc>
        <w:tc>
          <w:tcPr>
            <w:tcW w:w="402" w:type="pct"/>
          </w:tcPr>
          <w:p w:rsidR="00C37DA5" w:rsidRPr="00A54ECA" w:rsidRDefault="00C37DA5" w:rsidP="002A213E">
            <w:pPr>
              <w:pStyle w:val="TableBodytext"/>
              <w:keepNext/>
              <w:spacing w:before="0"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6.8%</w:t>
            </w:r>
          </w:p>
        </w:tc>
        <w:tc>
          <w:tcPr>
            <w:tcW w:w="507" w:type="pct"/>
          </w:tcPr>
          <w:p w:rsidR="00C37DA5" w:rsidRPr="00A54ECA" w:rsidRDefault="00C37DA5" w:rsidP="002A213E">
            <w:pPr>
              <w:pStyle w:val="TableBodytext"/>
              <w:keepNext/>
              <w:spacing w:before="0"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-0.7%</w:t>
            </w:r>
          </w:p>
        </w:tc>
      </w:tr>
    </w:tbl>
    <w:p w:rsidR="00C37DA5" w:rsidRPr="00A54ECA" w:rsidRDefault="00C37DA5" w:rsidP="0009738C">
      <w:pPr>
        <w:spacing w:after="120" w:line="360" w:lineRule="auto"/>
        <w:jc w:val="both"/>
        <w:rPr>
          <w:rFonts w:asciiTheme="minorHAnsi" w:hAnsiTheme="minorHAnsi" w:cstheme="minorHAnsi"/>
          <w:bCs/>
          <w:iCs/>
          <w:sz w:val="24"/>
          <w:szCs w:val="24"/>
        </w:rPr>
      </w:pPr>
      <w:r w:rsidRPr="00A54ECA">
        <w:rPr>
          <w:rFonts w:asciiTheme="minorHAnsi" w:hAnsiTheme="minorHAnsi" w:cstheme="minorHAnsi"/>
          <w:bCs/>
          <w:iCs/>
          <w:sz w:val="24"/>
          <w:szCs w:val="24"/>
        </w:rPr>
        <w:t>Source: Census 2001 &amp; 2011 * Note numbers may not sum due to rounding.</w:t>
      </w:r>
    </w:p>
    <w:p w:rsidR="00C37DA5" w:rsidRPr="00CA47B9" w:rsidRDefault="00C37DA5" w:rsidP="00020CFC">
      <w:pPr>
        <w:pStyle w:val="11Bodytext"/>
        <w:tabs>
          <w:tab w:val="clear" w:pos="2212"/>
          <w:tab w:val="num" w:pos="567"/>
        </w:tabs>
        <w:ind w:left="567" w:hanging="567"/>
      </w:pPr>
      <w:r w:rsidRPr="00CA47B9">
        <w:t xml:space="preserve">The inverse correlation between the growth in renting from registered providers (affordable and social) and the decline in renting from the Council reflects the transfer of housing stock to Housing Associations. </w:t>
      </w:r>
    </w:p>
    <w:p w:rsidR="00C37DA5" w:rsidRPr="00CA47B9" w:rsidRDefault="00C37DA5" w:rsidP="00020CFC">
      <w:pPr>
        <w:pStyle w:val="11Bodytext"/>
        <w:tabs>
          <w:tab w:val="clear" w:pos="2212"/>
          <w:tab w:val="num" w:pos="567"/>
        </w:tabs>
        <w:ind w:left="567" w:hanging="567"/>
      </w:pPr>
      <w:r w:rsidRPr="00CA47B9">
        <w:t>Finally, shared ownership grew slightly faster in Chichester District when compared to the other comparable authorities and the region. Although the tenure still only equates to 0.9% of all households.</w:t>
      </w:r>
    </w:p>
    <w:p w:rsidR="00C37DA5" w:rsidRPr="00CA47B9" w:rsidRDefault="00C37DA5" w:rsidP="00BD6C75">
      <w:pPr>
        <w:pStyle w:val="SubheadBlue12"/>
        <w:ind w:left="567" w:firstLine="0"/>
      </w:pPr>
      <w:r w:rsidRPr="00CA47B9">
        <w:t xml:space="preserve">Housing Supply Trends </w:t>
      </w:r>
    </w:p>
    <w:p w:rsidR="00C37DA5" w:rsidRPr="002623A5" w:rsidRDefault="00C37DA5" w:rsidP="00020CFC">
      <w:pPr>
        <w:pStyle w:val="11Bodytext"/>
        <w:tabs>
          <w:tab w:val="clear" w:pos="2212"/>
          <w:tab w:val="num" w:pos="567"/>
        </w:tabs>
        <w:ind w:left="567" w:hanging="567"/>
      </w:pPr>
      <w:r w:rsidRPr="002623A5">
        <w:t xml:space="preserve">Figure </w:t>
      </w:r>
      <w:r w:rsidR="00442CA7" w:rsidRPr="002623A5">
        <w:t>1</w:t>
      </w:r>
      <w:r w:rsidR="002029B9" w:rsidRPr="002623A5">
        <w:t>4</w:t>
      </w:r>
      <w:r w:rsidRPr="002623A5">
        <w:t xml:space="preserve"> shows the net housing completions in </w:t>
      </w:r>
      <w:r w:rsidR="002623A5">
        <w:t xml:space="preserve">the </w:t>
      </w:r>
      <w:r w:rsidRPr="002623A5">
        <w:t xml:space="preserve">Chichester </w:t>
      </w:r>
      <w:r w:rsidR="00B2309F">
        <w:t>Plan Area</w:t>
      </w:r>
      <w:r w:rsidR="00B2309F" w:rsidRPr="002623A5">
        <w:t xml:space="preserve"> </w:t>
      </w:r>
      <w:r w:rsidRPr="002623A5">
        <w:t>since 2012</w:t>
      </w:r>
      <w:r w:rsidR="00B2309F">
        <w:t xml:space="preserve"> against the Local Plan Target of 435 dpa.</w:t>
      </w:r>
      <w:r w:rsidR="00855CA6">
        <w:t xml:space="preserve"> </w:t>
      </w:r>
      <w:r w:rsidR="002623A5">
        <w:t xml:space="preserve">The target has been exceeded in the last four years however </w:t>
      </w:r>
      <w:r w:rsidRPr="002623A5">
        <w:t>there has been a</w:t>
      </w:r>
      <w:r w:rsidR="002623A5">
        <w:t xml:space="preserve">n overall </w:t>
      </w:r>
      <w:r w:rsidRPr="002623A5">
        <w:t xml:space="preserve">shortfall in delivery of </w:t>
      </w:r>
      <w:r w:rsidR="002623A5">
        <w:t>28 dwellings</w:t>
      </w:r>
      <w:r w:rsidR="00C00EB0">
        <w:t xml:space="preserve"> (3,017 versus 3,045)</w:t>
      </w:r>
      <w:r w:rsidRPr="002623A5">
        <w:t xml:space="preserve">. </w:t>
      </w:r>
    </w:p>
    <w:p w:rsidR="00C37DA5" w:rsidRDefault="00C37DA5" w:rsidP="0009738C">
      <w:pPr>
        <w:pStyle w:val="FigureHeading"/>
        <w:tabs>
          <w:tab w:val="clear" w:pos="794"/>
          <w:tab w:val="clear" w:pos="1843"/>
          <w:tab w:val="left" w:pos="0"/>
        </w:tabs>
        <w:spacing w:line="240" w:lineRule="auto"/>
        <w:ind w:left="0" w:firstLine="0"/>
      </w:pPr>
      <w:bookmarkStart w:id="67" w:name="_Toc485905647"/>
      <w:r w:rsidRPr="00CA47B9">
        <w:lastRenderedPageBreak/>
        <w:t>Housing Supply vs. Target</w:t>
      </w:r>
      <w:bookmarkEnd w:id="67"/>
      <w:r w:rsidR="00BF2022">
        <w:t xml:space="preserve"> </w:t>
      </w:r>
      <w:r w:rsidR="009F63D2">
        <w:t>2012/13 to 2018/19</w:t>
      </w:r>
    </w:p>
    <w:p w:rsidR="00C37DA5" w:rsidRPr="00CA47B9" w:rsidRDefault="002623A5" w:rsidP="00A1178F">
      <w:pPr>
        <w:rPr>
          <w:rFonts w:asciiTheme="minorHAnsi" w:hAnsiTheme="minorHAnsi" w:cstheme="minorHAnsi"/>
        </w:rPr>
      </w:pPr>
      <w:r>
        <w:rPr>
          <w:noProof/>
          <w:szCs w:val="24"/>
          <w:lang w:eastAsia="en-GB"/>
        </w:rPr>
        <w:drawing>
          <wp:inline distT="0" distB="0" distL="0" distR="0" wp14:anchorId="790BAC7D" wp14:editId="4FE52973">
            <wp:extent cx="6127200" cy="3452400"/>
            <wp:effectExtent l="0" t="0" r="26035" b="15240"/>
            <wp:docPr id="1" name="Chart 1" descr="Chart showing housing supply completed as bars compared to the requirement shown as a line." title="Figure 14: Housing Supply vs Target 2012/13 to 2018/1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rFonts w:asciiTheme="minorHAnsi" w:hAnsiTheme="minorHAnsi" w:cstheme="minorHAnsi"/>
        </w:rPr>
        <w:tab/>
      </w:r>
      <w:r w:rsidR="00C37DA5" w:rsidRPr="00A54ECA">
        <w:rPr>
          <w:rFonts w:asciiTheme="minorHAnsi" w:hAnsiTheme="minorHAnsi" w:cstheme="minorHAnsi"/>
          <w:sz w:val="24"/>
          <w:szCs w:val="24"/>
        </w:rPr>
        <w:t>Source: Chichester AMRs</w:t>
      </w:r>
    </w:p>
    <w:p w:rsidR="00F932F8" w:rsidRPr="00873DCC" w:rsidRDefault="00F932F8" w:rsidP="00020CFC">
      <w:pPr>
        <w:pStyle w:val="11Bodytext"/>
        <w:tabs>
          <w:tab w:val="clear" w:pos="2212"/>
          <w:tab w:val="num" w:pos="567"/>
        </w:tabs>
        <w:ind w:left="567" w:hanging="567"/>
      </w:pPr>
      <w:r w:rsidRPr="00873DCC">
        <w:t>By adopting the standard method the Council have ensured that any historic backlog</w:t>
      </w:r>
      <w:r w:rsidR="00716AB6">
        <w:t xml:space="preserve"> (however minor)</w:t>
      </w:r>
      <w:r w:rsidR="002623A5" w:rsidRPr="00873DCC">
        <w:t xml:space="preserve"> during this period</w:t>
      </w:r>
      <w:r w:rsidRPr="00873DCC">
        <w:t xml:space="preserve"> is accounted for. </w:t>
      </w:r>
      <w:r w:rsidR="002623A5" w:rsidRPr="00873DCC">
        <w:t>This is confirmed by Paragraph 2 of the PPG (Reference ID: 2a-002-20190220) which states</w:t>
      </w:r>
      <w:r w:rsidR="002623A5">
        <w:t>:</w:t>
      </w:r>
    </w:p>
    <w:p w:rsidR="002623A5" w:rsidRPr="00A54ECA" w:rsidRDefault="002623A5" w:rsidP="00A54ECA">
      <w:pPr>
        <w:pStyle w:val="Quotetext"/>
      </w:pPr>
      <w:r w:rsidRPr="00A54ECA">
        <w:t>“The standard method uses a formula to identify the minimum number of homes expected to be planned for, in a way which addresses projected household growth and historic under-supply.”</w:t>
      </w:r>
    </w:p>
    <w:p w:rsidR="00C37DA5" w:rsidRPr="00CA47B9" w:rsidRDefault="00C37DA5" w:rsidP="00BD6C75">
      <w:pPr>
        <w:pStyle w:val="SubheadBlue12"/>
        <w:ind w:left="567" w:firstLine="0"/>
      </w:pPr>
      <w:r w:rsidRPr="00CA47B9">
        <w:t xml:space="preserve">Overcrowded and Shared Housing </w:t>
      </w:r>
    </w:p>
    <w:p w:rsidR="00C37DA5" w:rsidRPr="002029B9" w:rsidRDefault="00C37DA5" w:rsidP="00020CFC">
      <w:pPr>
        <w:pStyle w:val="11Bodytext"/>
        <w:tabs>
          <w:tab w:val="clear" w:pos="2212"/>
          <w:tab w:val="num" w:pos="567"/>
        </w:tabs>
        <w:ind w:left="567" w:hanging="567"/>
      </w:pPr>
      <w:bookmarkStart w:id="68" w:name="_Hlk18068209"/>
      <w:r w:rsidRPr="002029B9">
        <w:t>This data remains unchanged from the 2018 HEDNA</w:t>
      </w:r>
      <w:r w:rsidR="00FD0E9C">
        <w:t>. O</w:t>
      </w:r>
      <w:r w:rsidRPr="002029B9">
        <w:t xml:space="preserve">vercrowding is defined as the number of properties which have fewer rooms than their households require. The requirement is calculated based on the size, age and relationship of household members. </w:t>
      </w:r>
    </w:p>
    <w:p w:rsidR="00C37DA5" w:rsidRPr="00CA47B9" w:rsidRDefault="00C37DA5" w:rsidP="00020CFC">
      <w:pPr>
        <w:pStyle w:val="11Bodytext"/>
        <w:tabs>
          <w:tab w:val="clear" w:pos="2212"/>
          <w:tab w:val="num" w:pos="567"/>
        </w:tabs>
        <w:ind w:left="567" w:hanging="567"/>
      </w:pPr>
      <w:r w:rsidRPr="00CA47B9">
        <w:t xml:space="preserve">Under-occupied properties, on the other hand, are those with more bedrooms than the household needs. For instance, an under-occupied property can relate to a couple with no children living in a 2 or more-bedroom property. </w:t>
      </w:r>
    </w:p>
    <w:p w:rsidR="00C37DA5" w:rsidRPr="00CA47B9" w:rsidRDefault="00C37DA5" w:rsidP="00020CFC">
      <w:pPr>
        <w:pStyle w:val="11Bodytext"/>
        <w:tabs>
          <w:tab w:val="clear" w:pos="2212"/>
          <w:tab w:val="num" w:pos="567"/>
        </w:tabs>
        <w:ind w:left="567" w:hanging="567"/>
      </w:pPr>
      <w:r w:rsidRPr="00CA47B9">
        <w:t xml:space="preserve">At the national level, there has been a notable increase in overcrowded households (including young people living with their parents for longer) and houses in multiple </w:t>
      </w:r>
      <w:r w:rsidRPr="00CA47B9">
        <w:lastRenderedPageBreak/>
        <w:t>occupation. This has been a symptom of the affordability pressures identified above; restrictions on access to mortgage finance; and increased housing under-supply.</w:t>
      </w:r>
    </w:p>
    <w:p w:rsidR="00C37DA5" w:rsidRPr="00CA47B9" w:rsidRDefault="00C37DA5" w:rsidP="0009738C">
      <w:pPr>
        <w:pStyle w:val="11Bodytext"/>
        <w:tabs>
          <w:tab w:val="clear" w:pos="2212"/>
          <w:tab w:val="num" w:pos="567"/>
        </w:tabs>
        <w:ind w:left="567" w:hanging="567"/>
      </w:pPr>
      <w:r w:rsidRPr="00CA47B9">
        <w:t>This national trend has also manifested in Chichester District where the proportion of residents living in over-occupied properties increased by 28% between 2001 and 2011, although this increase was below average in comparison to the South East and national trend.</w:t>
      </w:r>
      <w:bookmarkStart w:id="69" w:name="_Toc397074155"/>
      <w:bookmarkStart w:id="70" w:name="_Toc399935840"/>
      <w:bookmarkStart w:id="71" w:name="_Toc428202404"/>
      <w:bookmarkStart w:id="72" w:name="_Toc485905658"/>
      <w:r w:rsidRPr="00CA47B9">
        <w:t xml:space="preserve"> </w:t>
      </w:r>
    </w:p>
    <w:p w:rsidR="00C37DA5" w:rsidRPr="00CA47B9" w:rsidRDefault="00C37DA5" w:rsidP="0009738C">
      <w:pPr>
        <w:pStyle w:val="Tableheading"/>
        <w:tabs>
          <w:tab w:val="clear" w:pos="794"/>
          <w:tab w:val="clear" w:pos="1843"/>
          <w:tab w:val="left" w:pos="0"/>
        </w:tabs>
        <w:spacing w:line="240" w:lineRule="auto"/>
        <w:ind w:left="0" w:firstLine="0"/>
      </w:pPr>
      <w:r w:rsidRPr="00CA47B9">
        <w:t>Changes in Under- and Over-Occupied households (2001-2011)</w:t>
      </w:r>
      <w:bookmarkEnd w:id="69"/>
      <w:bookmarkEnd w:id="70"/>
      <w:bookmarkEnd w:id="71"/>
      <w:bookmarkEnd w:id="72"/>
    </w:p>
    <w:tbl>
      <w:tblPr>
        <w:tblStyle w:val="GLHearntable1"/>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9: Changes in under and over occupied households 2001-2011"/>
      </w:tblPr>
      <w:tblGrid>
        <w:gridCol w:w="2410"/>
        <w:gridCol w:w="1276"/>
        <w:gridCol w:w="1276"/>
        <w:gridCol w:w="1166"/>
        <w:gridCol w:w="1103"/>
        <w:gridCol w:w="1133"/>
        <w:gridCol w:w="1274"/>
      </w:tblGrid>
      <w:tr w:rsidR="00C37DA5" w:rsidRPr="00A54ECA" w:rsidTr="000973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0" w:type="pct"/>
            <w:noWrap/>
            <w:hideMark/>
          </w:tcPr>
          <w:p w:rsidR="00C37DA5" w:rsidRPr="00A54ECA" w:rsidRDefault="00C37DA5" w:rsidP="00A54ECA">
            <w:pPr>
              <w:pStyle w:val="TableBodytext"/>
              <w:keepNext/>
              <w:spacing w:before="0" w:after="0" w:line="240" w:lineRule="auto"/>
              <w:jc w:val="center"/>
              <w:rPr>
                <w:rFonts w:ascii="Arial Narrow" w:hAnsi="Arial Narrow" w:cstheme="minorHAnsi"/>
                <w:b w:val="0"/>
                <w:bCs/>
                <w:sz w:val="24"/>
                <w:szCs w:val="24"/>
              </w:rPr>
            </w:pPr>
          </w:p>
        </w:tc>
        <w:tc>
          <w:tcPr>
            <w:tcW w:w="1929" w:type="pct"/>
            <w:gridSpan w:val="3"/>
          </w:tcPr>
          <w:p w:rsidR="00C37DA5" w:rsidRPr="00A54ECA" w:rsidRDefault="00C37DA5" w:rsidP="00A54ECA">
            <w:pPr>
              <w:pStyle w:val="TableBodytext"/>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HAnsi"/>
                <w:b w:val="0"/>
                <w:bCs/>
                <w:sz w:val="24"/>
                <w:szCs w:val="24"/>
              </w:rPr>
            </w:pPr>
            <w:r w:rsidRPr="00A54ECA">
              <w:rPr>
                <w:rFonts w:ascii="Arial Narrow" w:hAnsi="Arial Narrow" w:cstheme="minorHAnsi"/>
                <w:b w:val="0"/>
                <w:bCs/>
                <w:sz w:val="24"/>
                <w:szCs w:val="24"/>
              </w:rPr>
              <w:t>Under-Occupied</w:t>
            </w:r>
          </w:p>
        </w:tc>
        <w:tc>
          <w:tcPr>
            <w:tcW w:w="1821" w:type="pct"/>
            <w:gridSpan w:val="3"/>
            <w:noWrap/>
          </w:tcPr>
          <w:p w:rsidR="00C37DA5" w:rsidRPr="00A54ECA" w:rsidRDefault="00C37DA5" w:rsidP="00A54ECA">
            <w:pPr>
              <w:pStyle w:val="TableBodytext"/>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HAnsi"/>
                <w:b w:val="0"/>
                <w:bCs/>
                <w:sz w:val="24"/>
                <w:szCs w:val="24"/>
              </w:rPr>
            </w:pPr>
            <w:r w:rsidRPr="00A54ECA">
              <w:rPr>
                <w:rFonts w:ascii="Arial Narrow" w:hAnsi="Arial Narrow" w:cstheme="minorHAnsi"/>
                <w:b w:val="0"/>
                <w:bCs/>
                <w:sz w:val="24"/>
                <w:szCs w:val="24"/>
              </w:rPr>
              <w:t>Over- Occupied</w:t>
            </w:r>
          </w:p>
        </w:tc>
      </w:tr>
      <w:tr w:rsidR="00C37DA5" w:rsidRPr="00A54ECA" w:rsidTr="0009738C">
        <w:tc>
          <w:tcPr>
            <w:cnfStyle w:val="001000000000" w:firstRow="0" w:lastRow="0" w:firstColumn="1" w:lastColumn="0" w:oddVBand="0" w:evenVBand="0" w:oddHBand="0" w:evenHBand="0" w:firstRowFirstColumn="0" w:firstRowLastColumn="0" w:lastRowFirstColumn="0" w:lastRowLastColumn="0"/>
            <w:tcW w:w="1250" w:type="pct"/>
            <w:tcBorders>
              <w:bottom w:val="single" w:sz="4" w:space="0" w:color="auto"/>
            </w:tcBorders>
            <w:shd w:val="clear" w:color="auto" w:fill="0093D5" w:themeFill="accent2"/>
            <w:noWrap/>
            <w:vAlign w:val="center"/>
            <w:hideMark/>
          </w:tcPr>
          <w:p w:rsidR="00C37DA5" w:rsidRPr="00A54ECA" w:rsidRDefault="00C37DA5" w:rsidP="00A54ECA">
            <w:pPr>
              <w:pStyle w:val="TableBodytext"/>
              <w:keepNext/>
              <w:spacing w:before="0" w:after="0" w:line="240" w:lineRule="auto"/>
              <w:jc w:val="center"/>
              <w:rPr>
                <w:rFonts w:ascii="Arial Narrow" w:hAnsi="Arial Narrow" w:cstheme="minorHAnsi"/>
                <w:color w:val="FFFFFF" w:themeColor="background1"/>
                <w:sz w:val="24"/>
                <w:szCs w:val="24"/>
              </w:rPr>
            </w:pPr>
          </w:p>
        </w:tc>
        <w:tc>
          <w:tcPr>
            <w:tcW w:w="662" w:type="pct"/>
            <w:tcBorders>
              <w:bottom w:val="single" w:sz="4" w:space="0" w:color="auto"/>
            </w:tcBorders>
            <w:shd w:val="clear" w:color="auto" w:fill="0093D5" w:themeFill="accent2"/>
            <w:vAlign w:val="center"/>
          </w:tcPr>
          <w:p w:rsidR="00C37DA5" w:rsidRPr="00A54ECA" w:rsidRDefault="00C37DA5" w:rsidP="00A54ECA">
            <w:pPr>
              <w:pStyle w:val="TableBodytext"/>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FFFFFF" w:themeColor="background1"/>
                <w:sz w:val="24"/>
                <w:szCs w:val="24"/>
              </w:rPr>
            </w:pPr>
            <w:r w:rsidRPr="00A54ECA">
              <w:rPr>
                <w:rFonts w:ascii="Arial Narrow" w:hAnsi="Arial Narrow" w:cstheme="minorHAnsi"/>
                <w:color w:val="FFFFFF" w:themeColor="background1"/>
                <w:sz w:val="24"/>
                <w:szCs w:val="24"/>
              </w:rPr>
              <w:t>2001</w:t>
            </w:r>
          </w:p>
        </w:tc>
        <w:tc>
          <w:tcPr>
            <w:tcW w:w="662" w:type="pct"/>
            <w:tcBorders>
              <w:bottom w:val="single" w:sz="4" w:space="0" w:color="auto"/>
            </w:tcBorders>
            <w:shd w:val="clear" w:color="auto" w:fill="0093D5" w:themeFill="accent2"/>
            <w:vAlign w:val="center"/>
          </w:tcPr>
          <w:p w:rsidR="00C37DA5" w:rsidRPr="00A54ECA" w:rsidRDefault="00C37DA5" w:rsidP="00A54ECA">
            <w:pPr>
              <w:pStyle w:val="TableBodytext"/>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FFFFFF" w:themeColor="background1"/>
                <w:sz w:val="24"/>
                <w:szCs w:val="24"/>
              </w:rPr>
            </w:pPr>
            <w:r w:rsidRPr="00A54ECA">
              <w:rPr>
                <w:rFonts w:ascii="Arial Narrow" w:hAnsi="Arial Narrow" w:cstheme="minorHAnsi"/>
                <w:color w:val="FFFFFF" w:themeColor="background1"/>
                <w:sz w:val="24"/>
                <w:szCs w:val="24"/>
              </w:rPr>
              <w:t>2011</w:t>
            </w:r>
          </w:p>
        </w:tc>
        <w:tc>
          <w:tcPr>
            <w:tcW w:w="605" w:type="pct"/>
            <w:tcBorders>
              <w:bottom w:val="single" w:sz="4" w:space="0" w:color="auto"/>
            </w:tcBorders>
            <w:shd w:val="clear" w:color="auto" w:fill="0093D5" w:themeFill="accent2"/>
            <w:vAlign w:val="center"/>
          </w:tcPr>
          <w:p w:rsidR="00C37DA5" w:rsidRPr="00A54ECA" w:rsidRDefault="00C37DA5" w:rsidP="00A54ECA">
            <w:pPr>
              <w:pStyle w:val="TableBodytext"/>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FFFFFF" w:themeColor="background1"/>
                <w:sz w:val="24"/>
                <w:szCs w:val="24"/>
              </w:rPr>
            </w:pPr>
            <w:r w:rsidRPr="00A54ECA">
              <w:rPr>
                <w:rFonts w:ascii="Arial Narrow" w:hAnsi="Arial Narrow" w:cstheme="minorHAnsi"/>
                <w:color w:val="FFFFFF" w:themeColor="background1"/>
                <w:sz w:val="24"/>
                <w:szCs w:val="24"/>
              </w:rPr>
              <w:t>% Change</w:t>
            </w:r>
          </w:p>
        </w:tc>
        <w:tc>
          <w:tcPr>
            <w:tcW w:w="572" w:type="pct"/>
            <w:tcBorders>
              <w:bottom w:val="single" w:sz="4" w:space="0" w:color="auto"/>
            </w:tcBorders>
            <w:shd w:val="clear" w:color="auto" w:fill="0093D5" w:themeFill="accent2"/>
            <w:noWrap/>
            <w:vAlign w:val="center"/>
          </w:tcPr>
          <w:p w:rsidR="00C37DA5" w:rsidRPr="00A54ECA" w:rsidRDefault="00C37DA5" w:rsidP="00A54ECA">
            <w:pPr>
              <w:pStyle w:val="TableBodytext"/>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FFFFFF" w:themeColor="background1"/>
                <w:sz w:val="24"/>
                <w:szCs w:val="24"/>
              </w:rPr>
            </w:pPr>
            <w:r w:rsidRPr="00A54ECA">
              <w:rPr>
                <w:rFonts w:ascii="Arial Narrow" w:hAnsi="Arial Narrow" w:cstheme="minorHAnsi"/>
                <w:color w:val="FFFFFF" w:themeColor="background1"/>
                <w:sz w:val="24"/>
                <w:szCs w:val="24"/>
              </w:rPr>
              <w:t>2001</w:t>
            </w:r>
          </w:p>
        </w:tc>
        <w:tc>
          <w:tcPr>
            <w:tcW w:w="588" w:type="pct"/>
            <w:tcBorders>
              <w:bottom w:val="single" w:sz="4" w:space="0" w:color="auto"/>
            </w:tcBorders>
            <w:shd w:val="clear" w:color="auto" w:fill="0093D5" w:themeFill="accent2"/>
            <w:noWrap/>
            <w:vAlign w:val="center"/>
          </w:tcPr>
          <w:p w:rsidR="00C37DA5" w:rsidRPr="00A54ECA" w:rsidRDefault="00C37DA5" w:rsidP="00A54ECA">
            <w:pPr>
              <w:pStyle w:val="TableBodytext"/>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FFFFFF" w:themeColor="background1"/>
                <w:sz w:val="24"/>
                <w:szCs w:val="24"/>
              </w:rPr>
            </w:pPr>
            <w:r w:rsidRPr="00A54ECA">
              <w:rPr>
                <w:rFonts w:ascii="Arial Narrow" w:hAnsi="Arial Narrow" w:cstheme="minorHAnsi"/>
                <w:color w:val="FFFFFF" w:themeColor="background1"/>
                <w:sz w:val="24"/>
                <w:szCs w:val="24"/>
              </w:rPr>
              <w:t>2011</w:t>
            </w:r>
          </w:p>
        </w:tc>
        <w:tc>
          <w:tcPr>
            <w:tcW w:w="661" w:type="pct"/>
            <w:tcBorders>
              <w:bottom w:val="single" w:sz="4" w:space="0" w:color="auto"/>
            </w:tcBorders>
            <w:shd w:val="clear" w:color="auto" w:fill="0093D5" w:themeFill="accent2"/>
            <w:vAlign w:val="center"/>
          </w:tcPr>
          <w:p w:rsidR="00C37DA5" w:rsidRPr="00A54ECA" w:rsidRDefault="00C37DA5" w:rsidP="00A54ECA">
            <w:pPr>
              <w:pStyle w:val="TableBodytext"/>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FFFFFF" w:themeColor="background1"/>
                <w:sz w:val="24"/>
                <w:szCs w:val="24"/>
              </w:rPr>
            </w:pPr>
            <w:r w:rsidRPr="00A54ECA">
              <w:rPr>
                <w:rFonts w:ascii="Arial Narrow" w:hAnsi="Arial Narrow" w:cstheme="minorHAnsi"/>
                <w:color w:val="FFFFFF" w:themeColor="background1"/>
                <w:sz w:val="24"/>
                <w:szCs w:val="24"/>
              </w:rPr>
              <w:t>% Change</w:t>
            </w:r>
          </w:p>
        </w:tc>
      </w:tr>
      <w:tr w:rsidR="00C37DA5" w:rsidRPr="00A54ECA" w:rsidTr="000973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7DA5" w:rsidRPr="00A54ECA" w:rsidRDefault="00C37DA5" w:rsidP="00A54ECA">
            <w:pPr>
              <w:pStyle w:val="TableBodytext"/>
              <w:keepNext/>
              <w:spacing w:before="0" w:after="0" w:line="240" w:lineRule="auto"/>
              <w:rPr>
                <w:rFonts w:ascii="Arial Narrow" w:hAnsi="Arial Narrow" w:cstheme="minorHAnsi"/>
                <w:color w:val="000000"/>
                <w:sz w:val="24"/>
                <w:szCs w:val="24"/>
              </w:rPr>
            </w:pPr>
            <w:r w:rsidRPr="00A54ECA">
              <w:rPr>
                <w:rFonts w:ascii="Arial Narrow" w:hAnsi="Arial Narrow" w:cstheme="minorHAnsi"/>
                <w:color w:val="000000"/>
                <w:sz w:val="24"/>
                <w:szCs w:val="24"/>
              </w:rPr>
              <w:t>Chichester District</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rsidR="00C37DA5" w:rsidRPr="00A54ECA" w:rsidRDefault="00C37DA5" w:rsidP="00A54ECA">
            <w:pPr>
              <w:pStyle w:val="TableBodytext"/>
              <w:keepNext/>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Arial Narrow" w:hAnsi="Arial Narrow" w:cstheme="minorHAnsi"/>
                <w:b/>
                <w:color w:val="000000"/>
                <w:sz w:val="24"/>
                <w:szCs w:val="24"/>
              </w:rPr>
            </w:pPr>
            <w:r w:rsidRPr="00A54ECA">
              <w:rPr>
                <w:rFonts w:ascii="Arial Narrow" w:hAnsi="Arial Narrow"/>
                <w:b/>
                <w:color w:val="000000"/>
                <w:sz w:val="24"/>
                <w:szCs w:val="24"/>
              </w:rPr>
              <w:t>37,078</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rsidR="00C37DA5" w:rsidRPr="00A54ECA" w:rsidRDefault="00C37DA5" w:rsidP="00A54ECA">
            <w:pPr>
              <w:pStyle w:val="TableBodytext"/>
              <w:keepNext/>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Arial Narrow" w:hAnsi="Arial Narrow" w:cstheme="minorHAnsi"/>
                <w:b/>
                <w:color w:val="000000"/>
                <w:sz w:val="24"/>
                <w:szCs w:val="24"/>
              </w:rPr>
            </w:pPr>
            <w:r w:rsidRPr="00A54ECA">
              <w:rPr>
                <w:rFonts w:ascii="Arial Narrow" w:hAnsi="Arial Narrow"/>
                <w:b/>
                <w:color w:val="000000"/>
                <w:sz w:val="24"/>
                <w:szCs w:val="24"/>
              </w:rPr>
              <w:t>39,757</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tcPr>
          <w:p w:rsidR="00C37DA5" w:rsidRPr="00A54ECA" w:rsidRDefault="00C37DA5" w:rsidP="00A54ECA">
            <w:pPr>
              <w:pStyle w:val="TableBodytext"/>
              <w:keepNext/>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Arial Narrow" w:hAnsi="Arial Narrow" w:cstheme="minorHAnsi"/>
                <w:b/>
                <w:color w:val="000000"/>
                <w:sz w:val="24"/>
                <w:szCs w:val="24"/>
              </w:rPr>
            </w:pPr>
            <w:r w:rsidRPr="00A54ECA">
              <w:rPr>
                <w:rFonts w:ascii="Arial Narrow" w:hAnsi="Arial Narrow"/>
                <w:b/>
                <w:color w:val="000000"/>
                <w:sz w:val="24"/>
                <w:szCs w:val="24"/>
              </w:rPr>
              <w:t>7.2%</w:t>
            </w:r>
          </w:p>
        </w:tc>
        <w:tc>
          <w:tcPr>
            <w:tcW w:w="5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7DA5" w:rsidRPr="00A54ECA" w:rsidRDefault="00C37DA5" w:rsidP="00A54ECA">
            <w:pPr>
              <w:pStyle w:val="TableBodytext"/>
              <w:keepNext/>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Arial Narrow" w:hAnsi="Arial Narrow" w:cstheme="minorHAnsi"/>
                <w:b/>
                <w:color w:val="000000"/>
                <w:sz w:val="24"/>
                <w:szCs w:val="24"/>
              </w:rPr>
            </w:pPr>
            <w:r w:rsidRPr="00A54ECA">
              <w:rPr>
                <w:rFonts w:ascii="Arial Narrow" w:hAnsi="Arial Narrow" w:cstheme="minorHAnsi"/>
                <w:b/>
                <w:color w:val="000000"/>
                <w:sz w:val="24"/>
                <w:szCs w:val="24"/>
              </w:rPr>
              <w:t>1,977</w:t>
            </w: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7DA5" w:rsidRPr="00A54ECA" w:rsidRDefault="00C37DA5" w:rsidP="00A54ECA">
            <w:pPr>
              <w:pStyle w:val="TableBodytext"/>
              <w:keepNext/>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Arial Narrow" w:hAnsi="Arial Narrow" w:cstheme="minorHAnsi"/>
                <w:b/>
                <w:color w:val="000000"/>
                <w:sz w:val="24"/>
                <w:szCs w:val="24"/>
              </w:rPr>
            </w:pPr>
            <w:r w:rsidRPr="00A54ECA">
              <w:rPr>
                <w:rFonts w:ascii="Arial Narrow" w:hAnsi="Arial Narrow" w:cstheme="minorHAnsi"/>
                <w:b/>
                <w:color w:val="000000"/>
                <w:sz w:val="24"/>
                <w:szCs w:val="24"/>
              </w:rPr>
              <w:t>2,530</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7DA5" w:rsidRPr="00A54ECA" w:rsidRDefault="00C37DA5" w:rsidP="00A54ECA">
            <w:pPr>
              <w:pStyle w:val="TableBodytext"/>
              <w:keepNext/>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Arial Narrow" w:hAnsi="Arial Narrow" w:cstheme="minorHAnsi"/>
                <w:b/>
                <w:color w:val="000000"/>
                <w:sz w:val="24"/>
                <w:szCs w:val="24"/>
              </w:rPr>
            </w:pPr>
            <w:r w:rsidRPr="00A54ECA">
              <w:rPr>
                <w:rFonts w:ascii="Arial Narrow" w:hAnsi="Arial Narrow" w:cstheme="minorHAnsi"/>
                <w:b/>
                <w:color w:val="000000"/>
                <w:sz w:val="24"/>
                <w:szCs w:val="24"/>
              </w:rPr>
              <w:t>28%</w:t>
            </w:r>
          </w:p>
        </w:tc>
      </w:tr>
      <w:tr w:rsidR="00C37DA5" w:rsidRPr="00A54ECA" w:rsidTr="0009738C">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auto"/>
              <w:left w:val="single" w:sz="4" w:space="0" w:color="auto"/>
              <w:bottom w:val="single" w:sz="4" w:space="0" w:color="auto"/>
              <w:right w:val="single" w:sz="4" w:space="0" w:color="auto"/>
            </w:tcBorders>
            <w:noWrap/>
            <w:vAlign w:val="center"/>
            <w:hideMark/>
          </w:tcPr>
          <w:p w:rsidR="00C37DA5" w:rsidRPr="00A54ECA" w:rsidRDefault="00C37DA5" w:rsidP="00A54ECA">
            <w:pPr>
              <w:pStyle w:val="TableBodytext"/>
              <w:keepNext/>
              <w:spacing w:before="0" w:after="0" w:line="240" w:lineRule="auto"/>
              <w:rPr>
                <w:rFonts w:ascii="Arial Narrow" w:hAnsi="Arial Narrow" w:cstheme="minorHAnsi"/>
                <w:b w:val="0"/>
                <w:color w:val="000000"/>
                <w:sz w:val="24"/>
                <w:szCs w:val="24"/>
              </w:rPr>
            </w:pPr>
            <w:r w:rsidRPr="00A54ECA">
              <w:rPr>
                <w:rFonts w:ascii="Arial Narrow" w:hAnsi="Arial Narrow" w:cstheme="minorHAnsi"/>
                <w:b w:val="0"/>
                <w:color w:val="000000"/>
                <w:sz w:val="24"/>
                <w:szCs w:val="24"/>
              </w:rPr>
              <w:t>Arun</w:t>
            </w:r>
          </w:p>
        </w:tc>
        <w:tc>
          <w:tcPr>
            <w:tcW w:w="662" w:type="pct"/>
            <w:tcBorders>
              <w:top w:val="single" w:sz="4" w:space="0" w:color="auto"/>
              <w:left w:val="single" w:sz="4" w:space="0" w:color="auto"/>
              <w:bottom w:val="single" w:sz="4" w:space="0" w:color="auto"/>
              <w:right w:val="single" w:sz="4" w:space="0" w:color="auto"/>
            </w:tcBorders>
            <w:vAlign w:val="center"/>
          </w:tcPr>
          <w:p w:rsidR="00C37DA5" w:rsidRPr="00A54ECA" w:rsidRDefault="00C37DA5" w:rsidP="00A54ECA">
            <w:pPr>
              <w:pStyle w:val="TableBodytext"/>
              <w:keepNext/>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4"/>
                <w:szCs w:val="24"/>
              </w:rPr>
            </w:pPr>
            <w:r w:rsidRPr="00A54ECA">
              <w:rPr>
                <w:rFonts w:ascii="Arial Narrow" w:hAnsi="Arial Narrow"/>
                <w:color w:val="000000"/>
                <w:sz w:val="24"/>
                <w:szCs w:val="24"/>
              </w:rPr>
              <w:t>48,700</w:t>
            </w:r>
          </w:p>
        </w:tc>
        <w:tc>
          <w:tcPr>
            <w:tcW w:w="662" w:type="pct"/>
            <w:tcBorders>
              <w:top w:val="single" w:sz="4" w:space="0" w:color="auto"/>
              <w:left w:val="single" w:sz="4" w:space="0" w:color="auto"/>
              <w:bottom w:val="single" w:sz="4" w:space="0" w:color="auto"/>
              <w:right w:val="single" w:sz="4" w:space="0" w:color="auto"/>
            </w:tcBorders>
            <w:vAlign w:val="center"/>
          </w:tcPr>
          <w:p w:rsidR="00C37DA5" w:rsidRPr="00A54ECA" w:rsidRDefault="00C37DA5" w:rsidP="00A54ECA">
            <w:pPr>
              <w:pStyle w:val="TableBodytext"/>
              <w:keepNext/>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4"/>
                <w:szCs w:val="24"/>
              </w:rPr>
            </w:pPr>
            <w:r w:rsidRPr="00A54ECA">
              <w:rPr>
                <w:rFonts w:ascii="Arial Narrow" w:hAnsi="Arial Narrow"/>
                <w:color w:val="000000"/>
                <w:sz w:val="24"/>
                <w:szCs w:val="24"/>
              </w:rPr>
              <w:t>51,248</w:t>
            </w:r>
          </w:p>
        </w:tc>
        <w:tc>
          <w:tcPr>
            <w:tcW w:w="605" w:type="pct"/>
            <w:tcBorders>
              <w:top w:val="single" w:sz="4" w:space="0" w:color="auto"/>
              <w:left w:val="single" w:sz="4" w:space="0" w:color="auto"/>
              <w:bottom w:val="single" w:sz="4" w:space="0" w:color="auto"/>
              <w:right w:val="single" w:sz="4" w:space="0" w:color="auto"/>
            </w:tcBorders>
            <w:vAlign w:val="center"/>
          </w:tcPr>
          <w:p w:rsidR="00C37DA5" w:rsidRPr="00A54ECA" w:rsidRDefault="00C37DA5" w:rsidP="00A54ECA">
            <w:pPr>
              <w:pStyle w:val="TableBodytext"/>
              <w:keepNext/>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4"/>
                <w:szCs w:val="24"/>
              </w:rPr>
            </w:pPr>
            <w:r w:rsidRPr="00A54ECA">
              <w:rPr>
                <w:rFonts w:ascii="Arial Narrow" w:hAnsi="Arial Narrow"/>
                <w:color w:val="000000"/>
                <w:sz w:val="24"/>
                <w:szCs w:val="24"/>
              </w:rPr>
              <w:t>5.2%</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C37DA5" w:rsidRPr="00A54ECA" w:rsidRDefault="00C37DA5" w:rsidP="00A54ECA">
            <w:pPr>
              <w:pStyle w:val="TableBodytext"/>
              <w:keepNext/>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4"/>
                <w:szCs w:val="24"/>
              </w:rPr>
            </w:pPr>
            <w:r w:rsidRPr="00A54ECA">
              <w:rPr>
                <w:rFonts w:ascii="Arial Narrow" w:hAnsi="Arial Narrow" w:cstheme="minorHAnsi"/>
                <w:color w:val="000000"/>
                <w:sz w:val="24"/>
                <w:szCs w:val="24"/>
              </w:rPr>
              <w:t>3,308</w:t>
            </w:r>
          </w:p>
        </w:tc>
        <w:tc>
          <w:tcPr>
            <w:tcW w:w="588" w:type="pct"/>
            <w:tcBorders>
              <w:top w:val="single" w:sz="4" w:space="0" w:color="auto"/>
              <w:left w:val="single" w:sz="4" w:space="0" w:color="auto"/>
              <w:bottom w:val="single" w:sz="4" w:space="0" w:color="auto"/>
              <w:right w:val="single" w:sz="4" w:space="0" w:color="auto"/>
            </w:tcBorders>
            <w:noWrap/>
            <w:vAlign w:val="center"/>
            <w:hideMark/>
          </w:tcPr>
          <w:p w:rsidR="00C37DA5" w:rsidRPr="00A54ECA" w:rsidRDefault="00C37DA5" w:rsidP="00A54ECA">
            <w:pPr>
              <w:pStyle w:val="TableBodytext"/>
              <w:keepNext/>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4"/>
                <w:szCs w:val="24"/>
              </w:rPr>
            </w:pPr>
            <w:r w:rsidRPr="00A54ECA">
              <w:rPr>
                <w:rFonts w:ascii="Arial Narrow" w:hAnsi="Arial Narrow" w:cstheme="minorHAnsi"/>
                <w:color w:val="000000"/>
                <w:sz w:val="24"/>
                <w:szCs w:val="24"/>
              </w:rPr>
              <w:t>4,467</w:t>
            </w:r>
          </w:p>
        </w:tc>
        <w:tc>
          <w:tcPr>
            <w:tcW w:w="661" w:type="pct"/>
            <w:tcBorders>
              <w:top w:val="single" w:sz="4" w:space="0" w:color="auto"/>
              <w:left w:val="single" w:sz="4" w:space="0" w:color="auto"/>
              <w:bottom w:val="single" w:sz="4" w:space="0" w:color="auto"/>
              <w:right w:val="single" w:sz="4" w:space="0" w:color="auto"/>
            </w:tcBorders>
            <w:noWrap/>
            <w:vAlign w:val="center"/>
            <w:hideMark/>
          </w:tcPr>
          <w:p w:rsidR="00C37DA5" w:rsidRPr="00A54ECA" w:rsidRDefault="00C37DA5" w:rsidP="00A54ECA">
            <w:pPr>
              <w:pStyle w:val="TableBodytext"/>
              <w:keepNext/>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4"/>
                <w:szCs w:val="24"/>
              </w:rPr>
            </w:pPr>
            <w:r w:rsidRPr="00A54ECA">
              <w:rPr>
                <w:rFonts w:ascii="Arial Narrow" w:hAnsi="Arial Narrow" w:cstheme="minorHAnsi"/>
                <w:color w:val="000000"/>
                <w:sz w:val="24"/>
                <w:szCs w:val="24"/>
              </w:rPr>
              <w:t>35%</w:t>
            </w:r>
          </w:p>
        </w:tc>
      </w:tr>
      <w:tr w:rsidR="00C37DA5" w:rsidRPr="00A54ECA" w:rsidTr="000973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7DA5" w:rsidRPr="00A54ECA" w:rsidRDefault="00C37DA5" w:rsidP="00A54ECA">
            <w:pPr>
              <w:pStyle w:val="TableBodytext"/>
              <w:keepNext/>
              <w:spacing w:before="0" w:after="0" w:line="240" w:lineRule="auto"/>
              <w:rPr>
                <w:rFonts w:ascii="Arial Narrow" w:hAnsi="Arial Narrow" w:cstheme="minorHAnsi"/>
                <w:b w:val="0"/>
                <w:color w:val="000000"/>
                <w:sz w:val="24"/>
                <w:szCs w:val="24"/>
              </w:rPr>
            </w:pPr>
            <w:r w:rsidRPr="00A54ECA">
              <w:rPr>
                <w:rFonts w:ascii="Arial Narrow" w:hAnsi="Arial Narrow" w:cstheme="minorHAnsi"/>
                <w:b w:val="0"/>
                <w:color w:val="000000"/>
                <w:sz w:val="24"/>
                <w:szCs w:val="24"/>
              </w:rPr>
              <w:t>Cotswold</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rsidR="00C37DA5" w:rsidRPr="00A54ECA" w:rsidRDefault="00C37DA5" w:rsidP="00A54ECA">
            <w:pPr>
              <w:pStyle w:val="TableBodytext"/>
              <w:keepNext/>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000000"/>
                <w:sz w:val="24"/>
                <w:szCs w:val="24"/>
              </w:rPr>
            </w:pPr>
            <w:r w:rsidRPr="00A54ECA">
              <w:rPr>
                <w:rFonts w:ascii="Arial Narrow" w:hAnsi="Arial Narrow"/>
                <w:color w:val="000000"/>
                <w:sz w:val="24"/>
                <w:szCs w:val="24"/>
              </w:rPr>
              <w:t>28,911</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rsidR="00C37DA5" w:rsidRPr="00A54ECA" w:rsidRDefault="00C37DA5" w:rsidP="00A54ECA">
            <w:pPr>
              <w:pStyle w:val="TableBodytext"/>
              <w:keepNext/>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000000"/>
                <w:sz w:val="24"/>
                <w:szCs w:val="24"/>
              </w:rPr>
            </w:pPr>
            <w:r w:rsidRPr="00A54ECA">
              <w:rPr>
                <w:rFonts w:ascii="Arial Narrow" w:hAnsi="Arial Narrow"/>
                <w:color w:val="000000"/>
                <w:sz w:val="24"/>
                <w:szCs w:val="24"/>
              </w:rPr>
              <w:t>30,390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tcPr>
          <w:p w:rsidR="00C37DA5" w:rsidRPr="00A54ECA" w:rsidRDefault="00C37DA5" w:rsidP="00A54ECA">
            <w:pPr>
              <w:pStyle w:val="TableBodytext"/>
              <w:keepNext/>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000000"/>
                <w:sz w:val="24"/>
                <w:szCs w:val="24"/>
              </w:rPr>
            </w:pPr>
            <w:r w:rsidRPr="00A54ECA">
              <w:rPr>
                <w:rFonts w:ascii="Arial Narrow" w:hAnsi="Arial Narrow"/>
                <w:color w:val="000000"/>
                <w:sz w:val="24"/>
                <w:szCs w:val="24"/>
              </w:rPr>
              <w:t>5.1%</w:t>
            </w:r>
          </w:p>
        </w:tc>
        <w:tc>
          <w:tcPr>
            <w:tcW w:w="5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7DA5" w:rsidRPr="00A54ECA" w:rsidRDefault="00C37DA5" w:rsidP="00A54ECA">
            <w:pPr>
              <w:pStyle w:val="TableBodytext"/>
              <w:keepNext/>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000000"/>
                <w:sz w:val="24"/>
                <w:szCs w:val="24"/>
              </w:rPr>
            </w:pPr>
            <w:r w:rsidRPr="00A54ECA">
              <w:rPr>
                <w:rFonts w:ascii="Arial Narrow" w:hAnsi="Arial Narrow" w:cstheme="minorHAnsi"/>
                <w:color w:val="000000"/>
                <w:sz w:val="24"/>
                <w:szCs w:val="24"/>
              </w:rPr>
              <w:t>1,027</w:t>
            </w: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7DA5" w:rsidRPr="00A54ECA" w:rsidRDefault="00C37DA5" w:rsidP="00A54ECA">
            <w:pPr>
              <w:pStyle w:val="TableBodytext"/>
              <w:keepNext/>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000000"/>
                <w:sz w:val="24"/>
                <w:szCs w:val="24"/>
              </w:rPr>
            </w:pPr>
            <w:r w:rsidRPr="00A54ECA">
              <w:rPr>
                <w:rFonts w:ascii="Arial Narrow" w:hAnsi="Arial Narrow" w:cstheme="minorHAnsi"/>
                <w:color w:val="000000"/>
                <w:sz w:val="24"/>
                <w:szCs w:val="24"/>
              </w:rPr>
              <w:t>1,292</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7DA5" w:rsidRPr="00A54ECA" w:rsidRDefault="00C37DA5" w:rsidP="00A54ECA">
            <w:pPr>
              <w:pStyle w:val="TableBodytext"/>
              <w:keepNext/>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000000"/>
                <w:sz w:val="24"/>
                <w:szCs w:val="24"/>
              </w:rPr>
            </w:pPr>
            <w:r w:rsidRPr="00A54ECA">
              <w:rPr>
                <w:rFonts w:ascii="Arial Narrow" w:hAnsi="Arial Narrow" w:cstheme="minorHAnsi"/>
                <w:color w:val="000000"/>
                <w:sz w:val="24"/>
                <w:szCs w:val="24"/>
              </w:rPr>
              <w:t>26%</w:t>
            </w:r>
          </w:p>
        </w:tc>
      </w:tr>
      <w:tr w:rsidR="00C37DA5" w:rsidRPr="00A54ECA" w:rsidTr="0009738C">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auto"/>
              <w:left w:val="single" w:sz="4" w:space="0" w:color="auto"/>
              <w:bottom w:val="single" w:sz="4" w:space="0" w:color="auto"/>
              <w:right w:val="single" w:sz="4" w:space="0" w:color="auto"/>
            </w:tcBorders>
            <w:noWrap/>
            <w:vAlign w:val="center"/>
            <w:hideMark/>
          </w:tcPr>
          <w:p w:rsidR="00C37DA5" w:rsidRPr="00A54ECA" w:rsidRDefault="00C37DA5" w:rsidP="00A54ECA">
            <w:pPr>
              <w:pStyle w:val="TableBodytext"/>
              <w:keepNext/>
              <w:spacing w:before="0" w:after="0" w:line="240" w:lineRule="auto"/>
              <w:rPr>
                <w:rFonts w:ascii="Arial Narrow" w:hAnsi="Arial Narrow" w:cstheme="minorHAnsi"/>
                <w:b w:val="0"/>
                <w:color w:val="000000"/>
                <w:sz w:val="24"/>
                <w:szCs w:val="24"/>
              </w:rPr>
            </w:pPr>
            <w:r w:rsidRPr="00A54ECA">
              <w:rPr>
                <w:rFonts w:ascii="Arial Narrow" w:hAnsi="Arial Narrow" w:cstheme="minorHAnsi"/>
                <w:b w:val="0"/>
                <w:color w:val="000000"/>
                <w:sz w:val="24"/>
                <w:szCs w:val="24"/>
              </w:rPr>
              <w:t>West Dorset</w:t>
            </w:r>
          </w:p>
        </w:tc>
        <w:tc>
          <w:tcPr>
            <w:tcW w:w="662" w:type="pct"/>
            <w:tcBorders>
              <w:top w:val="single" w:sz="4" w:space="0" w:color="auto"/>
              <w:left w:val="single" w:sz="4" w:space="0" w:color="auto"/>
              <w:bottom w:val="single" w:sz="4" w:space="0" w:color="auto"/>
              <w:right w:val="single" w:sz="4" w:space="0" w:color="auto"/>
            </w:tcBorders>
            <w:vAlign w:val="center"/>
          </w:tcPr>
          <w:p w:rsidR="00C37DA5" w:rsidRPr="00A54ECA" w:rsidRDefault="00C37DA5" w:rsidP="00A54ECA">
            <w:pPr>
              <w:pStyle w:val="TableBodytext"/>
              <w:keepNext/>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4"/>
                <w:szCs w:val="24"/>
              </w:rPr>
            </w:pPr>
            <w:r w:rsidRPr="00A54ECA">
              <w:rPr>
                <w:rFonts w:ascii="Arial Narrow" w:hAnsi="Arial Narrow"/>
                <w:color w:val="000000"/>
                <w:sz w:val="24"/>
                <w:szCs w:val="24"/>
              </w:rPr>
              <w:t>33,508</w:t>
            </w:r>
          </w:p>
        </w:tc>
        <w:tc>
          <w:tcPr>
            <w:tcW w:w="662" w:type="pct"/>
            <w:tcBorders>
              <w:top w:val="single" w:sz="4" w:space="0" w:color="auto"/>
              <w:left w:val="single" w:sz="4" w:space="0" w:color="auto"/>
              <w:bottom w:val="single" w:sz="4" w:space="0" w:color="auto"/>
              <w:right w:val="single" w:sz="4" w:space="0" w:color="auto"/>
            </w:tcBorders>
            <w:vAlign w:val="center"/>
          </w:tcPr>
          <w:p w:rsidR="00C37DA5" w:rsidRPr="00A54ECA" w:rsidRDefault="00C37DA5" w:rsidP="00A54ECA">
            <w:pPr>
              <w:pStyle w:val="TableBodytext"/>
              <w:keepNext/>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4"/>
                <w:szCs w:val="24"/>
              </w:rPr>
            </w:pPr>
            <w:r w:rsidRPr="00A54ECA">
              <w:rPr>
                <w:rFonts w:ascii="Arial Narrow" w:hAnsi="Arial Narrow"/>
                <w:color w:val="000000"/>
                <w:sz w:val="24"/>
                <w:szCs w:val="24"/>
              </w:rPr>
              <w:t>36,261</w:t>
            </w:r>
          </w:p>
        </w:tc>
        <w:tc>
          <w:tcPr>
            <w:tcW w:w="605" w:type="pct"/>
            <w:tcBorders>
              <w:top w:val="single" w:sz="4" w:space="0" w:color="auto"/>
              <w:left w:val="single" w:sz="4" w:space="0" w:color="auto"/>
              <w:bottom w:val="single" w:sz="4" w:space="0" w:color="auto"/>
              <w:right w:val="single" w:sz="4" w:space="0" w:color="auto"/>
            </w:tcBorders>
            <w:vAlign w:val="center"/>
          </w:tcPr>
          <w:p w:rsidR="00C37DA5" w:rsidRPr="00A54ECA" w:rsidRDefault="00C37DA5" w:rsidP="00A54ECA">
            <w:pPr>
              <w:pStyle w:val="TableBodytext"/>
              <w:keepNext/>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4"/>
                <w:szCs w:val="24"/>
              </w:rPr>
            </w:pPr>
            <w:r w:rsidRPr="00A54ECA">
              <w:rPr>
                <w:rFonts w:ascii="Arial Narrow" w:hAnsi="Arial Narrow"/>
                <w:color w:val="000000"/>
                <w:sz w:val="24"/>
                <w:szCs w:val="24"/>
              </w:rPr>
              <w:t>8.2%</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C37DA5" w:rsidRPr="00A54ECA" w:rsidRDefault="00C37DA5" w:rsidP="00A54ECA">
            <w:pPr>
              <w:pStyle w:val="TableBodytext"/>
              <w:keepNext/>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4"/>
                <w:szCs w:val="24"/>
              </w:rPr>
            </w:pPr>
            <w:r w:rsidRPr="00A54ECA">
              <w:rPr>
                <w:rFonts w:ascii="Arial Narrow" w:hAnsi="Arial Narrow" w:cstheme="minorHAnsi"/>
                <w:color w:val="000000"/>
                <w:sz w:val="24"/>
                <w:szCs w:val="24"/>
              </w:rPr>
              <w:t>1,336</w:t>
            </w:r>
          </w:p>
        </w:tc>
        <w:tc>
          <w:tcPr>
            <w:tcW w:w="588" w:type="pct"/>
            <w:tcBorders>
              <w:top w:val="single" w:sz="4" w:space="0" w:color="auto"/>
              <w:left w:val="single" w:sz="4" w:space="0" w:color="auto"/>
              <w:bottom w:val="single" w:sz="4" w:space="0" w:color="auto"/>
              <w:right w:val="single" w:sz="4" w:space="0" w:color="auto"/>
            </w:tcBorders>
            <w:noWrap/>
            <w:vAlign w:val="center"/>
            <w:hideMark/>
          </w:tcPr>
          <w:p w:rsidR="00C37DA5" w:rsidRPr="00A54ECA" w:rsidRDefault="00C37DA5" w:rsidP="00A54ECA">
            <w:pPr>
              <w:pStyle w:val="TableBodytext"/>
              <w:keepNext/>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4"/>
                <w:szCs w:val="24"/>
              </w:rPr>
            </w:pPr>
            <w:r w:rsidRPr="00A54ECA">
              <w:rPr>
                <w:rFonts w:ascii="Arial Narrow" w:hAnsi="Arial Narrow" w:cstheme="minorHAnsi"/>
                <w:color w:val="000000"/>
                <w:sz w:val="24"/>
                <w:szCs w:val="24"/>
              </w:rPr>
              <w:t>1,710</w:t>
            </w:r>
          </w:p>
        </w:tc>
        <w:tc>
          <w:tcPr>
            <w:tcW w:w="661" w:type="pct"/>
            <w:tcBorders>
              <w:top w:val="single" w:sz="4" w:space="0" w:color="auto"/>
              <w:left w:val="single" w:sz="4" w:space="0" w:color="auto"/>
              <w:bottom w:val="single" w:sz="4" w:space="0" w:color="auto"/>
              <w:right w:val="single" w:sz="4" w:space="0" w:color="auto"/>
            </w:tcBorders>
            <w:noWrap/>
            <w:vAlign w:val="center"/>
            <w:hideMark/>
          </w:tcPr>
          <w:p w:rsidR="00C37DA5" w:rsidRPr="00A54ECA" w:rsidRDefault="00C37DA5" w:rsidP="00A54ECA">
            <w:pPr>
              <w:pStyle w:val="TableBodytext"/>
              <w:keepNext/>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4"/>
                <w:szCs w:val="24"/>
              </w:rPr>
            </w:pPr>
            <w:r w:rsidRPr="00A54ECA">
              <w:rPr>
                <w:rFonts w:ascii="Arial Narrow" w:hAnsi="Arial Narrow" w:cstheme="minorHAnsi"/>
                <w:color w:val="000000"/>
                <w:sz w:val="24"/>
                <w:szCs w:val="24"/>
              </w:rPr>
              <w:t>28%</w:t>
            </w:r>
          </w:p>
        </w:tc>
      </w:tr>
      <w:tr w:rsidR="00C37DA5" w:rsidRPr="00A54ECA" w:rsidTr="000973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7DA5" w:rsidRPr="00A54ECA" w:rsidRDefault="00C37DA5" w:rsidP="00A54ECA">
            <w:pPr>
              <w:pStyle w:val="TableBodytext"/>
              <w:keepNext/>
              <w:spacing w:before="0" w:after="0" w:line="240" w:lineRule="auto"/>
              <w:rPr>
                <w:rFonts w:ascii="Arial Narrow" w:hAnsi="Arial Narrow" w:cstheme="minorHAnsi"/>
                <w:b w:val="0"/>
                <w:color w:val="000000"/>
                <w:sz w:val="24"/>
                <w:szCs w:val="24"/>
              </w:rPr>
            </w:pPr>
            <w:r w:rsidRPr="00A54ECA">
              <w:rPr>
                <w:rFonts w:ascii="Arial Narrow" w:hAnsi="Arial Narrow" w:cstheme="minorHAnsi"/>
                <w:b w:val="0"/>
                <w:color w:val="000000"/>
                <w:sz w:val="24"/>
                <w:szCs w:val="24"/>
              </w:rPr>
              <w:t>Chichester &amp; Bognor HMA</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rsidR="00C37DA5" w:rsidRPr="00A54ECA" w:rsidRDefault="00C37DA5" w:rsidP="00A54ECA">
            <w:pPr>
              <w:keepNext/>
              <w:spacing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85,778</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rsidR="00C37DA5" w:rsidRPr="00A54ECA" w:rsidRDefault="00C37DA5" w:rsidP="00A54ECA">
            <w:pPr>
              <w:keepNext/>
              <w:spacing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91,005</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tcPr>
          <w:p w:rsidR="00C37DA5" w:rsidRPr="00A54ECA" w:rsidRDefault="00C37DA5" w:rsidP="00A54ECA">
            <w:pPr>
              <w:keepNext/>
              <w:spacing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24"/>
                <w:szCs w:val="24"/>
              </w:rPr>
            </w:pPr>
            <w:r w:rsidRPr="00A54ECA">
              <w:rPr>
                <w:rFonts w:ascii="Arial Narrow" w:hAnsi="Arial Narrow"/>
                <w:color w:val="000000"/>
                <w:sz w:val="24"/>
                <w:szCs w:val="24"/>
              </w:rPr>
              <w:t>6.1%</w:t>
            </w:r>
          </w:p>
        </w:tc>
        <w:tc>
          <w:tcPr>
            <w:tcW w:w="5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7DA5" w:rsidRPr="00A54ECA" w:rsidRDefault="00C37DA5" w:rsidP="00A54ECA">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000000"/>
                <w:sz w:val="24"/>
                <w:szCs w:val="24"/>
              </w:rPr>
            </w:pPr>
            <w:r w:rsidRPr="00A54ECA">
              <w:rPr>
                <w:rFonts w:ascii="Arial Narrow" w:hAnsi="Arial Narrow" w:cstheme="minorHAnsi"/>
                <w:color w:val="000000"/>
                <w:sz w:val="24"/>
                <w:szCs w:val="24"/>
              </w:rPr>
              <w:t>5,285</w:t>
            </w: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7DA5" w:rsidRPr="00A54ECA" w:rsidRDefault="00C37DA5" w:rsidP="00A54ECA">
            <w:pPr>
              <w:pStyle w:val="TableBodytext"/>
              <w:keepNext/>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000000"/>
                <w:sz w:val="24"/>
                <w:szCs w:val="24"/>
              </w:rPr>
            </w:pPr>
            <w:r w:rsidRPr="00A54ECA">
              <w:rPr>
                <w:rFonts w:ascii="Arial Narrow" w:hAnsi="Arial Narrow" w:cstheme="minorHAnsi"/>
                <w:color w:val="000000"/>
                <w:sz w:val="24"/>
                <w:szCs w:val="24"/>
              </w:rPr>
              <w:t>6,997</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7DA5" w:rsidRPr="00A54ECA" w:rsidRDefault="00C37DA5" w:rsidP="00A54ECA">
            <w:pPr>
              <w:pStyle w:val="TableBodytext"/>
              <w:keepNext/>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000000"/>
                <w:sz w:val="24"/>
                <w:szCs w:val="24"/>
              </w:rPr>
            </w:pPr>
            <w:r w:rsidRPr="00A54ECA">
              <w:rPr>
                <w:rFonts w:ascii="Arial Narrow" w:hAnsi="Arial Narrow" w:cstheme="minorHAnsi"/>
                <w:color w:val="000000"/>
                <w:sz w:val="24"/>
                <w:szCs w:val="24"/>
              </w:rPr>
              <w:t>32%</w:t>
            </w:r>
          </w:p>
        </w:tc>
      </w:tr>
      <w:tr w:rsidR="00C37DA5" w:rsidRPr="00A54ECA" w:rsidTr="0009738C">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auto"/>
              <w:left w:val="single" w:sz="4" w:space="0" w:color="auto"/>
              <w:bottom w:val="single" w:sz="4" w:space="0" w:color="auto"/>
              <w:right w:val="single" w:sz="4" w:space="0" w:color="auto"/>
            </w:tcBorders>
            <w:noWrap/>
            <w:vAlign w:val="center"/>
          </w:tcPr>
          <w:p w:rsidR="00C37DA5" w:rsidRPr="00A54ECA" w:rsidRDefault="00C37DA5" w:rsidP="00A54ECA">
            <w:pPr>
              <w:pStyle w:val="TableBodytext"/>
              <w:keepNext/>
              <w:spacing w:before="0" w:after="0" w:line="240" w:lineRule="auto"/>
              <w:rPr>
                <w:rFonts w:ascii="Arial Narrow" w:hAnsi="Arial Narrow" w:cstheme="minorHAnsi"/>
                <w:b w:val="0"/>
                <w:color w:val="000000"/>
                <w:sz w:val="24"/>
                <w:szCs w:val="24"/>
              </w:rPr>
            </w:pPr>
            <w:r w:rsidRPr="00A54ECA">
              <w:rPr>
                <w:rFonts w:ascii="Arial Narrow" w:hAnsi="Arial Narrow" w:cstheme="minorHAnsi"/>
                <w:b w:val="0"/>
                <w:color w:val="000000"/>
                <w:sz w:val="24"/>
                <w:szCs w:val="24"/>
              </w:rPr>
              <w:t>South East</w:t>
            </w:r>
          </w:p>
        </w:tc>
        <w:tc>
          <w:tcPr>
            <w:tcW w:w="662" w:type="pct"/>
            <w:tcBorders>
              <w:top w:val="single" w:sz="4" w:space="0" w:color="auto"/>
              <w:left w:val="single" w:sz="4" w:space="0" w:color="auto"/>
              <w:bottom w:val="single" w:sz="4" w:space="0" w:color="auto"/>
              <w:right w:val="single" w:sz="4" w:space="0" w:color="auto"/>
            </w:tcBorders>
            <w:vAlign w:val="center"/>
          </w:tcPr>
          <w:p w:rsidR="00C37DA5" w:rsidRPr="00A54ECA" w:rsidRDefault="00C37DA5" w:rsidP="00A54ECA">
            <w:pPr>
              <w:pStyle w:val="TableBodytext"/>
              <w:keepNext/>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4"/>
                <w:szCs w:val="24"/>
              </w:rPr>
            </w:pPr>
            <w:r w:rsidRPr="00A54ECA">
              <w:rPr>
                <w:rFonts w:ascii="Arial Narrow" w:hAnsi="Arial Narrow"/>
                <w:color w:val="000000"/>
                <w:sz w:val="24"/>
                <w:szCs w:val="24"/>
              </w:rPr>
              <w:t>2,539,347</w:t>
            </w:r>
          </w:p>
        </w:tc>
        <w:tc>
          <w:tcPr>
            <w:tcW w:w="662" w:type="pct"/>
            <w:tcBorders>
              <w:top w:val="single" w:sz="4" w:space="0" w:color="auto"/>
              <w:left w:val="single" w:sz="4" w:space="0" w:color="auto"/>
              <w:bottom w:val="single" w:sz="4" w:space="0" w:color="auto"/>
              <w:right w:val="single" w:sz="4" w:space="0" w:color="auto"/>
            </w:tcBorders>
            <w:vAlign w:val="center"/>
          </w:tcPr>
          <w:p w:rsidR="00C37DA5" w:rsidRPr="00A54ECA" w:rsidRDefault="00C37DA5" w:rsidP="00A54ECA">
            <w:pPr>
              <w:pStyle w:val="TableBodytext"/>
              <w:keepNext/>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4"/>
                <w:szCs w:val="24"/>
              </w:rPr>
            </w:pPr>
            <w:r w:rsidRPr="00A54ECA">
              <w:rPr>
                <w:rFonts w:ascii="Arial Narrow" w:hAnsi="Arial Narrow"/>
                <w:color w:val="000000"/>
                <w:sz w:val="24"/>
                <w:szCs w:val="24"/>
              </w:rPr>
              <w:t>2,660,553</w:t>
            </w:r>
          </w:p>
        </w:tc>
        <w:tc>
          <w:tcPr>
            <w:tcW w:w="605" w:type="pct"/>
            <w:tcBorders>
              <w:top w:val="single" w:sz="4" w:space="0" w:color="auto"/>
              <w:left w:val="single" w:sz="4" w:space="0" w:color="auto"/>
              <w:bottom w:val="single" w:sz="4" w:space="0" w:color="auto"/>
              <w:right w:val="single" w:sz="4" w:space="0" w:color="auto"/>
            </w:tcBorders>
            <w:vAlign w:val="center"/>
          </w:tcPr>
          <w:p w:rsidR="00C37DA5" w:rsidRPr="00A54ECA" w:rsidRDefault="00C37DA5" w:rsidP="00A54ECA">
            <w:pPr>
              <w:pStyle w:val="TableBodytext"/>
              <w:keepNext/>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4"/>
                <w:szCs w:val="24"/>
              </w:rPr>
            </w:pPr>
            <w:r w:rsidRPr="00A54ECA">
              <w:rPr>
                <w:rFonts w:ascii="Arial Narrow" w:hAnsi="Arial Narrow"/>
                <w:color w:val="000000"/>
                <w:sz w:val="24"/>
                <w:szCs w:val="24"/>
              </w:rPr>
              <w:t>4.8%</w:t>
            </w:r>
          </w:p>
        </w:tc>
        <w:tc>
          <w:tcPr>
            <w:tcW w:w="572" w:type="pct"/>
            <w:tcBorders>
              <w:top w:val="single" w:sz="4" w:space="0" w:color="auto"/>
              <w:left w:val="single" w:sz="4" w:space="0" w:color="auto"/>
              <w:bottom w:val="single" w:sz="4" w:space="0" w:color="auto"/>
              <w:right w:val="single" w:sz="4" w:space="0" w:color="auto"/>
            </w:tcBorders>
            <w:noWrap/>
            <w:vAlign w:val="center"/>
          </w:tcPr>
          <w:p w:rsidR="00C37DA5" w:rsidRPr="00A54ECA" w:rsidRDefault="00C37DA5" w:rsidP="00A54ECA">
            <w:pPr>
              <w:pStyle w:val="TableBodytext"/>
              <w:keepNext/>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4"/>
                <w:szCs w:val="24"/>
              </w:rPr>
            </w:pPr>
            <w:r w:rsidRPr="00A54ECA">
              <w:rPr>
                <w:rFonts w:ascii="Arial Narrow" w:hAnsi="Arial Narrow" w:cstheme="minorHAnsi"/>
                <w:color w:val="000000"/>
                <w:sz w:val="24"/>
                <w:szCs w:val="24"/>
              </w:rPr>
              <w:t>195,392</w:t>
            </w:r>
          </w:p>
        </w:tc>
        <w:tc>
          <w:tcPr>
            <w:tcW w:w="588" w:type="pct"/>
            <w:tcBorders>
              <w:top w:val="single" w:sz="4" w:space="0" w:color="auto"/>
              <w:left w:val="single" w:sz="4" w:space="0" w:color="auto"/>
              <w:bottom w:val="single" w:sz="4" w:space="0" w:color="auto"/>
              <w:right w:val="single" w:sz="4" w:space="0" w:color="auto"/>
            </w:tcBorders>
            <w:noWrap/>
            <w:vAlign w:val="center"/>
          </w:tcPr>
          <w:p w:rsidR="00C37DA5" w:rsidRPr="00A54ECA" w:rsidRDefault="00C37DA5" w:rsidP="00A54ECA">
            <w:pPr>
              <w:pStyle w:val="TableBodytext"/>
              <w:keepNext/>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4"/>
                <w:szCs w:val="24"/>
              </w:rPr>
            </w:pPr>
            <w:r w:rsidRPr="00A54ECA">
              <w:rPr>
                <w:rFonts w:ascii="Arial Narrow" w:hAnsi="Arial Narrow" w:cstheme="minorHAnsi"/>
                <w:color w:val="000000"/>
                <w:sz w:val="24"/>
                <w:szCs w:val="24"/>
              </w:rPr>
              <w:t>265,974</w:t>
            </w:r>
          </w:p>
        </w:tc>
        <w:tc>
          <w:tcPr>
            <w:tcW w:w="661" w:type="pct"/>
            <w:tcBorders>
              <w:top w:val="single" w:sz="4" w:space="0" w:color="auto"/>
              <w:left w:val="single" w:sz="4" w:space="0" w:color="auto"/>
              <w:bottom w:val="single" w:sz="4" w:space="0" w:color="auto"/>
              <w:right w:val="single" w:sz="4" w:space="0" w:color="auto"/>
            </w:tcBorders>
            <w:noWrap/>
            <w:vAlign w:val="center"/>
          </w:tcPr>
          <w:p w:rsidR="00C37DA5" w:rsidRPr="00A54ECA" w:rsidRDefault="00C37DA5" w:rsidP="00A54ECA">
            <w:pPr>
              <w:pStyle w:val="TableBodytext"/>
              <w:keepNext/>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sz w:val="24"/>
                <w:szCs w:val="24"/>
              </w:rPr>
            </w:pPr>
            <w:r w:rsidRPr="00A54ECA">
              <w:rPr>
                <w:rFonts w:ascii="Arial Narrow" w:hAnsi="Arial Narrow" w:cstheme="minorHAnsi"/>
                <w:color w:val="000000"/>
                <w:sz w:val="24"/>
                <w:szCs w:val="24"/>
              </w:rPr>
              <w:t>36%</w:t>
            </w:r>
          </w:p>
        </w:tc>
      </w:tr>
      <w:tr w:rsidR="00C37DA5" w:rsidRPr="00A54ECA" w:rsidTr="000973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7DA5" w:rsidRPr="00A54ECA" w:rsidRDefault="00C37DA5" w:rsidP="00A54ECA">
            <w:pPr>
              <w:pStyle w:val="TableBodytext"/>
              <w:keepNext/>
              <w:spacing w:before="0" w:after="0" w:line="240" w:lineRule="auto"/>
              <w:rPr>
                <w:rFonts w:ascii="Arial Narrow" w:hAnsi="Arial Narrow" w:cstheme="minorHAnsi"/>
                <w:b w:val="0"/>
                <w:color w:val="000000"/>
                <w:sz w:val="24"/>
                <w:szCs w:val="24"/>
              </w:rPr>
            </w:pPr>
            <w:r w:rsidRPr="00A54ECA">
              <w:rPr>
                <w:rFonts w:ascii="Arial Narrow" w:hAnsi="Arial Narrow" w:cstheme="minorHAnsi"/>
                <w:b w:val="0"/>
                <w:color w:val="000000"/>
                <w:sz w:val="24"/>
                <w:szCs w:val="24"/>
              </w:rPr>
              <w:t>England &amp; Wales</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rsidR="00C37DA5" w:rsidRPr="00A54ECA" w:rsidRDefault="00C37DA5" w:rsidP="00A54ECA">
            <w:pPr>
              <w:pStyle w:val="TableBodytext"/>
              <w:keepNext/>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000000"/>
                <w:sz w:val="24"/>
                <w:szCs w:val="24"/>
              </w:rPr>
            </w:pPr>
            <w:r w:rsidRPr="00A54ECA">
              <w:rPr>
                <w:rFonts w:ascii="Arial Narrow" w:hAnsi="Arial Narrow"/>
                <w:color w:val="000000"/>
                <w:sz w:val="24"/>
                <w:szCs w:val="24"/>
              </w:rPr>
              <w:t>16,254,820</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rsidR="00C37DA5" w:rsidRPr="00A54ECA" w:rsidRDefault="00C37DA5" w:rsidP="00A54ECA">
            <w:pPr>
              <w:pStyle w:val="TableBodytext"/>
              <w:keepNext/>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000000"/>
                <w:sz w:val="24"/>
                <w:szCs w:val="24"/>
              </w:rPr>
            </w:pPr>
            <w:r w:rsidRPr="00A54ECA">
              <w:rPr>
                <w:rFonts w:ascii="Arial Narrow" w:hAnsi="Arial Narrow"/>
                <w:color w:val="000000"/>
                <w:sz w:val="24"/>
                <w:szCs w:val="24"/>
              </w:rPr>
              <w:t>17,070,912</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tcPr>
          <w:p w:rsidR="00C37DA5" w:rsidRPr="00A54ECA" w:rsidRDefault="00C37DA5" w:rsidP="00A54ECA">
            <w:pPr>
              <w:pStyle w:val="TableBodytext"/>
              <w:keepNext/>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000000"/>
                <w:sz w:val="24"/>
                <w:szCs w:val="24"/>
              </w:rPr>
            </w:pPr>
            <w:r w:rsidRPr="00A54ECA">
              <w:rPr>
                <w:rFonts w:ascii="Arial Narrow" w:hAnsi="Arial Narrow"/>
                <w:color w:val="000000"/>
                <w:sz w:val="24"/>
                <w:szCs w:val="24"/>
              </w:rPr>
              <w:t>5.0%</w:t>
            </w:r>
          </w:p>
        </w:tc>
        <w:tc>
          <w:tcPr>
            <w:tcW w:w="5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7DA5" w:rsidRPr="00A54ECA" w:rsidRDefault="00C37DA5" w:rsidP="00A54ECA">
            <w:pPr>
              <w:pStyle w:val="TableBodytext"/>
              <w:keepNext/>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000000"/>
                <w:sz w:val="24"/>
                <w:szCs w:val="24"/>
              </w:rPr>
            </w:pPr>
            <w:r w:rsidRPr="00A54ECA">
              <w:rPr>
                <w:rFonts w:ascii="Arial Narrow" w:hAnsi="Arial Narrow" w:cstheme="minorHAnsi"/>
                <w:color w:val="000000"/>
                <w:sz w:val="24"/>
                <w:szCs w:val="24"/>
              </w:rPr>
              <w:t>1,510,422</w:t>
            </w: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7DA5" w:rsidRPr="00A54ECA" w:rsidRDefault="00C37DA5" w:rsidP="00A54ECA">
            <w:pPr>
              <w:pStyle w:val="TableBodytext"/>
              <w:keepNext/>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000000"/>
                <w:sz w:val="24"/>
                <w:szCs w:val="24"/>
              </w:rPr>
            </w:pPr>
            <w:r w:rsidRPr="00A54ECA">
              <w:rPr>
                <w:rFonts w:ascii="Arial Narrow" w:hAnsi="Arial Narrow" w:cstheme="minorHAnsi"/>
                <w:color w:val="000000"/>
                <w:sz w:val="24"/>
                <w:szCs w:val="24"/>
              </w:rPr>
              <w:t>1,995,860</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7DA5" w:rsidRPr="00A54ECA" w:rsidRDefault="00C37DA5" w:rsidP="00A54ECA">
            <w:pPr>
              <w:pStyle w:val="TableBodytext"/>
              <w:keepNext/>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000000"/>
                <w:sz w:val="24"/>
                <w:szCs w:val="24"/>
              </w:rPr>
            </w:pPr>
            <w:r w:rsidRPr="00A54ECA">
              <w:rPr>
                <w:rFonts w:ascii="Arial Narrow" w:hAnsi="Arial Narrow" w:cstheme="minorHAnsi"/>
                <w:color w:val="000000"/>
                <w:sz w:val="24"/>
                <w:szCs w:val="24"/>
              </w:rPr>
              <w:t>32%</w:t>
            </w:r>
          </w:p>
        </w:tc>
      </w:tr>
    </w:tbl>
    <w:p w:rsidR="00C37DA5" w:rsidRPr="00CA47B9" w:rsidRDefault="00C37DA5" w:rsidP="0009738C">
      <w:pPr>
        <w:pStyle w:val="11Bodytext"/>
        <w:numPr>
          <w:ilvl w:val="0"/>
          <w:numId w:val="0"/>
        </w:numPr>
        <w:spacing w:before="0" w:after="0" w:line="240" w:lineRule="auto"/>
      </w:pPr>
      <w:r w:rsidRPr="00CA47B9">
        <w:t xml:space="preserve">Source: 2001 &amp; 2011 Censuses </w:t>
      </w:r>
    </w:p>
    <w:p w:rsidR="00C37DA5" w:rsidRPr="00CA47B9" w:rsidRDefault="00C37DA5" w:rsidP="00020CFC">
      <w:pPr>
        <w:pStyle w:val="11Bodytext"/>
        <w:tabs>
          <w:tab w:val="clear" w:pos="2212"/>
          <w:tab w:val="num" w:pos="567"/>
        </w:tabs>
        <w:ind w:left="567" w:hanging="567"/>
      </w:pPr>
      <w:bookmarkStart w:id="73" w:name="_Hlk18068228"/>
      <w:bookmarkEnd w:id="68"/>
      <w:r w:rsidRPr="00CA47B9">
        <w:t>Conversely</w:t>
      </w:r>
      <w:r w:rsidR="00855CA6">
        <w:t>,</w:t>
      </w:r>
      <w:r w:rsidRPr="00CA47B9">
        <w:t xml:space="preserve"> the number of under-occupied properties in Chichester (7.2%) has increased at a greater rate than the wider HMA (6.1%), South East region (4.8%) and England and Wales (5.0%). This is in part linked to a growth in </w:t>
      </w:r>
      <w:r w:rsidR="00855CA6">
        <w:t xml:space="preserve">the </w:t>
      </w:r>
      <w:r w:rsidRPr="00CA47B9">
        <w:t>older population who tend to remain in their family homes after their children have left. Providing suitable accommodation for this group to move on to would reduce the need for additional large properties.</w:t>
      </w:r>
    </w:p>
    <w:p w:rsidR="00C37DA5" w:rsidRPr="00CA47B9" w:rsidRDefault="00C37DA5" w:rsidP="00020CFC">
      <w:pPr>
        <w:pStyle w:val="11Bodytext"/>
        <w:tabs>
          <w:tab w:val="clear" w:pos="2212"/>
          <w:tab w:val="num" w:pos="567"/>
        </w:tabs>
        <w:ind w:left="567" w:hanging="567"/>
        <w:rPr>
          <w:b/>
        </w:rPr>
      </w:pPr>
      <w:r w:rsidRPr="00CA47B9">
        <w:t xml:space="preserve">Similarly, the growth in shared households in Chichester District has also increased (23%) - although to a lesser extent than over occupied properties (28%). Again, this </w:t>
      </w:r>
      <w:r w:rsidR="00855CA6" w:rsidRPr="00CA47B9">
        <w:t>i</w:t>
      </w:r>
      <w:r w:rsidR="00855CA6">
        <w:t>s</w:t>
      </w:r>
      <w:r w:rsidR="00855CA6" w:rsidRPr="00CA47B9">
        <w:t xml:space="preserve"> </w:t>
      </w:r>
      <w:r w:rsidRPr="00CA47B9">
        <w:t xml:space="preserve">below the regional and national growth figures (see Table </w:t>
      </w:r>
      <w:r w:rsidR="002029B9">
        <w:t>10</w:t>
      </w:r>
      <w:r w:rsidRPr="00CA47B9">
        <w:t>).</w:t>
      </w:r>
    </w:p>
    <w:p w:rsidR="00C37DA5" w:rsidRPr="00CA47B9" w:rsidRDefault="00C37DA5" w:rsidP="0009738C">
      <w:pPr>
        <w:pStyle w:val="Tableheading"/>
        <w:tabs>
          <w:tab w:val="clear" w:pos="794"/>
          <w:tab w:val="clear" w:pos="1843"/>
          <w:tab w:val="left" w:pos="0"/>
        </w:tabs>
        <w:spacing w:line="240" w:lineRule="auto"/>
        <w:ind w:left="0" w:firstLine="0"/>
      </w:pPr>
      <w:r w:rsidRPr="00CA47B9">
        <w:t>Shared Household Spaces (2001-2011)</w:t>
      </w:r>
    </w:p>
    <w:tbl>
      <w:tblPr>
        <w:tblStyle w:val="GLHearntable1"/>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0: Shared Household Spaces 2001-2011"/>
      </w:tblPr>
      <w:tblGrid>
        <w:gridCol w:w="3076"/>
        <w:gridCol w:w="2221"/>
        <w:gridCol w:w="2221"/>
        <w:gridCol w:w="2120"/>
      </w:tblGrid>
      <w:tr w:rsidR="00C37DA5" w:rsidRPr="00A54ECA" w:rsidTr="000973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96" w:type="pct"/>
            <w:tcBorders>
              <w:bottom w:val="single" w:sz="4" w:space="0" w:color="auto"/>
            </w:tcBorders>
            <w:shd w:val="clear" w:color="auto" w:fill="0093D5" w:themeFill="accent2"/>
            <w:noWrap/>
            <w:hideMark/>
          </w:tcPr>
          <w:p w:rsidR="00C37DA5" w:rsidRPr="00A54ECA" w:rsidRDefault="00C37DA5" w:rsidP="00A54ECA">
            <w:pPr>
              <w:pStyle w:val="TableBodytext"/>
              <w:keepNext/>
              <w:spacing w:before="0" w:after="0" w:line="240" w:lineRule="auto"/>
              <w:jc w:val="center"/>
              <w:rPr>
                <w:rFonts w:asciiTheme="minorHAnsi" w:hAnsiTheme="minorHAnsi" w:cstheme="minorHAnsi"/>
                <w:b w:val="0"/>
                <w:bCs/>
                <w:sz w:val="24"/>
                <w:szCs w:val="24"/>
              </w:rPr>
            </w:pPr>
          </w:p>
        </w:tc>
        <w:tc>
          <w:tcPr>
            <w:tcW w:w="1152" w:type="pct"/>
            <w:tcBorders>
              <w:bottom w:val="single" w:sz="4" w:space="0" w:color="auto"/>
            </w:tcBorders>
            <w:shd w:val="clear" w:color="auto" w:fill="0093D5" w:themeFill="accent2"/>
          </w:tcPr>
          <w:p w:rsidR="00C37DA5" w:rsidRPr="00A54ECA" w:rsidRDefault="00C37DA5" w:rsidP="00A54ECA">
            <w:pPr>
              <w:pStyle w:val="TableBodytext"/>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sz w:val="24"/>
                <w:szCs w:val="24"/>
              </w:rPr>
            </w:pPr>
            <w:r w:rsidRPr="00A54ECA">
              <w:rPr>
                <w:rFonts w:asciiTheme="minorHAnsi" w:hAnsiTheme="minorHAnsi" w:cstheme="minorHAnsi"/>
                <w:b w:val="0"/>
                <w:bCs/>
                <w:sz w:val="24"/>
                <w:szCs w:val="24"/>
              </w:rPr>
              <w:t>2001</w:t>
            </w:r>
          </w:p>
        </w:tc>
        <w:tc>
          <w:tcPr>
            <w:tcW w:w="1152" w:type="pct"/>
            <w:tcBorders>
              <w:bottom w:val="single" w:sz="4" w:space="0" w:color="auto"/>
            </w:tcBorders>
            <w:shd w:val="clear" w:color="auto" w:fill="0093D5" w:themeFill="accent2"/>
          </w:tcPr>
          <w:p w:rsidR="00C37DA5" w:rsidRPr="00A54ECA" w:rsidRDefault="00C37DA5" w:rsidP="00A54ECA">
            <w:pPr>
              <w:pStyle w:val="TableBodytext"/>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sz w:val="24"/>
                <w:szCs w:val="24"/>
              </w:rPr>
            </w:pPr>
            <w:r w:rsidRPr="00A54ECA">
              <w:rPr>
                <w:rFonts w:asciiTheme="minorHAnsi" w:hAnsiTheme="minorHAnsi" w:cstheme="minorHAnsi"/>
                <w:b w:val="0"/>
                <w:bCs/>
                <w:sz w:val="24"/>
                <w:szCs w:val="24"/>
              </w:rPr>
              <w:t>2011</w:t>
            </w:r>
          </w:p>
        </w:tc>
        <w:tc>
          <w:tcPr>
            <w:tcW w:w="1100" w:type="pct"/>
            <w:tcBorders>
              <w:bottom w:val="single" w:sz="4" w:space="0" w:color="auto"/>
            </w:tcBorders>
            <w:shd w:val="clear" w:color="auto" w:fill="0093D5" w:themeFill="accent2"/>
          </w:tcPr>
          <w:p w:rsidR="00C37DA5" w:rsidRPr="00A54ECA" w:rsidRDefault="00C37DA5" w:rsidP="00A54ECA">
            <w:pPr>
              <w:pStyle w:val="TableBodytext"/>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sz w:val="24"/>
                <w:szCs w:val="24"/>
              </w:rPr>
            </w:pPr>
            <w:r w:rsidRPr="00A54ECA">
              <w:rPr>
                <w:rFonts w:asciiTheme="minorHAnsi" w:hAnsiTheme="minorHAnsi" w:cstheme="minorHAnsi"/>
                <w:b w:val="0"/>
                <w:bCs/>
                <w:sz w:val="24"/>
                <w:szCs w:val="24"/>
              </w:rPr>
              <w:t>% Change</w:t>
            </w:r>
          </w:p>
        </w:tc>
      </w:tr>
      <w:tr w:rsidR="00C37DA5" w:rsidRPr="00A54ECA" w:rsidTr="0009738C">
        <w:tc>
          <w:tcPr>
            <w:cnfStyle w:val="001000000000" w:firstRow="0" w:lastRow="0" w:firstColumn="1" w:lastColumn="0" w:oddVBand="0" w:evenVBand="0" w:oddHBand="0" w:evenHBand="0" w:firstRowFirstColumn="0" w:firstRowLastColumn="0" w:lastRowFirstColumn="0" w:lastRowLastColumn="0"/>
            <w:tcW w:w="1596" w:type="pct"/>
            <w:tcBorders>
              <w:top w:val="single" w:sz="4" w:space="0" w:color="auto"/>
              <w:left w:val="single" w:sz="4" w:space="0" w:color="auto"/>
              <w:bottom w:val="single" w:sz="4" w:space="0" w:color="auto"/>
              <w:right w:val="single" w:sz="4" w:space="0" w:color="auto"/>
            </w:tcBorders>
            <w:noWrap/>
            <w:vAlign w:val="center"/>
            <w:hideMark/>
          </w:tcPr>
          <w:p w:rsidR="00C37DA5" w:rsidRPr="00A54ECA" w:rsidRDefault="00C37DA5" w:rsidP="00A54ECA">
            <w:pPr>
              <w:pStyle w:val="TableBodytext"/>
              <w:keepNext/>
              <w:spacing w:before="0" w:after="0" w:line="240" w:lineRule="auto"/>
              <w:rPr>
                <w:rFonts w:asciiTheme="minorHAnsi" w:hAnsiTheme="minorHAnsi" w:cstheme="minorHAnsi"/>
                <w:color w:val="000000"/>
                <w:sz w:val="24"/>
                <w:szCs w:val="24"/>
              </w:rPr>
            </w:pPr>
            <w:r w:rsidRPr="00A54ECA">
              <w:rPr>
                <w:rFonts w:asciiTheme="minorHAnsi" w:hAnsiTheme="minorHAnsi" w:cstheme="minorHAnsi"/>
                <w:color w:val="000000"/>
                <w:sz w:val="24"/>
                <w:szCs w:val="24"/>
              </w:rPr>
              <w:t>Chichester District</w:t>
            </w:r>
          </w:p>
        </w:tc>
        <w:tc>
          <w:tcPr>
            <w:tcW w:w="1152" w:type="pct"/>
            <w:tcBorders>
              <w:top w:val="single" w:sz="4" w:space="0" w:color="auto"/>
              <w:left w:val="single" w:sz="4" w:space="0" w:color="auto"/>
              <w:bottom w:val="single" w:sz="4" w:space="0" w:color="auto"/>
              <w:right w:val="single" w:sz="4" w:space="0" w:color="auto"/>
            </w:tcBorders>
            <w:vAlign w:val="center"/>
          </w:tcPr>
          <w:p w:rsidR="00C37DA5" w:rsidRPr="00A54ECA" w:rsidRDefault="00C37DA5" w:rsidP="00A54ECA">
            <w:pPr>
              <w:pStyle w:val="TableBodytext"/>
              <w:keepNext/>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A54ECA">
              <w:rPr>
                <w:rFonts w:asciiTheme="minorHAnsi" w:hAnsiTheme="minorHAnsi" w:cstheme="minorHAnsi"/>
                <w:b/>
                <w:sz w:val="24"/>
                <w:szCs w:val="24"/>
              </w:rPr>
              <w:t>9,000</w:t>
            </w:r>
          </w:p>
        </w:tc>
        <w:tc>
          <w:tcPr>
            <w:tcW w:w="1152" w:type="pct"/>
            <w:tcBorders>
              <w:top w:val="single" w:sz="4" w:space="0" w:color="auto"/>
              <w:left w:val="single" w:sz="4" w:space="0" w:color="auto"/>
              <w:bottom w:val="single" w:sz="4" w:space="0" w:color="auto"/>
              <w:right w:val="single" w:sz="4" w:space="0" w:color="auto"/>
            </w:tcBorders>
            <w:vAlign w:val="center"/>
          </w:tcPr>
          <w:p w:rsidR="00C37DA5" w:rsidRPr="00A54ECA" w:rsidRDefault="00C37DA5" w:rsidP="00A54ECA">
            <w:pPr>
              <w:pStyle w:val="TableBodytext"/>
              <w:keepNext/>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A54ECA">
              <w:rPr>
                <w:rFonts w:asciiTheme="minorHAnsi" w:hAnsiTheme="minorHAnsi" w:cstheme="minorHAnsi"/>
                <w:b/>
                <w:sz w:val="24"/>
                <w:szCs w:val="24"/>
              </w:rPr>
              <w:t>11,052</w:t>
            </w:r>
          </w:p>
        </w:tc>
        <w:tc>
          <w:tcPr>
            <w:tcW w:w="1100" w:type="pct"/>
            <w:tcBorders>
              <w:top w:val="single" w:sz="4" w:space="0" w:color="auto"/>
              <w:left w:val="single" w:sz="4" w:space="0" w:color="auto"/>
              <w:bottom w:val="single" w:sz="4" w:space="0" w:color="auto"/>
              <w:right w:val="single" w:sz="4" w:space="0" w:color="auto"/>
            </w:tcBorders>
            <w:vAlign w:val="center"/>
          </w:tcPr>
          <w:p w:rsidR="00C37DA5" w:rsidRPr="00A54ECA" w:rsidRDefault="00C37DA5" w:rsidP="00A54ECA">
            <w:pPr>
              <w:pStyle w:val="TableBodytext"/>
              <w:keepNext/>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4"/>
                <w:szCs w:val="24"/>
              </w:rPr>
            </w:pPr>
            <w:r w:rsidRPr="00A54ECA">
              <w:rPr>
                <w:rFonts w:asciiTheme="minorHAnsi" w:hAnsiTheme="minorHAnsi" w:cstheme="minorHAnsi"/>
                <w:b/>
                <w:color w:val="000000"/>
                <w:sz w:val="24"/>
                <w:szCs w:val="24"/>
              </w:rPr>
              <w:t>23%</w:t>
            </w:r>
          </w:p>
        </w:tc>
      </w:tr>
      <w:tr w:rsidR="00C37DA5" w:rsidRPr="00A54ECA" w:rsidTr="000973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7DA5" w:rsidRPr="00A54ECA" w:rsidRDefault="00C37DA5" w:rsidP="00A54ECA">
            <w:pPr>
              <w:pStyle w:val="TableBodytext"/>
              <w:keepNext/>
              <w:spacing w:before="0" w:after="0" w:line="240" w:lineRule="auto"/>
              <w:rPr>
                <w:rFonts w:asciiTheme="minorHAnsi" w:hAnsiTheme="minorHAnsi" w:cstheme="minorHAnsi"/>
                <w:b w:val="0"/>
                <w:color w:val="000000"/>
                <w:sz w:val="24"/>
                <w:szCs w:val="24"/>
              </w:rPr>
            </w:pPr>
            <w:r w:rsidRPr="00A54ECA">
              <w:rPr>
                <w:rFonts w:asciiTheme="minorHAnsi" w:hAnsiTheme="minorHAnsi" w:cstheme="minorHAnsi"/>
                <w:b w:val="0"/>
                <w:color w:val="000000"/>
                <w:sz w:val="24"/>
                <w:szCs w:val="24"/>
              </w:rPr>
              <w:t>Arun</w:t>
            </w:r>
          </w:p>
        </w:tc>
        <w:tc>
          <w:tcPr>
            <w:tcW w:w="1152" w:type="pct"/>
            <w:tcBorders>
              <w:top w:val="single" w:sz="4" w:space="0" w:color="auto"/>
              <w:left w:val="single" w:sz="4" w:space="0" w:color="auto"/>
              <w:bottom w:val="single" w:sz="4" w:space="0" w:color="auto"/>
              <w:right w:val="single" w:sz="4" w:space="0" w:color="auto"/>
            </w:tcBorders>
            <w:shd w:val="clear" w:color="auto" w:fill="auto"/>
            <w:vAlign w:val="center"/>
          </w:tcPr>
          <w:p w:rsidR="00C37DA5" w:rsidRPr="00A54ECA" w:rsidRDefault="00C37DA5" w:rsidP="00A54ECA">
            <w:pPr>
              <w:pStyle w:val="TableBodytext"/>
              <w:keepNext/>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rPr>
            </w:pPr>
            <w:r w:rsidRPr="00A54ECA">
              <w:rPr>
                <w:rFonts w:asciiTheme="minorHAnsi" w:hAnsiTheme="minorHAnsi" w:cstheme="minorHAnsi"/>
                <w:sz w:val="24"/>
                <w:szCs w:val="24"/>
              </w:rPr>
              <w:t>10,027</w:t>
            </w:r>
          </w:p>
        </w:tc>
        <w:tc>
          <w:tcPr>
            <w:tcW w:w="1152" w:type="pct"/>
            <w:tcBorders>
              <w:top w:val="single" w:sz="4" w:space="0" w:color="auto"/>
              <w:left w:val="single" w:sz="4" w:space="0" w:color="auto"/>
              <w:bottom w:val="single" w:sz="4" w:space="0" w:color="auto"/>
              <w:right w:val="single" w:sz="4" w:space="0" w:color="auto"/>
            </w:tcBorders>
            <w:shd w:val="clear" w:color="auto" w:fill="auto"/>
            <w:vAlign w:val="center"/>
          </w:tcPr>
          <w:p w:rsidR="00C37DA5" w:rsidRPr="00A54ECA" w:rsidRDefault="00C37DA5" w:rsidP="00A54ECA">
            <w:pPr>
              <w:pStyle w:val="TableBodytext"/>
              <w:keepNext/>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rPr>
            </w:pPr>
            <w:r w:rsidRPr="00A54ECA">
              <w:rPr>
                <w:rFonts w:asciiTheme="minorHAnsi" w:hAnsiTheme="minorHAnsi" w:cstheme="minorHAnsi"/>
                <w:sz w:val="24"/>
                <w:szCs w:val="24"/>
              </w:rPr>
              <w:t>14,349</w:t>
            </w:r>
          </w:p>
        </w:tc>
        <w:tc>
          <w:tcPr>
            <w:tcW w:w="1100" w:type="pct"/>
            <w:tcBorders>
              <w:top w:val="single" w:sz="4" w:space="0" w:color="auto"/>
              <w:left w:val="single" w:sz="4" w:space="0" w:color="auto"/>
              <w:bottom w:val="single" w:sz="4" w:space="0" w:color="auto"/>
              <w:right w:val="single" w:sz="4" w:space="0" w:color="auto"/>
            </w:tcBorders>
            <w:shd w:val="clear" w:color="auto" w:fill="auto"/>
            <w:vAlign w:val="center"/>
          </w:tcPr>
          <w:p w:rsidR="00C37DA5" w:rsidRPr="00A54ECA" w:rsidRDefault="00C37DA5" w:rsidP="00A54ECA">
            <w:pPr>
              <w:pStyle w:val="TableBodytext"/>
              <w:keepNext/>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4"/>
                <w:szCs w:val="24"/>
              </w:rPr>
            </w:pPr>
            <w:r w:rsidRPr="00A54ECA">
              <w:rPr>
                <w:rFonts w:asciiTheme="minorHAnsi" w:hAnsiTheme="minorHAnsi" w:cstheme="minorHAnsi"/>
                <w:color w:val="000000"/>
                <w:sz w:val="24"/>
                <w:szCs w:val="24"/>
              </w:rPr>
              <w:t>43%</w:t>
            </w:r>
          </w:p>
        </w:tc>
      </w:tr>
      <w:tr w:rsidR="00C37DA5" w:rsidRPr="00A54ECA" w:rsidTr="0009738C">
        <w:tc>
          <w:tcPr>
            <w:cnfStyle w:val="001000000000" w:firstRow="0" w:lastRow="0" w:firstColumn="1" w:lastColumn="0" w:oddVBand="0" w:evenVBand="0" w:oddHBand="0" w:evenHBand="0" w:firstRowFirstColumn="0" w:firstRowLastColumn="0" w:lastRowFirstColumn="0" w:lastRowLastColumn="0"/>
            <w:tcW w:w="1596" w:type="pct"/>
            <w:tcBorders>
              <w:top w:val="single" w:sz="4" w:space="0" w:color="auto"/>
              <w:left w:val="single" w:sz="4" w:space="0" w:color="auto"/>
              <w:bottom w:val="single" w:sz="4" w:space="0" w:color="auto"/>
              <w:right w:val="single" w:sz="4" w:space="0" w:color="auto"/>
            </w:tcBorders>
            <w:noWrap/>
            <w:vAlign w:val="center"/>
            <w:hideMark/>
          </w:tcPr>
          <w:p w:rsidR="00C37DA5" w:rsidRPr="00A54ECA" w:rsidRDefault="00C37DA5" w:rsidP="00A54ECA">
            <w:pPr>
              <w:pStyle w:val="TableBodytext"/>
              <w:keepNext/>
              <w:spacing w:before="0" w:after="0" w:line="240" w:lineRule="auto"/>
              <w:rPr>
                <w:rFonts w:asciiTheme="minorHAnsi" w:hAnsiTheme="minorHAnsi" w:cstheme="minorHAnsi"/>
                <w:b w:val="0"/>
                <w:color w:val="000000"/>
                <w:sz w:val="24"/>
                <w:szCs w:val="24"/>
              </w:rPr>
            </w:pPr>
            <w:r w:rsidRPr="00A54ECA">
              <w:rPr>
                <w:rFonts w:asciiTheme="minorHAnsi" w:hAnsiTheme="minorHAnsi" w:cstheme="minorHAnsi"/>
                <w:b w:val="0"/>
                <w:color w:val="000000"/>
                <w:sz w:val="24"/>
                <w:szCs w:val="24"/>
              </w:rPr>
              <w:t>Cotswold</w:t>
            </w:r>
          </w:p>
        </w:tc>
        <w:tc>
          <w:tcPr>
            <w:tcW w:w="1152" w:type="pct"/>
            <w:tcBorders>
              <w:top w:val="single" w:sz="4" w:space="0" w:color="auto"/>
              <w:left w:val="single" w:sz="4" w:space="0" w:color="auto"/>
              <w:bottom w:val="single" w:sz="4" w:space="0" w:color="auto"/>
              <w:right w:val="single" w:sz="4" w:space="0" w:color="auto"/>
            </w:tcBorders>
            <w:vAlign w:val="center"/>
          </w:tcPr>
          <w:p w:rsidR="00C37DA5" w:rsidRPr="00A54ECA" w:rsidRDefault="00C37DA5" w:rsidP="00A54ECA">
            <w:pPr>
              <w:pStyle w:val="TableBodytext"/>
              <w:keepNext/>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54ECA">
              <w:rPr>
                <w:rFonts w:asciiTheme="minorHAnsi" w:hAnsiTheme="minorHAnsi" w:cstheme="minorHAnsi"/>
                <w:sz w:val="24"/>
                <w:szCs w:val="24"/>
              </w:rPr>
              <w:t>5,285</w:t>
            </w:r>
          </w:p>
        </w:tc>
        <w:tc>
          <w:tcPr>
            <w:tcW w:w="1152" w:type="pct"/>
            <w:tcBorders>
              <w:top w:val="single" w:sz="4" w:space="0" w:color="auto"/>
              <w:left w:val="single" w:sz="4" w:space="0" w:color="auto"/>
              <w:bottom w:val="single" w:sz="4" w:space="0" w:color="auto"/>
              <w:right w:val="single" w:sz="4" w:space="0" w:color="auto"/>
            </w:tcBorders>
            <w:vAlign w:val="center"/>
          </w:tcPr>
          <w:p w:rsidR="00C37DA5" w:rsidRPr="00A54ECA" w:rsidRDefault="00C37DA5" w:rsidP="00A54ECA">
            <w:pPr>
              <w:pStyle w:val="TableBodytext"/>
              <w:keepNext/>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54ECA">
              <w:rPr>
                <w:rFonts w:asciiTheme="minorHAnsi" w:hAnsiTheme="minorHAnsi" w:cstheme="minorHAnsi"/>
                <w:sz w:val="24"/>
                <w:szCs w:val="24"/>
              </w:rPr>
              <w:t>5,930</w:t>
            </w:r>
          </w:p>
        </w:tc>
        <w:tc>
          <w:tcPr>
            <w:tcW w:w="1100" w:type="pct"/>
            <w:tcBorders>
              <w:top w:val="single" w:sz="4" w:space="0" w:color="auto"/>
              <w:left w:val="single" w:sz="4" w:space="0" w:color="auto"/>
              <w:bottom w:val="single" w:sz="4" w:space="0" w:color="auto"/>
              <w:right w:val="single" w:sz="4" w:space="0" w:color="auto"/>
            </w:tcBorders>
            <w:vAlign w:val="center"/>
          </w:tcPr>
          <w:p w:rsidR="00C37DA5" w:rsidRPr="00A54ECA" w:rsidRDefault="00C37DA5" w:rsidP="00A54ECA">
            <w:pPr>
              <w:pStyle w:val="TableBodytext"/>
              <w:keepNext/>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A54ECA">
              <w:rPr>
                <w:rFonts w:asciiTheme="minorHAnsi" w:hAnsiTheme="minorHAnsi" w:cstheme="minorHAnsi"/>
                <w:color w:val="000000"/>
                <w:sz w:val="24"/>
                <w:szCs w:val="24"/>
              </w:rPr>
              <w:t>12%</w:t>
            </w:r>
          </w:p>
        </w:tc>
      </w:tr>
      <w:tr w:rsidR="00C37DA5" w:rsidRPr="00A54ECA" w:rsidTr="000973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7DA5" w:rsidRPr="00A54ECA" w:rsidRDefault="00C37DA5" w:rsidP="00A54ECA">
            <w:pPr>
              <w:pStyle w:val="TableBodytext"/>
              <w:keepNext/>
              <w:spacing w:before="0" w:after="0" w:line="240" w:lineRule="auto"/>
              <w:rPr>
                <w:rFonts w:asciiTheme="minorHAnsi" w:hAnsiTheme="minorHAnsi" w:cstheme="minorHAnsi"/>
                <w:b w:val="0"/>
                <w:color w:val="000000"/>
                <w:sz w:val="24"/>
                <w:szCs w:val="24"/>
              </w:rPr>
            </w:pPr>
            <w:r w:rsidRPr="00A54ECA">
              <w:rPr>
                <w:rFonts w:asciiTheme="minorHAnsi" w:hAnsiTheme="minorHAnsi" w:cstheme="minorHAnsi"/>
                <w:b w:val="0"/>
                <w:color w:val="000000"/>
                <w:sz w:val="24"/>
                <w:szCs w:val="24"/>
              </w:rPr>
              <w:t>West Dorset</w:t>
            </w:r>
          </w:p>
        </w:tc>
        <w:tc>
          <w:tcPr>
            <w:tcW w:w="1152" w:type="pct"/>
            <w:tcBorders>
              <w:top w:val="single" w:sz="4" w:space="0" w:color="auto"/>
              <w:left w:val="single" w:sz="4" w:space="0" w:color="auto"/>
              <w:bottom w:val="single" w:sz="4" w:space="0" w:color="auto"/>
              <w:right w:val="single" w:sz="4" w:space="0" w:color="auto"/>
            </w:tcBorders>
            <w:shd w:val="clear" w:color="auto" w:fill="auto"/>
            <w:vAlign w:val="center"/>
          </w:tcPr>
          <w:p w:rsidR="00C37DA5" w:rsidRPr="00A54ECA" w:rsidRDefault="00C37DA5" w:rsidP="00A54ECA">
            <w:pPr>
              <w:pStyle w:val="TableBodytext"/>
              <w:keepNext/>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rPr>
            </w:pPr>
            <w:r w:rsidRPr="00A54ECA">
              <w:rPr>
                <w:rFonts w:asciiTheme="minorHAnsi" w:hAnsiTheme="minorHAnsi" w:cstheme="minorHAnsi"/>
                <w:sz w:val="24"/>
                <w:szCs w:val="24"/>
              </w:rPr>
              <w:t>5,556</w:t>
            </w:r>
          </w:p>
        </w:tc>
        <w:tc>
          <w:tcPr>
            <w:tcW w:w="1152" w:type="pct"/>
            <w:tcBorders>
              <w:top w:val="single" w:sz="4" w:space="0" w:color="auto"/>
              <w:left w:val="single" w:sz="4" w:space="0" w:color="auto"/>
              <w:bottom w:val="single" w:sz="4" w:space="0" w:color="auto"/>
              <w:right w:val="single" w:sz="4" w:space="0" w:color="auto"/>
            </w:tcBorders>
            <w:shd w:val="clear" w:color="auto" w:fill="auto"/>
            <w:vAlign w:val="center"/>
          </w:tcPr>
          <w:p w:rsidR="00C37DA5" w:rsidRPr="00A54ECA" w:rsidRDefault="00C37DA5" w:rsidP="00A54ECA">
            <w:pPr>
              <w:pStyle w:val="TableBodytext"/>
              <w:keepNext/>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rPr>
            </w:pPr>
            <w:r w:rsidRPr="00A54ECA">
              <w:rPr>
                <w:rFonts w:asciiTheme="minorHAnsi" w:hAnsiTheme="minorHAnsi" w:cstheme="minorHAnsi"/>
                <w:sz w:val="24"/>
                <w:szCs w:val="24"/>
              </w:rPr>
              <w:t>6,923</w:t>
            </w:r>
          </w:p>
        </w:tc>
        <w:tc>
          <w:tcPr>
            <w:tcW w:w="1100" w:type="pct"/>
            <w:tcBorders>
              <w:top w:val="single" w:sz="4" w:space="0" w:color="auto"/>
              <w:left w:val="single" w:sz="4" w:space="0" w:color="auto"/>
              <w:bottom w:val="single" w:sz="4" w:space="0" w:color="auto"/>
              <w:right w:val="single" w:sz="4" w:space="0" w:color="auto"/>
            </w:tcBorders>
            <w:shd w:val="clear" w:color="auto" w:fill="auto"/>
            <w:vAlign w:val="center"/>
          </w:tcPr>
          <w:p w:rsidR="00C37DA5" w:rsidRPr="00A54ECA" w:rsidRDefault="00C37DA5" w:rsidP="00A54ECA">
            <w:pPr>
              <w:pStyle w:val="TableBodytext"/>
              <w:keepNext/>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4"/>
                <w:szCs w:val="24"/>
              </w:rPr>
            </w:pPr>
            <w:r w:rsidRPr="00A54ECA">
              <w:rPr>
                <w:rFonts w:asciiTheme="minorHAnsi" w:hAnsiTheme="minorHAnsi" w:cstheme="minorHAnsi"/>
                <w:color w:val="000000"/>
                <w:sz w:val="24"/>
                <w:szCs w:val="24"/>
              </w:rPr>
              <w:t>25%</w:t>
            </w:r>
          </w:p>
        </w:tc>
      </w:tr>
      <w:tr w:rsidR="00C37DA5" w:rsidRPr="00A54ECA" w:rsidTr="0009738C">
        <w:tc>
          <w:tcPr>
            <w:cnfStyle w:val="001000000000" w:firstRow="0" w:lastRow="0" w:firstColumn="1" w:lastColumn="0" w:oddVBand="0" w:evenVBand="0" w:oddHBand="0" w:evenHBand="0" w:firstRowFirstColumn="0" w:firstRowLastColumn="0" w:lastRowFirstColumn="0" w:lastRowLastColumn="0"/>
            <w:tcW w:w="1596" w:type="pct"/>
            <w:tcBorders>
              <w:top w:val="single" w:sz="4" w:space="0" w:color="auto"/>
              <w:left w:val="single" w:sz="4" w:space="0" w:color="auto"/>
              <w:bottom w:val="single" w:sz="4" w:space="0" w:color="auto"/>
              <w:right w:val="single" w:sz="4" w:space="0" w:color="auto"/>
            </w:tcBorders>
            <w:noWrap/>
            <w:vAlign w:val="center"/>
          </w:tcPr>
          <w:p w:rsidR="00C37DA5" w:rsidRPr="00A54ECA" w:rsidRDefault="00C37DA5" w:rsidP="00A54ECA">
            <w:pPr>
              <w:pStyle w:val="TableBodytext"/>
              <w:keepNext/>
              <w:spacing w:before="0" w:after="0" w:line="240" w:lineRule="auto"/>
              <w:rPr>
                <w:rFonts w:asciiTheme="minorHAnsi" w:hAnsiTheme="minorHAnsi" w:cstheme="minorHAnsi"/>
                <w:b w:val="0"/>
                <w:color w:val="000000"/>
                <w:sz w:val="24"/>
                <w:szCs w:val="24"/>
              </w:rPr>
            </w:pPr>
            <w:r w:rsidRPr="00A54ECA">
              <w:rPr>
                <w:rFonts w:asciiTheme="minorHAnsi" w:hAnsiTheme="minorHAnsi" w:cstheme="minorHAnsi"/>
                <w:b w:val="0"/>
                <w:color w:val="000000"/>
                <w:sz w:val="24"/>
                <w:szCs w:val="24"/>
              </w:rPr>
              <w:t>Chichester &amp; Bognor HMA</w:t>
            </w:r>
          </w:p>
        </w:tc>
        <w:tc>
          <w:tcPr>
            <w:tcW w:w="1152" w:type="pct"/>
            <w:tcBorders>
              <w:top w:val="single" w:sz="4" w:space="0" w:color="auto"/>
              <w:left w:val="single" w:sz="4" w:space="0" w:color="auto"/>
              <w:bottom w:val="single" w:sz="4" w:space="0" w:color="auto"/>
              <w:right w:val="single" w:sz="4" w:space="0" w:color="auto"/>
            </w:tcBorders>
            <w:vAlign w:val="center"/>
          </w:tcPr>
          <w:p w:rsidR="00C37DA5" w:rsidRPr="00A54ECA" w:rsidRDefault="00C37DA5" w:rsidP="00A54ECA">
            <w:pPr>
              <w:pStyle w:val="TableBodytext"/>
              <w:keepNext/>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54ECA">
              <w:rPr>
                <w:rFonts w:asciiTheme="minorHAnsi" w:hAnsiTheme="minorHAnsi" w:cstheme="minorHAnsi"/>
                <w:sz w:val="24"/>
                <w:szCs w:val="24"/>
              </w:rPr>
              <w:t>19,027</w:t>
            </w:r>
          </w:p>
        </w:tc>
        <w:tc>
          <w:tcPr>
            <w:tcW w:w="1152" w:type="pct"/>
            <w:tcBorders>
              <w:top w:val="single" w:sz="4" w:space="0" w:color="auto"/>
              <w:left w:val="single" w:sz="4" w:space="0" w:color="auto"/>
              <w:bottom w:val="single" w:sz="4" w:space="0" w:color="auto"/>
              <w:right w:val="single" w:sz="4" w:space="0" w:color="auto"/>
            </w:tcBorders>
            <w:vAlign w:val="center"/>
          </w:tcPr>
          <w:p w:rsidR="00C37DA5" w:rsidRPr="00A54ECA" w:rsidRDefault="00C37DA5" w:rsidP="00A54ECA">
            <w:pPr>
              <w:pStyle w:val="TableBodytext"/>
              <w:keepNext/>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54ECA">
              <w:rPr>
                <w:rFonts w:asciiTheme="minorHAnsi" w:hAnsiTheme="minorHAnsi" w:cstheme="minorHAnsi"/>
                <w:sz w:val="24"/>
                <w:szCs w:val="24"/>
              </w:rPr>
              <w:t>25,401</w:t>
            </w:r>
          </w:p>
        </w:tc>
        <w:tc>
          <w:tcPr>
            <w:tcW w:w="1100" w:type="pct"/>
            <w:tcBorders>
              <w:top w:val="single" w:sz="4" w:space="0" w:color="auto"/>
              <w:left w:val="single" w:sz="4" w:space="0" w:color="auto"/>
              <w:bottom w:val="single" w:sz="4" w:space="0" w:color="auto"/>
              <w:right w:val="single" w:sz="4" w:space="0" w:color="auto"/>
            </w:tcBorders>
            <w:vAlign w:val="center"/>
          </w:tcPr>
          <w:p w:rsidR="00C37DA5" w:rsidRPr="00A54ECA" w:rsidRDefault="00C37DA5" w:rsidP="00A54ECA">
            <w:pPr>
              <w:pStyle w:val="TableBodytext"/>
              <w:keepNext/>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A54ECA">
              <w:rPr>
                <w:rFonts w:asciiTheme="minorHAnsi" w:hAnsiTheme="minorHAnsi" w:cstheme="minorHAnsi"/>
                <w:color w:val="000000"/>
                <w:sz w:val="24"/>
                <w:szCs w:val="24"/>
              </w:rPr>
              <w:t>33%</w:t>
            </w:r>
          </w:p>
        </w:tc>
      </w:tr>
      <w:tr w:rsidR="00C37DA5" w:rsidRPr="00A54ECA" w:rsidTr="000973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7DA5" w:rsidRPr="00A54ECA" w:rsidRDefault="00C37DA5" w:rsidP="00A54ECA">
            <w:pPr>
              <w:pStyle w:val="TableBodytext"/>
              <w:keepNext/>
              <w:spacing w:before="0" w:after="0" w:line="240" w:lineRule="auto"/>
              <w:rPr>
                <w:rFonts w:asciiTheme="minorHAnsi" w:hAnsiTheme="minorHAnsi" w:cstheme="minorHAnsi"/>
                <w:b w:val="0"/>
                <w:color w:val="000000"/>
                <w:sz w:val="24"/>
                <w:szCs w:val="24"/>
              </w:rPr>
            </w:pPr>
            <w:r w:rsidRPr="00A54ECA">
              <w:rPr>
                <w:rFonts w:asciiTheme="minorHAnsi" w:hAnsiTheme="minorHAnsi" w:cstheme="minorHAnsi"/>
                <w:b w:val="0"/>
                <w:color w:val="000000"/>
                <w:sz w:val="24"/>
                <w:szCs w:val="24"/>
              </w:rPr>
              <w:t>South East</w:t>
            </w:r>
          </w:p>
        </w:tc>
        <w:tc>
          <w:tcPr>
            <w:tcW w:w="1152" w:type="pct"/>
            <w:tcBorders>
              <w:top w:val="single" w:sz="4" w:space="0" w:color="auto"/>
              <w:left w:val="single" w:sz="4" w:space="0" w:color="auto"/>
              <w:bottom w:val="single" w:sz="4" w:space="0" w:color="auto"/>
              <w:right w:val="single" w:sz="4" w:space="0" w:color="auto"/>
            </w:tcBorders>
            <w:shd w:val="clear" w:color="auto" w:fill="auto"/>
            <w:vAlign w:val="center"/>
          </w:tcPr>
          <w:p w:rsidR="00C37DA5" w:rsidRPr="00A54ECA" w:rsidRDefault="00C37DA5" w:rsidP="00A54ECA">
            <w:pPr>
              <w:pStyle w:val="TableBodytext"/>
              <w:keepNext/>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rPr>
            </w:pPr>
            <w:r w:rsidRPr="00A54ECA">
              <w:rPr>
                <w:rFonts w:asciiTheme="minorHAnsi" w:hAnsiTheme="minorHAnsi" w:cstheme="minorHAnsi"/>
                <w:sz w:val="24"/>
                <w:szCs w:val="24"/>
              </w:rPr>
              <w:t>725,101</w:t>
            </w:r>
          </w:p>
        </w:tc>
        <w:tc>
          <w:tcPr>
            <w:tcW w:w="1152" w:type="pct"/>
            <w:tcBorders>
              <w:top w:val="single" w:sz="4" w:space="0" w:color="auto"/>
              <w:left w:val="single" w:sz="4" w:space="0" w:color="auto"/>
              <w:bottom w:val="single" w:sz="4" w:space="0" w:color="auto"/>
              <w:right w:val="single" w:sz="4" w:space="0" w:color="auto"/>
            </w:tcBorders>
            <w:shd w:val="clear" w:color="auto" w:fill="auto"/>
            <w:vAlign w:val="center"/>
          </w:tcPr>
          <w:p w:rsidR="00C37DA5" w:rsidRPr="00A54ECA" w:rsidRDefault="00C37DA5" w:rsidP="00A54ECA">
            <w:pPr>
              <w:pStyle w:val="TableBodytext"/>
              <w:keepNext/>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rPr>
            </w:pPr>
            <w:r w:rsidRPr="00A54ECA">
              <w:rPr>
                <w:rFonts w:asciiTheme="minorHAnsi" w:hAnsiTheme="minorHAnsi" w:cstheme="minorHAnsi"/>
                <w:sz w:val="24"/>
                <w:szCs w:val="24"/>
              </w:rPr>
              <w:t>946,199</w:t>
            </w:r>
          </w:p>
        </w:tc>
        <w:tc>
          <w:tcPr>
            <w:tcW w:w="1100" w:type="pct"/>
            <w:tcBorders>
              <w:top w:val="single" w:sz="4" w:space="0" w:color="auto"/>
              <w:left w:val="single" w:sz="4" w:space="0" w:color="auto"/>
              <w:bottom w:val="single" w:sz="4" w:space="0" w:color="auto"/>
              <w:right w:val="single" w:sz="4" w:space="0" w:color="auto"/>
            </w:tcBorders>
            <w:shd w:val="clear" w:color="auto" w:fill="auto"/>
            <w:vAlign w:val="center"/>
          </w:tcPr>
          <w:p w:rsidR="00C37DA5" w:rsidRPr="00A54ECA" w:rsidRDefault="00C37DA5" w:rsidP="00A54ECA">
            <w:pPr>
              <w:pStyle w:val="TableBodytext"/>
              <w:keepNext/>
              <w:spacing w:before="0"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4"/>
                <w:szCs w:val="24"/>
              </w:rPr>
            </w:pPr>
            <w:r w:rsidRPr="00A54ECA">
              <w:rPr>
                <w:rFonts w:asciiTheme="minorHAnsi" w:hAnsiTheme="minorHAnsi" w:cstheme="minorHAnsi"/>
                <w:color w:val="000000"/>
                <w:sz w:val="24"/>
                <w:szCs w:val="24"/>
              </w:rPr>
              <w:t>30%</w:t>
            </w:r>
          </w:p>
        </w:tc>
      </w:tr>
      <w:tr w:rsidR="00C37DA5" w:rsidRPr="00A54ECA" w:rsidTr="0009738C">
        <w:tc>
          <w:tcPr>
            <w:cnfStyle w:val="001000000000" w:firstRow="0" w:lastRow="0" w:firstColumn="1" w:lastColumn="0" w:oddVBand="0" w:evenVBand="0" w:oddHBand="0" w:evenHBand="0" w:firstRowFirstColumn="0" w:firstRowLastColumn="0" w:lastRowFirstColumn="0" w:lastRowLastColumn="0"/>
            <w:tcW w:w="1596" w:type="pct"/>
            <w:tcBorders>
              <w:top w:val="single" w:sz="4" w:space="0" w:color="auto"/>
              <w:left w:val="single" w:sz="4" w:space="0" w:color="auto"/>
              <w:bottom w:val="single" w:sz="4" w:space="0" w:color="auto"/>
              <w:right w:val="single" w:sz="4" w:space="0" w:color="auto"/>
            </w:tcBorders>
            <w:noWrap/>
            <w:vAlign w:val="center"/>
          </w:tcPr>
          <w:p w:rsidR="00C37DA5" w:rsidRPr="00A54ECA" w:rsidRDefault="00C37DA5" w:rsidP="00A54ECA">
            <w:pPr>
              <w:pStyle w:val="TableBodytext"/>
              <w:keepNext/>
              <w:spacing w:before="0" w:after="0" w:line="240" w:lineRule="auto"/>
              <w:rPr>
                <w:rFonts w:asciiTheme="minorHAnsi" w:hAnsiTheme="minorHAnsi" w:cstheme="minorHAnsi"/>
                <w:b w:val="0"/>
                <w:color w:val="000000"/>
                <w:sz w:val="24"/>
                <w:szCs w:val="24"/>
              </w:rPr>
            </w:pPr>
            <w:r w:rsidRPr="00A54ECA">
              <w:rPr>
                <w:rFonts w:asciiTheme="minorHAnsi" w:hAnsiTheme="minorHAnsi" w:cstheme="minorHAnsi"/>
                <w:b w:val="0"/>
                <w:color w:val="000000"/>
                <w:sz w:val="24"/>
                <w:szCs w:val="24"/>
              </w:rPr>
              <w:t>England and Wales</w:t>
            </w:r>
          </w:p>
        </w:tc>
        <w:tc>
          <w:tcPr>
            <w:tcW w:w="1152" w:type="pct"/>
            <w:tcBorders>
              <w:top w:val="single" w:sz="4" w:space="0" w:color="auto"/>
              <w:left w:val="single" w:sz="4" w:space="0" w:color="auto"/>
              <w:bottom w:val="single" w:sz="4" w:space="0" w:color="auto"/>
              <w:right w:val="single" w:sz="4" w:space="0" w:color="auto"/>
            </w:tcBorders>
            <w:vAlign w:val="center"/>
          </w:tcPr>
          <w:p w:rsidR="00C37DA5" w:rsidRPr="00A54ECA" w:rsidRDefault="00C37DA5" w:rsidP="00A54ECA">
            <w:pPr>
              <w:pStyle w:val="TableBodytext"/>
              <w:keepNext/>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54ECA">
              <w:rPr>
                <w:rFonts w:asciiTheme="minorHAnsi" w:hAnsiTheme="minorHAnsi" w:cstheme="minorHAnsi"/>
                <w:sz w:val="24"/>
                <w:szCs w:val="24"/>
              </w:rPr>
              <w:t>5,092,681</w:t>
            </w:r>
          </w:p>
        </w:tc>
        <w:tc>
          <w:tcPr>
            <w:tcW w:w="1152" w:type="pct"/>
            <w:tcBorders>
              <w:top w:val="single" w:sz="4" w:space="0" w:color="auto"/>
              <w:left w:val="single" w:sz="4" w:space="0" w:color="auto"/>
              <w:bottom w:val="single" w:sz="4" w:space="0" w:color="auto"/>
              <w:right w:val="single" w:sz="4" w:space="0" w:color="auto"/>
            </w:tcBorders>
            <w:vAlign w:val="center"/>
          </w:tcPr>
          <w:p w:rsidR="00C37DA5" w:rsidRPr="00A54ECA" w:rsidRDefault="00C37DA5" w:rsidP="00A54ECA">
            <w:pPr>
              <w:pStyle w:val="TableBodytext"/>
              <w:keepNext/>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A54ECA">
              <w:rPr>
                <w:rFonts w:asciiTheme="minorHAnsi" w:hAnsiTheme="minorHAnsi" w:cstheme="minorHAnsi"/>
                <w:sz w:val="24"/>
                <w:szCs w:val="24"/>
              </w:rPr>
              <w:t>6,774,807</w:t>
            </w:r>
          </w:p>
        </w:tc>
        <w:tc>
          <w:tcPr>
            <w:tcW w:w="1100" w:type="pct"/>
            <w:tcBorders>
              <w:top w:val="single" w:sz="4" w:space="0" w:color="auto"/>
              <w:left w:val="single" w:sz="4" w:space="0" w:color="auto"/>
              <w:bottom w:val="single" w:sz="4" w:space="0" w:color="auto"/>
              <w:right w:val="single" w:sz="4" w:space="0" w:color="auto"/>
            </w:tcBorders>
            <w:vAlign w:val="center"/>
          </w:tcPr>
          <w:p w:rsidR="00C37DA5" w:rsidRPr="00A54ECA" w:rsidRDefault="00C37DA5" w:rsidP="00A54ECA">
            <w:pPr>
              <w:pStyle w:val="TableBodytext"/>
              <w:keepNext/>
              <w:spacing w:before="0"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A54ECA">
              <w:rPr>
                <w:rFonts w:asciiTheme="minorHAnsi" w:hAnsiTheme="minorHAnsi" w:cstheme="minorHAnsi"/>
                <w:color w:val="000000"/>
                <w:sz w:val="24"/>
                <w:szCs w:val="24"/>
              </w:rPr>
              <w:t>33%</w:t>
            </w:r>
          </w:p>
        </w:tc>
      </w:tr>
    </w:tbl>
    <w:p w:rsidR="00C37DA5" w:rsidRPr="00CA47B9" w:rsidRDefault="00C37DA5" w:rsidP="0009738C">
      <w:pPr>
        <w:pStyle w:val="11Bodytext"/>
        <w:numPr>
          <w:ilvl w:val="0"/>
          <w:numId w:val="0"/>
        </w:numPr>
        <w:spacing w:before="0" w:after="0" w:line="240" w:lineRule="auto"/>
      </w:pPr>
      <w:r w:rsidRPr="00CA47B9">
        <w:t>Source: 2001 &amp; 2011 Censuses</w:t>
      </w:r>
    </w:p>
    <w:bookmarkEnd w:id="73"/>
    <w:p w:rsidR="00C37DA5" w:rsidRPr="00CA47B9" w:rsidRDefault="00C37DA5" w:rsidP="00BD6C75">
      <w:pPr>
        <w:pStyle w:val="SubheadBlue12"/>
        <w:ind w:left="567" w:firstLine="0"/>
      </w:pPr>
      <w:r w:rsidRPr="00CA47B9">
        <w:lastRenderedPageBreak/>
        <w:t xml:space="preserve">Second </w:t>
      </w:r>
      <w:r w:rsidR="00451CFA">
        <w:t>Home ownership</w:t>
      </w:r>
    </w:p>
    <w:p w:rsidR="00E64D55" w:rsidRPr="00873DCC" w:rsidRDefault="00E64D55" w:rsidP="00020CFC">
      <w:pPr>
        <w:pStyle w:val="11Bodytext"/>
        <w:tabs>
          <w:tab w:val="clear" w:pos="2212"/>
          <w:tab w:val="num" w:pos="567"/>
        </w:tabs>
        <w:ind w:left="567" w:hanging="567"/>
      </w:pPr>
      <w:bookmarkStart w:id="74" w:name="_Hlk18068556"/>
      <w:r w:rsidRPr="00873DCC">
        <w:t>Council Tax data identifies second homes as properties that are furnished but are not the main home.</w:t>
      </w:r>
      <w:r w:rsidR="00855CA6">
        <w:t xml:space="preserve"> </w:t>
      </w:r>
      <w:r w:rsidRPr="00873DCC">
        <w:t>This data shows that at 3,</w:t>
      </w:r>
      <w:r>
        <w:t>375 in 2019</w:t>
      </w:r>
      <w:r w:rsidRPr="00873DCC">
        <w:t xml:space="preserve"> Chichester</w:t>
      </w:r>
      <w:r>
        <w:t xml:space="preserve"> District</w:t>
      </w:r>
      <w:r w:rsidRPr="00873DCC">
        <w:t xml:space="preserve"> has one of the highest number of second homes in the Country.</w:t>
      </w:r>
      <w:r w:rsidR="00855CA6">
        <w:t xml:space="preserve"> </w:t>
      </w:r>
      <w:r>
        <w:t xml:space="preserve">This equates to 5.8% of all properties on the Council Tax list compare to 1% nationally. </w:t>
      </w:r>
    </w:p>
    <w:p w:rsidR="00C37DA5" w:rsidRPr="002029B9" w:rsidRDefault="00E64D55" w:rsidP="00020CFC">
      <w:pPr>
        <w:pStyle w:val="11Bodytext"/>
        <w:tabs>
          <w:tab w:val="clear" w:pos="2212"/>
          <w:tab w:val="num" w:pos="567"/>
        </w:tabs>
        <w:ind w:left="567" w:hanging="567"/>
      </w:pPr>
      <w:r w:rsidRPr="002029B9">
        <w:t>Th</w:t>
      </w:r>
      <w:r>
        <w:t xml:space="preserve">e previous HEDNA also examined second </w:t>
      </w:r>
      <w:r w:rsidR="00451CFA">
        <w:t>home ownership</w:t>
      </w:r>
      <w:r>
        <w:t xml:space="preserve"> within the population using census</w:t>
      </w:r>
      <w:r w:rsidR="00855CA6">
        <w:t xml:space="preserve"> </w:t>
      </w:r>
      <w:r w:rsidR="00C37DA5" w:rsidRPr="002029B9">
        <w:t>data</w:t>
      </w:r>
      <w:r>
        <w:t xml:space="preserve"> and this</w:t>
      </w:r>
      <w:r w:rsidR="00C37DA5" w:rsidRPr="002029B9">
        <w:t xml:space="preserve"> remains unchanged.</w:t>
      </w:r>
      <w:r w:rsidR="002029B9" w:rsidRPr="002029B9">
        <w:t xml:space="preserve"> </w:t>
      </w:r>
      <w:r w:rsidR="00C37DA5" w:rsidRPr="002029B9">
        <w:t xml:space="preserve">As shown in Table </w:t>
      </w:r>
      <w:r>
        <w:t>11</w:t>
      </w:r>
      <w:r w:rsidR="00C37DA5" w:rsidRPr="002029B9">
        <w:t>, Chichester (7.3%) has a relatively high level of</w:t>
      </w:r>
      <w:r w:rsidR="003247A1">
        <w:t xml:space="preserve"> </w:t>
      </w:r>
      <w:r w:rsidR="00BA28CB">
        <w:t xml:space="preserve">population </w:t>
      </w:r>
      <w:r w:rsidR="003247A1">
        <w:t xml:space="preserve">with a </w:t>
      </w:r>
      <w:r w:rsidR="00C37DA5" w:rsidRPr="002029B9">
        <w:t xml:space="preserve">second home in comparison to the wider region (4.0%) and England and Wales (3.7%). However, in comparison to the other comparable authorities, including Arun (9.1%), the level of </w:t>
      </w:r>
      <w:r w:rsidR="00855CA6" w:rsidRPr="002029B9">
        <w:t>second</w:t>
      </w:r>
      <w:r w:rsidR="00855CA6">
        <w:t>-home ownership</w:t>
      </w:r>
      <w:r w:rsidR="00C37DA5" w:rsidRPr="002029B9">
        <w:t xml:space="preserve"> is slightly lower. </w:t>
      </w:r>
    </w:p>
    <w:p w:rsidR="00C37DA5" w:rsidRPr="00CA47B9" w:rsidRDefault="00C37DA5" w:rsidP="0009738C">
      <w:pPr>
        <w:pStyle w:val="Tableheading"/>
        <w:tabs>
          <w:tab w:val="clear" w:pos="794"/>
          <w:tab w:val="clear" w:pos="1843"/>
          <w:tab w:val="left" w:pos="0"/>
        </w:tabs>
        <w:spacing w:line="240" w:lineRule="auto"/>
        <w:ind w:left="0" w:firstLine="0"/>
      </w:pPr>
      <w:r w:rsidRPr="00CA47B9">
        <w:t xml:space="preserve">Second </w:t>
      </w:r>
      <w:r w:rsidR="00451CFA">
        <w:t>Home ownership</w:t>
      </w:r>
      <w:r w:rsidRPr="00CA47B9">
        <w:t xml:space="preserve"> (2011)</w:t>
      </w:r>
    </w:p>
    <w:tbl>
      <w:tblPr>
        <w:tblW w:w="4894" w:type="pct"/>
        <w:tblInd w:w="108" w:type="dxa"/>
        <w:tblLook w:val="04A0" w:firstRow="1" w:lastRow="0" w:firstColumn="1" w:lastColumn="0" w:noHBand="0" w:noVBand="1"/>
        <w:tblCaption w:val="Table 11: Second Home ownership 2011"/>
      </w:tblPr>
      <w:tblGrid>
        <w:gridCol w:w="3032"/>
        <w:gridCol w:w="2232"/>
        <w:gridCol w:w="2236"/>
        <w:gridCol w:w="2138"/>
      </w:tblGrid>
      <w:tr w:rsidR="00C37DA5" w:rsidRPr="00A54ECA" w:rsidTr="00681BFE">
        <w:trPr>
          <w:tblHeader/>
        </w:trPr>
        <w:tc>
          <w:tcPr>
            <w:tcW w:w="1572" w:type="pct"/>
            <w:tcBorders>
              <w:top w:val="single" w:sz="4" w:space="0" w:color="auto"/>
              <w:left w:val="single" w:sz="4" w:space="0" w:color="auto"/>
              <w:bottom w:val="single" w:sz="4" w:space="0" w:color="auto"/>
              <w:right w:val="single" w:sz="4" w:space="0" w:color="auto"/>
            </w:tcBorders>
            <w:shd w:val="clear" w:color="auto" w:fill="0093D5" w:themeFill="accent2"/>
            <w:noWrap/>
            <w:vAlign w:val="center"/>
            <w:hideMark/>
          </w:tcPr>
          <w:p w:rsidR="00C37DA5" w:rsidRPr="00A54ECA" w:rsidRDefault="00C37DA5" w:rsidP="00681BFE">
            <w:pPr>
              <w:keepNext/>
              <w:jc w:val="center"/>
              <w:rPr>
                <w:rFonts w:eastAsia="Times New Roman"/>
                <w:bCs/>
                <w:color w:val="FFFFFF"/>
                <w:sz w:val="24"/>
                <w:szCs w:val="28"/>
                <w:lang w:eastAsia="en-GB"/>
              </w:rPr>
            </w:pPr>
            <w:r w:rsidRPr="00A54ECA">
              <w:rPr>
                <w:rFonts w:eastAsia="Times New Roman"/>
                <w:bCs/>
                <w:color w:val="FFFFFF"/>
                <w:sz w:val="24"/>
                <w:szCs w:val="28"/>
                <w:lang w:eastAsia="en-GB"/>
              </w:rPr>
              <w:t>Second Home Address</w:t>
            </w:r>
          </w:p>
        </w:tc>
        <w:tc>
          <w:tcPr>
            <w:tcW w:w="1158" w:type="pct"/>
            <w:tcBorders>
              <w:top w:val="single" w:sz="4" w:space="0" w:color="auto"/>
              <w:left w:val="nil"/>
              <w:bottom w:val="single" w:sz="4" w:space="0" w:color="auto"/>
              <w:right w:val="single" w:sz="4" w:space="0" w:color="auto"/>
            </w:tcBorders>
            <w:shd w:val="clear" w:color="auto" w:fill="0093D5" w:themeFill="accent2"/>
            <w:noWrap/>
            <w:vAlign w:val="center"/>
            <w:hideMark/>
          </w:tcPr>
          <w:p w:rsidR="00C37DA5" w:rsidRPr="00A54ECA" w:rsidRDefault="00C37DA5" w:rsidP="00681BFE">
            <w:pPr>
              <w:keepNext/>
              <w:jc w:val="center"/>
              <w:rPr>
                <w:rFonts w:eastAsia="Times New Roman"/>
                <w:bCs/>
                <w:color w:val="FFFFFF"/>
                <w:sz w:val="24"/>
                <w:szCs w:val="28"/>
                <w:lang w:eastAsia="en-GB"/>
              </w:rPr>
            </w:pPr>
            <w:r w:rsidRPr="00A54ECA">
              <w:rPr>
                <w:rFonts w:eastAsia="Times New Roman"/>
                <w:bCs/>
                <w:color w:val="FFFFFF"/>
                <w:sz w:val="24"/>
                <w:szCs w:val="28"/>
                <w:lang w:eastAsia="en-GB"/>
              </w:rPr>
              <w:t>Population</w:t>
            </w:r>
          </w:p>
        </w:tc>
        <w:tc>
          <w:tcPr>
            <w:tcW w:w="1160" w:type="pct"/>
            <w:tcBorders>
              <w:top w:val="single" w:sz="4" w:space="0" w:color="auto"/>
              <w:left w:val="nil"/>
              <w:bottom w:val="single" w:sz="4" w:space="0" w:color="auto"/>
              <w:right w:val="single" w:sz="4" w:space="0" w:color="auto"/>
            </w:tcBorders>
            <w:shd w:val="clear" w:color="auto" w:fill="0093D5" w:themeFill="accent2"/>
            <w:noWrap/>
            <w:vAlign w:val="center"/>
            <w:hideMark/>
          </w:tcPr>
          <w:p w:rsidR="00347901" w:rsidRPr="00A54ECA" w:rsidRDefault="00347901" w:rsidP="00681BFE">
            <w:pPr>
              <w:keepNext/>
              <w:jc w:val="center"/>
              <w:rPr>
                <w:rFonts w:eastAsia="Times New Roman"/>
                <w:bCs/>
                <w:color w:val="FFFFFF"/>
                <w:sz w:val="24"/>
                <w:szCs w:val="28"/>
                <w:lang w:eastAsia="en-GB"/>
              </w:rPr>
            </w:pPr>
            <w:r w:rsidRPr="00A54ECA">
              <w:rPr>
                <w:rFonts w:eastAsia="Times New Roman"/>
                <w:bCs/>
                <w:color w:val="FFFFFF"/>
                <w:sz w:val="24"/>
                <w:szCs w:val="28"/>
                <w:lang w:eastAsia="en-GB"/>
              </w:rPr>
              <w:t>Population with a</w:t>
            </w:r>
          </w:p>
          <w:p w:rsidR="00C37DA5" w:rsidRPr="00A54ECA" w:rsidRDefault="00C37DA5" w:rsidP="00681BFE">
            <w:pPr>
              <w:keepNext/>
              <w:jc w:val="center"/>
              <w:rPr>
                <w:rFonts w:eastAsia="Times New Roman"/>
                <w:bCs/>
                <w:color w:val="FFFFFF"/>
                <w:sz w:val="24"/>
                <w:szCs w:val="28"/>
                <w:lang w:eastAsia="en-GB"/>
              </w:rPr>
            </w:pPr>
            <w:r w:rsidRPr="00A54ECA">
              <w:rPr>
                <w:rFonts w:eastAsia="Times New Roman"/>
                <w:bCs/>
                <w:color w:val="FFFFFF"/>
                <w:sz w:val="24"/>
                <w:szCs w:val="28"/>
                <w:lang w:eastAsia="en-GB"/>
              </w:rPr>
              <w:t>Second Home</w:t>
            </w:r>
          </w:p>
        </w:tc>
        <w:tc>
          <w:tcPr>
            <w:tcW w:w="1109" w:type="pct"/>
            <w:tcBorders>
              <w:top w:val="single" w:sz="4" w:space="0" w:color="auto"/>
              <w:left w:val="nil"/>
              <w:bottom w:val="single" w:sz="4" w:space="0" w:color="auto"/>
              <w:right w:val="single" w:sz="4" w:space="0" w:color="auto"/>
            </w:tcBorders>
            <w:shd w:val="clear" w:color="auto" w:fill="0093D5" w:themeFill="accent2"/>
            <w:noWrap/>
            <w:vAlign w:val="center"/>
            <w:hideMark/>
          </w:tcPr>
          <w:p w:rsidR="00C37DA5" w:rsidRPr="00A54ECA" w:rsidRDefault="00C37DA5" w:rsidP="00681BFE">
            <w:pPr>
              <w:keepNext/>
              <w:jc w:val="center"/>
              <w:rPr>
                <w:rFonts w:eastAsia="Times New Roman"/>
                <w:bCs/>
                <w:color w:val="FFFFFF"/>
                <w:sz w:val="24"/>
                <w:szCs w:val="28"/>
                <w:lang w:eastAsia="en-GB"/>
              </w:rPr>
            </w:pPr>
            <w:r w:rsidRPr="00A54ECA">
              <w:rPr>
                <w:rFonts w:eastAsia="Times New Roman"/>
                <w:bCs/>
                <w:color w:val="FFFFFF"/>
                <w:sz w:val="24"/>
                <w:szCs w:val="28"/>
                <w:lang w:eastAsia="en-GB"/>
              </w:rPr>
              <w:t>% Second Homes</w:t>
            </w:r>
          </w:p>
        </w:tc>
      </w:tr>
      <w:tr w:rsidR="00C37DA5" w:rsidRPr="00A54ECA" w:rsidTr="0009738C">
        <w:tc>
          <w:tcPr>
            <w:tcW w:w="1572" w:type="pct"/>
            <w:tcBorders>
              <w:top w:val="nil"/>
              <w:left w:val="single" w:sz="4" w:space="0" w:color="auto"/>
              <w:bottom w:val="single" w:sz="4" w:space="0" w:color="auto"/>
              <w:right w:val="single" w:sz="4" w:space="0" w:color="auto"/>
            </w:tcBorders>
            <w:shd w:val="clear" w:color="auto" w:fill="auto"/>
            <w:noWrap/>
            <w:vAlign w:val="bottom"/>
            <w:hideMark/>
          </w:tcPr>
          <w:p w:rsidR="00C37DA5" w:rsidRPr="00A54ECA" w:rsidRDefault="00C37DA5" w:rsidP="00A54ECA">
            <w:pPr>
              <w:keepNext/>
              <w:rPr>
                <w:rFonts w:eastAsia="Times New Roman"/>
                <w:b/>
                <w:color w:val="000000"/>
                <w:sz w:val="24"/>
                <w:szCs w:val="28"/>
                <w:lang w:eastAsia="en-GB"/>
              </w:rPr>
            </w:pPr>
            <w:r w:rsidRPr="00A54ECA">
              <w:rPr>
                <w:rFonts w:eastAsia="Times New Roman"/>
                <w:b/>
                <w:color w:val="000000"/>
                <w:sz w:val="24"/>
                <w:szCs w:val="28"/>
                <w:lang w:eastAsia="en-GB"/>
              </w:rPr>
              <w:t>Chichester District</w:t>
            </w:r>
          </w:p>
        </w:tc>
        <w:tc>
          <w:tcPr>
            <w:tcW w:w="1158" w:type="pct"/>
            <w:tcBorders>
              <w:top w:val="nil"/>
              <w:left w:val="nil"/>
              <w:bottom w:val="single" w:sz="4" w:space="0" w:color="auto"/>
              <w:right w:val="single" w:sz="4" w:space="0" w:color="auto"/>
            </w:tcBorders>
            <w:shd w:val="clear" w:color="auto" w:fill="auto"/>
            <w:noWrap/>
            <w:vAlign w:val="center"/>
            <w:hideMark/>
          </w:tcPr>
          <w:p w:rsidR="00C37DA5" w:rsidRPr="00A54ECA" w:rsidRDefault="00C37DA5" w:rsidP="00A54ECA">
            <w:pPr>
              <w:keepNext/>
              <w:jc w:val="center"/>
              <w:rPr>
                <w:rFonts w:eastAsia="Times New Roman"/>
                <w:b/>
                <w:color w:val="auto"/>
                <w:sz w:val="24"/>
                <w:szCs w:val="28"/>
                <w:lang w:eastAsia="en-GB"/>
              </w:rPr>
            </w:pPr>
            <w:r w:rsidRPr="00A54ECA">
              <w:rPr>
                <w:rFonts w:eastAsia="Times New Roman"/>
                <w:b/>
                <w:color w:val="auto"/>
                <w:sz w:val="24"/>
                <w:szCs w:val="28"/>
                <w:lang w:eastAsia="en-GB"/>
              </w:rPr>
              <w:t>116,976</w:t>
            </w:r>
          </w:p>
        </w:tc>
        <w:tc>
          <w:tcPr>
            <w:tcW w:w="1160" w:type="pct"/>
            <w:tcBorders>
              <w:top w:val="nil"/>
              <w:left w:val="nil"/>
              <w:bottom w:val="single" w:sz="4" w:space="0" w:color="auto"/>
              <w:right w:val="single" w:sz="4" w:space="0" w:color="auto"/>
            </w:tcBorders>
            <w:shd w:val="clear" w:color="auto" w:fill="auto"/>
            <w:noWrap/>
            <w:vAlign w:val="center"/>
            <w:hideMark/>
          </w:tcPr>
          <w:p w:rsidR="00C37DA5" w:rsidRPr="00A54ECA" w:rsidRDefault="00C37DA5" w:rsidP="00A54ECA">
            <w:pPr>
              <w:keepNext/>
              <w:jc w:val="center"/>
              <w:rPr>
                <w:rFonts w:eastAsia="Times New Roman"/>
                <w:b/>
                <w:color w:val="auto"/>
                <w:sz w:val="24"/>
                <w:szCs w:val="28"/>
                <w:lang w:eastAsia="en-GB"/>
              </w:rPr>
            </w:pPr>
            <w:r w:rsidRPr="00A54ECA">
              <w:rPr>
                <w:rFonts w:eastAsia="Times New Roman"/>
                <w:b/>
                <w:color w:val="auto"/>
                <w:sz w:val="24"/>
                <w:szCs w:val="28"/>
                <w:lang w:eastAsia="en-GB"/>
              </w:rPr>
              <w:t>8,488</w:t>
            </w:r>
          </w:p>
        </w:tc>
        <w:tc>
          <w:tcPr>
            <w:tcW w:w="1109" w:type="pct"/>
            <w:tcBorders>
              <w:top w:val="nil"/>
              <w:left w:val="nil"/>
              <w:bottom w:val="single" w:sz="4" w:space="0" w:color="auto"/>
              <w:right w:val="single" w:sz="4" w:space="0" w:color="auto"/>
            </w:tcBorders>
            <w:shd w:val="clear" w:color="auto" w:fill="auto"/>
            <w:noWrap/>
            <w:vAlign w:val="bottom"/>
            <w:hideMark/>
          </w:tcPr>
          <w:p w:rsidR="00C37DA5" w:rsidRPr="00A54ECA" w:rsidRDefault="00C37DA5" w:rsidP="00A54ECA">
            <w:pPr>
              <w:keepNext/>
              <w:jc w:val="center"/>
              <w:rPr>
                <w:rFonts w:eastAsia="Times New Roman"/>
                <w:b/>
                <w:color w:val="000000"/>
                <w:sz w:val="24"/>
                <w:szCs w:val="28"/>
                <w:lang w:eastAsia="en-GB"/>
              </w:rPr>
            </w:pPr>
            <w:r w:rsidRPr="00A54ECA">
              <w:rPr>
                <w:rFonts w:eastAsia="Times New Roman"/>
                <w:b/>
                <w:color w:val="000000"/>
                <w:sz w:val="24"/>
                <w:szCs w:val="28"/>
                <w:lang w:eastAsia="en-GB"/>
              </w:rPr>
              <w:t>7.3%</w:t>
            </w:r>
          </w:p>
        </w:tc>
      </w:tr>
      <w:tr w:rsidR="00C37DA5" w:rsidRPr="00A54ECA" w:rsidTr="0009738C">
        <w:tc>
          <w:tcPr>
            <w:tcW w:w="1572" w:type="pct"/>
            <w:tcBorders>
              <w:top w:val="nil"/>
              <w:left w:val="single" w:sz="4" w:space="0" w:color="auto"/>
              <w:bottom w:val="single" w:sz="4" w:space="0" w:color="auto"/>
              <w:right w:val="single" w:sz="4" w:space="0" w:color="auto"/>
            </w:tcBorders>
            <w:shd w:val="clear" w:color="auto" w:fill="auto"/>
            <w:noWrap/>
            <w:vAlign w:val="bottom"/>
            <w:hideMark/>
          </w:tcPr>
          <w:p w:rsidR="00C37DA5" w:rsidRPr="00A54ECA" w:rsidRDefault="00C37DA5" w:rsidP="00A54ECA">
            <w:pPr>
              <w:keepNext/>
              <w:rPr>
                <w:rFonts w:eastAsia="Times New Roman"/>
                <w:color w:val="000000"/>
                <w:sz w:val="24"/>
                <w:szCs w:val="28"/>
                <w:lang w:eastAsia="en-GB"/>
              </w:rPr>
            </w:pPr>
            <w:r w:rsidRPr="00A54ECA">
              <w:rPr>
                <w:rFonts w:eastAsia="Times New Roman"/>
                <w:color w:val="000000"/>
                <w:sz w:val="24"/>
                <w:szCs w:val="28"/>
                <w:lang w:eastAsia="en-GB"/>
              </w:rPr>
              <w:t>Arun</w:t>
            </w:r>
          </w:p>
        </w:tc>
        <w:tc>
          <w:tcPr>
            <w:tcW w:w="1158" w:type="pct"/>
            <w:tcBorders>
              <w:top w:val="nil"/>
              <w:left w:val="nil"/>
              <w:bottom w:val="single" w:sz="4" w:space="0" w:color="auto"/>
              <w:right w:val="single" w:sz="4" w:space="0" w:color="auto"/>
            </w:tcBorders>
            <w:shd w:val="clear" w:color="auto" w:fill="auto"/>
            <w:noWrap/>
            <w:vAlign w:val="center"/>
            <w:hideMark/>
          </w:tcPr>
          <w:p w:rsidR="00C37DA5" w:rsidRPr="00A54ECA" w:rsidRDefault="00C37DA5" w:rsidP="00A54ECA">
            <w:pPr>
              <w:keepNext/>
              <w:jc w:val="center"/>
              <w:rPr>
                <w:rFonts w:eastAsia="Times New Roman"/>
                <w:color w:val="auto"/>
                <w:sz w:val="24"/>
                <w:szCs w:val="28"/>
                <w:lang w:eastAsia="en-GB"/>
              </w:rPr>
            </w:pPr>
            <w:r w:rsidRPr="00A54ECA">
              <w:rPr>
                <w:rFonts w:eastAsia="Times New Roman"/>
                <w:color w:val="auto"/>
                <w:sz w:val="24"/>
                <w:szCs w:val="28"/>
                <w:lang w:eastAsia="en-GB"/>
              </w:rPr>
              <w:t>63,429</w:t>
            </w:r>
          </w:p>
        </w:tc>
        <w:tc>
          <w:tcPr>
            <w:tcW w:w="1160" w:type="pct"/>
            <w:tcBorders>
              <w:top w:val="nil"/>
              <w:left w:val="nil"/>
              <w:bottom w:val="single" w:sz="4" w:space="0" w:color="auto"/>
              <w:right w:val="single" w:sz="4" w:space="0" w:color="auto"/>
            </w:tcBorders>
            <w:shd w:val="clear" w:color="auto" w:fill="auto"/>
            <w:noWrap/>
            <w:vAlign w:val="center"/>
            <w:hideMark/>
          </w:tcPr>
          <w:p w:rsidR="00C37DA5" w:rsidRPr="00A54ECA" w:rsidRDefault="00C37DA5" w:rsidP="00A54ECA">
            <w:pPr>
              <w:keepNext/>
              <w:jc w:val="center"/>
              <w:rPr>
                <w:rFonts w:eastAsia="Times New Roman"/>
                <w:color w:val="auto"/>
                <w:sz w:val="24"/>
                <w:szCs w:val="28"/>
                <w:lang w:eastAsia="en-GB"/>
              </w:rPr>
            </w:pPr>
            <w:r w:rsidRPr="00A54ECA">
              <w:rPr>
                <w:rFonts w:eastAsia="Times New Roman"/>
                <w:color w:val="auto"/>
                <w:sz w:val="24"/>
                <w:szCs w:val="28"/>
                <w:lang w:eastAsia="en-GB"/>
              </w:rPr>
              <w:t>5,788</w:t>
            </w:r>
          </w:p>
        </w:tc>
        <w:tc>
          <w:tcPr>
            <w:tcW w:w="1109" w:type="pct"/>
            <w:tcBorders>
              <w:top w:val="nil"/>
              <w:left w:val="nil"/>
              <w:bottom w:val="single" w:sz="4" w:space="0" w:color="auto"/>
              <w:right w:val="single" w:sz="4" w:space="0" w:color="auto"/>
            </w:tcBorders>
            <w:shd w:val="clear" w:color="auto" w:fill="auto"/>
            <w:noWrap/>
            <w:vAlign w:val="bottom"/>
            <w:hideMark/>
          </w:tcPr>
          <w:p w:rsidR="00C37DA5" w:rsidRPr="00A54ECA" w:rsidRDefault="00C37DA5" w:rsidP="00A54ECA">
            <w:pPr>
              <w:keepNext/>
              <w:jc w:val="center"/>
              <w:rPr>
                <w:rFonts w:eastAsia="Times New Roman"/>
                <w:color w:val="000000"/>
                <w:sz w:val="24"/>
                <w:szCs w:val="28"/>
                <w:lang w:eastAsia="en-GB"/>
              </w:rPr>
            </w:pPr>
            <w:r w:rsidRPr="00A54ECA">
              <w:rPr>
                <w:rFonts w:eastAsia="Times New Roman"/>
                <w:color w:val="000000"/>
                <w:sz w:val="24"/>
                <w:szCs w:val="28"/>
                <w:lang w:eastAsia="en-GB"/>
              </w:rPr>
              <w:t>9.1%</w:t>
            </w:r>
          </w:p>
        </w:tc>
      </w:tr>
      <w:tr w:rsidR="00C37DA5" w:rsidRPr="00A54ECA" w:rsidTr="0009738C">
        <w:tc>
          <w:tcPr>
            <w:tcW w:w="1572" w:type="pct"/>
            <w:tcBorders>
              <w:top w:val="nil"/>
              <w:left w:val="single" w:sz="4" w:space="0" w:color="auto"/>
              <w:bottom w:val="single" w:sz="4" w:space="0" w:color="auto"/>
              <w:right w:val="single" w:sz="4" w:space="0" w:color="auto"/>
            </w:tcBorders>
            <w:shd w:val="clear" w:color="auto" w:fill="auto"/>
            <w:noWrap/>
            <w:vAlign w:val="bottom"/>
            <w:hideMark/>
          </w:tcPr>
          <w:p w:rsidR="00C37DA5" w:rsidRPr="00A54ECA" w:rsidRDefault="00C37DA5" w:rsidP="00A54ECA">
            <w:pPr>
              <w:keepNext/>
              <w:rPr>
                <w:rFonts w:eastAsia="Times New Roman"/>
                <w:color w:val="000000"/>
                <w:sz w:val="24"/>
                <w:szCs w:val="28"/>
                <w:lang w:eastAsia="en-GB"/>
              </w:rPr>
            </w:pPr>
            <w:r w:rsidRPr="00A54ECA">
              <w:rPr>
                <w:rFonts w:eastAsia="Times New Roman"/>
                <w:color w:val="000000"/>
                <w:sz w:val="24"/>
                <w:szCs w:val="28"/>
                <w:lang w:eastAsia="en-GB"/>
              </w:rPr>
              <w:t>Chichester &amp; Bognor HMA</w:t>
            </w:r>
          </w:p>
        </w:tc>
        <w:tc>
          <w:tcPr>
            <w:tcW w:w="1158" w:type="pct"/>
            <w:tcBorders>
              <w:top w:val="nil"/>
              <w:left w:val="nil"/>
              <w:bottom w:val="single" w:sz="4" w:space="0" w:color="auto"/>
              <w:right w:val="single" w:sz="4" w:space="0" w:color="auto"/>
            </w:tcBorders>
            <w:shd w:val="clear" w:color="auto" w:fill="auto"/>
            <w:noWrap/>
            <w:vAlign w:val="center"/>
            <w:hideMark/>
          </w:tcPr>
          <w:p w:rsidR="00C37DA5" w:rsidRPr="00A54ECA" w:rsidRDefault="00C37DA5" w:rsidP="00A54ECA">
            <w:pPr>
              <w:keepNext/>
              <w:jc w:val="center"/>
              <w:rPr>
                <w:rFonts w:eastAsia="Times New Roman"/>
                <w:color w:val="auto"/>
                <w:sz w:val="24"/>
                <w:szCs w:val="28"/>
                <w:lang w:eastAsia="en-GB"/>
              </w:rPr>
            </w:pPr>
            <w:r w:rsidRPr="00A54ECA">
              <w:rPr>
                <w:rFonts w:eastAsia="Times New Roman"/>
                <w:color w:val="auto"/>
                <w:sz w:val="24"/>
                <w:szCs w:val="28"/>
                <w:lang w:eastAsia="en-GB"/>
              </w:rPr>
              <w:t>180,405</w:t>
            </w:r>
          </w:p>
        </w:tc>
        <w:tc>
          <w:tcPr>
            <w:tcW w:w="1160" w:type="pct"/>
            <w:tcBorders>
              <w:top w:val="nil"/>
              <w:left w:val="nil"/>
              <w:bottom w:val="single" w:sz="4" w:space="0" w:color="auto"/>
              <w:right w:val="single" w:sz="4" w:space="0" w:color="auto"/>
            </w:tcBorders>
            <w:shd w:val="clear" w:color="auto" w:fill="auto"/>
            <w:noWrap/>
            <w:vAlign w:val="center"/>
            <w:hideMark/>
          </w:tcPr>
          <w:p w:rsidR="00C37DA5" w:rsidRPr="00A54ECA" w:rsidRDefault="00C37DA5" w:rsidP="00A54ECA">
            <w:pPr>
              <w:keepNext/>
              <w:jc w:val="center"/>
              <w:rPr>
                <w:rFonts w:eastAsia="Times New Roman"/>
                <w:color w:val="auto"/>
                <w:sz w:val="24"/>
                <w:szCs w:val="28"/>
                <w:lang w:eastAsia="en-GB"/>
              </w:rPr>
            </w:pPr>
            <w:r w:rsidRPr="00A54ECA">
              <w:rPr>
                <w:rFonts w:eastAsia="Times New Roman"/>
                <w:color w:val="auto"/>
                <w:sz w:val="24"/>
                <w:szCs w:val="28"/>
                <w:lang w:eastAsia="en-GB"/>
              </w:rPr>
              <w:t>14,276</w:t>
            </w:r>
          </w:p>
        </w:tc>
        <w:tc>
          <w:tcPr>
            <w:tcW w:w="1109" w:type="pct"/>
            <w:tcBorders>
              <w:top w:val="nil"/>
              <w:left w:val="nil"/>
              <w:bottom w:val="single" w:sz="4" w:space="0" w:color="auto"/>
              <w:right w:val="single" w:sz="4" w:space="0" w:color="auto"/>
            </w:tcBorders>
            <w:shd w:val="clear" w:color="auto" w:fill="auto"/>
            <w:noWrap/>
            <w:vAlign w:val="bottom"/>
            <w:hideMark/>
          </w:tcPr>
          <w:p w:rsidR="00C37DA5" w:rsidRPr="00A54ECA" w:rsidRDefault="00C37DA5" w:rsidP="00A54ECA">
            <w:pPr>
              <w:keepNext/>
              <w:jc w:val="center"/>
              <w:rPr>
                <w:rFonts w:eastAsia="Times New Roman"/>
                <w:color w:val="000000"/>
                <w:sz w:val="24"/>
                <w:szCs w:val="28"/>
                <w:lang w:eastAsia="en-GB"/>
              </w:rPr>
            </w:pPr>
            <w:r w:rsidRPr="00A54ECA">
              <w:rPr>
                <w:rFonts w:eastAsia="Times New Roman"/>
                <w:color w:val="000000"/>
                <w:sz w:val="24"/>
                <w:szCs w:val="28"/>
                <w:lang w:eastAsia="en-GB"/>
              </w:rPr>
              <w:t>7.9%</w:t>
            </w:r>
          </w:p>
        </w:tc>
      </w:tr>
      <w:tr w:rsidR="00C37DA5" w:rsidRPr="00A54ECA" w:rsidTr="0009738C">
        <w:tc>
          <w:tcPr>
            <w:tcW w:w="1572" w:type="pct"/>
            <w:tcBorders>
              <w:top w:val="nil"/>
              <w:left w:val="single" w:sz="4" w:space="0" w:color="auto"/>
              <w:bottom w:val="single" w:sz="4" w:space="0" w:color="auto"/>
              <w:right w:val="single" w:sz="4" w:space="0" w:color="auto"/>
            </w:tcBorders>
            <w:shd w:val="clear" w:color="auto" w:fill="auto"/>
            <w:noWrap/>
            <w:vAlign w:val="bottom"/>
            <w:hideMark/>
          </w:tcPr>
          <w:p w:rsidR="00C37DA5" w:rsidRPr="00A54ECA" w:rsidRDefault="00C37DA5" w:rsidP="00A54ECA">
            <w:pPr>
              <w:keepNext/>
              <w:rPr>
                <w:rFonts w:eastAsia="Times New Roman"/>
                <w:color w:val="000000"/>
                <w:sz w:val="24"/>
                <w:szCs w:val="28"/>
                <w:lang w:eastAsia="en-GB"/>
              </w:rPr>
            </w:pPr>
            <w:r w:rsidRPr="00A54ECA">
              <w:rPr>
                <w:rFonts w:eastAsia="Times New Roman"/>
                <w:color w:val="000000"/>
                <w:sz w:val="24"/>
                <w:szCs w:val="28"/>
                <w:lang w:eastAsia="en-GB"/>
              </w:rPr>
              <w:t>Cotswold</w:t>
            </w:r>
          </w:p>
        </w:tc>
        <w:tc>
          <w:tcPr>
            <w:tcW w:w="1158" w:type="pct"/>
            <w:tcBorders>
              <w:top w:val="nil"/>
              <w:left w:val="nil"/>
              <w:bottom w:val="single" w:sz="4" w:space="0" w:color="auto"/>
              <w:right w:val="single" w:sz="4" w:space="0" w:color="auto"/>
            </w:tcBorders>
            <w:shd w:val="clear" w:color="auto" w:fill="auto"/>
            <w:noWrap/>
            <w:vAlign w:val="center"/>
            <w:hideMark/>
          </w:tcPr>
          <w:p w:rsidR="00C37DA5" w:rsidRPr="00A54ECA" w:rsidRDefault="00C37DA5" w:rsidP="00A54ECA">
            <w:pPr>
              <w:keepNext/>
              <w:jc w:val="center"/>
              <w:rPr>
                <w:rFonts w:eastAsia="Times New Roman"/>
                <w:color w:val="auto"/>
                <w:sz w:val="24"/>
                <w:szCs w:val="28"/>
                <w:lang w:eastAsia="en-GB"/>
              </w:rPr>
            </w:pPr>
            <w:r w:rsidRPr="00A54ECA">
              <w:rPr>
                <w:rFonts w:eastAsia="Times New Roman"/>
                <w:color w:val="auto"/>
                <w:sz w:val="24"/>
                <w:szCs w:val="28"/>
                <w:lang w:eastAsia="en-GB"/>
              </w:rPr>
              <w:t>80,376</w:t>
            </w:r>
          </w:p>
        </w:tc>
        <w:tc>
          <w:tcPr>
            <w:tcW w:w="1160" w:type="pct"/>
            <w:tcBorders>
              <w:top w:val="nil"/>
              <w:left w:val="nil"/>
              <w:bottom w:val="single" w:sz="4" w:space="0" w:color="auto"/>
              <w:right w:val="single" w:sz="4" w:space="0" w:color="auto"/>
            </w:tcBorders>
            <w:shd w:val="clear" w:color="auto" w:fill="auto"/>
            <w:noWrap/>
            <w:vAlign w:val="center"/>
            <w:hideMark/>
          </w:tcPr>
          <w:p w:rsidR="00C37DA5" w:rsidRPr="00A54ECA" w:rsidRDefault="00C37DA5" w:rsidP="00A54ECA">
            <w:pPr>
              <w:keepNext/>
              <w:jc w:val="center"/>
              <w:rPr>
                <w:rFonts w:eastAsia="Times New Roman"/>
                <w:color w:val="auto"/>
                <w:sz w:val="24"/>
                <w:szCs w:val="28"/>
                <w:lang w:eastAsia="en-GB"/>
              </w:rPr>
            </w:pPr>
            <w:r w:rsidRPr="00A54ECA">
              <w:rPr>
                <w:rFonts w:eastAsia="Times New Roman"/>
                <w:color w:val="auto"/>
                <w:sz w:val="24"/>
                <w:szCs w:val="28"/>
                <w:lang w:eastAsia="en-GB"/>
              </w:rPr>
              <w:t>6,477</w:t>
            </w:r>
          </w:p>
        </w:tc>
        <w:tc>
          <w:tcPr>
            <w:tcW w:w="1109" w:type="pct"/>
            <w:tcBorders>
              <w:top w:val="nil"/>
              <w:left w:val="nil"/>
              <w:bottom w:val="single" w:sz="4" w:space="0" w:color="auto"/>
              <w:right w:val="single" w:sz="4" w:space="0" w:color="auto"/>
            </w:tcBorders>
            <w:shd w:val="clear" w:color="auto" w:fill="auto"/>
            <w:noWrap/>
            <w:vAlign w:val="bottom"/>
            <w:hideMark/>
          </w:tcPr>
          <w:p w:rsidR="00C37DA5" w:rsidRPr="00A54ECA" w:rsidRDefault="00C37DA5" w:rsidP="00A54ECA">
            <w:pPr>
              <w:keepNext/>
              <w:jc w:val="center"/>
              <w:rPr>
                <w:rFonts w:eastAsia="Times New Roman"/>
                <w:color w:val="000000"/>
                <w:sz w:val="24"/>
                <w:szCs w:val="28"/>
                <w:lang w:eastAsia="en-GB"/>
              </w:rPr>
            </w:pPr>
            <w:r w:rsidRPr="00A54ECA">
              <w:rPr>
                <w:rFonts w:eastAsia="Times New Roman"/>
                <w:color w:val="000000"/>
                <w:sz w:val="24"/>
                <w:szCs w:val="28"/>
                <w:lang w:eastAsia="en-GB"/>
              </w:rPr>
              <w:t>8.1%</w:t>
            </w:r>
          </w:p>
        </w:tc>
      </w:tr>
      <w:tr w:rsidR="00C37DA5" w:rsidRPr="00A54ECA" w:rsidTr="0009738C">
        <w:tc>
          <w:tcPr>
            <w:tcW w:w="1572" w:type="pct"/>
            <w:tcBorders>
              <w:top w:val="nil"/>
              <w:left w:val="single" w:sz="4" w:space="0" w:color="auto"/>
              <w:bottom w:val="single" w:sz="4" w:space="0" w:color="auto"/>
              <w:right w:val="single" w:sz="4" w:space="0" w:color="auto"/>
            </w:tcBorders>
            <w:shd w:val="clear" w:color="auto" w:fill="auto"/>
            <w:noWrap/>
            <w:vAlign w:val="bottom"/>
            <w:hideMark/>
          </w:tcPr>
          <w:p w:rsidR="00C37DA5" w:rsidRPr="00A54ECA" w:rsidRDefault="00C37DA5" w:rsidP="00A54ECA">
            <w:pPr>
              <w:keepNext/>
              <w:rPr>
                <w:rFonts w:eastAsia="Times New Roman"/>
                <w:color w:val="000000"/>
                <w:sz w:val="24"/>
                <w:szCs w:val="28"/>
                <w:lang w:eastAsia="en-GB"/>
              </w:rPr>
            </w:pPr>
            <w:r w:rsidRPr="00A54ECA">
              <w:rPr>
                <w:rFonts w:eastAsia="Times New Roman"/>
                <w:color w:val="000000"/>
                <w:sz w:val="24"/>
                <w:szCs w:val="28"/>
                <w:lang w:eastAsia="en-GB"/>
              </w:rPr>
              <w:t>West Dorset</w:t>
            </w:r>
          </w:p>
        </w:tc>
        <w:tc>
          <w:tcPr>
            <w:tcW w:w="1158" w:type="pct"/>
            <w:tcBorders>
              <w:top w:val="nil"/>
              <w:left w:val="nil"/>
              <w:bottom w:val="single" w:sz="4" w:space="0" w:color="auto"/>
              <w:right w:val="single" w:sz="4" w:space="0" w:color="auto"/>
            </w:tcBorders>
            <w:shd w:val="clear" w:color="auto" w:fill="auto"/>
            <w:noWrap/>
            <w:vAlign w:val="center"/>
            <w:hideMark/>
          </w:tcPr>
          <w:p w:rsidR="00C37DA5" w:rsidRPr="00A54ECA" w:rsidRDefault="00C37DA5" w:rsidP="00A54ECA">
            <w:pPr>
              <w:keepNext/>
              <w:jc w:val="center"/>
              <w:rPr>
                <w:rFonts w:eastAsia="Times New Roman"/>
                <w:color w:val="auto"/>
                <w:sz w:val="24"/>
                <w:szCs w:val="28"/>
                <w:lang w:eastAsia="en-GB"/>
              </w:rPr>
            </w:pPr>
            <w:r w:rsidRPr="00A54ECA">
              <w:rPr>
                <w:rFonts w:eastAsia="Times New Roman"/>
                <w:color w:val="auto"/>
                <w:sz w:val="24"/>
                <w:szCs w:val="28"/>
                <w:lang w:eastAsia="en-GB"/>
              </w:rPr>
              <w:t>92,360</w:t>
            </w:r>
          </w:p>
        </w:tc>
        <w:tc>
          <w:tcPr>
            <w:tcW w:w="1160" w:type="pct"/>
            <w:tcBorders>
              <w:top w:val="nil"/>
              <w:left w:val="nil"/>
              <w:bottom w:val="single" w:sz="4" w:space="0" w:color="auto"/>
              <w:right w:val="single" w:sz="4" w:space="0" w:color="auto"/>
            </w:tcBorders>
            <w:shd w:val="clear" w:color="auto" w:fill="auto"/>
            <w:noWrap/>
            <w:vAlign w:val="center"/>
            <w:hideMark/>
          </w:tcPr>
          <w:p w:rsidR="00C37DA5" w:rsidRPr="00A54ECA" w:rsidRDefault="00C37DA5" w:rsidP="00A54ECA">
            <w:pPr>
              <w:keepNext/>
              <w:jc w:val="center"/>
              <w:rPr>
                <w:rFonts w:eastAsia="Times New Roman"/>
                <w:color w:val="auto"/>
                <w:sz w:val="24"/>
                <w:szCs w:val="28"/>
                <w:lang w:eastAsia="en-GB"/>
              </w:rPr>
            </w:pPr>
            <w:r w:rsidRPr="00A54ECA">
              <w:rPr>
                <w:rFonts w:eastAsia="Times New Roman"/>
                <w:color w:val="auto"/>
                <w:sz w:val="24"/>
                <w:szCs w:val="28"/>
                <w:lang w:eastAsia="en-GB"/>
              </w:rPr>
              <w:t>7,596</w:t>
            </w:r>
          </w:p>
        </w:tc>
        <w:tc>
          <w:tcPr>
            <w:tcW w:w="1109" w:type="pct"/>
            <w:tcBorders>
              <w:top w:val="nil"/>
              <w:left w:val="nil"/>
              <w:bottom w:val="single" w:sz="4" w:space="0" w:color="auto"/>
              <w:right w:val="single" w:sz="4" w:space="0" w:color="auto"/>
            </w:tcBorders>
            <w:shd w:val="clear" w:color="auto" w:fill="auto"/>
            <w:noWrap/>
            <w:vAlign w:val="bottom"/>
            <w:hideMark/>
          </w:tcPr>
          <w:p w:rsidR="00C37DA5" w:rsidRPr="00A54ECA" w:rsidRDefault="00C37DA5" w:rsidP="00A54ECA">
            <w:pPr>
              <w:keepNext/>
              <w:jc w:val="center"/>
              <w:rPr>
                <w:rFonts w:eastAsia="Times New Roman"/>
                <w:color w:val="000000"/>
                <w:sz w:val="24"/>
                <w:szCs w:val="28"/>
                <w:lang w:eastAsia="en-GB"/>
              </w:rPr>
            </w:pPr>
            <w:r w:rsidRPr="00A54ECA">
              <w:rPr>
                <w:rFonts w:eastAsia="Times New Roman"/>
                <w:color w:val="000000"/>
                <w:sz w:val="24"/>
                <w:szCs w:val="28"/>
                <w:lang w:eastAsia="en-GB"/>
              </w:rPr>
              <w:t>8.2%</w:t>
            </w:r>
          </w:p>
        </w:tc>
      </w:tr>
      <w:tr w:rsidR="00C37DA5" w:rsidRPr="00A54ECA" w:rsidTr="0009738C">
        <w:tc>
          <w:tcPr>
            <w:tcW w:w="1572" w:type="pct"/>
            <w:tcBorders>
              <w:top w:val="nil"/>
              <w:left w:val="single" w:sz="4" w:space="0" w:color="auto"/>
              <w:bottom w:val="single" w:sz="4" w:space="0" w:color="auto"/>
              <w:right w:val="single" w:sz="4" w:space="0" w:color="auto"/>
            </w:tcBorders>
            <w:shd w:val="clear" w:color="auto" w:fill="auto"/>
            <w:noWrap/>
            <w:vAlign w:val="bottom"/>
            <w:hideMark/>
          </w:tcPr>
          <w:p w:rsidR="00C37DA5" w:rsidRPr="00A54ECA" w:rsidRDefault="00C37DA5" w:rsidP="00A54ECA">
            <w:pPr>
              <w:keepNext/>
              <w:rPr>
                <w:rFonts w:eastAsia="Times New Roman"/>
                <w:color w:val="000000"/>
                <w:sz w:val="24"/>
                <w:szCs w:val="28"/>
                <w:lang w:eastAsia="en-GB"/>
              </w:rPr>
            </w:pPr>
            <w:r w:rsidRPr="00A54ECA">
              <w:rPr>
                <w:rFonts w:eastAsia="Times New Roman"/>
                <w:color w:val="000000"/>
                <w:sz w:val="24"/>
                <w:szCs w:val="28"/>
                <w:lang w:eastAsia="en-GB"/>
              </w:rPr>
              <w:t>South East</w:t>
            </w:r>
          </w:p>
        </w:tc>
        <w:tc>
          <w:tcPr>
            <w:tcW w:w="1158" w:type="pct"/>
            <w:tcBorders>
              <w:top w:val="nil"/>
              <w:left w:val="nil"/>
              <w:bottom w:val="single" w:sz="4" w:space="0" w:color="auto"/>
              <w:right w:val="single" w:sz="4" w:space="0" w:color="auto"/>
            </w:tcBorders>
            <w:shd w:val="clear" w:color="auto" w:fill="auto"/>
            <w:noWrap/>
            <w:vAlign w:val="center"/>
            <w:hideMark/>
          </w:tcPr>
          <w:p w:rsidR="00C37DA5" w:rsidRPr="00A54ECA" w:rsidRDefault="00C37DA5" w:rsidP="00A54ECA">
            <w:pPr>
              <w:keepNext/>
              <w:jc w:val="center"/>
              <w:rPr>
                <w:rFonts w:eastAsia="Times New Roman"/>
                <w:color w:val="auto"/>
                <w:sz w:val="24"/>
                <w:szCs w:val="28"/>
                <w:lang w:eastAsia="en-GB"/>
              </w:rPr>
            </w:pPr>
            <w:r w:rsidRPr="00A54ECA">
              <w:rPr>
                <w:rFonts w:eastAsia="Times New Roman"/>
                <w:color w:val="auto"/>
                <w:sz w:val="24"/>
                <w:szCs w:val="28"/>
                <w:lang w:eastAsia="en-GB"/>
              </w:rPr>
              <w:t>8,947,913</w:t>
            </w:r>
          </w:p>
        </w:tc>
        <w:tc>
          <w:tcPr>
            <w:tcW w:w="1160" w:type="pct"/>
            <w:tcBorders>
              <w:top w:val="nil"/>
              <w:left w:val="nil"/>
              <w:bottom w:val="single" w:sz="4" w:space="0" w:color="auto"/>
              <w:right w:val="single" w:sz="4" w:space="0" w:color="auto"/>
            </w:tcBorders>
            <w:shd w:val="clear" w:color="auto" w:fill="auto"/>
            <w:noWrap/>
            <w:vAlign w:val="center"/>
            <w:hideMark/>
          </w:tcPr>
          <w:p w:rsidR="00C37DA5" w:rsidRPr="00A54ECA" w:rsidRDefault="00C37DA5" w:rsidP="00A54ECA">
            <w:pPr>
              <w:keepNext/>
              <w:jc w:val="center"/>
              <w:rPr>
                <w:rFonts w:eastAsia="Times New Roman"/>
                <w:color w:val="auto"/>
                <w:sz w:val="24"/>
                <w:szCs w:val="28"/>
                <w:lang w:eastAsia="en-GB"/>
              </w:rPr>
            </w:pPr>
            <w:r w:rsidRPr="00A54ECA">
              <w:rPr>
                <w:rFonts w:eastAsia="Times New Roman"/>
                <w:color w:val="auto"/>
                <w:sz w:val="24"/>
                <w:szCs w:val="28"/>
                <w:lang w:eastAsia="en-GB"/>
              </w:rPr>
              <w:t>359,553</w:t>
            </w:r>
          </w:p>
        </w:tc>
        <w:tc>
          <w:tcPr>
            <w:tcW w:w="1109" w:type="pct"/>
            <w:tcBorders>
              <w:top w:val="nil"/>
              <w:left w:val="nil"/>
              <w:bottom w:val="single" w:sz="4" w:space="0" w:color="auto"/>
              <w:right w:val="single" w:sz="4" w:space="0" w:color="auto"/>
            </w:tcBorders>
            <w:shd w:val="clear" w:color="auto" w:fill="auto"/>
            <w:noWrap/>
            <w:vAlign w:val="bottom"/>
            <w:hideMark/>
          </w:tcPr>
          <w:p w:rsidR="00C37DA5" w:rsidRPr="00A54ECA" w:rsidRDefault="00C37DA5" w:rsidP="00A54ECA">
            <w:pPr>
              <w:keepNext/>
              <w:jc w:val="center"/>
              <w:rPr>
                <w:rFonts w:eastAsia="Times New Roman"/>
                <w:color w:val="000000"/>
                <w:sz w:val="24"/>
                <w:szCs w:val="28"/>
                <w:lang w:eastAsia="en-GB"/>
              </w:rPr>
            </w:pPr>
            <w:r w:rsidRPr="00A54ECA">
              <w:rPr>
                <w:rFonts w:eastAsia="Times New Roman"/>
                <w:color w:val="000000"/>
                <w:sz w:val="24"/>
                <w:szCs w:val="28"/>
                <w:lang w:eastAsia="en-GB"/>
              </w:rPr>
              <w:t>4.0%</w:t>
            </w:r>
          </w:p>
        </w:tc>
      </w:tr>
      <w:tr w:rsidR="00C37DA5" w:rsidRPr="00A54ECA" w:rsidTr="0009738C">
        <w:tc>
          <w:tcPr>
            <w:tcW w:w="1572" w:type="pct"/>
            <w:tcBorders>
              <w:top w:val="nil"/>
              <w:left w:val="single" w:sz="4" w:space="0" w:color="auto"/>
              <w:bottom w:val="single" w:sz="4" w:space="0" w:color="auto"/>
              <w:right w:val="single" w:sz="4" w:space="0" w:color="auto"/>
            </w:tcBorders>
            <w:shd w:val="clear" w:color="auto" w:fill="auto"/>
            <w:noWrap/>
            <w:vAlign w:val="bottom"/>
            <w:hideMark/>
          </w:tcPr>
          <w:p w:rsidR="00C37DA5" w:rsidRPr="00A54ECA" w:rsidRDefault="00C37DA5" w:rsidP="00A54ECA">
            <w:pPr>
              <w:keepNext/>
              <w:rPr>
                <w:rFonts w:eastAsia="Times New Roman"/>
                <w:color w:val="000000"/>
                <w:sz w:val="24"/>
                <w:szCs w:val="28"/>
                <w:lang w:eastAsia="en-GB"/>
              </w:rPr>
            </w:pPr>
            <w:r w:rsidRPr="00A54ECA">
              <w:rPr>
                <w:rFonts w:eastAsia="Times New Roman"/>
                <w:color w:val="000000"/>
                <w:sz w:val="24"/>
                <w:szCs w:val="28"/>
                <w:lang w:eastAsia="en-GB"/>
              </w:rPr>
              <w:t>England and Wales</w:t>
            </w:r>
          </w:p>
        </w:tc>
        <w:tc>
          <w:tcPr>
            <w:tcW w:w="1158" w:type="pct"/>
            <w:tcBorders>
              <w:top w:val="nil"/>
              <w:left w:val="nil"/>
              <w:bottom w:val="single" w:sz="4" w:space="0" w:color="auto"/>
              <w:right w:val="single" w:sz="4" w:space="0" w:color="auto"/>
            </w:tcBorders>
            <w:shd w:val="clear" w:color="auto" w:fill="auto"/>
            <w:noWrap/>
            <w:vAlign w:val="center"/>
            <w:hideMark/>
          </w:tcPr>
          <w:p w:rsidR="00C37DA5" w:rsidRPr="00A54ECA" w:rsidRDefault="00C37DA5" w:rsidP="00A54ECA">
            <w:pPr>
              <w:keepNext/>
              <w:jc w:val="center"/>
              <w:rPr>
                <w:rFonts w:eastAsia="Times New Roman"/>
                <w:color w:val="auto"/>
                <w:sz w:val="24"/>
                <w:szCs w:val="28"/>
                <w:lang w:eastAsia="en-GB"/>
              </w:rPr>
            </w:pPr>
            <w:r w:rsidRPr="00A54ECA">
              <w:rPr>
                <w:rFonts w:eastAsia="Times New Roman"/>
                <w:color w:val="auto"/>
                <w:sz w:val="24"/>
                <w:szCs w:val="28"/>
                <w:lang w:eastAsia="en-GB"/>
              </w:rPr>
              <w:t>54,786,327</w:t>
            </w:r>
          </w:p>
        </w:tc>
        <w:tc>
          <w:tcPr>
            <w:tcW w:w="1160" w:type="pct"/>
            <w:tcBorders>
              <w:top w:val="nil"/>
              <w:left w:val="nil"/>
              <w:bottom w:val="single" w:sz="4" w:space="0" w:color="auto"/>
              <w:right w:val="single" w:sz="4" w:space="0" w:color="auto"/>
            </w:tcBorders>
            <w:shd w:val="clear" w:color="auto" w:fill="auto"/>
            <w:noWrap/>
            <w:vAlign w:val="center"/>
            <w:hideMark/>
          </w:tcPr>
          <w:p w:rsidR="00C37DA5" w:rsidRPr="00A54ECA" w:rsidRDefault="00C37DA5" w:rsidP="00A54ECA">
            <w:pPr>
              <w:keepNext/>
              <w:jc w:val="center"/>
              <w:rPr>
                <w:rFonts w:eastAsia="Times New Roman"/>
                <w:color w:val="auto"/>
                <w:sz w:val="24"/>
                <w:szCs w:val="28"/>
                <w:lang w:eastAsia="en-GB"/>
              </w:rPr>
            </w:pPr>
            <w:r w:rsidRPr="00A54ECA">
              <w:rPr>
                <w:rFonts w:eastAsia="Times New Roman"/>
                <w:color w:val="auto"/>
                <w:sz w:val="24"/>
                <w:szCs w:val="28"/>
                <w:lang w:eastAsia="en-GB"/>
              </w:rPr>
              <w:t>2,029,108</w:t>
            </w:r>
          </w:p>
        </w:tc>
        <w:tc>
          <w:tcPr>
            <w:tcW w:w="1109" w:type="pct"/>
            <w:tcBorders>
              <w:top w:val="nil"/>
              <w:left w:val="nil"/>
              <w:bottom w:val="single" w:sz="4" w:space="0" w:color="auto"/>
              <w:right w:val="single" w:sz="4" w:space="0" w:color="auto"/>
            </w:tcBorders>
            <w:shd w:val="clear" w:color="auto" w:fill="auto"/>
            <w:noWrap/>
            <w:vAlign w:val="bottom"/>
            <w:hideMark/>
          </w:tcPr>
          <w:p w:rsidR="00C37DA5" w:rsidRPr="00A54ECA" w:rsidRDefault="00C37DA5" w:rsidP="00A54ECA">
            <w:pPr>
              <w:keepNext/>
              <w:jc w:val="center"/>
              <w:rPr>
                <w:rFonts w:eastAsia="Times New Roman"/>
                <w:color w:val="000000"/>
                <w:sz w:val="24"/>
                <w:szCs w:val="28"/>
                <w:lang w:eastAsia="en-GB"/>
              </w:rPr>
            </w:pPr>
            <w:r w:rsidRPr="00A54ECA">
              <w:rPr>
                <w:rFonts w:eastAsia="Times New Roman"/>
                <w:color w:val="000000"/>
                <w:sz w:val="24"/>
                <w:szCs w:val="28"/>
                <w:lang w:eastAsia="en-GB"/>
              </w:rPr>
              <w:t>3.7%</w:t>
            </w:r>
          </w:p>
        </w:tc>
      </w:tr>
    </w:tbl>
    <w:p w:rsidR="00C37DA5" w:rsidRPr="00CA47B9" w:rsidRDefault="00C37DA5" w:rsidP="0009738C">
      <w:pPr>
        <w:pStyle w:val="11Bodytext"/>
        <w:numPr>
          <w:ilvl w:val="0"/>
          <w:numId w:val="0"/>
        </w:numPr>
        <w:spacing w:before="0" w:after="0" w:line="240" w:lineRule="auto"/>
      </w:pPr>
      <w:r w:rsidRPr="00CA47B9">
        <w:t xml:space="preserve">Source: ONS, Census 2011 </w:t>
      </w:r>
    </w:p>
    <w:p w:rsidR="00C37DA5" w:rsidRPr="00CA47B9" w:rsidRDefault="00C37DA5" w:rsidP="00020CFC">
      <w:pPr>
        <w:pStyle w:val="11Bodytext"/>
        <w:tabs>
          <w:tab w:val="clear" w:pos="2212"/>
          <w:tab w:val="num" w:pos="567"/>
        </w:tabs>
        <w:ind w:left="567" w:hanging="567"/>
      </w:pPr>
      <w:r w:rsidRPr="00CA47B9">
        <w:t xml:space="preserve">No information is available below local authority area or </w:t>
      </w:r>
      <w:r w:rsidR="00855CA6">
        <w:t>before</w:t>
      </w:r>
      <w:r w:rsidRPr="00CA47B9">
        <w:t xml:space="preserve"> 2001. It is therefore not possible to review how this has changed or to identify where this occurrence is strongest. However, a recent study by the Resolution Foundation</w:t>
      </w:r>
      <w:r w:rsidRPr="00CA47B9">
        <w:rPr>
          <w:vertAlign w:val="superscript"/>
        </w:rPr>
        <w:footnoteReference w:id="3"/>
      </w:r>
      <w:r w:rsidRPr="00CA47B9">
        <w:t xml:space="preserve"> identified that second </w:t>
      </w:r>
      <w:r w:rsidR="00451CFA">
        <w:t>home ownership</w:t>
      </w:r>
      <w:r w:rsidRPr="00CA47B9">
        <w:t xml:space="preserve"> in the UK had increased by 30% between 2000-02 and 2012-14. </w:t>
      </w:r>
    </w:p>
    <w:p w:rsidR="00C37DA5" w:rsidRDefault="00C37DA5" w:rsidP="00020CFC">
      <w:pPr>
        <w:pStyle w:val="11Bodytext"/>
        <w:tabs>
          <w:tab w:val="clear" w:pos="2212"/>
          <w:tab w:val="num" w:pos="567"/>
        </w:tabs>
        <w:ind w:left="567" w:hanging="567"/>
      </w:pPr>
      <w:r w:rsidRPr="00CA47B9">
        <w:t>This</w:t>
      </w:r>
      <w:r w:rsidR="00855CA6">
        <w:t>, however,</w:t>
      </w:r>
      <w:r w:rsidRPr="00CA47B9">
        <w:t xml:space="preserve"> includes those with buy-to-let properties. While the data does not break down by local authority, Chichester </w:t>
      </w:r>
      <w:r>
        <w:t>D</w:t>
      </w:r>
      <w:r w:rsidRPr="00CA47B9">
        <w:t xml:space="preserve">istrict already has an over-representation </w:t>
      </w:r>
      <w:r w:rsidRPr="00CA47B9">
        <w:lastRenderedPageBreak/>
        <w:t>of second</w:t>
      </w:r>
      <w:r>
        <w:t>-</w:t>
      </w:r>
      <w:r w:rsidRPr="00CA47B9">
        <w:t>home</w:t>
      </w:r>
      <w:r>
        <w:t xml:space="preserve"> </w:t>
      </w:r>
      <w:r w:rsidRPr="00CA47B9">
        <w:t>owners and therefore it is likely that a similar level of growth has occurred in the district.</w:t>
      </w:r>
    </w:p>
    <w:bookmarkEnd w:id="74"/>
    <w:p w:rsidR="00C37DA5" w:rsidRPr="00CA47B9" w:rsidRDefault="00C37DA5" w:rsidP="00BD6C75">
      <w:pPr>
        <w:pStyle w:val="SubheadBlue12"/>
        <w:ind w:left="567" w:firstLine="0"/>
      </w:pPr>
      <w:r w:rsidRPr="00CA47B9">
        <w:t xml:space="preserve">Local Agent Consultation </w:t>
      </w:r>
    </w:p>
    <w:p w:rsidR="00C37DA5" w:rsidRPr="00CA47B9" w:rsidRDefault="00C37DA5" w:rsidP="00020CFC">
      <w:pPr>
        <w:pStyle w:val="11Bodytext"/>
        <w:tabs>
          <w:tab w:val="clear" w:pos="2212"/>
          <w:tab w:val="num" w:pos="567"/>
        </w:tabs>
        <w:ind w:left="567" w:hanging="567"/>
      </w:pPr>
      <w:r w:rsidRPr="00CA47B9">
        <w:t xml:space="preserve">This sub-section outlines the key findings of consultation with local housing </w:t>
      </w:r>
      <w:r w:rsidR="00BD6C75">
        <w:t xml:space="preserve">agents in Chichester District. </w:t>
      </w:r>
      <w:r w:rsidRPr="00CA47B9">
        <w:t xml:space="preserve">Discussions were held with local estate agents across the District to understand the state of the local housing market following the completion of the previous Chichester HEDNA (2018). </w:t>
      </w:r>
    </w:p>
    <w:p w:rsidR="00C37DA5" w:rsidRPr="00CA47B9" w:rsidRDefault="00C37DA5" w:rsidP="00020CFC">
      <w:pPr>
        <w:pStyle w:val="11Bodytext"/>
        <w:tabs>
          <w:tab w:val="clear" w:pos="2212"/>
          <w:tab w:val="num" w:pos="567"/>
        </w:tabs>
        <w:ind w:left="567" w:hanging="567"/>
      </w:pPr>
      <w:r w:rsidRPr="00CA47B9">
        <w:t xml:space="preserve">Engagement with local agents in the towns and villages of the District was undertaken. The consultation findings are anecdotal and may not reflect the empirical evidence set out elsewhere in this report. For example, agents might only deal with the very top or bottom of the market and their responses might reflect this. </w:t>
      </w:r>
    </w:p>
    <w:p w:rsidR="002029B9" w:rsidRDefault="002029B9" w:rsidP="00020CFC">
      <w:pPr>
        <w:pStyle w:val="11Bodytext"/>
        <w:tabs>
          <w:tab w:val="clear" w:pos="2212"/>
          <w:tab w:val="num" w:pos="567"/>
        </w:tabs>
        <w:ind w:left="567" w:hanging="567"/>
      </w:pPr>
      <w:r>
        <w:t>The c</w:t>
      </w:r>
      <w:r w:rsidR="00C37DA5" w:rsidRPr="00CA47B9">
        <w:t xml:space="preserve">onsultation with agents identified that the market is still very active, despite political uncertainty and is in a similar position to 12 months ago. In terms of the sales market, </w:t>
      </w:r>
      <w:bookmarkStart w:id="75" w:name="_Hlk20757612"/>
      <w:r w:rsidR="00C37DA5" w:rsidRPr="00CA47B9">
        <w:t>property ranging between £200,000 to £400,000 are in the greatest demand and sell quickly</w:t>
      </w:r>
      <w:bookmarkEnd w:id="75"/>
      <w:r w:rsidR="00C37DA5" w:rsidRPr="00CA47B9">
        <w:t xml:space="preserve">. </w:t>
      </w:r>
    </w:p>
    <w:p w:rsidR="00C37DA5" w:rsidRDefault="00C37DA5" w:rsidP="00020CFC">
      <w:pPr>
        <w:pStyle w:val="11Bodytext"/>
        <w:tabs>
          <w:tab w:val="clear" w:pos="2212"/>
          <w:tab w:val="num" w:pos="567"/>
        </w:tabs>
        <w:ind w:left="567" w:hanging="567"/>
      </w:pPr>
      <w:r>
        <w:t xml:space="preserve">The types of properties for sale in this price range are mostly semi-detached and terraced houses with around 30% 2-bedroom and 60% 3-bedroom. Larger houses (4+ bedrooms) and 1-bedroom houses account for </w:t>
      </w:r>
      <w:r w:rsidR="002029B9">
        <w:t xml:space="preserve">only </w:t>
      </w:r>
      <w:r>
        <w:t xml:space="preserve">a small proportion of houses for sale in this price range. </w:t>
      </w:r>
    </w:p>
    <w:p w:rsidR="00C37DA5" w:rsidRPr="00CA47B9" w:rsidRDefault="00C37DA5" w:rsidP="00020CFC">
      <w:pPr>
        <w:pStyle w:val="11Bodytext"/>
        <w:tabs>
          <w:tab w:val="clear" w:pos="2212"/>
          <w:tab w:val="num" w:pos="567"/>
        </w:tabs>
        <w:ind w:left="567" w:hanging="567"/>
      </w:pPr>
      <w:r w:rsidRPr="00CA47B9">
        <w:t xml:space="preserve">Across the District, there was a noted shortage of supply in the private rented sector which is driving up rents. The District is experiencing high volumes of </w:t>
      </w:r>
      <w:r w:rsidR="002029B9">
        <w:t xml:space="preserve">net </w:t>
      </w:r>
      <w:r w:rsidRPr="00CA47B9">
        <w:t>in</w:t>
      </w:r>
      <w:r w:rsidR="002029B9">
        <w:t>-</w:t>
      </w:r>
      <w:r w:rsidRPr="00CA47B9">
        <w:t>migration, most notably from the surrounding Home Counties and London with preferences to locate in Chichester City and the coastal settlements. As a consequence, rental demand is increasing which is restricting the sector from meeting the needs of people</w:t>
      </w:r>
      <w:r w:rsidR="002029B9">
        <w:t xml:space="preserve"> with low incomes or</w:t>
      </w:r>
      <w:r w:rsidRPr="00CA47B9">
        <w:t xml:space="preserve"> receiving benefits. </w:t>
      </w:r>
    </w:p>
    <w:p w:rsidR="00F53050" w:rsidRDefault="00C37DA5" w:rsidP="00020CFC">
      <w:pPr>
        <w:pStyle w:val="11Bodytext"/>
        <w:tabs>
          <w:tab w:val="clear" w:pos="2212"/>
          <w:tab w:val="num" w:pos="567"/>
        </w:tabs>
        <w:ind w:left="567" w:hanging="567"/>
      </w:pPr>
      <w:r w:rsidRPr="00CA47B9">
        <w:t xml:space="preserve">Housing options for new households seeking to live in the District remains a challenge, particularly for those who are not in a position to become homeowners. Engagement with local agents indicated that these households seek affordable housing or rent in the private sector. </w:t>
      </w:r>
    </w:p>
    <w:p w:rsidR="00F53050" w:rsidRDefault="00C37DA5" w:rsidP="00020CFC">
      <w:pPr>
        <w:pStyle w:val="11Bodytext"/>
        <w:tabs>
          <w:tab w:val="clear" w:pos="2212"/>
          <w:tab w:val="num" w:pos="567"/>
        </w:tabs>
        <w:ind w:left="567" w:hanging="567"/>
      </w:pPr>
      <w:r w:rsidRPr="00CA47B9">
        <w:lastRenderedPageBreak/>
        <w:t xml:space="preserve">These households also have the option to occupy park homes as they are slightly more affordable than private housing stock. It was suggested that park homes can reach sales of up to £150,000. </w:t>
      </w:r>
      <w:r w:rsidRPr="00F53050">
        <w:t xml:space="preserve">Park homes are experiencing a 50/50 split of local and outside buyers. </w:t>
      </w:r>
    </w:p>
    <w:p w:rsidR="00F53050" w:rsidRDefault="00C37DA5" w:rsidP="00020CFC">
      <w:pPr>
        <w:pStyle w:val="11Bodytext"/>
        <w:tabs>
          <w:tab w:val="clear" w:pos="2212"/>
          <w:tab w:val="num" w:pos="567"/>
        </w:tabs>
        <w:ind w:left="567" w:hanging="567"/>
      </w:pPr>
      <w:r w:rsidRPr="00F53050">
        <w:t xml:space="preserve">Agents have indicated that there has been a recent </w:t>
      </w:r>
      <w:r w:rsidR="00F53050">
        <w:t>increase</w:t>
      </w:r>
      <w:r w:rsidRPr="00F53050">
        <w:t xml:space="preserve"> in the volume of investors from Europe looking to purchase a park home with the intent to let. Park homes are seen as an attractive option for older persons who cannot afford the cost of a retirement home. </w:t>
      </w:r>
    </w:p>
    <w:p w:rsidR="00C37DA5" w:rsidRPr="00F53050" w:rsidRDefault="00C37DA5" w:rsidP="00020CFC">
      <w:pPr>
        <w:pStyle w:val="11Bodytext"/>
        <w:tabs>
          <w:tab w:val="clear" w:pos="2212"/>
          <w:tab w:val="num" w:pos="567"/>
        </w:tabs>
        <w:ind w:left="567" w:hanging="567"/>
      </w:pPr>
      <w:r w:rsidRPr="00F53050">
        <w:t>Elderly people that cannot afford retirement living in the District will</w:t>
      </w:r>
      <w:r w:rsidR="00F53050">
        <w:t xml:space="preserve"> also consider</w:t>
      </w:r>
      <w:r w:rsidRPr="00F53050">
        <w:t xml:space="preserve"> Park Home accommodation. Of the elderly population seeking bungalows, agents emphasised that there is a significant gap in the market for 1 to 2-bedroom bungalows. </w:t>
      </w:r>
    </w:p>
    <w:p w:rsidR="00F53050" w:rsidRDefault="00C37DA5" w:rsidP="00020CFC">
      <w:pPr>
        <w:pStyle w:val="11Bodytext"/>
        <w:tabs>
          <w:tab w:val="clear" w:pos="2212"/>
          <w:tab w:val="num" w:pos="567"/>
        </w:tabs>
        <w:ind w:left="567" w:hanging="567"/>
      </w:pPr>
      <w:r w:rsidRPr="00CA47B9">
        <w:t xml:space="preserve">Sales values are higher in Chichester City and the </w:t>
      </w:r>
      <w:r w:rsidR="00F53050">
        <w:t>area</w:t>
      </w:r>
      <w:r w:rsidRPr="00CA47B9">
        <w:t xml:space="preserve"> is experiencing a lack of housing options for median and low-income households. The </w:t>
      </w:r>
      <w:r w:rsidR="00F53050">
        <w:t>C</w:t>
      </w:r>
      <w:r w:rsidRPr="00CA47B9">
        <w:t xml:space="preserve">ity’s role in the District hosting the University, hospital and the historic offering of the built environment makes it an attractive place for a mixed profile of buyers which is essentially placing pressure on the supply of housing. </w:t>
      </w:r>
    </w:p>
    <w:p w:rsidR="00C37DA5" w:rsidRPr="00CA47B9" w:rsidRDefault="00C37DA5" w:rsidP="00020CFC">
      <w:pPr>
        <w:pStyle w:val="11Bodytext"/>
        <w:tabs>
          <w:tab w:val="clear" w:pos="2212"/>
          <w:tab w:val="num" w:pos="567"/>
        </w:tabs>
        <w:ind w:left="567" w:hanging="567"/>
      </w:pPr>
      <w:r w:rsidRPr="00CA47B9">
        <w:t>Rents in Chichester City are achieving around £900 to £1,200 per month for 2 and 3-bedroom dwelling. On the rental market in the City, it has bee</w:t>
      </w:r>
      <w:r w:rsidR="00F53050">
        <w:t>n</w:t>
      </w:r>
      <w:r w:rsidRPr="00CA47B9">
        <w:t xml:space="preserve"> identified that there is a gap in the market for 2-bedroom properties. Demand for this type of product is driven by young couple and student households. </w:t>
      </w:r>
    </w:p>
    <w:p w:rsidR="00C37DA5" w:rsidRPr="00CA47B9" w:rsidRDefault="00C37DA5" w:rsidP="00020CFC">
      <w:pPr>
        <w:pStyle w:val="11Bodytext"/>
        <w:tabs>
          <w:tab w:val="clear" w:pos="2212"/>
          <w:tab w:val="num" w:pos="567"/>
        </w:tabs>
        <w:ind w:left="567" w:hanging="567"/>
      </w:pPr>
      <w:r w:rsidRPr="00CA47B9">
        <w:t xml:space="preserve">The areas to the east and west of Chichester City Centre are the areas where new housing developments </w:t>
      </w:r>
      <w:r>
        <w:t>are</w:t>
      </w:r>
      <w:r w:rsidRPr="00CA47B9">
        <w:t xml:space="preserve"> taking place, agents noted that these new properties are selling well to </w:t>
      </w:r>
      <w:r w:rsidR="00F53050">
        <w:t xml:space="preserve">a </w:t>
      </w:r>
      <w:r w:rsidRPr="00CA47B9">
        <w:t xml:space="preserve">broad range of buyers ranging from families, </w:t>
      </w:r>
      <w:r w:rsidR="00855CA6" w:rsidRPr="00CA47B9">
        <w:t>first</w:t>
      </w:r>
      <w:r w:rsidR="00855CA6">
        <w:t>-</w:t>
      </w:r>
      <w:r w:rsidRPr="00CA47B9">
        <w:t xml:space="preserve">time buyers and retirees. </w:t>
      </w:r>
    </w:p>
    <w:p w:rsidR="00F53050" w:rsidRDefault="00C37DA5" w:rsidP="00020CFC">
      <w:pPr>
        <w:pStyle w:val="11Bodytext"/>
        <w:tabs>
          <w:tab w:val="clear" w:pos="2212"/>
          <w:tab w:val="num" w:pos="567"/>
        </w:tabs>
        <w:ind w:left="567" w:hanging="567"/>
      </w:pPr>
      <w:r w:rsidRPr="00CA47B9">
        <w:t xml:space="preserve">In the Manhood Peninsula, properties are experiencing demand from second homeowners and retirees looking to downsize to the coastal areas of Selsey, East Wittering and Bracklesham. </w:t>
      </w:r>
      <w:r w:rsidR="00F53050">
        <w:t xml:space="preserve">An </w:t>
      </w:r>
      <w:r w:rsidRPr="00CA47B9">
        <w:t xml:space="preserve">issue </w:t>
      </w:r>
      <w:r w:rsidR="00F53050">
        <w:t xml:space="preserve">identified was </w:t>
      </w:r>
      <w:r w:rsidRPr="00CA47B9">
        <w:t xml:space="preserve">that local young families now looking to leave the rented market to buy their first home cannot compete. </w:t>
      </w:r>
    </w:p>
    <w:p w:rsidR="00C37DA5" w:rsidRDefault="00C37DA5" w:rsidP="00020CFC">
      <w:pPr>
        <w:pStyle w:val="11Bodytext"/>
        <w:tabs>
          <w:tab w:val="clear" w:pos="2212"/>
          <w:tab w:val="num" w:pos="567"/>
        </w:tabs>
        <w:ind w:left="567" w:hanging="567"/>
      </w:pPr>
      <w:r w:rsidRPr="00CA47B9">
        <w:lastRenderedPageBreak/>
        <w:t xml:space="preserve">This area is also experiencing great demand from holiday investors. Holiday houses staying vacant in the offseason is becoming an issue for the area and preventing local households from accessing the housing on the sales market. </w:t>
      </w:r>
    </w:p>
    <w:p w:rsidR="00D26E18" w:rsidRPr="00873DCC" w:rsidRDefault="00D26E18" w:rsidP="00020CFC">
      <w:pPr>
        <w:pStyle w:val="11Bodytext"/>
        <w:tabs>
          <w:tab w:val="clear" w:pos="2212"/>
          <w:tab w:val="num" w:pos="567"/>
        </w:tabs>
        <w:ind w:left="567" w:hanging="567"/>
      </w:pPr>
      <w:r w:rsidRPr="00873DCC">
        <w:t>In conclusion</w:t>
      </w:r>
      <w:r w:rsidR="00855CA6">
        <w:t>,</w:t>
      </w:r>
      <w:r w:rsidRPr="00873DCC">
        <w:t xml:space="preserve"> while the market signals show a significant deterioration in affordability over the long term</w:t>
      </w:r>
      <w:proofErr w:type="gramStart"/>
      <w:r w:rsidR="00E60718">
        <w:t>,</w:t>
      </w:r>
      <w:r w:rsidR="006F0B45" w:rsidRPr="00873DCC">
        <w:t xml:space="preserve"> </w:t>
      </w:r>
      <w:r w:rsidR="00FD0E9C">
        <w:t xml:space="preserve"> because</w:t>
      </w:r>
      <w:proofErr w:type="gramEnd"/>
      <w:r w:rsidR="00FD0E9C">
        <w:t xml:space="preserve"> </w:t>
      </w:r>
      <w:r w:rsidR="006F0B45" w:rsidRPr="00873DCC">
        <w:t>this is addressed through the standard methodology</w:t>
      </w:r>
      <w:r w:rsidR="00855CA6">
        <w:t xml:space="preserve"> </w:t>
      </w:r>
      <w:r w:rsidR="006F0B45" w:rsidRPr="00873DCC">
        <w:t xml:space="preserve"> there is no longer a requirement to seek a further uplift on the basis. </w:t>
      </w:r>
    </w:p>
    <w:tbl>
      <w:tblPr>
        <w:tblStyle w:val="TableGrid"/>
        <w:tblW w:w="5000" w:type="pct"/>
        <w:tblBorders>
          <w:top w:val="single" w:sz="18" w:space="0" w:color="0093D5" w:themeColor="accent2"/>
          <w:left w:val="single" w:sz="18" w:space="0" w:color="0093D5" w:themeColor="accent2"/>
          <w:bottom w:val="single" w:sz="18" w:space="0" w:color="0093D5" w:themeColor="accent2"/>
          <w:right w:val="single" w:sz="18" w:space="0" w:color="0093D5" w:themeColor="accent2"/>
          <w:insideH w:val="single" w:sz="18" w:space="0" w:color="0093D5" w:themeColor="accent2"/>
          <w:insideV w:val="single" w:sz="18" w:space="0" w:color="0093D5" w:themeColor="accent2"/>
        </w:tblBorders>
        <w:tblLook w:val="04A0" w:firstRow="1" w:lastRow="0" w:firstColumn="1" w:lastColumn="0" w:noHBand="0" w:noVBand="1"/>
        <w:tblCaption w:val="Key Points: Housing Market Dynamics"/>
      </w:tblPr>
      <w:tblGrid>
        <w:gridCol w:w="9847"/>
      </w:tblGrid>
      <w:tr w:rsidR="00C37DA5" w:rsidRPr="00CA47B9" w:rsidTr="008E554D">
        <w:trPr>
          <w:cantSplit/>
          <w:trHeight w:val="5210"/>
          <w:tblHeader/>
        </w:trPr>
        <w:tc>
          <w:tcPr>
            <w:tcW w:w="5000" w:type="pct"/>
          </w:tcPr>
          <w:p w:rsidR="00C37DA5" w:rsidRPr="00A54ECA" w:rsidRDefault="00C37DA5" w:rsidP="002A213E">
            <w:pPr>
              <w:rPr>
                <w:b/>
                <w:sz w:val="24"/>
                <w:szCs w:val="24"/>
              </w:rPr>
            </w:pPr>
            <w:r w:rsidRPr="00A54ECA">
              <w:rPr>
                <w:b/>
                <w:sz w:val="24"/>
                <w:szCs w:val="24"/>
              </w:rPr>
              <w:lastRenderedPageBreak/>
              <w:t>Key Points</w:t>
            </w:r>
          </w:p>
          <w:p w:rsidR="00C37DA5" w:rsidRPr="00A54ECA" w:rsidRDefault="00C37DA5" w:rsidP="00A54ECA">
            <w:pPr>
              <w:pStyle w:val="ListParagraph"/>
            </w:pPr>
            <w:bookmarkStart w:id="76" w:name="_Hlk27665573"/>
            <w:r w:rsidRPr="00A54ECA">
              <w:t xml:space="preserve">The key analysis in this section reveals that median house prices in Chichester stand at </w:t>
            </w:r>
            <w:r w:rsidR="00C00EB0" w:rsidRPr="00A54ECA">
              <w:t>13.1</w:t>
            </w:r>
            <w:r w:rsidRPr="00A54ECA">
              <w:t xml:space="preserve"> times the median earnings of those working in the district.</w:t>
            </w:r>
          </w:p>
          <w:p w:rsidR="00C37DA5" w:rsidRPr="00CA47B9" w:rsidRDefault="00C37DA5" w:rsidP="00A54ECA">
            <w:pPr>
              <w:pStyle w:val="ListParagraph"/>
            </w:pPr>
            <w:r w:rsidRPr="00CA47B9">
              <w:t xml:space="preserve">Land values in Chichester are significantly higher than the values </w:t>
            </w:r>
            <w:r w:rsidR="00AB797E">
              <w:t>for</w:t>
            </w:r>
            <w:r w:rsidR="00855CA6">
              <w:t xml:space="preserve"> </w:t>
            </w:r>
            <w:r w:rsidRPr="00CA47B9">
              <w:t>all</w:t>
            </w:r>
            <w:r w:rsidR="00AB797E">
              <w:t xml:space="preserve"> of</w:t>
            </w:r>
            <w:r w:rsidRPr="00CA47B9">
              <w:t xml:space="preserve"> the </w:t>
            </w:r>
            <w:r w:rsidR="00C00EB0">
              <w:t>other</w:t>
            </w:r>
            <w:r w:rsidR="00AB797E">
              <w:t xml:space="preserve"> </w:t>
            </w:r>
            <w:r w:rsidRPr="00CA47B9">
              <w:t xml:space="preserve">comparable areas including South East and England and Wales (excluding London). </w:t>
            </w:r>
          </w:p>
          <w:p w:rsidR="00C37DA5" w:rsidRPr="00CA47B9" w:rsidRDefault="00C37DA5" w:rsidP="00A54ECA">
            <w:pPr>
              <w:pStyle w:val="ListParagraph"/>
            </w:pPr>
            <w:r w:rsidRPr="00CA47B9">
              <w:t xml:space="preserve">In comparison to neighbouring local authorities and the wider comparators, mean and median house prices in Chichester are significantly higher. For example, median prices in Chichester are £37k higher than West Sussex as a whole. </w:t>
            </w:r>
          </w:p>
          <w:p w:rsidR="00C37DA5" w:rsidRPr="00CA47B9" w:rsidRDefault="00C37DA5" w:rsidP="00A54ECA">
            <w:pPr>
              <w:pStyle w:val="ListParagraph"/>
            </w:pPr>
            <w:r w:rsidRPr="00CA47B9">
              <w:t>Over the pre-recession decade, median prices in Chichester District increased by 189% compared to</w:t>
            </w:r>
            <w:r w:rsidRPr="00CA47B9">
              <w:rPr>
                <w:bCs/>
              </w:rPr>
              <w:t xml:space="preserve"> 189% regionally and 190% nationally. H</w:t>
            </w:r>
            <w:r w:rsidRPr="00CA47B9">
              <w:t>ouse prices subsequently rose during 2009 and as of 2010 Q2 median house prices in Chichester were the same as pre-recession levels. Over the last four years</w:t>
            </w:r>
            <w:r w:rsidR="00855CA6">
              <w:t>,</w:t>
            </w:r>
            <w:r w:rsidRPr="00CA47B9">
              <w:t xml:space="preserve"> prices have been significantly higher than the majority of the comparable areas (apart from the house prices in Cotswold).</w:t>
            </w:r>
          </w:p>
          <w:p w:rsidR="00C37DA5" w:rsidRPr="00CA47B9" w:rsidRDefault="00C37DA5" w:rsidP="00A54ECA">
            <w:pPr>
              <w:pStyle w:val="ListParagraph"/>
            </w:pPr>
            <w:r w:rsidRPr="00CA47B9">
              <w:t xml:space="preserve">There were considerably more detached houses sold in Chichester in 2018 compared to the rest of the comparable areas and this mix is driving high house prices in the area as detached homes tend to attract higher values due to their size. </w:t>
            </w:r>
          </w:p>
          <w:p w:rsidR="00C37DA5" w:rsidRPr="00CA47B9" w:rsidRDefault="00C37DA5" w:rsidP="00A54ECA">
            <w:pPr>
              <w:pStyle w:val="ListParagraph"/>
              <w:rPr>
                <w:bCs/>
              </w:rPr>
            </w:pPr>
            <w:r w:rsidRPr="00CA47B9">
              <w:t>Sales volumes both nationally and within Chichester experienced a significant drop between 2007 and 2008. Between 2008 -12 the recovery in sales volumes was modest. Since 2013, there has been a gradual growth in sales trends as the market recovers.</w:t>
            </w:r>
          </w:p>
          <w:p w:rsidR="00C37DA5" w:rsidRDefault="00C37DA5" w:rsidP="00A54ECA">
            <w:pPr>
              <w:pStyle w:val="ListParagraph"/>
            </w:pPr>
            <w:r w:rsidRPr="00CA47B9">
              <w:t>In terms of affordability Chichester follows the national trend of significant growth since 2001 and stabilising since 2008 albeit at a higher level. Generally, Chichester is less affordable than all of the comparable areas.</w:t>
            </w:r>
            <w:r w:rsidR="00855CA6">
              <w:t xml:space="preserve"> </w:t>
            </w:r>
          </w:p>
          <w:p w:rsidR="00E64D55" w:rsidRPr="00CA47B9" w:rsidRDefault="00E64D55" w:rsidP="00A54ECA">
            <w:pPr>
              <w:pStyle w:val="ListParagraph"/>
            </w:pPr>
            <w:r>
              <w:t>The workplace</w:t>
            </w:r>
            <w:r w:rsidR="00855CA6">
              <w:t>-</w:t>
            </w:r>
            <w:r>
              <w:t>based affordability ratios are higher than the residen</w:t>
            </w:r>
            <w:r w:rsidR="00133E03">
              <w:t>ce</w:t>
            </w:r>
            <w:r>
              <w:t xml:space="preserve"> based ratio illustrating the significantly higher earnings of those living in the district compared to those working in it.</w:t>
            </w:r>
            <w:r w:rsidR="00855CA6">
              <w:t xml:space="preserve"> </w:t>
            </w:r>
            <w:r>
              <w:t>It also illustrates the difficulty of the local workforce being able to live close to their workplace.</w:t>
            </w:r>
          </w:p>
          <w:p w:rsidR="00C37DA5" w:rsidRPr="00CA47B9" w:rsidRDefault="00C37DA5" w:rsidP="00A54ECA">
            <w:pPr>
              <w:pStyle w:val="ListParagraph"/>
            </w:pPr>
            <w:r w:rsidRPr="00CA47B9">
              <w:t>In 2018, lower quartile house prices in the District stood at 1</w:t>
            </w:r>
            <w:r w:rsidR="006B6A20">
              <w:t>3</w:t>
            </w:r>
            <w:r w:rsidRPr="00CA47B9">
              <w:t>.59 times lower quartile resident earnings, indicating notable affordability pressures at the lower end of the market.</w:t>
            </w:r>
          </w:p>
          <w:p w:rsidR="004673AE" w:rsidRDefault="00C37DA5" w:rsidP="00A54ECA">
            <w:pPr>
              <w:pStyle w:val="ListParagraph"/>
            </w:pPr>
            <w:r w:rsidRPr="00CA47B9">
              <w:t xml:space="preserve">The lower quartile market rent for the District is around £720 per month for all dwelling types. Plan Area North has the highest rental value (£1,020) and Chichester </w:t>
            </w:r>
            <w:r w:rsidR="006E4BED">
              <w:t>City</w:t>
            </w:r>
            <w:r w:rsidR="006E4BED" w:rsidRPr="00CA47B9">
              <w:t xml:space="preserve"> </w:t>
            </w:r>
            <w:r w:rsidRPr="00CA47B9">
              <w:t xml:space="preserve">has the lowest (£670). </w:t>
            </w:r>
            <w:r w:rsidR="00E64D55">
              <w:t>Rents have increase</w:t>
            </w:r>
            <w:r w:rsidR="00855CA6">
              <w:t>d</w:t>
            </w:r>
            <w:r w:rsidR="00E64D55">
              <w:t xml:space="preserve"> notably as demand has outstripped supply as a result of fewer households being able to access </w:t>
            </w:r>
            <w:r w:rsidR="00451CFA">
              <w:t>home ownership</w:t>
            </w:r>
            <w:r w:rsidR="00E64D55">
              <w:t xml:space="preserve"> products and instead moving to the PRS.</w:t>
            </w:r>
            <w:r w:rsidR="004673AE">
              <w:t xml:space="preserve"> </w:t>
            </w:r>
          </w:p>
          <w:p w:rsidR="00E64D55" w:rsidRPr="00CA47B9" w:rsidRDefault="004673AE" w:rsidP="00A54ECA">
            <w:pPr>
              <w:pStyle w:val="ListParagraph"/>
            </w:pPr>
            <w:r>
              <w:t>The high rents and worsening affordability gives low and medium earning households limited options.</w:t>
            </w:r>
          </w:p>
          <w:p w:rsidR="00C37DA5" w:rsidRPr="00C00EB0" w:rsidRDefault="00C00EB0" w:rsidP="00A54ECA">
            <w:pPr>
              <w:pStyle w:val="ListParagraph"/>
            </w:pPr>
            <w:r>
              <w:t xml:space="preserve">Since </w:t>
            </w:r>
            <w:r w:rsidR="000D1637">
              <w:t>the start of the current Local Plan period</w:t>
            </w:r>
            <w:r w:rsidR="00855CA6">
              <w:t xml:space="preserve"> </w:t>
            </w:r>
            <w:r w:rsidR="000D1637">
              <w:t xml:space="preserve">in </w:t>
            </w:r>
            <w:r>
              <w:t>2012</w:t>
            </w:r>
            <w:r w:rsidR="000D1637">
              <w:t>,</w:t>
            </w:r>
            <w:r w:rsidR="00855CA6">
              <w:t xml:space="preserve"> </w:t>
            </w:r>
            <w:r>
              <w:t>3,017</w:t>
            </w:r>
            <w:r w:rsidR="00C37DA5" w:rsidRPr="00C00EB0">
              <w:t xml:space="preserve"> net</w:t>
            </w:r>
            <w:r>
              <w:t xml:space="preserve"> additional</w:t>
            </w:r>
            <w:r w:rsidR="00C37DA5" w:rsidRPr="00C00EB0">
              <w:t xml:space="preserve"> dwellings have been added to the Chichester housing stock</w:t>
            </w:r>
            <w:r w:rsidR="00D870CE">
              <w:t xml:space="preserve">, </w:t>
            </w:r>
            <w:r w:rsidR="00E64D55">
              <w:t>Overall delivery was</w:t>
            </w:r>
            <w:r>
              <w:t xml:space="preserve"> 28 dwellings below target</w:t>
            </w:r>
            <w:r w:rsidR="00E64D55">
              <w:t xml:space="preserve"> the target to 2018/19</w:t>
            </w:r>
            <w:r w:rsidR="00D870CE">
              <w:t>.</w:t>
            </w:r>
          </w:p>
          <w:p w:rsidR="00C37DA5" w:rsidRDefault="004673AE" w:rsidP="00A54ECA">
            <w:pPr>
              <w:pStyle w:val="ListParagraph"/>
            </w:pPr>
            <w:r>
              <w:t>At around 5.8% the district has a significantly higher percentage of second homes than the national average (1.0%)</w:t>
            </w:r>
          </w:p>
          <w:p w:rsidR="00C37DA5" w:rsidRPr="00CA47B9" w:rsidRDefault="00C37DA5" w:rsidP="00FD0E9C">
            <w:pPr>
              <w:pStyle w:val="ListParagraph"/>
            </w:pPr>
            <w:r w:rsidRPr="00CA47B9">
              <w:t xml:space="preserve">Combined, the market signals evidence highlights </w:t>
            </w:r>
            <w:proofErr w:type="gramStart"/>
            <w:r w:rsidRPr="00CA47B9">
              <w:t>notable  affordability</w:t>
            </w:r>
            <w:proofErr w:type="gramEnd"/>
            <w:r w:rsidRPr="00CA47B9">
              <w:t xml:space="preserve"> pressures in the District. This is reflected and responded to in the 40% increase in the housing need figure calculated using the </w:t>
            </w:r>
            <w:proofErr w:type="gramStart"/>
            <w:r w:rsidRPr="00CA47B9">
              <w:t>CLG’s  methodology</w:t>
            </w:r>
            <w:proofErr w:type="gramEnd"/>
            <w:r w:rsidRPr="00CA47B9">
              <w:t>.</w:t>
            </w:r>
            <w:bookmarkEnd w:id="76"/>
          </w:p>
        </w:tc>
      </w:tr>
    </w:tbl>
    <w:p w:rsidR="00F63FBB" w:rsidRPr="00CA47B9" w:rsidRDefault="00C37DA5" w:rsidP="003C7491">
      <w:pPr>
        <w:pStyle w:val="1Bodytext"/>
        <w:tabs>
          <w:tab w:val="clear" w:pos="794"/>
          <w:tab w:val="num" w:pos="567"/>
        </w:tabs>
        <w:spacing w:after="120" w:line="360" w:lineRule="auto"/>
        <w:ind w:left="567" w:hanging="567"/>
        <w:rPr>
          <w:rFonts w:asciiTheme="minorHAnsi" w:hAnsiTheme="minorHAnsi" w:cstheme="minorHAnsi"/>
          <w:szCs w:val="24"/>
        </w:rPr>
      </w:pPr>
      <w:r w:rsidRPr="00CA47B9">
        <w:rPr>
          <w:rFonts w:asciiTheme="minorHAnsi" w:hAnsiTheme="minorHAnsi" w:cstheme="minorHAnsi"/>
        </w:rPr>
        <w:br w:type="page"/>
      </w:r>
      <w:bookmarkStart w:id="77" w:name="_Toc51600010"/>
      <w:bookmarkEnd w:id="18"/>
      <w:bookmarkEnd w:id="45"/>
      <w:r w:rsidR="00F63FBB" w:rsidRPr="00CA47B9">
        <w:rPr>
          <w:rFonts w:asciiTheme="minorHAnsi" w:hAnsiTheme="minorHAnsi" w:cstheme="minorHAnsi"/>
        </w:rPr>
        <w:lastRenderedPageBreak/>
        <w:t>demographic</w:t>
      </w:r>
      <w:bookmarkEnd w:id="12"/>
      <w:bookmarkEnd w:id="13"/>
      <w:r w:rsidR="00F63FBB" w:rsidRPr="00CA47B9">
        <w:rPr>
          <w:rFonts w:asciiTheme="minorHAnsi" w:hAnsiTheme="minorHAnsi" w:cstheme="minorHAnsi"/>
        </w:rPr>
        <w:t xml:space="preserve"> Profile &amp; HOUSING NEED</w:t>
      </w:r>
      <w:bookmarkEnd w:id="77"/>
    </w:p>
    <w:p w:rsidR="002804C6" w:rsidRPr="00CA47B9" w:rsidRDefault="00F53050" w:rsidP="00020CFC">
      <w:pPr>
        <w:pStyle w:val="11Bodytext"/>
        <w:tabs>
          <w:tab w:val="clear" w:pos="2212"/>
          <w:tab w:val="num" w:pos="567"/>
        </w:tabs>
        <w:ind w:left="567" w:hanging="567"/>
      </w:pPr>
      <w:bookmarkStart w:id="78" w:name="_Toc485718378"/>
      <w:r>
        <w:t>T</w:t>
      </w:r>
      <w:r w:rsidR="002804C6" w:rsidRPr="00CA47B9">
        <w:t>his section update</w:t>
      </w:r>
      <w:r>
        <w:t>s the</w:t>
      </w:r>
      <w:r w:rsidR="002804C6" w:rsidRPr="00CA47B9">
        <w:t xml:space="preserve"> key socio-economic indicators</w:t>
      </w:r>
      <w:r>
        <w:t xml:space="preserve"> and</w:t>
      </w:r>
      <w:r w:rsidR="002804C6" w:rsidRPr="00CA47B9">
        <w:t xml:space="preserve"> address</w:t>
      </w:r>
      <w:r>
        <w:t>es</w:t>
      </w:r>
      <w:r w:rsidR="002804C6" w:rsidRPr="00CA47B9">
        <w:t xml:space="preserve"> demographic trends. The analysis uses local authority level data and compares trends in Chichester District with wider areas such as West Sussex, but also with regional trends from the South East. We have also provided comparison figures for Chichester and Arun combined area as a proxy for the main HMA.</w:t>
      </w:r>
    </w:p>
    <w:p w:rsidR="002804C6" w:rsidRPr="00CA47B9" w:rsidRDefault="002804C6" w:rsidP="00020CFC">
      <w:pPr>
        <w:pStyle w:val="11Bodytext"/>
        <w:tabs>
          <w:tab w:val="clear" w:pos="2212"/>
          <w:tab w:val="num" w:pos="567"/>
        </w:tabs>
        <w:ind w:left="567" w:hanging="567"/>
      </w:pPr>
      <w:r w:rsidRPr="00CA47B9">
        <w:t xml:space="preserve">The section also reviews future projections for population and household growth, and the </w:t>
      </w:r>
      <w:r w:rsidR="004673AE">
        <w:t>local</w:t>
      </w:r>
      <w:r w:rsidRPr="00CA47B9">
        <w:t xml:space="preserve"> housing need. This is a key output of the HEDNA.</w:t>
      </w:r>
    </w:p>
    <w:p w:rsidR="002804C6" w:rsidRPr="00CA47B9" w:rsidRDefault="002804C6" w:rsidP="00BD6C75">
      <w:pPr>
        <w:pStyle w:val="SubheadBlue12"/>
        <w:ind w:left="567" w:firstLine="0"/>
      </w:pPr>
      <w:r w:rsidRPr="00CA47B9">
        <w:t xml:space="preserve">Population Trends </w:t>
      </w:r>
    </w:p>
    <w:p w:rsidR="002804C6" w:rsidRPr="00CA47B9" w:rsidRDefault="002804C6" w:rsidP="00020CFC">
      <w:pPr>
        <w:pStyle w:val="11Bodytext"/>
        <w:tabs>
          <w:tab w:val="clear" w:pos="2212"/>
          <w:tab w:val="num" w:pos="567"/>
        </w:tabs>
        <w:ind w:left="567" w:hanging="567"/>
      </w:pPr>
      <w:r w:rsidRPr="00CA47B9">
        <w:t>Chichester District’s population totals 120,750 persons as of mid-2018</w:t>
      </w:r>
      <w:r w:rsidRPr="00CA47B9">
        <w:rPr>
          <w:rStyle w:val="FootnoteReference"/>
        </w:rPr>
        <w:footnoteReference w:id="4"/>
      </w:r>
      <w:r w:rsidRPr="00CA47B9">
        <w:t xml:space="preserve">. Figure </w:t>
      </w:r>
      <w:r w:rsidR="00442CA7">
        <w:t>15</w:t>
      </w:r>
      <w:r w:rsidRPr="00CA47B9">
        <w:t xml:space="preserve"> indicates how the population has changed since 1991. Over this period the population has grown by 19%, with an average annual growth of 0.6%. As the graph shows, the population of Chichester District remained fairly stable until 1996 followed by gradual growth since.</w:t>
      </w:r>
    </w:p>
    <w:p w:rsidR="002804C6" w:rsidRPr="00CA47B9" w:rsidRDefault="002804C6" w:rsidP="0009738C">
      <w:pPr>
        <w:pStyle w:val="FigureHeading"/>
        <w:tabs>
          <w:tab w:val="clear" w:pos="794"/>
          <w:tab w:val="clear" w:pos="1843"/>
          <w:tab w:val="left" w:pos="0"/>
        </w:tabs>
        <w:ind w:left="0" w:firstLine="0"/>
      </w:pPr>
      <w:bookmarkStart w:id="79" w:name="_Toc417284289"/>
      <w:bookmarkStart w:id="80" w:name="_Toc481156646"/>
      <w:r w:rsidRPr="00CA47B9">
        <w:lastRenderedPageBreak/>
        <w:t>Population change in Chichester District, 1991-201</w:t>
      </w:r>
      <w:bookmarkEnd w:id="79"/>
      <w:bookmarkEnd w:id="80"/>
      <w:r w:rsidRPr="00CA47B9">
        <w:t>8</w:t>
      </w:r>
    </w:p>
    <w:p w:rsidR="002804C6" w:rsidRPr="00CA47B9" w:rsidRDefault="002804C6" w:rsidP="00A1178F">
      <w:pPr>
        <w:pStyle w:val="Bodytextwithindent"/>
        <w:keepNext/>
        <w:spacing w:before="0" w:after="0" w:line="240" w:lineRule="auto"/>
        <w:ind w:left="0"/>
      </w:pPr>
      <w:r w:rsidRPr="00CA47B9">
        <w:rPr>
          <w:noProof/>
          <w:lang w:eastAsia="en-GB"/>
        </w:rPr>
        <w:drawing>
          <wp:inline distT="0" distB="0" distL="0" distR="0" wp14:anchorId="25740C27" wp14:editId="7002F2CE">
            <wp:extent cx="6120000" cy="2880000"/>
            <wp:effectExtent l="0" t="0" r="14605" b="15875"/>
            <wp:docPr id="245" name="Chart 245" descr="Line Chart showing total population in Chichester District from 1991 to 2018" title="Figure 15: Population change in Chichester District 1991-20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804C6" w:rsidRPr="00B242EB" w:rsidRDefault="002804C6" w:rsidP="0009738C">
      <w:pPr>
        <w:spacing w:after="120" w:line="360" w:lineRule="auto"/>
        <w:rPr>
          <w:rFonts w:asciiTheme="minorHAnsi" w:hAnsiTheme="minorHAnsi" w:cstheme="minorHAnsi"/>
          <w:sz w:val="22"/>
          <w:szCs w:val="22"/>
        </w:rPr>
      </w:pPr>
      <w:r w:rsidRPr="00B242EB">
        <w:rPr>
          <w:rFonts w:asciiTheme="minorHAnsi" w:hAnsiTheme="minorHAnsi" w:cstheme="minorHAnsi"/>
          <w:sz w:val="22"/>
          <w:szCs w:val="22"/>
        </w:rPr>
        <w:t xml:space="preserve">Source: ONS Mid-Year Population Estimates </w:t>
      </w:r>
    </w:p>
    <w:p w:rsidR="002804C6" w:rsidRPr="00CA47B9" w:rsidRDefault="002804C6" w:rsidP="00020CFC">
      <w:pPr>
        <w:pStyle w:val="11Bodytext"/>
        <w:tabs>
          <w:tab w:val="clear" w:pos="2212"/>
          <w:tab w:val="num" w:pos="567"/>
        </w:tabs>
        <w:ind w:left="567" w:hanging="567"/>
      </w:pPr>
      <w:r w:rsidRPr="00CA47B9">
        <w:t xml:space="preserve">Figure </w:t>
      </w:r>
      <w:r w:rsidR="00786E20">
        <w:t>16</w:t>
      </w:r>
      <w:r w:rsidRPr="00CA47B9">
        <w:t xml:space="preserve"> compares the population growth in Chichester District to growth in the Chichester and Bognor Regis HMA (Chichester and Arun Districts), the County, Region and Country. This shows that the Chichester population growth of 19% since 1991 was slightly lower in comparative terms to West Sussex (21%) and the South East (20%). There has been a particular divergence since 2010.</w:t>
      </w:r>
    </w:p>
    <w:p w:rsidR="002804C6" w:rsidRPr="00CA47B9" w:rsidRDefault="002804C6" w:rsidP="0009738C">
      <w:pPr>
        <w:pStyle w:val="FigureHeading"/>
        <w:tabs>
          <w:tab w:val="clear" w:pos="794"/>
          <w:tab w:val="clear" w:pos="1843"/>
          <w:tab w:val="left" w:pos="0"/>
        </w:tabs>
        <w:spacing w:line="240" w:lineRule="auto"/>
        <w:ind w:left="0" w:firstLine="0"/>
      </w:pPr>
      <w:bookmarkStart w:id="81" w:name="_Toc417284290"/>
      <w:bookmarkStart w:id="82" w:name="_Toc481156647"/>
      <w:r w:rsidRPr="00CA47B9">
        <w:t>Benchmarking Population Growth from</w:t>
      </w:r>
      <w:bookmarkEnd w:id="81"/>
      <w:r w:rsidRPr="00CA47B9">
        <w:t xml:space="preserve"> 19</w:t>
      </w:r>
      <w:bookmarkEnd w:id="82"/>
      <w:r w:rsidRPr="00CA47B9">
        <w:t>91 to 2018</w:t>
      </w:r>
    </w:p>
    <w:p w:rsidR="002804C6" w:rsidRPr="00CA47B9" w:rsidRDefault="002804C6" w:rsidP="00A1178F">
      <w:pPr>
        <w:pStyle w:val="11Bodytext"/>
        <w:numPr>
          <w:ilvl w:val="0"/>
          <w:numId w:val="0"/>
        </w:numPr>
        <w:spacing w:before="0" w:after="0" w:line="240" w:lineRule="auto"/>
      </w:pPr>
      <w:r w:rsidRPr="00CA47B9">
        <w:rPr>
          <w:noProof/>
          <w:lang w:eastAsia="en-GB"/>
        </w:rPr>
        <w:drawing>
          <wp:inline distT="0" distB="0" distL="0" distR="0" wp14:anchorId="3C29C358" wp14:editId="2937E036">
            <wp:extent cx="6120000" cy="3322800"/>
            <wp:effectExtent l="0" t="0" r="14605" b="11430"/>
            <wp:docPr id="246" name="Chart 246" descr="Line chart showing indexed population growth from 1991 to 2018" title="Figure 16: Benchmarking Population Growth from 1991-20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804C6" w:rsidRPr="00CA47B9" w:rsidRDefault="002804C6" w:rsidP="0009738C">
      <w:pPr>
        <w:pStyle w:val="11Bodytext"/>
        <w:numPr>
          <w:ilvl w:val="0"/>
          <w:numId w:val="0"/>
        </w:numPr>
        <w:spacing w:before="0" w:after="0" w:line="240" w:lineRule="auto"/>
      </w:pPr>
      <w:r w:rsidRPr="00CA47B9">
        <w:rPr>
          <w:i/>
        </w:rPr>
        <w:t xml:space="preserve">Source: </w:t>
      </w:r>
      <w:r w:rsidRPr="00CA47B9">
        <w:t xml:space="preserve">ONS Mid-Year Population Estimates </w:t>
      </w:r>
    </w:p>
    <w:p w:rsidR="002A53C0" w:rsidRPr="00CA47B9" w:rsidRDefault="002A53C0" w:rsidP="00020CFC">
      <w:pPr>
        <w:pStyle w:val="11Bodytext"/>
        <w:tabs>
          <w:tab w:val="clear" w:pos="2212"/>
          <w:tab w:val="num" w:pos="567"/>
        </w:tabs>
        <w:ind w:left="567" w:hanging="567"/>
      </w:pPr>
      <w:r w:rsidRPr="00CA47B9">
        <w:lastRenderedPageBreak/>
        <w:t xml:space="preserve">Chichester District’s population growth has however exceeded that seen nationally (17%) and in the wider HMA (15%). </w:t>
      </w:r>
    </w:p>
    <w:p w:rsidR="002804C6" w:rsidRPr="00CA47B9" w:rsidRDefault="002804C6" w:rsidP="00BD6C75">
      <w:pPr>
        <w:pStyle w:val="SubheadBlue12"/>
        <w:ind w:left="567" w:firstLine="0"/>
      </w:pPr>
      <w:r w:rsidRPr="00CA47B9">
        <w:t>Age Structure</w:t>
      </w:r>
    </w:p>
    <w:p w:rsidR="002804C6" w:rsidRPr="00CA47B9" w:rsidRDefault="002804C6" w:rsidP="00020CFC">
      <w:pPr>
        <w:pStyle w:val="11Bodytext"/>
        <w:tabs>
          <w:tab w:val="clear" w:pos="2212"/>
          <w:tab w:val="num" w:pos="567"/>
        </w:tabs>
        <w:ind w:left="567" w:hanging="567"/>
      </w:pPr>
      <w:r w:rsidRPr="00CA47B9">
        <w:t>Compared to the national average, Chichester’s population structure has a slightly higher proportion of people in every age cohort from 55 and over. The University</w:t>
      </w:r>
      <w:r w:rsidR="002A53C0">
        <w:t xml:space="preserve"> of Chichester</w:t>
      </w:r>
      <w:r w:rsidRPr="00CA47B9">
        <w:t xml:space="preserve"> also means that there is a spike in the population in those aged 20-24 although this still falls behind the South East and National average.</w:t>
      </w:r>
    </w:p>
    <w:p w:rsidR="002A53C0" w:rsidRDefault="002804C6" w:rsidP="00020CFC">
      <w:pPr>
        <w:pStyle w:val="11Bodytext"/>
        <w:tabs>
          <w:tab w:val="clear" w:pos="2212"/>
          <w:tab w:val="num" w:pos="567"/>
        </w:tabs>
        <w:ind w:left="567" w:hanging="567"/>
      </w:pPr>
      <w:r w:rsidRPr="00CA47B9">
        <w:t>There are two age groups where Chichester has a</w:t>
      </w:r>
      <w:r w:rsidR="002A53C0">
        <w:t xml:space="preserve"> relatively</w:t>
      </w:r>
      <w:r w:rsidRPr="00CA47B9">
        <w:t xml:space="preserve"> low percentage, these being those under the age of 10 and those </w:t>
      </w:r>
      <w:r w:rsidR="002A53C0">
        <w:t>aged 30-49</w:t>
      </w:r>
      <w:r w:rsidRPr="00CA47B9">
        <w:t xml:space="preserve">. This indicates that compared to West Sussex, the South East and England, Chichester has a lower proportion of young couples with children. </w:t>
      </w:r>
    </w:p>
    <w:p w:rsidR="002804C6" w:rsidRPr="00B242EB" w:rsidRDefault="002804C6" w:rsidP="00020CFC">
      <w:pPr>
        <w:pStyle w:val="11Bodytext"/>
        <w:tabs>
          <w:tab w:val="clear" w:pos="2212"/>
          <w:tab w:val="num" w:pos="567"/>
        </w:tabs>
        <w:ind w:left="567" w:hanging="567"/>
      </w:pPr>
      <w:r w:rsidRPr="00CA47B9">
        <w:t>Taking these groups</w:t>
      </w:r>
      <w:r w:rsidR="002A53C0">
        <w:t xml:space="preserve"> 10-15</w:t>
      </w:r>
      <w:r w:rsidRPr="00CA47B9">
        <w:t xml:space="preserve"> years on, we see one group retiring and the other moving out of the area to </w:t>
      </w:r>
      <w:r w:rsidR="002A53C0">
        <w:t>U</w:t>
      </w:r>
      <w:r w:rsidRPr="00CA47B9">
        <w:t xml:space="preserve">niversity. This then leaves a large gap in the </w:t>
      </w:r>
      <w:r w:rsidR="00855CA6" w:rsidRPr="00CA47B9">
        <w:t>working</w:t>
      </w:r>
      <w:r w:rsidR="00855CA6">
        <w:t>-</w:t>
      </w:r>
      <w:r w:rsidRPr="00CA47B9">
        <w:t xml:space="preserve">age population if it is not replaced through </w:t>
      </w:r>
      <w:r w:rsidR="00855CA6" w:rsidRPr="00CA47B9">
        <w:t>in</w:t>
      </w:r>
      <w:r w:rsidR="00855CA6">
        <w:t>-</w:t>
      </w:r>
      <w:r w:rsidRPr="00CA47B9">
        <w:t xml:space="preserve">migration. </w:t>
      </w:r>
    </w:p>
    <w:p w:rsidR="002804C6" w:rsidRPr="00CA47B9" w:rsidRDefault="002804C6" w:rsidP="0009738C">
      <w:pPr>
        <w:pStyle w:val="FigureHeading"/>
        <w:tabs>
          <w:tab w:val="clear" w:pos="794"/>
          <w:tab w:val="clear" w:pos="1843"/>
          <w:tab w:val="left" w:pos="0"/>
        </w:tabs>
        <w:ind w:left="0" w:firstLine="0"/>
      </w:pPr>
      <w:bookmarkStart w:id="83" w:name="_Toc481156649"/>
      <w:r w:rsidRPr="00CA47B9">
        <w:t>Population Profile, 201</w:t>
      </w:r>
      <w:bookmarkEnd w:id="83"/>
      <w:r w:rsidRPr="00CA47B9">
        <w:t>8</w:t>
      </w:r>
    </w:p>
    <w:p w:rsidR="002804C6" w:rsidRPr="00CA47B9" w:rsidRDefault="002804C6" w:rsidP="00A1178F">
      <w:pPr>
        <w:pStyle w:val="Bodytextwithindent"/>
        <w:spacing w:before="0" w:after="0" w:line="240" w:lineRule="auto"/>
        <w:ind w:left="0"/>
        <w:rPr>
          <w:rFonts w:asciiTheme="minorHAnsi" w:hAnsiTheme="minorHAnsi" w:cstheme="minorHAnsi"/>
          <w:i/>
        </w:rPr>
      </w:pPr>
      <w:r w:rsidRPr="00CA47B9">
        <w:rPr>
          <w:noProof/>
          <w:lang w:eastAsia="en-GB"/>
        </w:rPr>
        <w:drawing>
          <wp:inline distT="0" distB="0" distL="0" distR="0" wp14:anchorId="5FA137E7" wp14:editId="46EA9347">
            <wp:extent cx="6120000" cy="2880000"/>
            <wp:effectExtent l="0" t="0" r="14605" b="15875"/>
            <wp:docPr id="338" name="Chart 338" descr="Spider graph showing the relative percentages of each age group as five-year bands in Chichester District and other geographies" title="Figure 17: Population Profile 20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B0475FE-8EEF-4D2C-AF53-AF683EAAA6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804C6" w:rsidRPr="00B242EB" w:rsidRDefault="002804C6" w:rsidP="0009738C">
      <w:pPr>
        <w:pStyle w:val="Bodytextwithindent"/>
        <w:spacing w:before="0" w:after="120"/>
        <w:ind w:left="0"/>
        <w:rPr>
          <w:rFonts w:asciiTheme="minorHAnsi" w:hAnsiTheme="minorHAnsi" w:cstheme="minorHAnsi"/>
          <w:sz w:val="24"/>
          <w:szCs w:val="22"/>
        </w:rPr>
      </w:pPr>
      <w:r w:rsidRPr="00B242EB">
        <w:rPr>
          <w:rFonts w:asciiTheme="minorHAnsi" w:hAnsiTheme="minorHAnsi" w:cstheme="minorHAnsi"/>
          <w:i/>
          <w:sz w:val="24"/>
          <w:szCs w:val="22"/>
        </w:rPr>
        <w:t xml:space="preserve">Source: </w:t>
      </w:r>
      <w:r w:rsidRPr="00B242EB">
        <w:rPr>
          <w:rFonts w:asciiTheme="minorHAnsi" w:hAnsiTheme="minorHAnsi" w:cstheme="minorHAnsi"/>
          <w:sz w:val="24"/>
          <w:szCs w:val="22"/>
        </w:rPr>
        <w:t xml:space="preserve">ONS 2018 Mid-Year Population Estimates </w:t>
      </w:r>
    </w:p>
    <w:p w:rsidR="002804C6" w:rsidRPr="00CA47B9" w:rsidRDefault="002804C6" w:rsidP="00BD6C75">
      <w:pPr>
        <w:pStyle w:val="SubheadBlue12"/>
        <w:ind w:left="567" w:firstLine="0"/>
      </w:pPr>
      <w:r w:rsidRPr="00CA47B9">
        <w:t>Components of Past Population Change</w:t>
      </w:r>
    </w:p>
    <w:p w:rsidR="002804C6" w:rsidRPr="00CA47B9" w:rsidRDefault="002804C6" w:rsidP="00020CFC">
      <w:pPr>
        <w:pStyle w:val="11Bodytext"/>
        <w:tabs>
          <w:tab w:val="clear" w:pos="2212"/>
          <w:tab w:val="num" w:pos="567"/>
        </w:tabs>
        <w:ind w:left="567" w:hanging="567"/>
      </w:pPr>
      <w:r w:rsidRPr="00CA47B9">
        <w:t xml:space="preserve">Figure </w:t>
      </w:r>
      <w:r w:rsidR="00442CA7">
        <w:t>18</w:t>
      </w:r>
      <w:r w:rsidRPr="00CA47B9">
        <w:t xml:space="preserve"> considers the drivers of population change in the District from 2001 to 2018 (the longest period for which reasonable quality data is available). Population change </w:t>
      </w:r>
      <w:r w:rsidRPr="00CA47B9">
        <w:lastRenderedPageBreak/>
        <w:t>is largely driven by natural change (births minus deaths) and migration, although within ONS data there is also an ‘other’ changes category and included within this are changes related to armed forces and prison populations and also unattributable population change (UPC). This is an adjustment made by ONS to mid-year population estimates where Census data has suggested that population growth had either been over- or under-estimated in the inter-Census years. As UPC links back to Census data, a figure is only provided up to 2011.</w:t>
      </w:r>
    </w:p>
    <w:p w:rsidR="002804C6" w:rsidRPr="00CA47B9" w:rsidRDefault="002804C6" w:rsidP="00020CFC">
      <w:pPr>
        <w:pStyle w:val="11Bodytext"/>
        <w:tabs>
          <w:tab w:val="clear" w:pos="2212"/>
          <w:tab w:val="num" w:pos="567"/>
        </w:tabs>
        <w:ind w:left="567" w:hanging="567"/>
      </w:pPr>
      <w:r w:rsidRPr="00CA47B9">
        <w:t xml:space="preserve">As illustrated in Figure </w:t>
      </w:r>
      <w:r w:rsidR="00442CA7">
        <w:t>18</w:t>
      </w:r>
      <w:r w:rsidRPr="00CA47B9">
        <w:t xml:space="preserve"> below, Natural Change has been consistently negative in the district, reflective of the older age structure. However, this has been more than offset by migration and other changes.</w:t>
      </w:r>
    </w:p>
    <w:p w:rsidR="002804C6" w:rsidRPr="00CA47B9" w:rsidRDefault="002804C6" w:rsidP="00020CFC">
      <w:pPr>
        <w:pStyle w:val="11Bodytext"/>
        <w:tabs>
          <w:tab w:val="clear" w:pos="2212"/>
          <w:tab w:val="num" w:pos="567"/>
        </w:tabs>
        <w:ind w:left="567" w:hanging="567"/>
      </w:pPr>
      <w:r w:rsidRPr="00CA47B9">
        <w:t>Migration and other changes have been relatively consistent in the period up to 2011 since when there was a slight drop off to 2014 and an increase to 2016 – dropping down slightly over the past two</w:t>
      </w:r>
      <w:r w:rsidR="00855CA6">
        <w:t xml:space="preserve"> </w:t>
      </w:r>
      <w:r w:rsidRPr="00CA47B9">
        <w:t>years for which data is available.</w:t>
      </w:r>
    </w:p>
    <w:p w:rsidR="002804C6" w:rsidRPr="00CA47B9" w:rsidRDefault="002804C6" w:rsidP="00020CFC">
      <w:pPr>
        <w:pStyle w:val="11Bodytext"/>
        <w:tabs>
          <w:tab w:val="clear" w:pos="2212"/>
          <w:tab w:val="num" w:pos="567"/>
        </w:tabs>
        <w:ind w:left="567" w:hanging="567"/>
      </w:pPr>
      <w:r w:rsidRPr="00CA47B9">
        <w:t xml:space="preserve">UPC equated to 510 persons in Chichester, making it a fairly minor component of the change seen in the district between 2001 and 2011 (&lt;7%). By its nature, it is not clear why this has occurred, but it could relate to an over-estimate of </w:t>
      </w:r>
      <w:r w:rsidR="00855CA6">
        <w:t xml:space="preserve">the </w:t>
      </w:r>
      <w:r w:rsidRPr="00CA47B9">
        <w:t xml:space="preserve">population in the district in 2001; an under-count in 2011; or an under-recording of migration in the intercensal period. </w:t>
      </w:r>
    </w:p>
    <w:p w:rsidR="002804C6" w:rsidRPr="00CA47B9" w:rsidRDefault="002804C6" w:rsidP="0009738C">
      <w:pPr>
        <w:pStyle w:val="FigureHeading"/>
        <w:tabs>
          <w:tab w:val="clear" w:pos="794"/>
          <w:tab w:val="clear" w:pos="1843"/>
          <w:tab w:val="left" w:pos="0"/>
        </w:tabs>
        <w:ind w:left="0" w:firstLine="0"/>
      </w:pPr>
      <w:r w:rsidRPr="00CA47B9">
        <w:lastRenderedPageBreak/>
        <w:t>Components of Population Change in Chichester District</w:t>
      </w:r>
    </w:p>
    <w:p w:rsidR="002804C6" w:rsidRPr="00B242EB" w:rsidRDefault="002804C6" w:rsidP="0009738C">
      <w:pPr>
        <w:pStyle w:val="Bodytextwithindent"/>
        <w:keepNext/>
        <w:spacing w:before="0" w:after="0" w:line="240" w:lineRule="auto"/>
        <w:ind w:left="0"/>
        <w:rPr>
          <w:sz w:val="24"/>
          <w:szCs w:val="22"/>
        </w:rPr>
      </w:pPr>
      <w:r w:rsidRPr="00B242EB">
        <w:rPr>
          <w:noProof/>
          <w:sz w:val="24"/>
          <w:szCs w:val="22"/>
          <w:lang w:eastAsia="en-GB"/>
        </w:rPr>
        <w:drawing>
          <wp:inline distT="0" distB="0" distL="0" distR="0" wp14:anchorId="3020D606" wp14:editId="76BF65BD">
            <wp:extent cx="6120000" cy="3333600"/>
            <wp:effectExtent l="0" t="0" r="14605" b="19685"/>
            <wp:docPr id="249" name="Chart 249" descr="Combination bar and line chart showing total population change in Chichester district, broken down by components such as births, deaths, and people moving in or out. The total change is shown as a line from 2001 to 2018." title="Figure 18: Components of Population Change in Chichester District"/>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B242EB">
        <w:rPr>
          <w:sz w:val="24"/>
          <w:szCs w:val="22"/>
          <w:lang w:eastAsia="en-GB"/>
        </w:rPr>
        <w:t xml:space="preserve"> </w:t>
      </w:r>
      <w:r w:rsidRPr="00B242EB">
        <w:rPr>
          <w:sz w:val="24"/>
          <w:szCs w:val="22"/>
        </w:rPr>
        <w:t>Source: ONS</w:t>
      </w:r>
    </w:p>
    <w:p w:rsidR="00AD1AAD" w:rsidRDefault="002A53C0" w:rsidP="00020CFC">
      <w:pPr>
        <w:pStyle w:val="11Bodytext"/>
        <w:tabs>
          <w:tab w:val="clear" w:pos="2212"/>
          <w:tab w:val="num" w:pos="567"/>
        </w:tabs>
        <w:ind w:left="567" w:hanging="567"/>
      </w:pPr>
      <w:r>
        <w:t>The table below shows the exact figures associated with the components of change.</w:t>
      </w:r>
      <w:r w:rsidR="00855CA6">
        <w:t xml:space="preserve"> </w:t>
      </w:r>
      <w:r>
        <w:t xml:space="preserve">The average over the 2008/9 to 2013/14 </w:t>
      </w:r>
      <w:r w:rsidR="00855CA6">
        <w:t xml:space="preserve">period is </w:t>
      </w:r>
      <w:r>
        <w:t xml:space="preserve">reflected in the </w:t>
      </w:r>
      <w:r w:rsidR="002C72FE">
        <w:t>2014-based sub</w:t>
      </w:r>
      <w:r>
        <w:t>national population projections.</w:t>
      </w:r>
    </w:p>
    <w:p w:rsidR="00EC7BA5" w:rsidRDefault="00EC7BA5" w:rsidP="00020CFC">
      <w:pPr>
        <w:pStyle w:val="11Bodytext"/>
        <w:tabs>
          <w:tab w:val="clear" w:pos="2212"/>
          <w:tab w:val="num" w:pos="567"/>
        </w:tabs>
        <w:ind w:left="567" w:hanging="567"/>
        <w:sectPr w:rsidR="00EC7BA5" w:rsidSect="008B43C6">
          <w:headerReference w:type="default" r:id="rId34"/>
          <w:footerReference w:type="default" r:id="rId35"/>
          <w:pgSz w:w="11900" w:h="16840"/>
          <w:pgMar w:top="1668" w:right="851" w:bottom="1418" w:left="1418" w:header="709" w:footer="709" w:gutter="0"/>
          <w:cols w:space="720"/>
          <w:formProt w:val="0"/>
        </w:sectPr>
      </w:pPr>
    </w:p>
    <w:p w:rsidR="002804C6" w:rsidRPr="00CA47B9" w:rsidRDefault="002804C6" w:rsidP="0009738C">
      <w:pPr>
        <w:pStyle w:val="Tableheading"/>
        <w:tabs>
          <w:tab w:val="clear" w:pos="794"/>
          <w:tab w:val="clear" w:pos="1843"/>
          <w:tab w:val="left" w:pos="0"/>
        </w:tabs>
        <w:ind w:left="0" w:firstLine="0"/>
      </w:pPr>
      <w:r w:rsidRPr="00CA47B9">
        <w:lastRenderedPageBreak/>
        <w:t>Components of Population Change in Chichester District</w:t>
      </w:r>
    </w:p>
    <w:tbl>
      <w:tblPr>
        <w:tblStyle w:val="Style1"/>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2: Components of Population Change in Chichester District"/>
      </w:tblPr>
      <w:tblGrid>
        <w:gridCol w:w="1223"/>
        <w:gridCol w:w="1186"/>
        <w:gridCol w:w="1404"/>
        <w:gridCol w:w="1568"/>
        <w:gridCol w:w="1323"/>
        <w:gridCol w:w="1801"/>
        <w:gridCol w:w="1133"/>
      </w:tblGrid>
      <w:tr w:rsidR="002804C6" w:rsidRPr="00B242EB" w:rsidTr="000973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4" w:type="pct"/>
          </w:tcPr>
          <w:p w:rsidR="002804C6" w:rsidRPr="00B242EB" w:rsidRDefault="002804C6" w:rsidP="00AD1AAD"/>
        </w:tc>
        <w:tc>
          <w:tcPr>
            <w:tcW w:w="615" w:type="pct"/>
          </w:tcPr>
          <w:p w:rsidR="002804C6" w:rsidRPr="00B242EB" w:rsidRDefault="002804C6" w:rsidP="005C6E02">
            <w:pPr>
              <w:pStyle w:val="11Body"/>
              <w:keepNext/>
              <w:numPr>
                <w:ilvl w:val="0"/>
                <w:numId w:val="0"/>
              </w:numPr>
              <w:spacing w:before="0" w:line="300"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color w:val="FFFFFF" w:themeColor="background1"/>
                <w:sz w:val="24"/>
                <w:szCs w:val="24"/>
                <w:lang w:val="en-GB"/>
              </w:rPr>
            </w:pPr>
            <w:r w:rsidRPr="00B242EB">
              <w:rPr>
                <w:rFonts w:ascii="Arial Narrow" w:hAnsi="Arial Narrow" w:cs="Arial"/>
                <w:color w:val="FFFFFF" w:themeColor="background1"/>
                <w:sz w:val="24"/>
                <w:szCs w:val="24"/>
                <w:lang w:val="en-GB"/>
              </w:rPr>
              <w:t>Natural change</w:t>
            </w:r>
          </w:p>
        </w:tc>
        <w:tc>
          <w:tcPr>
            <w:tcW w:w="728" w:type="pct"/>
          </w:tcPr>
          <w:p w:rsidR="002804C6" w:rsidRPr="00B242EB" w:rsidRDefault="002804C6" w:rsidP="005C6E02">
            <w:pPr>
              <w:pStyle w:val="11Body"/>
              <w:keepNext/>
              <w:numPr>
                <w:ilvl w:val="0"/>
                <w:numId w:val="0"/>
              </w:numPr>
              <w:spacing w:before="0" w:line="300"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b/>
                <w:color w:val="FFFFFF" w:themeColor="background1"/>
                <w:sz w:val="24"/>
                <w:szCs w:val="24"/>
                <w:lang w:val="en-GB"/>
              </w:rPr>
            </w:pPr>
            <w:r w:rsidRPr="00B242EB">
              <w:rPr>
                <w:rFonts w:ascii="Arial Narrow" w:hAnsi="Arial Narrow" w:cs="Arial"/>
                <w:color w:val="FFFFFF" w:themeColor="background1"/>
                <w:sz w:val="24"/>
                <w:szCs w:val="24"/>
                <w:lang w:val="en-GB"/>
              </w:rPr>
              <w:t>Net internal migration</w:t>
            </w:r>
          </w:p>
        </w:tc>
        <w:tc>
          <w:tcPr>
            <w:tcW w:w="813" w:type="pct"/>
          </w:tcPr>
          <w:p w:rsidR="002804C6" w:rsidRPr="00B242EB" w:rsidRDefault="002804C6" w:rsidP="005C6E02">
            <w:pPr>
              <w:pStyle w:val="11Body"/>
              <w:keepNext/>
              <w:numPr>
                <w:ilvl w:val="0"/>
                <w:numId w:val="0"/>
              </w:numPr>
              <w:spacing w:before="0" w:line="300"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b/>
                <w:color w:val="FFFFFF" w:themeColor="background1"/>
                <w:sz w:val="24"/>
                <w:szCs w:val="24"/>
                <w:lang w:val="en-GB"/>
              </w:rPr>
            </w:pPr>
            <w:r w:rsidRPr="00B242EB">
              <w:rPr>
                <w:rFonts w:ascii="Arial Narrow" w:hAnsi="Arial Narrow" w:cs="Arial"/>
                <w:color w:val="FFFFFF" w:themeColor="background1"/>
                <w:sz w:val="24"/>
                <w:szCs w:val="24"/>
                <w:lang w:val="en-GB"/>
              </w:rPr>
              <w:t>Net international migration</w:t>
            </w:r>
          </w:p>
        </w:tc>
        <w:tc>
          <w:tcPr>
            <w:tcW w:w="686" w:type="pct"/>
          </w:tcPr>
          <w:p w:rsidR="002804C6" w:rsidRPr="00B242EB" w:rsidRDefault="002804C6" w:rsidP="005C6E02">
            <w:pPr>
              <w:pStyle w:val="11Body"/>
              <w:keepNext/>
              <w:numPr>
                <w:ilvl w:val="0"/>
                <w:numId w:val="0"/>
              </w:numPr>
              <w:spacing w:before="0" w:line="300"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b/>
                <w:color w:val="FFFFFF" w:themeColor="background1"/>
                <w:sz w:val="24"/>
                <w:szCs w:val="24"/>
                <w:lang w:val="en-GB"/>
              </w:rPr>
            </w:pPr>
            <w:r w:rsidRPr="00B242EB">
              <w:rPr>
                <w:rFonts w:ascii="Arial Narrow" w:hAnsi="Arial Narrow" w:cs="Arial"/>
                <w:color w:val="FFFFFF" w:themeColor="background1"/>
                <w:sz w:val="24"/>
                <w:szCs w:val="24"/>
                <w:lang w:val="en-GB"/>
              </w:rPr>
              <w:t>Other changes</w:t>
            </w:r>
          </w:p>
        </w:tc>
        <w:tc>
          <w:tcPr>
            <w:tcW w:w="934" w:type="pct"/>
          </w:tcPr>
          <w:p w:rsidR="002804C6" w:rsidRPr="00B242EB" w:rsidRDefault="002804C6" w:rsidP="005C6E02">
            <w:pPr>
              <w:pStyle w:val="11Body"/>
              <w:keepNext/>
              <w:numPr>
                <w:ilvl w:val="0"/>
                <w:numId w:val="0"/>
              </w:numPr>
              <w:spacing w:before="0" w:line="300"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color w:val="FFFFFF" w:themeColor="background1"/>
                <w:sz w:val="24"/>
                <w:szCs w:val="24"/>
                <w:lang w:val="en-GB"/>
              </w:rPr>
            </w:pPr>
            <w:r w:rsidRPr="00B242EB">
              <w:rPr>
                <w:rFonts w:ascii="Arial Narrow" w:hAnsi="Arial Narrow" w:cs="Arial"/>
                <w:color w:val="FFFFFF" w:themeColor="background1"/>
                <w:sz w:val="24"/>
                <w:szCs w:val="24"/>
                <w:lang w:val="en-GB"/>
              </w:rPr>
              <w:t>Other (unattributable)</w:t>
            </w:r>
          </w:p>
        </w:tc>
        <w:tc>
          <w:tcPr>
            <w:tcW w:w="588" w:type="pct"/>
          </w:tcPr>
          <w:p w:rsidR="002804C6" w:rsidRPr="00B242EB" w:rsidRDefault="002804C6" w:rsidP="005C6E02">
            <w:pPr>
              <w:pStyle w:val="11Body"/>
              <w:keepNext/>
              <w:numPr>
                <w:ilvl w:val="0"/>
                <w:numId w:val="0"/>
              </w:numPr>
              <w:spacing w:before="0" w:line="300"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color w:val="FFFFFF" w:themeColor="background1"/>
                <w:sz w:val="24"/>
                <w:szCs w:val="24"/>
                <w:lang w:val="en-GB"/>
              </w:rPr>
            </w:pPr>
            <w:r w:rsidRPr="00B242EB">
              <w:rPr>
                <w:rFonts w:ascii="Arial Narrow" w:hAnsi="Arial Narrow" w:cs="Arial"/>
                <w:color w:val="FFFFFF" w:themeColor="background1"/>
                <w:sz w:val="24"/>
                <w:szCs w:val="24"/>
                <w:lang w:val="en-GB"/>
              </w:rPr>
              <w:t>Total change</w:t>
            </w:r>
          </w:p>
        </w:tc>
      </w:tr>
      <w:tr w:rsidR="002804C6" w:rsidRPr="00B242EB" w:rsidTr="0009738C">
        <w:tc>
          <w:tcPr>
            <w:cnfStyle w:val="001000000000" w:firstRow="0" w:lastRow="0" w:firstColumn="1" w:lastColumn="0" w:oddVBand="0" w:evenVBand="0" w:oddHBand="0" w:evenHBand="0" w:firstRowFirstColumn="0" w:firstRowLastColumn="0" w:lastRowFirstColumn="0" w:lastRowLastColumn="0"/>
            <w:tcW w:w="634" w:type="pct"/>
          </w:tcPr>
          <w:p w:rsidR="002804C6" w:rsidRPr="00B242EB" w:rsidRDefault="002804C6" w:rsidP="005C6E02">
            <w:pPr>
              <w:keepNext/>
              <w:widowControl w:val="0"/>
              <w:rPr>
                <w:rFonts w:ascii="Arial Narrow" w:hAnsi="Arial Narrow" w:cs="Arial"/>
                <w:sz w:val="24"/>
                <w:szCs w:val="24"/>
              </w:rPr>
            </w:pPr>
            <w:r w:rsidRPr="00B242EB">
              <w:rPr>
                <w:rFonts w:ascii="Arial Narrow" w:hAnsi="Arial Narrow" w:cs="Arial"/>
                <w:sz w:val="24"/>
                <w:szCs w:val="24"/>
              </w:rPr>
              <w:t>2001/2</w:t>
            </w:r>
          </w:p>
        </w:tc>
        <w:tc>
          <w:tcPr>
            <w:tcW w:w="615"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-545</w:t>
            </w:r>
          </w:p>
        </w:tc>
        <w:tc>
          <w:tcPr>
            <w:tcW w:w="728"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1,126</w:t>
            </w:r>
          </w:p>
        </w:tc>
        <w:tc>
          <w:tcPr>
            <w:tcW w:w="813"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-66</w:t>
            </w:r>
          </w:p>
        </w:tc>
        <w:tc>
          <w:tcPr>
            <w:tcW w:w="686"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3</w:t>
            </w:r>
          </w:p>
        </w:tc>
        <w:tc>
          <w:tcPr>
            <w:tcW w:w="934"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-22</w:t>
            </w:r>
          </w:p>
        </w:tc>
        <w:tc>
          <w:tcPr>
            <w:tcW w:w="588"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496</w:t>
            </w:r>
          </w:p>
        </w:tc>
      </w:tr>
      <w:tr w:rsidR="002804C6" w:rsidRPr="00B242EB" w:rsidTr="0009738C">
        <w:tc>
          <w:tcPr>
            <w:cnfStyle w:val="001000000000" w:firstRow="0" w:lastRow="0" w:firstColumn="1" w:lastColumn="0" w:oddVBand="0" w:evenVBand="0" w:oddHBand="0" w:evenHBand="0" w:firstRowFirstColumn="0" w:firstRowLastColumn="0" w:lastRowFirstColumn="0" w:lastRowLastColumn="0"/>
            <w:tcW w:w="634" w:type="pct"/>
          </w:tcPr>
          <w:p w:rsidR="002804C6" w:rsidRPr="00B242EB" w:rsidRDefault="002804C6" w:rsidP="005C6E02">
            <w:pPr>
              <w:keepNext/>
              <w:widowControl w:val="0"/>
              <w:rPr>
                <w:rFonts w:ascii="Arial Narrow" w:hAnsi="Arial Narrow" w:cs="Arial"/>
                <w:sz w:val="24"/>
                <w:szCs w:val="24"/>
              </w:rPr>
            </w:pPr>
            <w:r w:rsidRPr="00B242EB">
              <w:rPr>
                <w:rFonts w:ascii="Arial Narrow" w:hAnsi="Arial Narrow" w:cs="Arial"/>
                <w:sz w:val="24"/>
                <w:szCs w:val="24"/>
              </w:rPr>
              <w:t>2002/3</w:t>
            </w:r>
          </w:p>
        </w:tc>
        <w:tc>
          <w:tcPr>
            <w:tcW w:w="615"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-405</w:t>
            </w:r>
          </w:p>
        </w:tc>
        <w:tc>
          <w:tcPr>
            <w:tcW w:w="728"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922</w:t>
            </w:r>
          </w:p>
        </w:tc>
        <w:tc>
          <w:tcPr>
            <w:tcW w:w="813"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11</w:t>
            </w:r>
          </w:p>
        </w:tc>
        <w:tc>
          <w:tcPr>
            <w:tcW w:w="686"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1</w:t>
            </w:r>
          </w:p>
        </w:tc>
        <w:tc>
          <w:tcPr>
            <w:tcW w:w="934"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-7</w:t>
            </w:r>
          </w:p>
        </w:tc>
        <w:tc>
          <w:tcPr>
            <w:tcW w:w="588"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522</w:t>
            </w:r>
          </w:p>
        </w:tc>
      </w:tr>
      <w:tr w:rsidR="002804C6" w:rsidRPr="00B242EB" w:rsidTr="0009738C">
        <w:tc>
          <w:tcPr>
            <w:cnfStyle w:val="001000000000" w:firstRow="0" w:lastRow="0" w:firstColumn="1" w:lastColumn="0" w:oddVBand="0" w:evenVBand="0" w:oddHBand="0" w:evenHBand="0" w:firstRowFirstColumn="0" w:firstRowLastColumn="0" w:lastRowFirstColumn="0" w:lastRowLastColumn="0"/>
            <w:tcW w:w="634" w:type="pct"/>
          </w:tcPr>
          <w:p w:rsidR="002804C6" w:rsidRPr="00B242EB" w:rsidRDefault="002804C6" w:rsidP="005C6E02">
            <w:pPr>
              <w:keepNext/>
              <w:widowControl w:val="0"/>
              <w:rPr>
                <w:rFonts w:ascii="Arial Narrow" w:hAnsi="Arial Narrow" w:cs="Arial"/>
                <w:sz w:val="24"/>
                <w:szCs w:val="24"/>
              </w:rPr>
            </w:pPr>
            <w:r w:rsidRPr="00B242EB">
              <w:rPr>
                <w:rFonts w:ascii="Arial Narrow" w:hAnsi="Arial Narrow" w:cs="Arial"/>
                <w:sz w:val="24"/>
                <w:szCs w:val="24"/>
              </w:rPr>
              <w:t>2003/4</w:t>
            </w:r>
          </w:p>
        </w:tc>
        <w:tc>
          <w:tcPr>
            <w:tcW w:w="615"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-446</w:t>
            </w:r>
          </w:p>
        </w:tc>
        <w:tc>
          <w:tcPr>
            <w:tcW w:w="728"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1,324</w:t>
            </w:r>
          </w:p>
        </w:tc>
        <w:tc>
          <w:tcPr>
            <w:tcW w:w="813"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-24</w:t>
            </w:r>
          </w:p>
        </w:tc>
        <w:tc>
          <w:tcPr>
            <w:tcW w:w="686"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-179</w:t>
            </w:r>
          </w:p>
        </w:tc>
        <w:tc>
          <w:tcPr>
            <w:tcW w:w="934"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-30</w:t>
            </w:r>
          </w:p>
        </w:tc>
        <w:tc>
          <w:tcPr>
            <w:tcW w:w="588"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645</w:t>
            </w:r>
          </w:p>
        </w:tc>
      </w:tr>
      <w:tr w:rsidR="002804C6" w:rsidRPr="00B242EB" w:rsidTr="0009738C">
        <w:tc>
          <w:tcPr>
            <w:cnfStyle w:val="001000000000" w:firstRow="0" w:lastRow="0" w:firstColumn="1" w:lastColumn="0" w:oddVBand="0" w:evenVBand="0" w:oddHBand="0" w:evenHBand="0" w:firstRowFirstColumn="0" w:firstRowLastColumn="0" w:lastRowFirstColumn="0" w:lastRowLastColumn="0"/>
            <w:tcW w:w="634" w:type="pct"/>
          </w:tcPr>
          <w:p w:rsidR="002804C6" w:rsidRPr="00B242EB" w:rsidRDefault="002804C6" w:rsidP="005C6E02">
            <w:pPr>
              <w:keepNext/>
              <w:widowControl w:val="0"/>
              <w:rPr>
                <w:rFonts w:ascii="Arial Narrow" w:hAnsi="Arial Narrow" w:cs="Arial"/>
                <w:sz w:val="24"/>
                <w:szCs w:val="24"/>
              </w:rPr>
            </w:pPr>
            <w:r w:rsidRPr="00B242EB">
              <w:rPr>
                <w:rFonts w:ascii="Arial Narrow" w:hAnsi="Arial Narrow" w:cs="Arial"/>
                <w:sz w:val="24"/>
                <w:szCs w:val="24"/>
              </w:rPr>
              <w:t>2004/5</w:t>
            </w:r>
          </w:p>
        </w:tc>
        <w:tc>
          <w:tcPr>
            <w:tcW w:w="615"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-348</w:t>
            </w:r>
          </w:p>
        </w:tc>
        <w:tc>
          <w:tcPr>
            <w:tcW w:w="728"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798</w:t>
            </w:r>
          </w:p>
        </w:tc>
        <w:tc>
          <w:tcPr>
            <w:tcW w:w="813"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167</w:t>
            </w:r>
          </w:p>
        </w:tc>
        <w:tc>
          <w:tcPr>
            <w:tcW w:w="686"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42</w:t>
            </w:r>
          </w:p>
        </w:tc>
        <w:tc>
          <w:tcPr>
            <w:tcW w:w="934"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-43</w:t>
            </w:r>
          </w:p>
        </w:tc>
        <w:tc>
          <w:tcPr>
            <w:tcW w:w="588"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616</w:t>
            </w:r>
          </w:p>
        </w:tc>
      </w:tr>
      <w:tr w:rsidR="002804C6" w:rsidRPr="00B242EB" w:rsidTr="0009738C">
        <w:tc>
          <w:tcPr>
            <w:cnfStyle w:val="001000000000" w:firstRow="0" w:lastRow="0" w:firstColumn="1" w:lastColumn="0" w:oddVBand="0" w:evenVBand="0" w:oddHBand="0" w:evenHBand="0" w:firstRowFirstColumn="0" w:firstRowLastColumn="0" w:lastRowFirstColumn="0" w:lastRowLastColumn="0"/>
            <w:tcW w:w="634" w:type="pct"/>
          </w:tcPr>
          <w:p w:rsidR="002804C6" w:rsidRPr="00B242EB" w:rsidRDefault="002804C6" w:rsidP="005C6E02">
            <w:pPr>
              <w:keepNext/>
              <w:widowControl w:val="0"/>
              <w:rPr>
                <w:rFonts w:ascii="Arial Narrow" w:hAnsi="Arial Narrow" w:cs="Arial"/>
                <w:sz w:val="24"/>
                <w:szCs w:val="24"/>
              </w:rPr>
            </w:pPr>
            <w:r w:rsidRPr="00B242EB">
              <w:rPr>
                <w:rFonts w:ascii="Arial Narrow" w:hAnsi="Arial Narrow" w:cs="Arial"/>
                <w:sz w:val="24"/>
                <w:szCs w:val="24"/>
              </w:rPr>
              <w:t>2005/6</w:t>
            </w:r>
          </w:p>
        </w:tc>
        <w:tc>
          <w:tcPr>
            <w:tcW w:w="615"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-301</w:t>
            </w:r>
          </w:p>
        </w:tc>
        <w:tc>
          <w:tcPr>
            <w:tcW w:w="728"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1,038</w:t>
            </w:r>
          </w:p>
        </w:tc>
        <w:tc>
          <w:tcPr>
            <w:tcW w:w="813"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172</w:t>
            </w:r>
          </w:p>
        </w:tc>
        <w:tc>
          <w:tcPr>
            <w:tcW w:w="686"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53</w:t>
            </w:r>
          </w:p>
        </w:tc>
        <w:tc>
          <w:tcPr>
            <w:tcW w:w="934"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-49</w:t>
            </w:r>
          </w:p>
        </w:tc>
        <w:tc>
          <w:tcPr>
            <w:tcW w:w="588"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913</w:t>
            </w:r>
          </w:p>
        </w:tc>
      </w:tr>
      <w:tr w:rsidR="002804C6" w:rsidRPr="00B242EB" w:rsidTr="0009738C">
        <w:tc>
          <w:tcPr>
            <w:cnfStyle w:val="001000000000" w:firstRow="0" w:lastRow="0" w:firstColumn="1" w:lastColumn="0" w:oddVBand="0" w:evenVBand="0" w:oddHBand="0" w:evenHBand="0" w:firstRowFirstColumn="0" w:firstRowLastColumn="0" w:lastRowFirstColumn="0" w:lastRowLastColumn="0"/>
            <w:tcW w:w="634" w:type="pct"/>
          </w:tcPr>
          <w:p w:rsidR="002804C6" w:rsidRPr="00B242EB" w:rsidRDefault="002804C6" w:rsidP="005C6E02">
            <w:pPr>
              <w:keepNext/>
              <w:widowControl w:val="0"/>
              <w:rPr>
                <w:rFonts w:ascii="Arial Narrow" w:hAnsi="Arial Narrow" w:cs="Arial"/>
                <w:sz w:val="24"/>
                <w:szCs w:val="24"/>
              </w:rPr>
            </w:pPr>
            <w:r w:rsidRPr="00B242EB">
              <w:rPr>
                <w:rFonts w:ascii="Arial Narrow" w:hAnsi="Arial Narrow" w:cs="Arial"/>
                <w:sz w:val="24"/>
                <w:szCs w:val="24"/>
              </w:rPr>
              <w:t>2006/7</w:t>
            </w:r>
          </w:p>
        </w:tc>
        <w:tc>
          <w:tcPr>
            <w:tcW w:w="615"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-372</w:t>
            </w:r>
          </w:p>
        </w:tc>
        <w:tc>
          <w:tcPr>
            <w:tcW w:w="728"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1,047</w:t>
            </w:r>
          </w:p>
        </w:tc>
        <w:tc>
          <w:tcPr>
            <w:tcW w:w="813"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268</w:t>
            </w:r>
          </w:p>
        </w:tc>
        <w:tc>
          <w:tcPr>
            <w:tcW w:w="686"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22</w:t>
            </w:r>
          </w:p>
        </w:tc>
        <w:tc>
          <w:tcPr>
            <w:tcW w:w="934"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-48</w:t>
            </w:r>
          </w:p>
        </w:tc>
        <w:tc>
          <w:tcPr>
            <w:tcW w:w="588"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917</w:t>
            </w:r>
          </w:p>
        </w:tc>
      </w:tr>
      <w:tr w:rsidR="002804C6" w:rsidRPr="00B242EB" w:rsidTr="0009738C">
        <w:tc>
          <w:tcPr>
            <w:cnfStyle w:val="001000000000" w:firstRow="0" w:lastRow="0" w:firstColumn="1" w:lastColumn="0" w:oddVBand="0" w:evenVBand="0" w:oddHBand="0" w:evenHBand="0" w:firstRowFirstColumn="0" w:firstRowLastColumn="0" w:lastRowFirstColumn="0" w:lastRowLastColumn="0"/>
            <w:tcW w:w="634" w:type="pct"/>
          </w:tcPr>
          <w:p w:rsidR="002804C6" w:rsidRPr="00B242EB" w:rsidRDefault="002804C6" w:rsidP="005C6E02">
            <w:pPr>
              <w:keepNext/>
              <w:widowControl w:val="0"/>
              <w:rPr>
                <w:rFonts w:ascii="Arial Narrow" w:hAnsi="Arial Narrow" w:cs="Arial"/>
                <w:sz w:val="24"/>
                <w:szCs w:val="24"/>
              </w:rPr>
            </w:pPr>
            <w:r w:rsidRPr="00B242EB">
              <w:rPr>
                <w:rFonts w:ascii="Arial Narrow" w:hAnsi="Arial Narrow" w:cs="Arial"/>
                <w:sz w:val="24"/>
                <w:szCs w:val="24"/>
              </w:rPr>
              <w:t>2007/8</w:t>
            </w:r>
          </w:p>
        </w:tc>
        <w:tc>
          <w:tcPr>
            <w:tcW w:w="615"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-306</w:t>
            </w:r>
          </w:p>
        </w:tc>
        <w:tc>
          <w:tcPr>
            <w:tcW w:w="728"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1,105</w:t>
            </w:r>
          </w:p>
        </w:tc>
        <w:tc>
          <w:tcPr>
            <w:tcW w:w="813"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473</w:t>
            </w:r>
          </w:p>
        </w:tc>
        <w:tc>
          <w:tcPr>
            <w:tcW w:w="686"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-19</w:t>
            </w:r>
          </w:p>
        </w:tc>
        <w:tc>
          <w:tcPr>
            <w:tcW w:w="934"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-60</w:t>
            </w:r>
          </w:p>
        </w:tc>
        <w:tc>
          <w:tcPr>
            <w:tcW w:w="588"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1,193</w:t>
            </w:r>
          </w:p>
        </w:tc>
      </w:tr>
      <w:tr w:rsidR="002804C6" w:rsidRPr="00B242EB" w:rsidTr="0009738C">
        <w:tc>
          <w:tcPr>
            <w:cnfStyle w:val="001000000000" w:firstRow="0" w:lastRow="0" w:firstColumn="1" w:lastColumn="0" w:oddVBand="0" w:evenVBand="0" w:oddHBand="0" w:evenHBand="0" w:firstRowFirstColumn="0" w:firstRowLastColumn="0" w:lastRowFirstColumn="0" w:lastRowLastColumn="0"/>
            <w:tcW w:w="634" w:type="pct"/>
          </w:tcPr>
          <w:p w:rsidR="002804C6" w:rsidRPr="00B242EB" w:rsidRDefault="002804C6" w:rsidP="005C6E02">
            <w:pPr>
              <w:keepNext/>
              <w:widowControl w:val="0"/>
              <w:rPr>
                <w:rFonts w:ascii="Arial Narrow" w:hAnsi="Arial Narrow" w:cs="Arial"/>
                <w:sz w:val="24"/>
                <w:szCs w:val="24"/>
              </w:rPr>
            </w:pPr>
            <w:r w:rsidRPr="00B242EB">
              <w:rPr>
                <w:rFonts w:ascii="Arial Narrow" w:hAnsi="Arial Narrow" w:cs="Arial"/>
                <w:sz w:val="24"/>
                <w:szCs w:val="24"/>
              </w:rPr>
              <w:t>2008/9</w:t>
            </w:r>
          </w:p>
        </w:tc>
        <w:tc>
          <w:tcPr>
            <w:tcW w:w="615"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-233</w:t>
            </w:r>
          </w:p>
        </w:tc>
        <w:tc>
          <w:tcPr>
            <w:tcW w:w="728"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654</w:t>
            </w:r>
          </w:p>
        </w:tc>
        <w:tc>
          <w:tcPr>
            <w:tcW w:w="813"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497</w:t>
            </w:r>
          </w:p>
        </w:tc>
        <w:tc>
          <w:tcPr>
            <w:tcW w:w="686"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-167</w:t>
            </w:r>
          </w:p>
        </w:tc>
        <w:tc>
          <w:tcPr>
            <w:tcW w:w="934"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-73</w:t>
            </w:r>
          </w:p>
        </w:tc>
        <w:tc>
          <w:tcPr>
            <w:tcW w:w="588"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678</w:t>
            </w:r>
          </w:p>
        </w:tc>
      </w:tr>
      <w:tr w:rsidR="002804C6" w:rsidRPr="00B242EB" w:rsidTr="0009738C">
        <w:tc>
          <w:tcPr>
            <w:cnfStyle w:val="001000000000" w:firstRow="0" w:lastRow="0" w:firstColumn="1" w:lastColumn="0" w:oddVBand="0" w:evenVBand="0" w:oddHBand="0" w:evenHBand="0" w:firstRowFirstColumn="0" w:firstRowLastColumn="0" w:lastRowFirstColumn="0" w:lastRowLastColumn="0"/>
            <w:tcW w:w="634" w:type="pct"/>
          </w:tcPr>
          <w:p w:rsidR="002804C6" w:rsidRPr="00B242EB" w:rsidRDefault="002804C6" w:rsidP="005C6E02">
            <w:pPr>
              <w:keepNext/>
              <w:widowControl w:val="0"/>
              <w:rPr>
                <w:rFonts w:ascii="Arial Narrow" w:hAnsi="Arial Narrow" w:cs="Arial"/>
                <w:sz w:val="24"/>
                <w:szCs w:val="24"/>
              </w:rPr>
            </w:pPr>
            <w:r w:rsidRPr="00B242EB">
              <w:rPr>
                <w:rFonts w:ascii="Arial Narrow" w:hAnsi="Arial Narrow" w:cs="Arial"/>
                <w:sz w:val="24"/>
                <w:szCs w:val="24"/>
              </w:rPr>
              <w:t>2009/10</w:t>
            </w:r>
          </w:p>
        </w:tc>
        <w:tc>
          <w:tcPr>
            <w:tcW w:w="615"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-235</w:t>
            </w:r>
          </w:p>
        </w:tc>
        <w:tc>
          <w:tcPr>
            <w:tcW w:w="728"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848</w:t>
            </w:r>
          </w:p>
        </w:tc>
        <w:tc>
          <w:tcPr>
            <w:tcW w:w="813"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424</w:t>
            </w:r>
          </w:p>
        </w:tc>
        <w:tc>
          <w:tcPr>
            <w:tcW w:w="686"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-19</w:t>
            </w:r>
          </w:p>
        </w:tc>
        <w:tc>
          <w:tcPr>
            <w:tcW w:w="934"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-81</w:t>
            </w:r>
          </w:p>
        </w:tc>
        <w:tc>
          <w:tcPr>
            <w:tcW w:w="588"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937</w:t>
            </w:r>
          </w:p>
        </w:tc>
      </w:tr>
      <w:tr w:rsidR="002804C6" w:rsidRPr="00B242EB" w:rsidTr="0009738C">
        <w:tc>
          <w:tcPr>
            <w:cnfStyle w:val="001000000000" w:firstRow="0" w:lastRow="0" w:firstColumn="1" w:lastColumn="0" w:oddVBand="0" w:evenVBand="0" w:oddHBand="0" w:evenHBand="0" w:firstRowFirstColumn="0" w:firstRowLastColumn="0" w:lastRowFirstColumn="0" w:lastRowLastColumn="0"/>
            <w:tcW w:w="634" w:type="pct"/>
          </w:tcPr>
          <w:p w:rsidR="002804C6" w:rsidRPr="00B242EB" w:rsidRDefault="002804C6" w:rsidP="005C6E02">
            <w:pPr>
              <w:keepNext/>
              <w:widowControl w:val="0"/>
              <w:rPr>
                <w:rFonts w:ascii="Arial Narrow" w:hAnsi="Arial Narrow" w:cs="Arial"/>
                <w:sz w:val="24"/>
                <w:szCs w:val="24"/>
              </w:rPr>
            </w:pPr>
            <w:r w:rsidRPr="00B242EB">
              <w:rPr>
                <w:rFonts w:ascii="Arial Narrow" w:hAnsi="Arial Narrow" w:cs="Arial"/>
                <w:sz w:val="24"/>
                <w:szCs w:val="24"/>
              </w:rPr>
              <w:t>2010/11</w:t>
            </w:r>
          </w:p>
        </w:tc>
        <w:tc>
          <w:tcPr>
            <w:tcW w:w="615"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-179</w:t>
            </w:r>
          </w:p>
        </w:tc>
        <w:tc>
          <w:tcPr>
            <w:tcW w:w="728"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695</w:t>
            </w:r>
          </w:p>
        </w:tc>
        <w:tc>
          <w:tcPr>
            <w:tcW w:w="813"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59</w:t>
            </w:r>
          </w:p>
        </w:tc>
        <w:tc>
          <w:tcPr>
            <w:tcW w:w="686"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104</w:t>
            </w:r>
          </w:p>
        </w:tc>
        <w:tc>
          <w:tcPr>
            <w:tcW w:w="934"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-95</w:t>
            </w:r>
          </w:p>
        </w:tc>
        <w:tc>
          <w:tcPr>
            <w:tcW w:w="588"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584</w:t>
            </w:r>
          </w:p>
        </w:tc>
      </w:tr>
      <w:tr w:rsidR="002804C6" w:rsidRPr="00B242EB" w:rsidTr="0009738C">
        <w:tc>
          <w:tcPr>
            <w:cnfStyle w:val="001000000000" w:firstRow="0" w:lastRow="0" w:firstColumn="1" w:lastColumn="0" w:oddVBand="0" w:evenVBand="0" w:oddHBand="0" w:evenHBand="0" w:firstRowFirstColumn="0" w:firstRowLastColumn="0" w:lastRowFirstColumn="0" w:lastRowLastColumn="0"/>
            <w:tcW w:w="634" w:type="pct"/>
          </w:tcPr>
          <w:p w:rsidR="002804C6" w:rsidRPr="00B242EB" w:rsidRDefault="002804C6" w:rsidP="005C6E02">
            <w:pPr>
              <w:keepNext/>
              <w:widowControl w:val="0"/>
              <w:rPr>
                <w:rFonts w:ascii="Arial Narrow" w:hAnsi="Arial Narrow" w:cs="Arial"/>
                <w:sz w:val="24"/>
                <w:szCs w:val="24"/>
              </w:rPr>
            </w:pPr>
            <w:r w:rsidRPr="00B242EB">
              <w:rPr>
                <w:rFonts w:ascii="Arial Narrow" w:hAnsi="Arial Narrow" w:cs="Arial"/>
                <w:sz w:val="24"/>
                <w:szCs w:val="24"/>
              </w:rPr>
              <w:t>2011/12</w:t>
            </w:r>
          </w:p>
        </w:tc>
        <w:tc>
          <w:tcPr>
            <w:tcW w:w="615"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-178</w:t>
            </w:r>
          </w:p>
        </w:tc>
        <w:tc>
          <w:tcPr>
            <w:tcW w:w="728"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775</w:t>
            </w:r>
          </w:p>
        </w:tc>
        <w:tc>
          <w:tcPr>
            <w:tcW w:w="813"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305</w:t>
            </w:r>
          </w:p>
        </w:tc>
        <w:tc>
          <w:tcPr>
            <w:tcW w:w="686"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2</w:t>
            </w:r>
          </w:p>
        </w:tc>
        <w:tc>
          <w:tcPr>
            <w:tcW w:w="934"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0</w:t>
            </w:r>
          </w:p>
        </w:tc>
        <w:tc>
          <w:tcPr>
            <w:tcW w:w="588"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904</w:t>
            </w:r>
          </w:p>
        </w:tc>
      </w:tr>
      <w:tr w:rsidR="002804C6" w:rsidRPr="00B242EB" w:rsidTr="0009738C">
        <w:tc>
          <w:tcPr>
            <w:cnfStyle w:val="001000000000" w:firstRow="0" w:lastRow="0" w:firstColumn="1" w:lastColumn="0" w:oddVBand="0" w:evenVBand="0" w:oddHBand="0" w:evenHBand="0" w:firstRowFirstColumn="0" w:firstRowLastColumn="0" w:lastRowFirstColumn="0" w:lastRowLastColumn="0"/>
            <w:tcW w:w="634" w:type="pct"/>
          </w:tcPr>
          <w:p w:rsidR="002804C6" w:rsidRPr="00B242EB" w:rsidRDefault="002804C6" w:rsidP="005C6E02">
            <w:pPr>
              <w:keepNext/>
              <w:widowControl w:val="0"/>
              <w:rPr>
                <w:rFonts w:ascii="Arial Narrow" w:hAnsi="Arial Narrow" w:cs="Arial"/>
                <w:sz w:val="24"/>
                <w:szCs w:val="24"/>
              </w:rPr>
            </w:pPr>
            <w:r w:rsidRPr="00B242EB">
              <w:rPr>
                <w:rFonts w:ascii="Arial Narrow" w:hAnsi="Arial Narrow" w:cs="Arial"/>
                <w:sz w:val="24"/>
                <w:szCs w:val="24"/>
              </w:rPr>
              <w:t>2012/13</w:t>
            </w:r>
          </w:p>
        </w:tc>
        <w:tc>
          <w:tcPr>
            <w:tcW w:w="615"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-274</w:t>
            </w:r>
          </w:p>
        </w:tc>
        <w:tc>
          <w:tcPr>
            <w:tcW w:w="728"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859</w:t>
            </w:r>
          </w:p>
        </w:tc>
        <w:tc>
          <w:tcPr>
            <w:tcW w:w="813"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251</w:t>
            </w:r>
          </w:p>
        </w:tc>
        <w:tc>
          <w:tcPr>
            <w:tcW w:w="686"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65</w:t>
            </w:r>
          </w:p>
        </w:tc>
        <w:tc>
          <w:tcPr>
            <w:tcW w:w="934"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0</w:t>
            </w:r>
          </w:p>
        </w:tc>
        <w:tc>
          <w:tcPr>
            <w:tcW w:w="588"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901</w:t>
            </w:r>
          </w:p>
        </w:tc>
      </w:tr>
      <w:tr w:rsidR="002804C6" w:rsidRPr="00B242EB" w:rsidTr="0009738C">
        <w:tc>
          <w:tcPr>
            <w:cnfStyle w:val="001000000000" w:firstRow="0" w:lastRow="0" w:firstColumn="1" w:lastColumn="0" w:oddVBand="0" w:evenVBand="0" w:oddHBand="0" w:evenHBand="0" w:firstRowFirstColumn="0" w:firstRowLastColumn="0" w:lastRowFirstColumn="0" w:lastRowLastColumn="0"/>
            <w:tcW w:w="634" w:type="pct"/>
          </w:tcPr>
          <w:p w:rsidR="002804C6" w:rsidRPr="00B242EB" w:rsidRDefault="002804C6" w:rsidP="005C6E02">
            <w:pPr>
              <w:keepNext/>
              <w:widowControl w:val="0"/>
              <w:rPr>
                <w:rFonts w:ascii="Arial Narrow" w:hAnsi="Arial Narrow" w:cs="Arial"/>
                <w:sz w:val="24"/>
                <w:szCs w:val="24"/>
              </w:rPr>
            </w:pPr>
            <w:r w:rsidRPr="00B242EB">
              <w:rPr>
                <w:rFonts w:ascii="Arial Narrow" w:hAnsi="Arial Narrow" w:cs="Arial"/>
                <w:sz w:val="24"/>
                <w:szCs w:val="24"/>
              </w:rPr>
              <w:t>2013/14</w:t>
            </w:r>
          </w:p>
        </w:tc>
        <w:tc>
          <w:tcPr>
            <w:tcW w:w="615"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-285</w:t>
            </w:r>
          </w:p>
        </w:tc>
        <w:tc>
          <w:tcPr>
            <w:tcW w:w="728"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709</w:t>
            </w:r>
          </w:p>
        </w:tc>
        <w:tc>
          <w:tcPr>
            <w:tcW w:w="813"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361</w:t>
            </w:r>
          </w:p>
        </w:tc>
        <w:tc>
          <w:tcPr>
            <w:tcW w:w="686"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-324</w:t>
            </w:r>
          </w:p>
        </w:tc>
        <w:tc>
          <w:tcPr>
            <w:tcW w:w="934"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0</w:t>
            </w:r>
          </w:p>
        </w:tc>
        <w:tc>
          <w:tcPr>
            <w:tcW w:w="588"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461</w:t>
            </w:r>
          </w:p>
        </w:tc>
      </w:tr>
      <w:tr w:rsidR="002804C6" w:rsidRPr="00B242EB" w:rsidTr="0009738C">
        <w:tc>
          <w:tcPr>
            <w:cnfStyle w:val="001000000000" w:firstRow="0" w:lastRow="0" w:firstColumn="1" w:lastColumn="0" w:oddVBand="0" w:evenVBand="0" w:oddHBand="0" w:evenHBand="0" w:firstRowFirstColumn="0" w:firstRowLastColumn="0" w:lastRowFirstColumn="0" w:lastRowLastColumn="0"/>
            <w:tcW w:w="634" w:type="pct"/>
          </w:tcPr>
          <w:p w:rsidR="002804C6" w:rsidRPr="00B242EB" w:rsidRDefault="002804C6" w:rsidP="005C6E02">
            <w:pPr>
              <w:keepNext/>
              <w:widowControl w:val="0"/>
              <w:rPr>
                <w:rFonts w:ascii="Arial Narrow" w:hAnsi="Arial Narrow" w:cs="Arial"/>
                <w:sz w:val="24"/>
                <w:szCs w:val="24"/>
              </w:rPr>
            </w:pPr>
            <w:r w:rsidRPr="00B242EB">
              <w:rPr>
                <w:rFonts w:ascii="Arial Narrow" w:hAnsi="Arial Narrow" w:cs="Arial"/>
                <w:sz w:val="24"/>
                <w:szCs w:val="24"/>
              </w:rPr>
              <w:t>2014/15</w:t>
            </w:r>
          </w:p>
        </w:tc>
        <w:tc>
          <w:tcPr>
            <w:tcW w:w="615"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-386</w:t>
            </w:r>
          </w:p>
        </w:tc>
        <w:tc>
          <w:tcPr>
            <w:tcW w:w="728"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1,173</w:t>
            </w:r>
          </w:p>
        </w:tc>
        <w:tc>
          <w:tcPr>
            <w:tcW w:w="813"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388</w:t>
            </w:r>
          </w:p>
        </w:tc>
        <w:tc>
          <w:tcPr>
            <w:tcW w:w="686"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348</w:t>
            </w:r>
          </w:p>
        </w:tc>
        <w:tc>
          <w:tcPr>
            <w:tcW w:w="934"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0</w:t>
            </w:r>
          </w:p>
        </w:tc>
        <w:tc>
          <w:tcPr>
            <w:tcW w:w="588"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1,523</w:t>
            </w:r>
          </w:p>
        </w:tc>
      </w:tr>
      <w:tr w:rsidR="002804C6" w:rsidRPr="00B242EB" w:rsidTr="0009738C">
        <w:tc>
          <w:tcPr>
            <w:cnfStyle w:val="001000000000" w:firstRow="0" w:lastRow="0" w:firstColumn="1" w:lastColumn="0" w:oddVBand="0" w:evenVBand="0" w:oddHBand="0" w:evenHBand="0" w:firstRowFirstColumn="0" w:firstRowLastColumn="0" w:lastRowFirstColumn="0" w:lastRowLastColumn="0"/>
            <w:tcW w:w="634" w:type="pct"/>
          </w:tcPr>
          <w:p w:rsidR="002804C6" w:rsidRPr="00B242EB" w:rsidRDefault="002804C6" w:rsidP="005C6E02">
            <w:pPr>
              <w:keepNext/>
              <w:widowControl w:val="0"/>
              <w:rPr>
                <w:rFonts w:ascii="Arial Narrow" w:hAnsi="Arial Narrow" w:cs="Arial"/>
                <w:sz w:val="24"/>
                <w:szCs w:val="24"/>
              </w:rPr>
            </w:pPr>
            <w:r w:rsidRPr="00B242EB">
              <w:rPr>
                <w:rFonts w:ascii="Arial Narrow" w:hAnsi="Arial Narrow" w:cs="Arial"/>
                <w:sz w:val="24"/>
                <w:szCs w:val="24"/>
              </w:rPr>
              <w:t>2015/16</w:t>
            </w:r>
          </w:p>
        </w:tc>
        <w:tc>
          <w:tcPr>
            <w:tcW w:w="615"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-404</w:t>
            </w:r>
          </w:p>
        </w:tc>
        <w:tc>
          <w:tcPr>
            <w:tcW w:w="728"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1,245</w:t>
            </w:r>
          </w:p>
        </w:tc>
        <w:tc>
          <w:tcPr>
            <w:tcW w:w="813"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443</w:t>
            </w:r>
          </w:p>
        </w:tc>
        <w:tc>
          <w:tcPr>
            <w:tcW w:w="686"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57</w:t>
            </w:r>
          </w:p>
        </w:tc>
        <w:tc>
          <w:tcPr>
            <w:tcW w:w="934"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0</w:t>
            </w:r>
          </w:p>
        </w:tc>
        <w:tc>
          <w:tcPr>
            <w:tcW w:w="588"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1,341</w:t>
            </w:r>
          </w:p>
        </w:tc>
      </w:tr>
      <w:tr w:rsidR="002804C6" w:rsidRPr="00B242EB" w:rsidTr="0009738C">
        <w:tc>
          <w:tcPr>
            <w:cnfStyle w:val="001000000000" w:firstRow="0" w:lastRow="0" w:firstColumn="1" w:lastColumn="0" w:oddVBand="0" w:evenVBand="0" w:oddHBand="0" w:evenHBand="0" w:firstRowFirstColumn="0" w:firstRowLastColumn="0" w:lastRowFirstColumn="0" w:lastRowLastColumn="0"/>
            <w:tcW w:w="634" w:type="pct"/>
          </w:tcPr>
          <w:p w:rsidR="002804C6" w:rsidRPr="00B242EB" w:rsidRDefault="002804C6" w:rsidP="005C6E02">
            <w:pPr>
              <w:keepNext/>
              <w:widowControl w:val="0"/>
              <w:rPr>
                <w:rFonts w:ascii="Arial Narrow" w:hAnsi="Arial Narrow" w:cs="Arial"/>
                <w:sz w:val="24"/>
                <w:szCs w:val="24"/>
              </w:rPr>
            </w:pPr>
            <w:r w:rsidRPr="00B242EB">
              <w:rPr>
                <w:rFonts w:ascii="Arial Narrow" w:hAnsi="Arial Narrow" w:cs="Arial"/>
                <w:sz w:val="24"/>
                <w:szCs w:val="24"/>
              </w:rPr>
              <w:t>2016/17</w:t>
            </w:r>
          </w:p>
        </w:tc>
        <w:tc>
          <w:tcPr>
            <w:tcW w:w="615"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-499</w:t>
            </w:r>
          </w:p>
        </w:tc>
        <w:tc>
          <w:tcPr>
            <w:tcW w:w="728"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1,249</w:t>
            </w:r>
          </w:p>
        </w:tc>
        <w:tc>
          <w:tcPr>
            <w:tcW w:w="813"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298</w:t>
            </w:r>
          </w:p>
        </w:tc>
        <w:tc>
          <w:tcPr>
            <w:tcW w:w="686"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19</w:t>
            </w:r>
          </w:p>
        </w:tc>
        <w:tc>
          <w:tcPr>
            <w:tcW w:w="934"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0</w:t>
            </w:r>
          </w:p>
        </w:tc>
        <w:tc>
          <w:tcPr>
            <w:tcW w:w="588"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1,067</w:t>
            </w:r>
          </w:p>
        </w:tc>
      </w:tr>
      <w:tr w:rsidR="002804C6" w:rsidRPr="00B242EB" w:rsidTr="0009738C">
        <w:tc>
          <w:tcPr>
            <w:cnfStyle w:val="001000000000" w:firstRow="0" w:lastRow="0" w:firstColumn="1" w:lastColumn="0" w:oddVBand="0" w:evenVBand="0" w:oddHBand="0" w:evenHBand="0" w:firstRowFirstColumn="0" w:firstRowLastColumn="0" w:lastRowFirstColumn="0" w:lastRowLastColumn="0"/>
            <w:tcW w:w="634" w:type="pct"/>
          </w:tcPr>
          <w:p w:rsidR="002804C6" w:rsidRPr="00B242EB" w:rsidRDefault="002804C6" w:rsidP="005C6E02">
            <w:pPr>
              <w:keepNext/>
              <w:widowControl w:val="0"/>
              <w:rPr>
                <w:rFonts w:ascii="Arial Narrow" w:hAnsi="Arial Narrow" w:cs="Arial"/>
                <w:sz w:val="24"/>
                <w:szCs w:val="24"/>
              </w:rPr>
            </w:pPr>
            <w:r w:rsidRPr="00B242EB">
              <w:rPr>
                <w:rFonts w:ascii="Arial Narrow" w:hAnsi="Arial Narrow" w:cs="Arial"/>
                <w:sz w:val="24"/>
                <w:szCs w:val="24"/>
              </w:rPr>
              <w:t>2017/18</w:t>
            </w:r>
          </w:p>
        </w:tc>
        <w:tc>
          <w:tcPr>
            <w:tcW w:w="615"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-560</w:t>
            </w:r>
          </w:p>
        </w:tc>
        <w:tc>
          <w:tcPr>
            <w:tcW w:w="728"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654</w:t>
            </w:r>
          </w:p>
        </w:tc>
        <w:tc>
          <w:tcPr>
            <w:tcW w:w="813"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331</w:t>
            </w:r>
          </w:p>
        </w:tc>
        <w:tc>
          <w:tcPr>
            <w:tcW w:w="686"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133</w:t>
            </w:r>
          </w:p>
        </w:tc>
        <w:tc>
          <w:tcPr>
            <w:tcW w:w="934"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0</w:t>
            </w:r>
          </w:p>
        </w:tc>
        <w:tc>
          <w:tcPr>
            <w:tcW w:w="588" w:type="pct"/>
          </w:tcPr>
          <w:p w:rsidR="002804C6" w:rsidRPr="00B242EB" w:rsidRDefault="002804C6" w:rsidP="005C6E02">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B242EB">
              <w:rPr>
                <w:rFonts w:ascii="Arial Narrow" w:hAnsi="Arial Narrow" w:cs="Arial"/>
                <w:color w:val="000000"/>
                <w:sz w:val="24"/>
                <w:szCs w:val="24"/>
              </w:rPr>
              <w:t>558</w:t>
            </w:r>
          </w:p>
        </w:tc>
      </w:tr>
    </w:tbl>
    <w:p w:rsidR="002804C6" w:rsidRPr="00B242EB" w:rsidRDefault="002804C6" w:rsidP="0009738C">
      <w:pPr>
        <w:pStyle w:val="Bodytextwithindent"/>
        <w:spacing w:before="0" w:after="120"/>
        <w:ind w:left="0"/>
        <w:rPr>
          <w:sz w:val="24"/>
          <w:szCs w:val="22"/>
        </w:rPr>
      </w:pPr>
      <w:r w:rsidRPr="00B242EB">
        <w:rPr>
          <w:sz w:val="24"/>
          <w:szCs w:val="22"/>
        </w:rPr>
        <w:t>Source: ONS</w:t>
      </w:r>
    </w:p>
    <w:p w:rsidR="002804C6" w:rsidRPr="00CA47B9" w:rsidRDefault="004673AE" w:rsidP="00BD6C75">
      <w:pPr>
        <w:pStyle w:val="SubheadBlue12"/>
        <w:ind w:left="567" w:firstLine="0"/>
      </w:pPr>
      <w:r>
        <w:t>Local</w:t>
      </w:r>
      <w:r w:rsidR="002804C6" w:rsidRPr="00CA47B9">
        <w:t xml:space="preserve"> Housing Need </w:t>
      </w:r>
    </w:p>
    <w:p w:rsidR="002804C6" w:rsidRPr="00CA47B9" w:rsidRDefault="002804C6" w:rsidP="00020CFC">
      <w:pPr>
        <w:pStyle w:val="11Bodytext"/>
        <w:tabs>
          <w:tab w:val="clear" w:pos="2212"/>
          <w:tab w:val="num" w:pos="567"/>
        </w:tabs>
        <w:ind w:left="567" w:hanging="567"/>
      </w:pPr>
      <w:r w:rsidRPr="00CA47B9">
        <w:t xml:space="preserve">The assessment of local housing need and derivation of a housing target through the standard method is a three-stage process. This is set out in the Planning Practice Guidance (PPG) in relation to Housing and Economic Needs Assessment which was revised in February 2019. </w:t>
      </w:r>
    </w:p>
    <w:p w:rsidR="002804C6" w:rsidRPr="00CA47B9" w:rsidRDefault="002804C6" w:rsidP="00020CFC">
      <w:pPr>
        <w:pStyle w:val="11Bodytext"/>
        <w:tabs>
          <w:tab w:val="clear" w:pos="2212"/>
          <w:tab w:val="num" w:pos="567"/>
        </w:tabs>
        <w:ind w:left="567" w:hanging="567"/>
      </w:pPr>
      <w:r w:rsidRPr="00CA47B9">
        <w:t>Our approach below sets out the standard method for assessing</w:t>
      </w:r>
      <w:r w:rsidR="004673AE">
        <w:t xml:space="preserve"> need reflecting</w:t>
      </w:r>
      <w:r w:rsidRPr="00CA47B9">
        <w:t xml:space="preserve"> the worked example set out in the PPG. </w:t>
      </w:r>
    </w:p>
    <w:p w:rsidR="002804C6" w:rsidRPr="00CA47B9" w:rsidRDefault="002804C6" w:rsidP="00BD6C75">
      <w:pPr>
        <w:pStyle w:val="Subheadingbold"/>
        <w:ind w:left="567" w:firstLine="0"/>
      </w:pPr>
      <w:r w:rsidRPr="00CA47B9">
        <w:t xml:space="preserve">Step 1 – Setting the baseline </w:t>
      </w:r>
    </w:p>
    <w:p w:rsidR="002804C6" w:rsidRPr="00CA47B9" w:rsidRDefault="002804C6" w:rsidP="00020CFC">
      <w:pPr>
        <w:pStyle w:val="11Bodytext"/>
        <w:tabs>
          <w:tab w:val="clear" w:pos="2212"/>
          <w:tab w:val="num" w:pos="567"/>
        </w:tabs>
        <w:ind w:left="567" w:hanging="567"/>
      </w:pPr>
      <w:r w:rsidRPr="00CA47B9">
        <w:t xml:space="preserve">Step 1 sets the baseline using national household growth projections (2014-based household projections). The PPG advises that “the projected average annual household growth over a 10-year period (this should be 10 consecutive years, with </w:t>
      </w:r>
      <w:r w:rsidRPr="00CA47B9">
        <w:lastRenderedPageBreak/>
        <w:t xml:space="preserve">the current year being the first year)” should be used. </w:t>
      </w:r>
      <w:r w:rsidR="007F7B49">
        <w:t>When much of this report was completed (2019) we</w:t>
      </w:r>
      <w:r w:rsidRPr="00CA47B9">
        <w:t xml:space="preserve"> interpreted the “current” year as 2019.</w:t>
      </w:r>
      <w:r w:rsidR="00C00EB0">
        <w:t xml:space="preserve"> </w:t>
      </w:r>
      <w:r w:rsidRPr="00CA47B9">
        <w:t>Although step 1 is assessed over the next ten years, the figure can be used across the whole plan period.</w:t>
      </w:r>
    </w:p>
    <w:p w:rsidR="002804C6" w:rsidRPr="00CA47B9" w:rsidRDefault="002804C6" w:rsidP="00020CFC">
      <w:pPr>
        <w:pStyle w:val="11Bodytext"/>
        <w:tabs>
          <w:tab w:val="clear" w:pos="2212"/>
          <w:tab w:val="num" w:pos="567"/>
        </w:tabs>
        <w:ind w:left="567" w:hanging="567"/>
      </w:pPr>
      <w:r w:rsidRPr="00CA47B9">
        <w:t xml:space="preserve">Chichester District’s household projections (2014-based) are: </w:t>
      </w:r>
    </w:p>
    <w:p w:rsidR="002804C6" w:rsidRPr="00CA47B9" w:rsidRDefault="002804C6" w:rsidP="00ED1C06">
      <w:pPr>
        <w:pStyle w:val="10BulletBodytext"/>
      </w:pPr>
      <w:r w:rsidRPr="00CA47B9">
        <w:t>53,299 in 2019</w:t>
      </w:r>
    </w:p>
    <w:p w:rsidR="002804C6" w:rsidRPr="00CA47B9" w:rsidRDefault="002804C6" w:rsidP="00ED1C06">
      <w:pPr>
        <w:pStyle w:val="10BulletBodytext"/>
      </w:pPr>
      <w:r w:rsidRPr="00CA47B9">
        <w:t>58,625 in 2029</w:t>
      </w:r>
    </w:p>
    <w:p w:rsidR="002804C6" w:rsidRPr="00CA47B9" w:rsidRDefault="002804C6" w:rsidP="00020CFC">
      <w:pPr>
        <w:pStyle w:val="11Bodytext"/>
        <w:tabs>
          <w:tab w:val="clear" w:pos="2212"/>
          <w:tab w:val="num" w:pos="567"/>
        </w:tabs>
        <w:ind w:left="567" w:hanging="567"/>
      </w:pPr>
      <w:r w:rsidRPr="00CA47B9">
        <w:t>This is a total of 5,326</w:t>
      </w:r>
      <w:r w:rsidR="00537F9F">
        <w:t xml:space="preserve"> </w:t>
      </w:r>
      <w:r w:rsidRPr="00CA47B9">
        <w:t>new households over the ten</w:t>
      </w:r>
      <w:r w:rsidR="00855CA6">
        <w:t xml:space="preserve"> years</w:t>
      </w:r>
      <w:r w:rsidRPr="00CA47B9">
        <w:t xml:space="preserve">, equivalent to an average household growth of 533 per year. This annual average household growth (533) is the core output of step 1. </w:t>
      </w:r>
    </w:p>
    <w:p w:rsidR="002804C6" w:rsidRPr="00CA47B9" w:rsidRDefault="002804C6" w:rsidP="00BD6C75">
      <w:pPr>
        <w:pStyle w:val="Subheadingbold"/>
        <w:ind w:left="567" w:firstLine="0"/>
      </w:pPr>
      <w:r w:rsidRPr="00CA47B9">
        <w:t xml:space="preserve">Step 2 – An adjustment to take account of affordability </w:t>
      </w:r>
    </w:p>
    <w:p w:rsidR="002804C6" w:rsidRPr="00CA47B9" w:rsidRDefault="002804C6" w:rsidP="00020CFC">
      <w:pPr>
        <w:pStyle w:val="11Bodytext"/>
        <w:tabs>
          <w:tab w:val="clear" w:pos="2212"/>
          <w:tab w:val="num" w:pos="567"/>
        </w:tabs>
        <w:ind w:left="567" w:hanging="567"/>
      </w:pPr>
      <w:r w:rsidRPr="00CA47B9">
        <w:t xml:space="preserve">Step 2 then adjusts the average annual projected household growth figure (as calculated in step 1) based on the affordability of the area. This draws on the most recent median workplace-based affordability ratios. </w:t>
      </w:r>
      <w:r w:rsidR="00FD3925">
        <w:t>The affordability ratio</w:t>
      </w:r>
      <w:r w:rsidR="00855CA6">
        <w:t xml:space="preserve"> </w:t>
      </w:r>
      <w:r w:rsidR="00EE16D0">
        <w:t>applied</w:t>
      </w:r>
      <w:r w:rsidR="00FD3925">
        <w:t xml:space="preserve"> is </w:t>
      </w:r>
      <w:r w:rsidR="002E26AC">
        <w:t>2018.</w:t>
      </w:r>
      <w:r w:rsidR="00FD3925">
        <w:t xml:space="preserve"> </w:t>
      </w:r>
    </w:p>
    <w:p w:rsidR="002804C6" w:rsidRPr="00CA47B9" w:rsidRDefault="002804C6" w:rsidP="00020CFC">
      <w:pPr>
        <w:pStyle w:val="11Bodytext"/>
        <w:tabs>
          <w:tab w:val="clear" w:pos="2212"/>
          <w:tab w:val="num" w:pos="567"/>
        </w:tabs>
        <w:ind w:left="567" w:hanging="567"/>
      </w:pPr>
      <w:r w:rsidRPr="00CA47B9">
        <w:t>For every percentage point the ratio is above 4, the household projections are increased by 0.25%. Four is seen as a reasonable multiple based on standard lending practices. The formula for the adjustment is calculated as below:</w:t>
      </w:r>
    </w:p>
    <w:p w:rsidR="00EA01E7" w:rsidRPr="00303311" w:rsidRDefault="00EA01E7" w:rsidP="00ED1C06">
      <w:pPr>
        <w:pStyle w:val="11Bodytext"/>
        <w:numPr>
          <w:ilvl w:val="0"/>
          <w:numId w:val="0"/>
        </w:numPr>
        <w:ind w:left="794"/>
      </w:pPr>
      <m:oMathPara>
        <m:oMathParaPr>
          <m:jc m:val="center"/>
        </m:oMathParaPr>
        <m:oMath>
          <m:r>
            <w:rPr>
              <w:rFonts w:ascii="Cambria Math" w:hAnsi="Cambria Math"/>
            </w:rPr>
            <m:t>Adjustment</m:t>
          </m:r>
          <m:r>
            <m:rPr>
              <m:sty m:val="p"/>
            </m:rPr>
            <w:rPr>
              <w:rFonts w:ascii="Cambria Math" w:hAnsi="Cambria Math"/>
            </w:rPr>
            <m:t xml:space="preserve"> </m:t>
          </m:r>
          <m:r>
            <w:rPr>
              <w:rFonts w:ascii="Cambria Math" w:hAnsi="Cambria Math"/>
            </w:rPr>
            <m:t>Factor</m:t>
          </m:r>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13.1-4</m:t>
                  </m:r>
                </m:num>
                <m:den>
                  <m:r>
                    <m:rPr>
                      <m:sty m:val="p"/>
                    </m:rPr>
                    <w:rPr>
                      <w:rFonts w:ascii="Cambria Math" w:hAnsi="Cambria Math"/>
                    </w:rPr>
                    <m:t>4</m:t>
                  </m:r>
                </m:den>
              </m:f>
            </m:e>
          </m:d>
          <m:r>
            <w:rPr>
              <w:rFonts w:ascii="Cambria Math" w:hAnsi="Cambria Math"/>
            </w:rPr>
            <m:t>x</m:t>
          </m:r>
          <m:r>
            <m:rPr>
              <m:sty m:val="p"/>
            </m:rPr>
            <w:rPr>
              <w:rFonts w:ascii="Cambria Math" w:hAnsi="Cambria Math"/>
            </w:rPr>
            <m:t xml:space="preserve">0.25+1=1.57 </m:t>
          </m:r>
          <m:r>
            <w:rPr>
              <w:rFonts w:ascii="Cambria Math" w:hAnsi="Cambria Math"/>
            </w:rPr>
            <m:t>or</m:t>
          </m:r>
          <m:r>
            <m:rPr>
              <m:sty m:val="p"/>
            </m:rPr>
            <w:rPr>
              <w:rFonts w:ascii="Cambria Math" w:hAnsi="Cambria Math"/>
            </w:rPr>
            <m:t xml:space="preserve"> 157%</m:t>
          </m:r>
        </m:oMath>
      </m:oMathPara>
    </w:p>
    <w:p w:rsidR="002804C6" w:rsidRPr="00CA47B9" w:rsidRDefault="002804C6" w:rsidP="00020CFC">
      <w:pPr>
        <w:pStyle w:val="11Bodytext"/>
        <w:tabs>
          <w:tab w:val="clear" w:pos="2212"/>
          <w:tab w:val="num" w:pos="567"/>
        </w:tabs>
        <w:ind w:left="567" w:hanging="567"/>
      </w:pPr>
      <w:r w:rsidRPr="00CA47B9">
        <w:t>By this measure, Chichester District’s affordability ratio</w:t>
      </w:r>
      <w:r w:rsidR="00EA01E7">
        <w:t xml:space="preserve"> (workplace</w:t>
      </w:r>
      <w:r w:rsidR="00E60718">
        <w:t>-</w:t>
      </w:r>
      <w:r w:rsidR="00EA01E7">
        <w:t>based median ratio)</w:t>
      </w:r>
      <w:r w:rsidRPr="00CA47B9">
        <w:t xml:space="preserve"> is 13.1 (2018), meaning that the median house price in Chichester is 13.1 times median earnings of those working in the District. Applying the adjustment formula results in an </w:t>
      </w:r>
      <w:r w:rsidR="00EA01E7">
        <w:t>increase of 57% on to the household growth.</w:t>
      </w:r>
      <w:r w:rsidRPr="00CA47B9">
        <w:t xml:space="preserve"> This </w:t>
      </w:r>
      <w:r w:rsidR="00EA01E7">
        <w:t>results in an</w:t>
      </w:r>
      <w:r w:rsidRPr="00CA47B9">
        <w:t xml:space="preserve"> uncapped need of 836</w:t>
      </w:r>
      <w:r w:rsidR="00EA01E7">
        <w:t xml:space="preserve"> </w:t>
      </w:r>
      <w:r w:rsidRPr="00CA47B9">
        <w:t xml:space="preserve">dpa. </w:t>
      </w:r>
    </w:p>
    <w:p w:rsidR="00BD161A" w:rsidRPr="00CA47B9" w:rsidRDefault="00BD161A" w:rsidP="00BD6C75">
      <w:pPr>
        <w:pStyle w:val="Subheadingbold"/>
        <w:keepNext/>
        <w:ind w:left="567" w:firstLine="0"/>
      </w:pPr>
      <w:r w:rsidRPr="00CA47B9">
        <w:t>Step 3 – Capping the Need</w:t>
      </w:r>
    </w:p>
    <w:p w:rsidR="00BD161A" w:rsidRPr="00CA47B9" w:rsidRDefault="00BD161A" w:rsidP="00020CFC">
      <w:pPr>
        <w:pStyle w:val="11Bodytext"/>
        <w:tabs>
          <w:tab w:val="clear" w:pos="2212"/>
          <w:tab w:val="num" w:pos="567"/>
        </w:tabs>
        <w:ind w:left="567" w:hanging="567"/>
      </w:pPr>
      <w:r w:rsidRPr="00CA47B9">
        <w:t xml:space="preserve">The third step of the standard method is to cap the level of increase to a </w:t>
      </w:r>
      <w:r w:rsidR="00855CA6">
        <w:t>deliverable level</w:t>
      </w:r>
      <w:r w:rsidRPr="00CA47B9">
        <w:t xml:space="preserve">. The cap comes in the form of a 40% cap in the increase. However, what figure the cap is placed on depends on the age of the Local Plan. </w:t>
      </w:r>
    </w:p>
    <w:p w:rsidR="00BD161A" w:rsidRDefault="00BD161A" w:rsidP="00ED1C06">
      <w:pPr>
        <w:pStyle w:val="10BulletBodytext"/>
      </w:pPr>
      <w:r w:rsidRPr="00CA47B9">
        <w:lastRenderedPageBreak/>
        <w:t xml:space="preserve">Where the Local Plan is adopted within the last 5 years (at the point of making the calculation), the local housing need figure is capped at 40% above the existing housing target. </w:t>
      </w:r>
    </w:p>
    <w:p w:rsidR="00BD161A" w:rsidRDefault="00BD161A" w:rsidP="00ED1C06">
      <w:pPr>
        <w:pStyle w:val="10BulletBodytext"/>
      </w:pPr>
      <w:r w:rsidRPr="00CA47B9">
        <w:t>Where the Local Plan was adopted more than</w:t>
      </w:r>
      <w:r>
        <w:t xml:space="preserve"> 5</w:t>
      </w:r>
      <w:r w:rsidRPr="00CA47B9">
        <w:t xml:space="preserve"> years ago then the cap is placed at 40% above the higher of either the existing housing target (435 dpa) or the household forecasts</w:t>
      </w:r>
      <w:r>
        <w:t xml:space="preserve"> (533 dpa)</w:t>
      </w:r>
      <w:r w:rsidRPr="00CA47B9">
        <w:t>.</w:t>
      </w:r>
    </w:p>
    <w:p w:rsidR="00BD161A" w:rsidRPr="00CA47B9" w:rsidRDefault="00EE3F49" w:rsidP="00020CFC">
      <w:pPr>
        <w:pStyle w:val="11Bodytext"/>
        <w:tabs>
          <w:tab w:val="clear" w:pos="2212"/>
          <w:tab w:val="num" w:pos="567"/>
        </w:tabs>
        <w:ind w:left="567" w:hanging="567"/>
      </w:pPr>
      <w:r>
        <w:t xml:space="preserve"> </w:t>
      </w:r>
      <w:r w:rsidR="00855CA6">
        <w:t>Also,</w:t>
      </w:r>
      <w:r w:rsidR="00BD161A" w:rsidRPr="00CA47B9">
        <w:t xml:space="preserve"> the housing target in the </w:t>
      </w:r>
      <w:r>
        <w:t xml:space="preserve">adopted </w:t>
      </w:r>
      <w:r w:rsidR="00BD161A" w:rsidRPr="00CA47B9">
        <w:t>Chichester Local Plan is for the Plan Area while the projection and affordability adjustment is for the district area.</w:t>
      </w:r>
    </w:p>
    <w:p w:rsidR="00BD161A" w:rsidRPr="00CA47B9" w:rsidRDefault="00BD161A" w:rsidP="00BD6C75">
      <w:pPr>
        <w:pStyle w:val="Subheadingbold"/>
        <w:ind w:left="567" w:firstLine="0"/>
      </w:pPr>
      <w:r w:rsidRPr="00CA47B9">
        <w:t>Local Plan Less than Five Years</w:t>
      </w:r>
    </w:p>
    <w:p w:rsidR="00BD161A" w:rsidRPr="00CA47B9" w:rsidRDefault="00BD161A" w:rsidP="00020CFC">
      <w:pPr>
        <w:pStyle w:val="11Bodytext"/>
        <w:tabs>
          <w:tab w:val="clear" w:pos="2212"/>
          <w:tab w:val="num" w:pos="567"/>
        </w:tabs>
        <w:ind w:left="567" w:hanging="567"/>
      </w:pPr>
      <w:r w:rsidRPr="00CA47B9">
        <w:t xml:space="preserve">Until July 2020 the Local Plan for Chichester </w:t>
      </w:r>
      <w:r w:rsidR="00EE6E8F">
        <w:t>was</w:t>
      </w:r>
      <w:r w:rsidRPr="00CA47B9">
        <w:t xml:space="preserve"> less than 5 years old. Where this is the case the need is capped at 40% above the Local Plan Target. Currently</w:t>
      </w:r>
      <w:r w:rsidR="00855CA6">
        <w:t>,</w:t>
      </w:r>
      <w:r w:rsidRPr="00CA47B9">
        <w:t xml:space="preserve"> in</w:t>
      </w:r>
      <w:r>
        <w:t xml:space="preserve"> the</w:t>
      </w:r>
      <w:r w:rsidRPr="00CA47B9">
        <w:t xml:space="preserve"> Chichester Local Plan</w:t>
      </w:r>
      <w:r w:rsidR="00855CA6">
        <w:t>,</w:t>
      </w:r>
      <w:r w:rsidRPr="00CA47B9">
        <w:t xml:space="preserve"> the adopted housing target is 435 dpa for the Plan Area.</w:t>
      </w:r>
    </w:p>
    <w:p w:rsidR="00BD161A" w:rsidRDefault="00BD161A" w:rsidP="00020CFC">
      <w:pPr>
        <w:pStyle w:val="11Bodytext"/>
        <w:tabs>
          <w:tab w:val="clear" w:pos="2212"/>
          <w:tab w:val="num" w:pos="567"/>
        </w:tabs>
        <w:ind w:left="567" w:hanging="567"/>
      </w:pPr>
      <w:r w:rsidRPr="00CA47B9">
        <w:t xml:space="preserve">If we apply the 40% cap to this housing target, we would calculate a need for 609 dpa. As this is based on a cap for the Plan area no further adjustment is necessary to disaggregate </w:t>
      </w:r>
      <w:r>
        <w:t xml:space="preserve">this. </w:t>
      </w:r>
      <w:r w:rsidRPr="004F4DBD">
        <w:rPr>
          <w:b/>
        </w:rPr>
        <w:t>Until July 2020 the Local Housing Need for the Plan Area would be 609 dpa.</w:t>
      </w:r>
      <w:r w:rsidRPr="00CA47B9">
        <w:t xml:space="preserve"> </w:t>
      </w:r>
    </w:p>
    <w:p w:rsidR="00BD161A" w:rsidRDefault="00BD161A" w:rsidP="00020CFC">
      <w:pPr>
        <w:pStyle w:val="11Bodytext"/>
        <w:tabs>
          <w:tab w:val="clear" w:pos="2212"/>
          <w:tab w:val="num" w:pos="567"/>
        </w:tabs>
        <w:ind w:left="567" w:hanging="567"/>
      </w:pPr>
      <w:r>
        <w:t xml:space="preserve">We appreciate that this is not a like for like comparison as the standard method is based on the </w:t>
      </w:r>
      <w:r w:rsidR="00855CA6">
        <w:t>district-</w:t>
      </w:r>
      <w:r>
        <w:t xml:space="preserve">wide total and the local plan target is for the Plan Area only. However, such is the extent of affordability issues across the </w:t>
      </w:r>
      <w:proofErr w:type="gramStart"/>
      <w:r>
        <w:t>district,</w:t>
      </w:r>
      <w:proofErr w:type="gramEnd"/>
      <w:r>
        <w:t xml:space="preserve"> it would likely require a 40% increase above the housing requirement in the Plan Area.</w:t>
      </w:r>
    </w:p>
    <w:p w:rsidR="00BD161A" w:rsidRPr="00B242EB" w:rsidRDefault="00BD161A" w:rsidP="00BD6C75">
      <w:pPr>
        <w:pStyle w:val="NameofDevelopment"/>
        <w:ind w:left="567" w:firstLine="0"/>
      </w:pPr>
      <w:r w:rsidRPr="00B242EB">
        <w:t>Local Plan Older than Five Years</w:t>
      </w:r>
    </w:p>
    <w:p w:rsidR="00BD161A" w:rsidRDefault="00855CA6" w:rsidP="00020CFC">
      <w:pPr>
        <w:pStyle w:val="11Bodytext"/>
        <w:tabs>
          <w:tab w:val="clear" w:pos="2212"/>
          <w:tab w:val="num" w:pos="567"/>
        </w:tabs>
        <w:ind w:left="567" w:hanging="567"/>
      </w:pPr>
      <w:r>
        <w:t>Post-</w:t>
      </w:r>
      <w:r w:rsidR="00BD161A">
        <w:t>July 2020</w:t>
      </w:r>
      <w:r w:rsidR="006D6051">
        <w:t>,</w:t>
      </w:r>
      <w:r w:rsidR="00BD161A">
        <w:t xml:space="preserve"> </w:t>
      </w:r>
      <w:r w:rsidR="00BD161A" w:rsidRPr="00CA47B9">
        <w:t xml:space="preserve">the Local Plan </w:t>
      </w:r>
      <w:r w:rsidR="00EE6E8F">
        <w:t>is</w:t>
      </w:r>
      <w:r w:rsidR="00BD161A">
        <w:t xml:space="preserve"> older than</w:t>
      </w:r>
      <w:r w:rsidR="00BD161A" w:rsidRPr="00CA47B9">
        <w:t xml:space="preserve"> five years</w:t>
      </w:r>
      <w:r w:rsidR="00BD161A">
        <w:t>,</w:t>
      </w:r>
      <w:r w:rsidR="00BD161A" w:rsidRPr="00CA47B9">
        <w:t xml:space="preserve"> then</w:t>
      </w:r>
      <w:r w:rsidR="00BD161A">
        <w:t xml:space="preserve"> the</w:t>
      </w:r>
      <w:r w:rsidR="00BD161A" w:rsidRPr="00CA47B9">
        <w:t xml:space="preserve"> local housing need figure is capped at 40% above the</w:t>
      </w:r>
      <w:r w:rsidR="00BD161A">
        <w:t xml:space="preserve"> higher of the Local Plan requirement or the household forecast identified in Step 2.</w:t>
      </w:r>
    </w:p>
    <w:p w:rsidR="00BD161A" w:rsidRDefault="00BD161A" w:rsidP="00020CFC">
      <w:pPr>
        <w:pStyle w:val="11Bodytext"/>
        <w:tabs>
          <w:tab w:val="clear" w:pos="2212"/>
          <w:tab w:val="num" w:pos="567"/>
        </w:tabs>
        <w:ind w:left="567" w:hanging="567"/>
      </w:pPr>
      <w:r>
        <w:t>The Local Plan target is 435 dpa and the household forecast set out in Step 2 is 533 dpa. Therefore the cap is applied to the household forecasts.</w:t>
      </w:r>
      <w:r w:rsidR="00855CA6">
        <w:t xml:space="preserve"> </w:t>
      </w:r>
      <w:r>
        <w:t>Again, we recognise this is not a like</w:t>
      </w:r>
      <w:r w:rsidR="006D6051">
        <w:t>-</w:t>
      </w:r>
      <w:r>
        <w:t>for</w:t>
      </w:r>
      <w:r w:rsidR="00541B5C">
        <w:t>-</w:t>
      </w:r>
      <w:r>
        <w:t>like comparison as one is for the Plan Area and the other is for the district.</w:t>
      </w:r>
      <w:r w:rsidR="00855CA6">
        <w:t xml:space="preserve"> </w:t>
      </w:r>
      <w:r>
        <w:t>The latter will</w:t>
      </w:r>
      <w:r w:rsidR="00855CA6">
        <w:t>, therefore,</w:t>
      </w:r>
      <w:r>
        <w:t xml:space="preserve"> need to be disaggregated to the Plan Area.</w:t>
      </w:r>
    </w:p>
    <w:p w:rsidR="00BD161A" w:rsidRDefault="00BD161A" w:rsidP="00020CFC">
      <w:pPr>
        <w:pStyle w:val="11Bodytext"/>
        <w:tabs>
          <w:tab w:val="clear" w:pos="2212"/>
          <w:tab w:val="num" w:pos="567"/>
        </w:tabs>
        <w:ind w:left="567" w:hanging="567"/>
      </w:pPr>
      <w:r>
        <w:t xml:space="preserve">Applying the 40% cap above the household forecasts </w:t>
      </w:r>
      <w:r w:rsidRPr="004F4DBD">
        <w:t>results in a housing need of 746 dpa for the District</w:t>
      </w:r>
      <w:r w:rsidRPr="004E228A">
        <w:rPr>
          <w:b/>
        </w:rPr>
        <w:t xml:space="preserve"> (</w:t>
      </w:r>
      <w:r w:rsidRPr="00CA47B9">
        <w:t xml:space="preserve">533 + 40% = 746 dpa). However, to reiterate this is </w:t>
      </w:r>
      <w:r w:rsidRPr="004F4DBD">
        <w:rPr>
          <w:u w:val="single"/>
        </w:rPr>
        <w:t xml:space="preserve">not the </w:t>
      </w:r>
      <w:r w:rsidRPr="004F4DBD">
        <w:rPr>
          <w:u w:val="single"/>
        </w:rPr>
        <w:lastRenderedPageBreak/>
        <w:t>housing target</w:t>
      </w:r>
      <w:r w:rsidRPr="00CA47B9">
        <w:t xml:space="preserve"> but the local housing need for the entire District.</w:t>
      </w:r>
      <w:r w:rsidR="00855CA6">
        <w:t xml:space="preserve"> </w:t>
      </w:r>
      <w:r>
        <w:t xml:space="preserve">We have disaggregated this below. </w:t>
      </w:r>
    </w:p>
    <w:p w:rsidR="00153E31" w:rsidRDefault="00153E31" w:rsidP="00020CFC">
      <w:pPr>
        <w:pStyle w:val="11Bodytext"/>
        <w:tabs>
          <w:tab w:val="clear" w:pos="2212"/>
          <w:tab w:val="num" w:pos="567"/>
        </w:tabs>
        <w:ind w:left="567" w:hanging="567"/>
      </w:pPr>
      <w:r>
        <w:t xml:space="preserve">Furthermore, as this is a </w:t>
      </w:r>
      <w:r w:rsidR="00855CA6">
        <w:t>district-</w:t>
      </w:r>
      <w:r>
        <w:t xml:space="preserve">wide figure it would </w:t>
      </w:r>
      <w:r w:rsidR="009B6D66">
        <w:t xml:space="preserve">also </w:t>
      </w:r>
      <w:r>
        <w:t xml:space="preserve">apply to </w:t>
      </w:r>
      <w:r w:rsidR="009B6D66">
        <w:t xml:space="preserve">parts of </w:t>
      </w:r>
      <w:r>
        <w:t>the National Park.</w:t>
      </w:r>
      <w:r w:rsidR="00855CA6">
        <w:t xml:space="preserve"> </w:t>
      </w:r>
      <w:r>
        <w:t>However unconstrained development would run contrary to the purposes and duty of the National Park</w:t>
      </w:r>
      <w:r w:rsidR="009B6D66">
        <w:t xml:space="preserve"> and this approach may not be the most appropriate</w:t>
      </w:r>
      <w:r>
        <w:t>.</w:t>
      </w:r>
      <w:r w:rsidR="00855CA6">
        <w:t xml:space="preserve"> </w:t>
      </w:r>
    </w:p>
    <w:p w:rsidR="00BD161A" w:rsidRDefault="00BD161A" w:rsidP="00BD6C75">
      <w:pPr>
        <w:pStyle w:val="NameofDevelopment"/>
        <w:ind w:left="567" w:firstLine="0"/>
      </w:pPr>
      <w:r>
        <w:t>Unmet Need</w:t>
      </w:r>
    </w:p>
    <w:p w:rsidR="00BD161A" w:rsidRDefault="00BD161A" w:rsidP="00020CFC">
      <w:pPr>
        <w:pStyle w:val="11Bodytext"/>
        <w:tabs>
          <w:tab w:val="clear" w:pos="2212"/>
          <w:tab w:val="num" w:pos="567"/>
        </w:tabs>
        <w:ind w:left="567" w:hanging="567"/>
      </w:pPr>
      <w:r w:rsidRPr="00CA47B9">
        <w:t xml:space="preserve">The South Downs National Park HEDNA (2017) identified that the local housing need for </w:t>
      </w:r>
      <w:r w:rsidR="00371DF1">
        <w:t xml:space="preserve">the part of the </w:t>
      </w:r>
      <w:r w:rsidRPr="00CA47B9">
        <w:t>South Downs National Park (SDNP)</w:t>
      </w:r>
      <w:r w:rsidR="00371DF1">
        <w:t xml:space="preserve"> within Chichester District</w:t>
      </w:r>
      <w:r w:rsidR="00855CA6">
        <w:t xml:space="preserve"> </w:t>
      </w:r>
      <w:r w:rsidRPr="00CA47B9">
        <w:t xml:space="preserve">is 125 dpa. However, </w:t>
      </w:r>
      <w:r w:rsidR="00055033">
        <w:t xml:space="preserve">in 2019 </w:t>
      </w:r>
      <w:r w:rsidRPr="00CA47B9">
        <w:t>the</w:t>
      </w:r>
      <w:r>
        <w:t xml:space="preserve"> National Park Authority</w:t>
      </w:r>
      <w:r w:rsidRPr="00CA47B9">
        <w:t xml:space="preserve"> </w:t>
      </w:r>
      <w:r w:rsidR="00055033">
        <w:t>was</w:t>
      </w:r>
      <w:r w:rsidR="00055033" w:rsidRPr="00CA47B9">
        <w:t xml:space="preserve"> </w:t>
      </w:r>
      <w:r w:rsidRPr="00CA47B9">
        <w:t xml:space="preserve">only </w:t>
      </w:r>
      <w:r w:rsidR="00055033">
        <w:t>expecting to build</w:t>
      </w:r>
      <w:r w:rsidRPr="00CA47B9">
        <w:t xml:space="preserve"> 81 dpa of th</w:t>
      </w:r>
      <w:r>
        <w:t>is</w:t>
      </w:r>
      <w:r w:rsidRPr="00CA47B9">
        <w:t xml:space="preserve"> need within the National Park area that falls within Chichester District. </w:t>
      </w:r>
      <w:r>
        <w:t>T</w:t>
      </w:r>
      <w:r w:rsidRPr="00CA47B9">
        <w:t>hey</w:t>
      </w:r>
      <w:r w:rsidR="00855CA6">
        <w:t>, therefore,</w:t>
      </w:r>
      <w:r w:rsidRPr="00CA47B9">
        <w:t xml:space="preserve"> ha</w:t>
      </w:r>
      <w:r w:rsidR="00055033">
        <w:t>d</w:t>
      </w:r>
      <w:r w:rsidRPr="00CA47B9">
        <w:t xml:space="preserve"> an unmet need of 44 dpa. </w:t>
      </w:r>
    </w:p>
    <w:p w:rsidR="00BD161A" w:rsidRDefault="00BD161A" w:rsidP="00020CFC">
      <w:pPr>
        <w:pStyle w:val="11Bodytext"/>
        <w:tabs>
          <w:tab w:val="clear" w:pos="2212"/>
          <w:tab w:val="num" w:pos="567"/>
        </w:tabs>
        <w:ind w:left="567" w:hanging="567"/>
      </w:pPr>
      <w:r w:rsidRPr="00CA47B9">
        <w:t xml:space="preserve">Chichester District Council </w:t>
      </w:r>
      <w:r w:rsidR="001D2C1E">
        <w:t xml:space="preserve">previously signed a Statement of Common Ground </w:t>
      </w:r>
      <w:r>
        <w:t>to test if it can accommodate</w:t>
      </w:r>
      <w:r w:rsidRPr="00CA47B9">
        <w:t xml:space="preserve"> </w:t>
      </w:r>
      <w:r>
        <w:t xml:space="preserve">the identified </w:t>
      </w:r>
      <w:r w:rsidRPr="00CA47B9">
        <w:t>unmet need</w:t>
      </w:r>
      <w:r w:rsidR="009B6D66">
        <w:t xml:space="preserve"> </w:t>
      </w:r>
      <w:r w:rsidR="001D2C1E">
        <w:t xml:space="preserve">of 44 dpa </w:t>
      </w:r>
      <w:r w:rsidR="009B6D66">
        <w:t>from the National Park</w:t>
      </w:r>
      <w:r w:rsidRPr="00CA47B9">
        <w:t>.</w:t>
      </w:r>
      <w:r w:rsidR="00855CA6">
        <w:t xml:space="preserve"> </w:t>
      </w:r>
      <w:r w:rsidR="001D2C1E">
        <w:t>A final decision on the capacity of the district to accommodate unmet need from the National Park or elsewhere has not yet been taken.</w:t>
      </w:r>
      <w:r w:rsidR="00855CA6">
        <w:t xml:space="preserve"> </w:t>
      </w:r>
      <w:r>
        <w:t xml:space="preserve">This </w:t>
      </w:r>
      <w:r w:rsidR="009B6D66">
        <w:t>can potentially</w:t>
      </w:r>
      <w:r>
        <w:t xml:space="preserve"> be added to any identified need for the Plan Area. </w:t>
      </w:r>
    </w:p>
    <w:p w:rsidR="00BD161A" w:rsidRPr="004F4DBD" w:rsidRDefault="00BD161A" w:rsidP="00BD6C75">
      <w:pPr>
        <w:pStyle w:val="NameofDevelopment"/>
        <w:ind w:left="567" w:firstLine="0"/>
      </w:pPr>
      <w:r w:rsidRPr="004F4DBD">
        <w:t>Conclusion</w:t>
      </w:r>
    </w:p>
    <w:p w:rsidR="00BD161A" w:rsidRDefault="00BD161A" w:rsidP="00020CFC">
      <w:pPr>
        <w:pStyle w:val="11Bodytext"/>
        <w:tabs>
          <w:tab w:val="clear" w:pos="2212"/>
          <w:tab w:val="num" w:pos="567"/>
        </w:tabs>
        <w:ind w:left="567" w:hanging="567"/>
      </w:pPr>
      <w:r w:rsidRPr="004F4DBD">
        <w:t>The standard method for the district identifie</w:t>
      </w:r>
      <w:r w:rsidR="007F7B49">
        <w:t>d</w:t>
      </w:r>
      <w:r w:rsidRPr="004F4DBD">
        <w:t xml:space="preserve"> a </w:t>
      </w:r>
      <w:r w:rsidRPr="009038FF">
        <w:t>local housing need for 746 dpa.</w:t>
      </w:r>
      <w:r w:rsidR="00855CA6">
        <w:t xml:space="preserve"> </w:t>
      </w:r>
      <w:r w:rsidRPr="009038FF">
        <w:t xml:space="preserve">A component of this need will also be covered by the 125 dpa identified for the South Downs National Park. </w:t>
      </w:r>
      <w:r>
        <w:t>Therefore s</w:t>
      </w:r>
      <w:r w:rsidRPr="009038FF">
        <w:t>ubtracting</w:t>
      </w:r>
      <w:r w:rsidRPr="004F4DBD">
        <w:t xml:space="preserve"> the SDNP </w:t>
      </w:r>
      <w:r>
        <w:t>n</w:t>
      </w:r>
      <w:r w:rsidRPr="004F4DBD">
        <w:t xml:space="preserve">eed from the </w:t>
      </w:r>
      <w:r>
        <w:t>district need</w:t>
      </w:r>
      <w:r w:rsidRPr="004F4DBD">
        <w:t xml:space="preserve"> would </w:t>
      </w:r>
      <w:r w:rsidRPr="009038FF">
        <w:t>result in a Local Housing Need (LHN) for the Chichester Plan Area of 621 dpa.</w:t>
      </w:r>
    </w:p>
    <w:p w:rsidR="00BD161A" w:rsidRPr="001B2E7E" w:rsidRDefault="00EE6E8F" w:rsidP="00020CFC">
      <w:pPr>
        <w:pStyle w:val="11Bodytext"/>
        <w:tabs>
          <w:tab w:val="clear" w:pos="2212"/>
          <w:tab w:val="num" w:pos="567"/>
        </w:tabs>
        <w:ind w:left="567" w:hanging="567"/>
      </w:pPr>
      <w:r>
        <w:t>Up until July 2020</w:t>
      </w:r>
      <w:r w:rsidR="00BD161A">
        <w:t xml:space="preserve">, the standard method for the Plan Area would likely </w:t>
      </w:r>
      <w:r>
        <w:t xml:space="preserve">have </w:t>
      </w:r>
      <w:r w:rsidR="00BD161A">
        <w:t>result</w:t>
      </w:r>
      <w:r>
        <w:t>ed</w:t>
      </w:r>
      <w:r w:rsidR="00BD161A">
        <w:t xml:space="preserve"> in a need for 609 dpa.</w:t>
      </w:r>
      <w:r w:rsidR="00855CA6">
        <w:t xml:space="preserve"> </w:t>
      </w:r>
      <w:r w:rsidR="00BD161A">
        <w:t>This assumes a 40% uplift above the existing Local Plan target.</w:t>
      </w:r>
      <w:r w:rsidR="00855CA6">
        <w:t xml:space="preserve"> </w:t>
      </w:r>
    </w:p>
    <w:p w:rsidR="00BD161A" w:rsidRPr="00873DCC" w:rsidRDefault="00BD161A" w:rsidP="00020CFC">
      <w:pPr>
        <w:pStyle w:val="11Bodytext"/>
        <w:tabs>
          <w:tab w:val="clear" w:pos="2212"/>
          <w:tab w:val="num" w:pos="567"/>
        </w:tabs>
        <w:ind w:left="567" w:hanging="567"/>
        <w:rPr>
          <w:b/>
        </w:rPr>
      </w:pPr>
      <w:r w:rsidRPr="001B2E7E">
        <w:t>In addition, the</w:t>
      </w:r>
      <w:r w:rsidR="007F7B49">
        <w:t xml:space="preserve"> </w:t>
      </w:r>
      <w:r w:rsidR="00055033">
        <w:t>previous</w:t>
      </w:r>
      <w:r w:rsidR="007F7B49">
        <w:t xml:space="preserve"> </w:t>
      </w:r>
      <w:r w:rsidR="007F7B49">
        <w:rPr>
          <w:i/>
        </w:rPr>
        <w:t xml:space="preserve">Preferred Approach </w:t>
      </w:r>
      <w:r w:rsidR="00055033">
        <w:rPr>
          <w:i/>
        </w:rPr>
        <w:t>Local</w:t>
      </w:r>
      <w:r w:rsidR="007F7B49">
        <w:rPr>
          <w:i/>
        </w:rPr>
        <w:t xml:space="preserve"> Plan</w:t>
      </w:r>
      <w:r w:rsidRPr="001B2E7E">
        <w:t xml:space="preserve"> also</w:t>
      </w:r>
      <w:r w:rsidR="00855CA6">
        <w:t xml:space="preserve"> </w:t>
      </w:r>
      <w:r w:rsidRPr="001B2E7E">
        <w:t>t</w:t>
      </w:r>
      <w:r w:rsidR="00DE76C7">
        <w:t>ook</w:t>
      </w:r>
      <w:r w:rsidRPr="001B2E7E">
        <w:t xml:space="preserve"> account of </w:t>
      </w:r>
      <w:r w:rsidR="00055033">
        <w:t>the agreement in the Statement of Common Ground</w:t>
      </w:r>
      <w:r w:rsidR="00855CA6">
        <w:t xml:space="preserve"> </w:t>
      </w:r>
      <w:r w:rsidR="009B6D66">
        <w:t xml:space="preserve">to test the possibility of taking the </w:t>
      </w:r>
      <w:r w:rsidRPr="001B2E7E">
        <w:t>unmet need for the South Downs National Park.</w:t>
      </w:r>
      <w:r w:rsidR="00855CA6">
        <w:t xml:space="preserve"> </w:t>
      </w:r>
      <w:r w:rsidRPr="004F4DBD">
        <w:t xml:space="preserve">Adding this to the Plan Area LHN </w:t>
      </w:r>
      <w:r w:rsidRPr="004F4DBD">
        <w:lastRenderedPageBreak/>
        <w:t>result</w:t>
      </w:r>
      <w:r w:rsidR="00F55CB0">
        <w:t>ed</w:t>
      </w:r>
      <w:r w:rsidRPr="004F4DBD">
        <w:t xml:space="preserve"> in </w:t>
      </w:r>
      <w:r w:rsidRPr="001B2E7E">
        <w:rPr>
          <w:b/>
        </w:rPr>
        <w:t xml:space="preserve">a housing </w:t>
      </w:r>
      <w:r w:rsidR="00F55CB0">
        <w:rPr>
          <w:b/>
        </w:rPr>
        <w:t>target</w:t>
      </w:r>
      <w:r w:rsidR="00F55CB0" w:rsidRPr="001B2E7E">
        <w:rPr>
          <w:b/>
        </w:rPr>
        <w:t xml:space="preserve"> </w:t>
      </w:r>
      <w:r w:rsidRPr="001B2E7E">
        <w:rPr>
          <w:b/>
        </w:rPr>
        <w:t>of 650 dpa for the Plan</w:t>
      </w:r>
      <w:r w:rsidRPr="004F4DBD">
        <w:rPr>
          <w:b/>
        </w:rPr>
        <w:t xml:space="preserve"> </w:t>
      </w:r>
      <w:r w:rsidRPr="001B2E7E">
        <w:rPr>
          <w:b/>
        </w:rPr>
        <w:t>Area</w:t>
      </w:r>
      <w:r w:rsidRPr="001B2E7E">
        <w:t xml:space="preserve"> (4</w:t>
      </w:r>
      <w:r w:rsidR="00055033">
        <w:t>4</w:t>
      </w:r>
      <w:r w:rsidRPr="001B2E7E">
        <w:t xml:space="preserve"> dpa + 609 dpa</w:t>
      </w:r>
      <w:r w:rsidR="00055033">
        <w:t xml:space="preserve"> = 653 dpa, rounded to 650dpa</w:t>
      </w:r>
      <w:r w:rsidRPr="001B2E7E">
        <w:t>).</w:t>
      </w:r>
      <w:r w:rsidR="00855CA6">
        <w:t xml:space="preserve"> </w:t>
      </w:r>
    </w:p>
    <w:p w:rsidR="00BD161A" w:rsidRPr="00873DCC" w:rsidRDefault="00BD161A" w:rsidP="00020CFC">
      <w:pPr>
        <w:pStyle w:val="11Bodytext"/>
        <w:tabs>
          <w:tab w:val="clear" w:pos="2212"/>
          <w:tab w:val="num" w:pos="567"/>
        </w:tabs>
        <w:ind w:left="567" w:hanging="567"/>
        <w:rPr>
          <w:b/>
        </w:rPr>
      </w:pPr>
      <w:r w:rsidRPr="001B2E7E">
        <w:t>To co</w:t>
      </w:r>
      <w:r w:rsidR="00491509">
        <w:t>n</w:t>
      </w:r>
      <w:r w:rsidRPr="001B2E7E">
        <w:t xml:space="preserve">vert this back to a district area need the SNDPA capacity of 81 could be added to the 650 dpa need for the Plan Area to calculate a </w:t>
      </w:r>
      <w:r w:rsidR="00855CA6" w:rsidRPr="004F4DBD">
        <w:rPr>
          <w:b/>
        </w:rPr>
        <w:t>District</w:t>
      </w:r>
      <w:r w:rsidR="00855CA6">
        <w:rPr>
          <w:b/>
        </w:rPr>
        <w:t>-</w:t>
      </w:r>
      <w:r w:rsidRPr="004F4DBD">
        <w:rPr>
          <w:b/>
        </w:rPr>
        <w:t>wide housing need of 731 dpa.</w:t>
      </w:r>
      <w:r w:rsidR="00855CA6">
        <w:rPr>
          <w:b/>
        </w:rPr>
        <w:t xml:space="preserve"> </w:t>
      </w:r>
      <w:r w:rsidRPr="00657772">
        <w:t>Th</w:t>
      </w:r>
      <w:r w:rsidR="004C735B" w:rsidRPr="00657772">
        <w:t>is</w:t>
      </w:r>
      <w:r w:rsidRPr="004F4DBD">
        <w:t xml:space="preserve"> number is taken forward for the analysis within the remainder of this assessment.</w:t>
      </w:r>
    </w:p>
    <w:p w:rsidR="00153E31" w:rsidRPr="006A7CAA" w:rsidRDefault="00F55CB0" w:rsidP="00020CFC">
      <w:pPr>
        <w:pStyle w:val="11Bodytext"/>
        <w:tabs>
          <w:tab w:val="clear" w:pos="2212"/>
          <w:tab w:val="num" w:pos="567"/>
        </w:tabs>
        <w:ind w:left="567" w:hanging="567"/>
      </w:pPr>
      <w:r>
        <w:t xml:space="preserve">On this basis, </w:t>
      </w:r>
      <w:r w:rsidR="00153E31" w:rsidRPr="004F4DBD">
        <w:t>it would appear that 11% of the district</w:t>
      </w:r>
      <w:r w:rsidR="00CC122C">
        <w:t>-</w:t>
      </w:r>
      <w:r w:rsidR="00153E31" w:rsidRPr="004F4DBD">
        <w:t xml:space="preserve">wide need </w:t>
      </w:r>
      <w:r>
        <w:t>would</w:t>
      </w:r>
      <w:r w:rsidRPr="004F4DBD">
        <w:t xml:space="preserve"> </w:t>
      </w:r>
      <w:r w:rsidR="00153E31" w:rsidRPr="004F4DBD">
        <w:t>be addressed within the South Downs National Park and 89% within the Plan Area.</w:t>
      </w:r>
      <w:r w:rsidR="00855CA6">
        <w:t xml:space="preserve"> </w:t>
      </w:r>
    </w:p>
    <w:p w:rsidR="00BD161A" w:rsidRPr="00873DCC" w:rsidRDefault="00EE6E8F" w:rsidP="00020CFC">
      <w:pPr>
        <w:pStyle w:val="11Bodytext"/>
        <w:tabs>
          <w:tab w:val="clear" w:pos="2212"/>
          <w:tab w:val="num" w:pos="567"/>
        </w:tabs>
        <w:ind w:left="567" w:hanging="567"/>
        <w:rPr>
          <w:b/>
        </w:rPr>
      </w:pPr>
      <w:r>
        <w:t>Now</w:t>
      </w:r>
      <w:r w:rsidR="00BD161A">
        <w:t xml:space="preserve"> the Local Plan </w:t>
      </w:r>
      <w:r>
        <w:t>is</w:t>
      </w:r>
      <w:r w:rsidR="00BD161A">
        <w:t xml:space="preserve"> older than 5 years old the </w:t>
      </w:r>
      <w:r w:rsidR="00153E31">
        <w:t>D</w:t>
      </w:r>
      <w:r w:rsidR="00BD161A">
        <w:t>istrict</w:t>
      </w:r>
      <w:r w:rsidR="00CC122C">
        <w:t>-</w:t>
      </w:r>
      <w:r w:rsidR="00BD161A">
        <w:t xml:space="preserve">wide local housing </w:t>
      </w:r>
      <w:r>
        <w:t xml:space="preserve">need </w:t>
      </w:r>
      <w:r w:rsidR="00BD161A">
        <w:t xml:space="preserve">would </w:t>
      </w:r>
      <w:r w:rsidR="00153E31">
        <w:t xml:space="preserve">arguably </w:t>
      </w:r>
      <w:r w:rsidR="00BD161A">
        <w:t>increase slightly to 746 dpa.</w:t>
      </w:r>
      <w:r w:rsidR="00855CA6">
        <w:t xml:space="preserve"> </w:t>
      </w:r>
      <w:r w:rsidR="00BD161A">
        <w:t>However</w:t>
      </w:r>
      <w:r w:rsidR="00153E31">
        <w:t>,</w:t>
      </w:r>
      <w:r w:rsidR="00BD161A">
        <w:t xml:space="preserve"> this in no way recognises the constraints within the South Downs National Park nor its purposes and duty</w:t>
      </w:r>
      <w:r w:rsidR="00153E31">
        <w:t>.</w:t>
      </w:r>
    </w:p>
    <w:p w:rsidR="00153E31" w:rsidRPr="00873DCC" w:rsidRDefault="00153E31" w:rsidP="00020CFC">
      <w:pPr>
        <w:pStyle w:val="11Bodytext"/>
        <w:tabs>
          <w:tab w:val="clear" w:pos="2212"/>
          <w:tab w:val="num" w:pos="567"/>
        </w:tabs>
        <w:ind w:left="567" w:hanging="567"/>
      </w:pPr>
      <w:r w:rsidRPr="00873DCC">
        <w:t>It is also worth reiterating Paragraph 14 of the PPG (Reference ID: 2a-014-20190220) which states that</w:t>
      </w:r>
      <w:r>
        <w:t>:</w:t>
      </w:r>
    </w:p>
    <w:p w:rsidR="00153E31" w:rsidRDefault="00153E31" w:rsidP="00A54ECA">
      <w:pPr>
        <w:pStyle w:val="Quotetext"/>
      </w:pPr>
      <w:r>
        <w:t>“Where strategic policy-making authorities do not align with local authority boundaries (either individually or in combination), or the data required for the model are not available such as in National Parks and the Broads Authority, where local authority boundaries have changed due to reorganisation within the last 5 years or local authority areas where the samples are too small, an alternative approach will have to be used. Such authorities may continue to identify a housing need figure using a method determined locally, but in doing so will need to consider the best available information on anticipated changes in households as well as local affordability levels.”</w:t>
      </w:r>
    </w:p>
    <w:p w:rsidR="00055033" w:rsidRDefault="00153E31" w:rsidP="00020CFC">
      <w:pPr>
        <w:pStyle w:val="11Bodytext"/>
        <w:tabs>
          <w:tab w:val="clear" w:pos="2212"/>
          <w:tab w:val="num" w:pos="567"/>
        </w:tabs>
        <w:ind w:left="567" w:hanging="567"/>
        <w:rPr>
          <w:shd w:val="clear" w:color="auto" w:fill="FFFFFF"/>
        </w:rPr>
      </w:pPr>
      <w:r>
        <w:rPr>
          <w:shd w:val="clear" w:color="auto" w:fill="FFFFFF"/>
        </w:rPr>
        <w:t xml:space="preserve">This clearly applies to Chichester as a location whose boundaries are crossed by a National Park. </w:t>
      </w:r>
    </w:p>
    <w:p w:rsidR="00055033" w:rsidRDefault="006549C9" w:rsidP="00020CFC">
      <w:pPr>
        <w:pStyle w:val="11Bodytext"/>
        <w:tabs>
          <w:tab w:val="clear" w:pos="2212"/>
          <w:tab w:val="num" w:pos="567"/>
        </w:tabs>
        <w:ind w:left="567" w:hanging="567"/>
        <w:rPr>
          <w:shd w:val="clear" w:color="auto" w:fill="FFFFFF"/>
        </w:rPr>
      </w:pPr>
      <w:r>
        <w:rPr>
          <w:shd w:val="clear" w:color="auto" w:fill="FFFFFF"/>
        </w:rPr>
        <w:t>In the late stages in the</w:t>
      </w:r>
      <w:r w:rsidR="00055033" w:rsidRPr="00055033">
        <w:rPr>
          <w:shd w:val="clear" w:color="auto" w:fill="FFFFFF"/>
        </w:rPr>
        <w:t xml:space="preserve"> production of this calculation</w:t>
      </w:r>
      <w:r w:rsidR="00055033">
        <w:rPr>
          <w:shd w:val="clear" w:color="auto" w:fill="FFFFFF"/>
        </w:rPr>
        <w:t xml:space="preserve"> in 2019</w:t>
      </w:r>
      <w:r w:rsidR="00055033" w:rsidRPr="00055033">
        <w:rPr>
          <w:shd w:val="clear" w:color="auto" w:fill="FFFFFF"/>
        </w:rPr>
        <w:t xml:space="preserve">, revised </w:t>
      </w:r>
      <w:r w:rsidR="00055033" w:rsidRPr="00020CFC">
        <w:t>affordability</w:t>
      </w:r>
      <w:r w:rsidR="00055033" w:rsidRPr="00055033">
        <w:rPr>
          <w:shd w:val="clear" w:color="auto" w:fill="FFFFFF"/>
        </w:rPr>
        <w:t xml:space="preserve"> calculations and household projection apply as at July 2020.</w:t>
      </w:r>
      <w:r w:rsidR="00855CA6">
        <w:rPr>
          <w:shd w:val="clear" w:color="auto" w:fill="FFFFFF"/>
        </w:rPr>
        <w:t xml:space="preserve"> </w:t>
      </w:r>
      <w:r w:rsidR="00055033" w:rsidRPr="00055033">
        <w:rPr>
          <w:shd w:val="clear" w:color="auto" w:fill="FFFFFF"/>
        </w:rPr>
        <w:t xml:space="preserve">The </w:t>
      </w:r>
      <w:r w:rsidR="00F55CB0">
        <w:rPr>
          <w:shd w:val="clear" w:color="auto" w:fill="FFFFFF"/>
        </w:rPr>
        <w:t>Council’s most recent calculation, based on updated figures and excluding any unmet need from outside the Plan area, is set out below</w:t>
      </w:r>
      <w:r>
        <w:rPr>
          <w:shd w:val="clear" w:color="auto" w:fill="FFFFFF"/>
        </w:rPr>
        <w:t>:</w:t>
      </w:r>
      <w:r w:rsidR="00F55CB0">
        <w:rPr>
          <w:shd w:val="clear" w:color="auto" w:fill="FFFFFF"/>
        </w:rPr>
        <w:t xml:space="preserve"> </w:t>
      </w:r>
    </w:p>
    <w:p w:rsidR="006549C9" w:rsidRDefault="006549C9" w:rsidP="00ED1C06">
      <w:pPr>
        <w:pStyle w:val="10BulletBodytext"/>
        <w:rPr>
          <w:shd w:val="clear" w:color="auto" w:fill="FFFFFF"/>
        </w:rPr>
      </w:pPr>
      <w:r>
        <w:rPr>
          <w:shd w:val="clear" w:color="auto" w:fill="FFFFFF"/>
        </w:rPr>
        <w:t>Step</w:t>
      </w:r>
      <w:r w:rsidR="00855CA6">
        <w:rPr>
          <w:shd w:val="clear" w:color="auto" w:fill="FFFFFF"/>
        </w:rPr>
        <w:t xml:space="preserve"> </w:t>
      </w:r>
      <w:r>
        <w:rPr>
          <w:shd w:val="clear" w:color="auto" w:fill="FFFFFF"/>
        </w:rPr>
        <w:t>1 – 538 dpa based on a growth of 5</w:t>
      </w:r>
      <w:r w:rsidR="002B4926">
        <w:rPr>
          <w:shd w:val="clear" w:color="auto" w:fill="FFFFFF"/>
        </w:rPr>
        <w:t>,</w:t>
      </w:r>
      <w:r>
        <w:rPr>
          <w:shd w:val="clear" w:color="auto" w:fill="FFFFFF"/>
        </w:rPr>
        <w:t>377 households over 2020-2030</w:t>
      </w:r>
      <w:r w:rsidR="00855CA6">
        <w:rPr>
          <w:shd w:val="clear" w:color="auto" w:fill="FFFFFF"/>
        </w:rPr>
        <w:t xml:space="preserve"> period</w:t>
      </w:r>
      <w:r>
        <w:rPr>
          <w:shd w:val="clear" w:color="auto" w:fill="FFFFFF"/>
        </w:rPr>
        <w:t xml:space="preserve"> as set out in the 2014 -based household projections;</w:t>
      </w:r>
    </w:p>
    <w:p w:rsidR="006549C9" w:rsidRDefault="006549C9" w:rsidP="00ED1C06">
      <w:pPr>
        <w:pStyle w:val="10BulletBodytext"/>
        <w:rPr>
          <w:shd w:val="clear" w:color="auto" w:fill="FFFFFF"/>
        </w:rPr>
      </w:pPr>
      <w:r>
        <w:rPr>
          <w:shd w:val="clear" w:color="auto" w:fill="FFFFFF"/>
        </w:rPr>
        <w:t>57% uplift based on an affordability ratio of 13.2 taking the uncapped need to 846 dpa</w:t>
      </w:r>
    </w:p>
    <w:p w:rsidR="006549C9" w:rsidRDefault="006549C9" w:rsidP="00ED1C06">
      <w:pPr>
        <w:pStyle w:val="10BulletBodytext"/>
        <w:rPr>
          <w:shd w:val="clear" w:color="auto" w:fill="FFFFFF"/>
        </w:rPr>
      </w:pPr>
      <w:r>
        <w:rPr>
          <w:shd w:val="clear" w:color="auto" w:fill="FFFFFF"/>
        </w:rPr>
        <w:t>Capping this figure to 40% above the household projections results in a need for 753 dpa.</w:t>
      </w:r>
    </w:p>
    <w:p w:rsidR="007F7FD3" w:rsidRDefault="006549C9" w:rsidP="00020CFC">
      <w:pPr>
        <w:pStyle w:val="11Bodytext"/>
        <w:tabs>
          <w:tab w:val="clear" w:pos="2212"/>
          <w:tab w:val="num" w:pos="567"/>
        </w:tabs>
        <w:ind w:left="567" w:hanging="567"/>
        <w:rPr>
          <w:shd w:val="clear" w:color="auto" w:fill="FFFFFF"/>
        </w:rPr>
      </w:pPr>
      <w:r w:rsidRPr="00FA5088">
        <w:rPr>
          <w:shd w:val="clear" w:color="auto" w:fill="FFFFFF"/>
        </w:rPr>
        <w:lastRenderedPageBreak/>
        <w:t xml:space="preserve">However, this figure includes </w:t>
      </w:r>
      <w:r w:rsidR="00EE6E8F" w:rsidRPr="00FA5088">
        <w:rPr>
          <w:shd w:val="clear" w:color="auto" w:fill="FFFFFF"/>
        </w:rPr>
        <w:t>the entire</w:t>
      </w:r>
      <w:r w:rsidRPr="00FA5088">
        <w:rPr>
          <w:shd w:val="clear" w:color="auto" w:fill="FFFFFF"/>
        </w:rPr>
        <w:t xml:space="preserve"> district not just the Local Plan Area. </w:t>
      </w:r>
      <w:r>
        <w:rPr>
          <w:lang w:eastAsia="en-GB"/>
        </w:rPr>
        <w:t>Removing the 125 dpa</w:t>
      </w:r>
      <w:r w:rsidRPr="00F55CB0">
        <w:rPr>
          <w:lang w:eastAsia="en-GB"/>
        </w:rPr>
        <w:t xml:space="preserve"> </w:t>
      </w:r>
      <w:r>
        <w:rPr>
          <w:lang w:eastAsia="en-GB"/>
        </w:rPr>
        <w:t xml:space="preserve">need for the National Park would mean the Plan Area need would be 628 </w:t>
      </w:r>
      <w:r>
        <w:t>dpa</w:t>
      </w:r>
      <w:r>
        <w:rPr>
          <w:lang w:eastAsia="en-GB"/>
        </w:rPr>
        <w:t>.</w:t>
      </w:r>
      <w:r w:rsidR="00855CA6">
        <w:rPr>
          <w:lang w:eastAsia="en-GB"/>
        </w:rPr>
        <w:t xml:space="preserve"> </w:t>
      </w:r>
      <w:r w:rsidR="00F55CB0" w:rsidRPr="00F55CB0">
        <w:rPr>
          <w:shd w:val="clear" w:color="auto" w:fill="FFFFFF"/>
        </w:rPr>
        <w:t xml:space="preserve">It is the case that the inputs to the standard methodology for housing need (population projections and affordability ratios) change </w:t>
      </w:r>
      <w:r w:rsidR="00855CA6">
        <w:rPr>
          <w:shd w:val="clear" w:color="auto" w:fill="FFFFFF"/>
        </w:rPr>
        <w:t>regularly</w:t>
      </w:r>
      <w:r w:rsidR="00F55CB0" w:rsidRPr="00F55CB0">
        <w:rPr>
          <w:shd w:val="clear" w:color="auto" w:fill="FFFFFF"/>
        </w:rPr>
        <w:t>.</w:t>
      </w:r>
      <w:r w:rsidR="00855CA6">
        <w:rPr>
          <w:shd w:val="clear" w:color="auto" w:fill="FFFFFF"/>
        </w:rPr>
        <w:t xml:space="preserve"> </w:t>
      </w:r>
      <w:r w:rsidR="00F55CB0" w:rsidRPr="00F55CB0">
        <w:rPr>
          <w:shd w:val="clear" w:color="auto" w:fill="FFFFFF"/>
        </w:rPr>
        <w:t>It is also the case that the final amount of housing in the Local Plan (including any addition in response to unmet need) has yet to be determined.</w:t>
      </w:r>
      <w:r w:rsidR="00855CA6">
        <w:rPr>
          <w:shd w:val="clear" w:color="auto" w:fill="FFFFFF"/>
        </w:rPr>
        <w:t xml:space="preserve"> </w:t>
      </w:r>
    </w:p>
    <w:p w:rsidR="00F55CB0" w:rsidRDefault="00F55CB0" w:rsidP="00020CFC">
      <w:pPr>
        <w:pStyle w:val="11Bodytext"/>
        <w:tabs>
          <w:tab w:val="clear" w:pos="2212"/>
          <w:tab w:val="num" w:pos="567"/>
        </w:tabs>
        <w:ind w:left="567" w:hanging="567"/>
        <w:rPr>
          <w:shd w:val="clear" w:color="auto" w:fill="FFFFFF"/>
        </w:rPr>
      </w:pPr>
      <w:r w:rsidRPr="00F55CB0">
        <w:rPr>
          <w:shd w:val="clear" w:color="auto" w:fill="FFFFFF"/>
        </w:rPr>
        <w:t>Therefore to provide a suitable basis for informing the production of the Local Plan a judgement has to be made regarding the assumed level of housing, to then enable an assessment of the various types of housing need to be addressed and the interaction with employment needs</w:t>
      </w:r>
      <w:r>
        <w:rPr>
          <w:shd w:val="clear" w:color="auto" w:fill="FFFFFF"/>
        </w:rPr>
        <w:t>.</w:t>
      </w:r>
    </w:p>
    <w:p w:rsidR="007F7FD3" w:rsidRDefault="007F7FD3" w:rsidP="00020CFC">
      <w:pPr>
        <w:pStyle w:val="11Bodytext"/>
        <w:tabs>
          <w:tab w:val="clear" w:pos="2212"/>
          <w:tab w:val="num" w:pos="567"/>
        </w:tabs>
        <w:ind w:left="567" w:hanging="567"/>
        <w:rPr>
          <w:shd w:val="clear" w:color="auto" w:fill="FFFFFF"/>
        </w:rPr>
      </w:pPr>
      <w:r>
        <w:rPr>
          <w:shd w:val="clear" w:color="auto" w:fill="FFFFFF"/>
        </w:rPr>
        <w:t>A</w:t>
      </w:r>
      <w:r w:rsidR="00BA486F">
        <w:rPr>
          <w:shd w:val="clear" w:color="auto" w:fill="FFFFFF"/>
        </w:rPr>
        <w:t xml:space="preserve"> decision has been taken to base the remainder</w:t>
      </w:r>
      <w:r w:rsidR="00BA486F" w:rsidRPr="00BA486F">
        <w:rPr>
          <w:shd w:val="clear" w:color="auto" w:fill="FFFFFF"/>
        </w:rPr>
        <w:t xml:space="preserve"> of this report </w:t>
      </w:r>
      <w:r w:rsidR="00BA486F">
        <w:rPr>
          <w:shd w:val="clear" w:color="auto" w:fill="FFFFFF"/>
        </w:rPr>
        <w:t>on a</w:t>
      </w:r>
      <w:r w:rsidR="00D44CB1">
        <w:rPr>
          <w:shd w:val="clear" w:color="auto" w:fill="FFFFFF"/>
        </w:rPr>
        <w:t xml:space="preserve"> housing figure </w:t>
      </w:r>
      <w:r w:rsidR="00BA486F">
        <w:rPr>
          <w:shd w:val="clear" w:color="auto" w:fill="FFFFFF"/>
        </w:rPr>
        <w:t>for the Plan area of</w:t>
      </w:r>
      <w:r w:rsidR="00855CA6">
        <w:rPr>
          <w:shd w:val="clear" w:color="auto" w:fill="FFFFFF"/>
        </w:rPr>
        <w:t xml:space="preserve"> </w:t>
      </w:r>
      <w:r w:rsidR="00BA486F" w:rsidRPr="00BA486F">
        <w:rPr>
          <w:shd w:val="clear" w:color="auto" w:fill="FFFFFF"/>
        </w:rPr>
        <w:t>650 dpa.</w:t>
      </w:r>
      <w:r w:rsidR="00855CA6">
        <w:rPr>
          <w:shd w:val="clear" w:color="auto" w:fill="FFFFFF"/>
        </w:rPr>
        <w:t xml:space="preserve"> </w:t>
      </w:r>
      <w:r w:rsidR="00BA486F" w:rsidRPr="00BA486F">
        <w:rPr>
          <w:shd w:val="clear" w:color="auto" w:fill="FFFFFF"/>
        </w:rPr>
        <w:t>However on occasion data restriction</w:t>
      </w:r>
      <w:r w:rsidR="00D44CB1">
        <w:rPr>
          <w:shd w:val="clear" w:color="auto" w:fill="FFFFFF"/>
        </w:rPr>
        <w:t>s</w:t>
      </w:r>
      <w:r w:rsidR="00BA486F" w:rsidRPr="00BA486F">
        <w:rPr>
          <w:shd w:val="clear" w:color="auto" w:fill="FFFFFF"/>
        </w:rPr>
        <w:t xml:space="preserve"> mean we need to look at the district, </w:t>
      </w:r>
      <w:r w:rsidR="00D44CB1">
        <w:rPr>
          <w:shd w:val="clear" w:color="auto" w:fill="FFFFFF"/>
        </w:rPr>
        <w:t>in those instances</w:t>
      </w:r>
      <w:r w:rsidR="00855CA6">
        <w:rPr>
          <w:shd w:val="clear" w:color="auto" w:fill="FFFFFF"/>
        </w:rPr>
        <w:t>,</w:t>
      </w:r>
      <w:r w:rsidR="00D44CB1">
        <w:rPr>
          <w:shd w:val="clear" w:color="auto" w:fill="FFFFFF"/>
        </w:rPr>
        <w:t xml:space="preserve"> we have based the report on a housing figure of</w:t>
      </w:r>
      <w:r w:rsidR="00855CA6">
        <w:rPr>
          <w:shd w:val="clear" w:color="auto" w:fill="FFFFFF"/>
        </w:rPr>
        <w:t xml:space="preserve"> </w:t>
      </w:r>
      <w:r w:rsidR="00BA486F" w:rsidRPr="00BA486F">
        <w:rPr>
          <w:shd w:val="clear" w:color="auto" w:fill="FFFFFF"/>
        </w:rPr>
        <w:t>731 dpa and we have strived to break this down to the plan area where possible.</w:t>
      </w:r>
      <w:r w:rsidR="00BA486F">
        <w:rPr>
          <w:shd w:val="clear" w:color="auto" w:fill="FFFFFF"/>
        </w:rPr>
        <w:t xml:space="preserve"> </w:t>
      </w:r>
    </w:p>
    <w:p w:rsidR="00153E31" w:rsidRDefault="00153E31" w:rsidP="00020CFC">
      <w:pPr>
        <w:pStyle w:val="11Bodytext"/>
        <w:tabs>
          <w:tab w:val="clear" w:pos="2212"/>
          <w:tab w:val="num" w:pos="567"/>
        </w:tabs>
        <w:ind w:left="567" w:hanging="567"/>
        <w:rPr>
          <w:shd w:val="clear" w:color="auto" w:fill="FFFFFF"/>
        </w:rPr>
      </w:pPr>
      <w:r>
        <w:rPr>
          <w:shd w:val="clear" w:color="auto" w:fill="FFFFFF"/>
        </w:rPr>
        <w:t>Also</w:t>
      </w:r>
      <w:r w:rsidR="00CC122C">
        <w:rPr>
          <w:shd w:val="clear" w:color="auto" w:fill="FFFFFF"/>
        </w:rPr>
        <w:t>,</w:t>
      </w:r>
      <w:r>
        <w:rPr>
          <w:shd w:val="clear" w:color="auto" w:fill="FFFFFF"/>
        </w:rPr>
        <w:t xml:space="preserve"> by using a method which is based on the standard method applied to the Plan Area</w:t>
      </w:r>
      <w:r w:rsidR="00CC122C">
        <w:rPr>
          <w:shd w:val="clear" w:color="auto" w:fill="FFFFFF"/>
        </w:rPr>
        <w:t>,</w:t>
      </w:r>
      <w:r>
        <w:rPr>
          <w:shd w:val="clear" w:color="auto" w:fill="FFFFFF"/>
        </w:rPr>
        <w:t xml:space="preserve"> we can</w:t>
      </w:r>
      <w:r w:rsidR="00855CA6">
        <w:rPr>
          <w:shd w:val="clear" w:color="auto" w:fill="FFFFFF"/>
        </w:rPr>
        <w:t>, therefore,</w:t>
      </w:r>
      <w:r>
        <w:rPr>
          <w:shd w:val="clear" w:color="auto" w:fill="FFFFFF"/>
        </w:rPr>
        <w:t xml:space="preserve"> be content that the approach we have used takes into account the best available information</w:t>
      </w:r>
      <w:r w:rsidR="007F7FD3">
        <w:rPr>
          <w:shd w:val="clear" w:color="auto" w:fill="FFFFFF"/>
        </w:rPr>
        <w:t xml:space="preserve"> as per the PPG</w:t>
      </w:r>
      <w:r>
        <w:rPr>
          <w:shd w:val="clear" w:color="auto" w:fill="FFFFFF"/>
        </w:rPr>
        <w:t>.</w:t>
      </w:r>
    </w:p>
    <w:p w:rsidR="002804C6" w:rsidRPr="00CA47B9" w:rsidRDefault="002804C6" w:rsidP="00BD6C75">
      <w:pPr>
        <w:pStyle w:val="SubheadBlue12"/>
        <w:ind w:left="567" w:firstLine="0"/>
      </w:pPr>
      <w:r w:rsidRPr="00CA47B9">
        <w:t xml:space="preserve">Population Growth </w:t>
      </w:r>
    </w:p>
    <w:p w:rsidR="002C72FE" w:rsidRPr="002C72FE" w:rsidRDefault="002804C6" w:rsidP="00020CFC">
      <w:pPr>
        <w:pStyle w:val="11Bodytext"/>
        <w:tabs>
          <w:tab w:val="clear" w:pos="2212"/>
          <w:tab w:val="num" w:pos="567"/>
        </w:tabs>
        <w:ind w:left="567" w:hanging="567"/>
      </w:pPr>
      <w:r w:rsidRPr="00CA47B9">
        <w:t xml:space="preserve">Having established </w:t>
      </w:r>
      <w:r w:rsidR="002C72FE">
        <w:t xml:space="preserve">a housing </w:t>
      </w:r>
      <w:r w:rsidR="008864C0">
        <w:t xml:space="preserve">figure </w:t>
      </w:r>
      <w:r w:rsidR="002C72FE">
        <w:t xml:space="preserve">of </w:t>
      </w:r>
      <w:r w:rsidR="009B6D66">
        <w:t>650</w:t>
      </w:r>
      <w:r w:rsidR="0058794B">
        <w:t xml:space="preserve"> </w:t>
      </w:r>
      <w:r w:rsidR="002C72FE">
        <w:t xml:space="preserve">dpa </w:t>
      </w:r>
      <w:r w:rsidR="0058794B">
        <w:t xml:space="preserve">for the </w:t>
      </w:r>
      <w:r w:rsidR="00855CA6">
        <w:t xml:space="preserve">Local </w:t>
      </w:r>
      <w:r w:rsidR="0058794B">
        <w:t xml:space="preserve">Plan area </w:t>
      </w:r>
      <w:r w:rsidRPr="00CA47B9">
        <w:t xml:space="preserve">based on the </w:t>
      </w:r>
      <w:r w:rsidR="0058794B">
        <w:t>s</w:t>
      </w:r>
      <w:r w:rsidRPr="00CA47B9">
        <w:t xml:space="preserve">tandard </w:t>
      </w:r>
      <w:r w:rsidR="0058794B">
        <w:t>m</w:t>
      </w:r>
      <w:r w:rsidRPr="00CA47B9">
        <w:t xml:space="preserve">ethodology, the next section of the report moves on to consider </w:t>
      </w:r>
      <w:r w:rsidR="00855CA6">
        <w:t>several</w:t>
      </w:r>
      <w:r w:rsidRPr="00CA47B9">
        <w:t xml:space="preserve"> specific issues within the housing market (including affordable housing need, the mix of housing and the needs of older persons). </w:t>
      </w:r>
    </w:p>
    <w:p w:rsidR="002804C6" w:rsidRPr="00CA47B9" w:rsidRDefault="002804C6" w:rsidP="00020CFC">
      <w:pPr>
        <w:pStyle w:val="11Bodytext"/>
        <w:tabs>
          <w:tab w:val="clear" w:pos="2212"/>
          <w:tab w:val="num" w:pos="567"/>
        </w:tabs>
        <w:ind w:left="567" w:hanging="567"/>
      </w:pPr>
      <w:r w:rsidRPr="00CA47B9">
        <w:t>As the analysis takes a start point of 2019, the</w:t>
      </w:r>
      <w:r w:rsidR="002C72FE">
        <w:t xml:space="preserve"> </w:t>
      </w:r>
      <w:r w:rsidRPr="00CA47B9">
        <w:t>projections have been updated with reference to ONS mid-year population estimates (MYE). In projecting forward, the same assumptions around fertility and mortality rates and levels of migration have been assumed</w:t>
      </w:r>
      <w:r w:rsidR="002C72FE">
        <w:t xml:space="preserve"> from those in the 2016-based official projections</w:t>
      </w:r>
      <w:r w:rsidRPr="00CA47B9">
        <w:t>.</w:t>
      </w:r>
    </w:p>
    <w:p w:rsidR="002804C6" w:rsidRPr="00CA47B9" w:rsidRDefault="002804C6" w:rsidP="00020CFC">
      <w:pPr>
        <w:pStyle w:val="11Bodytext"/>
        <w:tabs>
          <w:tab w:val="clear" w:pos="2212"/>
          <w:tab w:val="num" w:pos="567"/>
        </w:tabs>
        <w:ind w:left="567" w:hanging="567"/>
      </w:pPr>
      <w:r w:rsidRPr="00CA47B9">
        <w:t xml:space="preserve">The table below reports the projected population change in the Local Plan area and the </w:t>
      </w:r>
      <w:r w:rsidR="0058794B">
        <w:t xml:space="preserve">area of Chichester which is within the </w:t>
      </w:r>
      <w:r w:rsidRPr="00CA47B9">
        <w:t xml:space="preserve">SDNP. The projected change in population </w:t>
      </w:r>
      <w:r w:rsidRPr="00CA47B9">
        <w:lastRenderedPageBreak/>
        <w:t xml:space="preserve">is linked to </w:t>
      </w:r>
      <w:r w:rsidR="0058794B">
        <w:t>7</w:t>
      </w:r>
      <w:r w:rsidR="00FD0E9C">
        <w:t>31</w:t>
      </w:r>
      <w:r w:rsidR="0058794B" w:rsidRPr="00CA47B9">
        <w:t xml:space="preserve"> </w:t>
      </w:r>
      <w:r w:rsidRPr="00CA47B9">
        <w:t xml:space="preserve">dwellings per annum to 2036. Under this housing growth, the total population is expected to increase by around </w:t>
      </w:r>
      <w:r>
        <w:t>21.5</w:t>
      </w:r>
      <w:r w:rsidRPr="00CA47B9">
        <w:t>%</w:t>
      </w:r>
      <w:r>
        <w:t xml:space="preserve"> in the plan area</w:t>
      </w:r>
      <w:r w:rsidR="0058794B">
        <w:t>,</w:t>
      </w:r>
      <w:r>
        <w:t xml:space="preserve"> and 16.4% in the district</w:t>
      </w:r>
      <w:r w:rsidRPr="00CA47B9">
        <w:t xml:space="preserve"> to 2036.</w:t>
      </w:r>
      <w:r w:rsidR="002F7AD3">
        <w:t xml:space="preserve"> This data is also provided in Appendix B for the alternative plan period.</w:t>
      </w:r>
    </w:p>
    <w:p w:rsidR="002804C6" w:rsidRPr="00CA47B9" w:rsidRDefault="002804C6" w:rsidP="0009738C">
      <w:pPr>
        <w:pStyle w:val="Tableheading"/>
        <w:tabs>
          <w:tab w:val="clear" w:pos="794"/>
          <w:tab w:val="clear" w:pos="1843"/>
          <w:tab w:val="left" w:pos="0"/>
        </w:tabs>
        <w:spacing w:line="240" w:lineRule="auto"/>
        <w:ind w:left="0" w:firstLine="0"/>
      </w:pPr>
      <w:bookmarkStart w:id="84" w:name="_Hlk33519487"/>
      <w:r w:rsidRPr="00CA47B9">
        <w:t xml:space="preserve">Projected population change in </w:t>
      </w:r>
      <w:r>
        <w:t xml:space="preserve">LPA and SDNP </w:t>
      </w:r>
    </w:p>
    <w:tbl>
      <w:tblPr>
        <w:tblStyle w:val="TableGrid"/>
        <w:tblW w:w="4894" w:type="pct"/>
        <w:tblInd w:w="108" w:type="dxa"/>
        <w:tblLook w:val="04A0" w:firstRow="1" w:lastRow="0" w:firstColumn="1" w:lastColumn="0" w:noHBand="0" w:noVBand="1"/>
        <w:tblCaption w:val="Table 13: Projected population change in LPA and SDNP"/>
      </w:tblPr>
      <w:tblGrid>
        <w:gridCol w:w="2162"/>
        <w:gridCol w:w="1672"/>
        <w:gridCol w:w="1968"/>
        <w:gridCol w:w="1968"/>
        <w:gridCol w:w="1868"/>
      </w:tblGrid>
      <w:tr w:rsidR="002804C6" w:rsidRPr="00B242EB" w:rsidTr="00FC604D">
        <w:trPr>
          <w:tblHeader/>
        </w:trPr>
        <w:tc>
          <w:tcPr>
            <w:tcW w:w="1121" w:type="pct"/>
            <w:shd w:val="clear" w:color="auto" w:fill="0093D5" w:themeFill="accent2"/>
          </w:tcPr>
          <w:p w:rsidR="002804C6" w:rsidRPr="00B242EB" w:rsidRDefault="002804C6" w:rsidP="00B242EB">
            <w:pPr>
              <w:keepNext/>
              <w:rPr>
                <w:bCs/>
                <w:color w:val="FFFFFF" w:themeColor="background1"/>
                <w:sz w:val="24"/>
                <w:szCs w:val="24"/>
              </w:rPr>
            </w:pPr>
            <w:bookmarkStart w:id="85" w:name="_Hlk27722360"/>
          </w:p>
        </w:tc>
        <w:tc>
          <w:tcPr>
            <w:tcW w:w="867" w:type="pct"/>
            <w:shd w:val="clear" w:color="auto" w:fill="0093D5" w:themeFill="accent2"/>
          </w:tcPr>
          <w:p w:rsidR="002804C6" w:rsidRPr="00B242EB" w:rsidRDefault="002804C6" w:rsidP="00FC604D">
            <w:pPr>
              <w:keepNext/>
              <w:jc w:val="center"/>
              <w:rPr>
                <w:bCs/>
                <w:color w:val="FFFFFF" w:themeColor="background1"/>
                <w:sz w:val="24"/>
                <w:szCs w:val="24"/>
              </w:rPr>
            </w:pPr>
            <w:r w:rsidRPr="00B242EB">
              <w:rPr>
                <w:bCs/>
                <w:color w:val="FFFFFF" w:themeColor="background1"/>
                <w:sz w:val="24"/>
                <w:szCs w:val="24"/>
              </w:rPr>
              <w:t>Population 2019</w:t>
            </w:r>
          </w:p>
        </w:tc>
        <w:tc>
          <w:tcPr>
            <w:tcW w:w="1021" w:type="pct"/>
            <w:shd w:val="clear" w:color="auto" w:fill="0093D5" w:themeFill="accent2"/>
          </w:tcPr>
          <w:p w:rsidR="002804C6" w:rsidRPr="00B242EB" w:rsidRDefault="002804C6" w:rsidP="00FC604D">
            <w:pPr>
              <w:keepNext/>
              <w:jc w:val="center"/>
              <w:rPr>
                <w:bCs/>
                <w:color w:val="FFFFFF" w:themeColor="background1"/>
                <w:sz w:val="24"/>
                <w:szCs w:val="24"/>
              </w:rPr>
            </w:pPr>
            <w:r w:rsidRPr="00B242EB">
              <w:rPr>
                <w:bCs/>
                <w:color w:val="FFFFFF" w:themeColor="background1"/>
                <w:sz w:val="24"/>
                <w:szCs w:val="24"/>
              </w:rPr>
              <w:t>Population 2036</w:t>
            </w:r>
          </w:p>
        </w:tc>
        <w:tc>
          <w:tcPr>
            <w:tcW w:w="1021" w:type="pct"/>
            <w:shd w:val="clear" w:color="auto" w:fill="0093D5" w:themeFill="accent2"/>
          </w:tcPr>
          <w:p w:rsidR="002804C6" w:rsidRPr="00B242EB" w:rsidRDefault="002804C6" w:rsidP="00FC604D">
            <w:pPr>
              <w:keepNext/>
              <w:jc w:val="center"/>
              <w:rPr>
                <w:bCs/>
                <w:color w:val="FFFFFF" w:themeColor="background1"/>
                <w:sz w:val="24"/>
                <w:szCs w:val="24"/>
              </w:rPr>
            </w:pPr>
            <w:r w:rsidRPr="00B242EB">
              <w:rPr>
                <w:bCs/>
                <w:color w:val="FFFFFF" w:themeColor="background1"/>
                <w:sz w:val="24"/>
                <w:szCs w:val="24"/>
              </w:rPr>
              <w:t>Change in population</w:t>
            </w:r>
          </w:p>
        </w:tc>
        <w:tc>
          <w:tcPr>
            <w:tcW w:w="969" w:type="pct"/>
            <w:shd w:val="clear" w:color="auto" w:fill="0093D5" w:themeFill="accent2"/>
          </w:tcPr>
          <w:p w:rsidR="002804C6" w:rsidRPr="00B242EB" w:rsidRDefault="002804C6" w:rsidP="00FC604D">
            <w:pPr>
              <w:keepNext/>
              <w:jc w:val="center"/>
              <w:rPr>
                <w:bCs/>
                <w:color w:val="FFFFFF" w:themeColor="background1"/>
                <w:sz w:val="24"/>
                <w:szCs w:val="24"/>
              </w:rPr>
            </w:pPr>
            <w:r w:rsidRPr="00B242EB">
              <w:rPr>
                <w:bCs/>
                <w:color w:val="FFFFFF" w:themeColor="background1"/>
                <w:sz w:val="24"/>
                <w:szCs w:val="24"/>
              </w:rPr>
              <w:t>% change</w:t>
            </w:r>
          </w:p>
        </w:tc>
      </w:tr>
      <w:tr w:rsidR="002804C6" w:rsidRPr="00B242EB" w:rsidTr="00FC604D">
        <w:tc>
          <w:tcPr>
            <w:tcW w:w="1121" w:type="pct"/>
          </w:tcPr>
          <w:p w:rsidR="002804C6" w:rsidRPr="00B242EB" w:rsidRDefault="002804C6" w:rsidP="00B242EB">
            <w:pPr>
              <w:keepNext/>
              <w:rPr>
                <w:bCs/>
                <w:sz w:val="24"/>
                <w:szCs w:val="24"/>
              </w:rPr>
            </w:pPr>
            <w:r w:rsidRPr="00B242EB">
              <w:rPr>
                <w:bCs/>
                <w:sz w:val="24"/>
                <w:szCs w:val="24"/>
              </w:rPr>
              <w:t>LPA (650 dpa)</w:t>
            </w:r>
          </w:p>
        </w:tc>
        <w:tc>
          <w:tcPr>
            <w:tcW w:w="867" w:type="pct"/>
            <w:vAlign w:val="bottom"/>
          </w:tcPr>
          <w:p w:rsidR="002804C6" w:rsidRPr="00B242EB" w:rsidRDefault="002804C6" w:rsidP="00B242EB">
            <w:pPr>
              <w:keepNext/>
              <w:jc w:val="center"/>
              <w:rPr>
                <w:bCs/>
                <w:sz w:val="24"/>
                <w:szCs w:val="24"/>
              </w:rPr>
            </w:pPr>
            <w:r w:rsidRPr="00B242EB">
              <w:rPr>
                <w:color w:val="000000"/>
                <w:sz w:val="24"/>
                <w:szCs w:val="24"/>
                <w:lang w:eastAsia="en-GB"/>
              </w:rPr>
              <w:t>89,487</w:t>
            </w:r>
          </w:p>
        </w:tc>
        <w:tc>
          <w:tcPr>
            <w:tcW w:w="1021" w:type="pct"/>
            <w:vAlign w:val="bottom"/>
          </w:tcPr>
          <w:p w:rsidR="002804C6" w:rsidRPr="00B242EB" w:rsidRDefault="002804C6" w:rsidP="00B242EB">
            <w:pPr>
              <w:keepNext/>
              <w:jc w:val="center"/>
              <w:rPr>
                <w:bCs/>
                <w:sz w:val="24"/>
                <w:szCs w:val="24"/>
              </w:rPr>
            </w:pPr>
            <w:r w:rsidRPr="00B242EB">
              <w:rPr>
                <w:color w:val="000000"/>
                <w:sz w:val="24"/>
                <w:szCs w:val="24"/>
                <w:lang w:eastAsia="en-GB"/>
              </w:rPr>
              <w:t>108,737</w:t>
            </w:r>
          </w:p>
        </w:tc>
        <w:tc>
          <w:tcPr>
            <w:tcW w:w="1021" w:type="pct"/>
            <w:vAlign w:val="bottom"/>
          </w:tcPr>
          <w:p w:rsidR="002804C6" w:rsidRPr="00B242EB" w:rsidRDefault="002804C6" w:rsidP="00B242EB">
            <w:pPr>
              <w:keepNext/>
              <w:jc w:val="center"/>
              <w:rPr>
                <w:bCs/>
                <w:sz w:val="24"/>
                <w:szCs w:val="24"/>
              </w:rPr>
            </w:pPr>
            <w:r w:rsidRPr="00B242EB">
              <w:rPr>
                <w:color w:val="000000"/>
                <w:sz w:val="24"/>
                <w:szCs w:val="24"/>
                <w:lang w:eastAsia="en-GB"/>
              </w:rPr>
              <w:t>19,25</w:t>
            </w:r>
            <w:r w:rsidR="00FD0E9C">
              <w:rPr>
                <w:color w:val="000000"/>
                <w:sz w:val="24"/>
                <w:szCs w:val="24"/>
                <w:lang w:eastAsia="en-GB"/>
              </w:rPr>
              <w:t>0</w:t>
            </w:r>
          </w:p>
        </w:tc>
        <w:tc>
          <w:tcPr>
            <w:tcW w:w="969" w:type="pct"/>
            <w:vAlign w:val="bottom"/>
          </w:tcPr>
          <w:p w:rsidR="002804C6" w:rsidRPr="00B242EB" w:rsidRDefault="002804C6" w:rsidP="00B242EB">
            <w:pPr>
              <w:keepNext/>
              <w:jc w:val="center"/>
              <w:rPr>
                <w:bCs/>
                <w:sz w:val="24"/>
                <w:szCs w:val="24"/>
              </w:rPr>
            </w:pPr>
            <w:r w:rsidRPr="00B242EB">
              <w:rPr>
                <w:color w:val="000000"/>
                <w:sz w:val="24"/>
                <w:szCs w:val="24"/>
                <w:lang w:eastAsia="en-GB"/>
              </w:rPr>
              <w:t>21.5%</w:t>
            </w:r>
          </w:p>
        </w:tc>
      </w:tr>
      <w:tr w:rsidR="002804C6" w:rsidRPr="00B242EB" w:rsidTr="00FC604D">
        <w:tc>
          <w:tcPr>
            <w:tcW w:w="1121" w:type="pct"/>
          </w:tcPr>
          <w:p w:rsidR="002804C6" w:rsidRPr="00B242EB" w:rsidRDefault="002804C6" w:rsidP="00B242EB">
            <w:pPr>
              <w:keepNext/>
              <w:rPr>
                <w:bCs/>
                <w:sz w:val="24"/>
                <w:szCs w:val="24"/>
              </w:rPr>
            </w:pPr>
            <w:r w:rsidRPr="00B242EB">
              <w:rPr>
                <w:bCs/>
                <w:sz w:val="24"/>
                <w:szCs w:val="24"/>
              </w:rPr>
              <w:t>SDNP (81 dpa)</w:t>
            </w:r>
          </w:p>
        </w:tc>
        <w:tc>
          <w:tcPr>
            <w:tcW w:w="867" w:type="pct"/>
            <w:vAlign w:val="bottom"/>
          </w:tcPr>
          <w:p w:rsidR="002804C6" w:rsidRPr="00B242EB" w:rsidRDefault="002804C6" w:rsidP="00B242EB">
            <w:pPr>
              <w:keepNext/>
              <w:jc w:val="center"/>
              <w:rPr>
                <w:bCs/>
                <w:sz w:val="24"/>
                <w:szCs w:val="24"/>
              </w:rPr>
            </w:pPr>
            <w:r w:rsidRPr="00B242EB">
              <w:rPr>
                <w:color w:val="000000"/>
                <w:sz w:val="24"/>
                <w:szCs w:val="24"/>
                <w:lang w:eastAsia="en-GB"/>
              </w:rPr>
              <w:t>32,141</w:t>
            </w:r>
          </w:p>
        </w:tc>
        <w:tc>
          <w:tcPr>
            <w:tcW w:w="1021" w:type="pct"/>
            <w:vAlign w:val="bottom"/>
          </w:tcPr>
          <w:p w:rsidR="002804C6" w:rsidRPr="00B242EB" w:rsidRDefault="002804C6" w:rsidP="00B242EB">
            <w:pPr>
              <w:keepNext/>
              <w:jc w:val="center"/>
              <w:rPr>
                <w:bCs/>
                <w:sz w:val="24"/>
                <w:szCs w:val="24"/>
              </w:rPr>
            </w:pPr>
            <w:r w:rsidRPr="00B242EB">
              <w:rPr>
                <w:color w:val="000000"/>
                <w:sz w:val="24"/>
                <w:szCs w:val="24"/>
                <w:lang w:eastAsia="en-GB"/>
              </w:rPr>
              <w:t>32,780</w:t>
            </w:r>
          </w:p>
        </w:tc>
        <w:tc>
          <w:tcPr>
            <w:tcW w:w="1021" w:type="pct"/>
            <w:vAlign w:val="bottom"/>
          </w:tcPr>
          <w:p w:rsidR="002804C6" w:rsidRPr="00B242EB" w:rsidRDefault="002804C6" w:rsidP="00B242EB">
            <w:pPr>
              <w:keepNext/>
              <w:jc w:val="center"/>
              <w:rPr>
                <w:bCs/>
                <w:sz w:val="24"/>
                <w:szCs w:val="24"/>
              </w:rPr>
            </w:pPr>
            <w:r w:rsidRPr="00B242EB">
              <w:rPr>
                <w:color w:val="000000"/>
                <w:sz w:val="24"/>
                <w:szCs w:val="24"/>
                <w:lang w:eastAsia="en-GB"/>
              </w:rPr>
              <w:t>63</w:t>
            </w:r>
            <w:r w:rsidR="00FD0E9C">
              <w:rPr>
                <w:color w:val="000000"/>
                <w:sz w:val="24"/>
                <w:szCs w:val="24"/>
                <w:lang w:eastAsia="en-GB"/>
              </w:rPr>
              <w:t>9</w:t>
            </w:r>
          </w:p>
        </w:tc>
        <w:tc>
          <w:tcPr>
            <w:tcW w:w="969" w:type="pct"/>
            <w:vAlign w:val="bottom"/>
          </w:tcPr>
          <w:p w:rsidR="002804C6" w:rsidRPr="00B242EB" w:rsidRDefault="002804C6" w:rsidP="00B242EB">
            <w:pPr>
              <w:keepNext/>
              <w:jc w:val="center"/>
              <w:rPr>
                <w:bCs/>
                <w:sz w:val="24"/>
                <w:szCs w:val="24"/>
              </w:rPr>
            </w:pPr>
            <w:r w:rsidRPr="00B242EB">
              <w:rPr>
                <w:color w:val="000000"/>
                <w:sz w:val="24"/>
                <w:szCs w:val="24"/>
                <w:lang w:eastAsia="en-GB"/>
              </w:rPr>
              <w:t>2.0%</w:t>
            </w:r>
          </w:p>
        </w:tc>
      </w:tr>
      <w:tr w:rsidR="002804C6" w:rsidRPr="00B242EB" w:rsidTr="00FC604D">
        <w:tc>
          <w:tcPr>
            <w:tcW w:w="1121" w:type="pct"/>
          </w:tcPr>
          <w:p w:rsidR="002804C6" w:rsidRPr="00B242EB" w:rsidRDefault="002804C6" w:rsidP="00B242EB">
            <w:pPr>
              <w:keepNext/>
              <w:rPr>
                <w:bCs/>
                <w:sz w:val="24"/>
                <w:szCs w:val="24"/>
              </w:rPr>
            </w:pPr>
            <w:r w:rsidRPr="00B242EB">
              <w:rPr>
                <w:bCs/>
                <w:sz w:val="24"/>
                <w:szCs w:val="24"/>
              </w:rPr>
              <w:t>Total (731 dpa)</w:t>
            </w:r>
          </w:p>
        </w:tc>
        <w:tc>
          <w:tcPr>
            <w:tcW w:w="867" w:type="pct"/>
            <w:vAlign w:val="bottom"/>
          </w:tcPr>
          <w:p w:rsidR="002804C6" w:rsidRPr="00B242EB" w:rsidRDefault="002804C6" w:rsidP="00B242EB">
            <w:pPr>
              <w:keepNext/>
              <w:jc w:val="center"/>
              <w:rPr>
                <w:bCs/>
                <w:sz w:val="24"/>
                <w:szCs w:val="24"/>
              </w:rPr>
            </w:pPr>
            <w:r w:rsidRPr="00B242EB">
              <w:rPr>
                <w:color w:val="000000"/>
                <w:sz w:val="24"/>
                <w:szCs w:val="24"/>
                <w:lang w:eastAsia="en-GB"/>
              </w:rPr>
              <w:t>121,628</w:t>
            </w:r>
          </w:p>
        </w:tc>
        <w:tc>
          <w:tcPr>
            <w:tcW w:w="1021" w:type="pct"/>
            <w:vAlign w:val="bottom"/>
          </w:tcPr>
          <w:p w:rsidR="002804C6" w:rsidRPr="00B242EB" w:rsidRDefault="002804C6" w:rsidP="00B242EB">
            <w:pPr>
              <w:keepNext/>
              <w:jc w:val="center"/>
              <w:rPr>
                <w:bCs/>
                <w:sz w:val="24"/>
                <w:szCs w:val="24"/>
              </w:rPr>
            </w:pPr>
            <w:r w:rsidRPr="00B242EB">
              <w:rPr>
                <w:color w:val="000000"/>
                <w:sz w:val="24"/>
                <w:szCs w:val="24"/>
                <w:lang w:eastAsia="en-GB"/>
              </w:rPr>
              <w:t>141,517</w:t>
            </w:r>
          </w:p>
        </w:tc>
        <w:tc>
          <w:tcPr>
            <w:tcW w:w="1021" w:type="pct"/>
            <w:vAlign w:val="bottom"/>
          </w:tcPr>
          <w:p w:rsidR="002804C6" w:rsidRPr="00B242EB" w:rsidRDefault="002804C6" w:rsidP="00B242EB">
            <w:pPr>
              <w:keepNext/>
              <w:jc w:val="center"/>
              <w:rPr>
                <w:bCs/>
                <w:sz w:val="24"/>
                <w:szCs w:val="24"/>
              </w:rPr>
            </w:pPr>
            <w:r w:rsidRPr="00B242EB">
              <w:rPr>
                <w:color w:val="000000"/>
                <w:sz w:val="24"/>
                <w:szCs w:val="24"/>
                <w:lang w:eastAsia="en-GB"/>
              </w:rPr>
              <w:t>19,889</w:t>
            </w:r>
          </w:p>
        </w:tc>
        <w:tc>
          <w:tcPr>
            <w:tcW w:w="969" w:type="pct"/>
            <w:vAlign w:val="bottom"/>
          </w:tcPr>
          <w:p w:rsidR="002804C6" w:rsidRPr="00B242EB" w:rsidRDefault="002804C6" w:rsidP="00B242EB">
            <w:pPr>
              <w:keepNext/>
              <w:jc w:val="center"/>
              <w:rPr>
                <w:bCs/>
                <w:sz w:val="24"/>
                <w:szCs w:val="24"/>
              </w:rPr>
            </w:pPr>
            <w:r w:rsidRPr="00B242EB">
              <w:rPr>
                <w:color w:val="000000"/>
                <w:sz w:val="24"/>
                <w:szCs w:val="24"/>
                <w:lang w:eastAsia="en-GB"/>
              </w:rPr>
              <w:t>16.4%</w:t>
            </w:r>
          </w:p>
        </w:tc>
      </w:tr>
    </w:tbl>
    <w:bookmarkEnd w:id="85"/>
    <w:p w:rsidR="002804C6" w:rsidRPr="00CA47B9" w:rsidRDefault="002804C6" w:rsidP="0009738C">
      <w:pPr>
        <w:pStyle w:val="11Bodytext"/>
        <w:numPr>
          <w:ilvl w:val="0"/>
          <w:numId w:val="0"/>
        </w:numPr>
        <w:spacing w:before="0" w:after="0" w:line="240" w:lineRule="auto"/>
      </w:pPr>
      <w:r w:rsidRPr="00CA47B9">
        <w:t xml:space="preserve">Source: GLH modelling </w:t>
      </w:r>
    </w:p>
    <w:bookmarkEnd w:id="84"/>
    <w:p w:rsidR="002C72FE" w:rsidRPr="009B6D66" w:rsidRDefault="002804C6" w:rsidP="00020CFC">
      <w:pPr>
        <w:pStyle w:val="11Bodytext"/>
        <w:tabs>
          <w:tab w:val="clear" w:pos="2212"/>
          <w:tab w:val="num" w:pos="567"/>
        </w:tabs>
        <w:ind w:left="567" w:hanging="567"/>
      </w:pPr>
      <w:r w:rsidRPr="009B6D66">
        <w:t>The following table break</w:t>
      </w:r>
      <w:r w:rsidR="002C72FE" w:rsidRPr="009B6D66">
        <w:t>s</w:t>
      </w:r>
      <w:r w:rsidRPr="009B6D66">
        <w:t xml:space="preserve"> this forecast population for the </w:t>
      </w:r>
      <w:r w:rsidR="002C72FE" w:rsidRPr="009B6D66">
        <w:t>P</w:t>
      </w:r>
      <w:r w:rsidRPr="009B6D66">
        <w:t xml:space="preserve">lan </w:t>
      </w:r>
      <w:r w:rsidR="002C72FE" w:rsidRPr="009B6D66">
        <w:t>A</w:t>
      </w:r>
      <w:r w:rsidRPr="009B6D66">
        <w:t xml:space="preserve">rea down by age group. Under the housing growth of 650 dpa, the older age groups are expected to experience the greatest proportional growth. </w:t>
      </w:r>
      <w:r w:rsidR="002F7AD3">
        <w:t>This data is also provided in Appendix B for the alternative plan period.</w:t>
      </w:r>
    </w:p>
    <w:p w:rsidR="002329E7" w:rsidRPr="00B242EB" w:rsidRDefault="002804C6" w:rsidP="00020CFC">
      <w:pPr>
        <w:pStyle w:val="11Bodytext"/>
        <w:tabs>
          <w:tab w:val="clear" w:pos="2212"/>
          <w:tab w:val="num" w:pos="567"/>
        </w:tabs>
        <w:ind w:left="567" w:hanging="567"/>
        <w:rPr>
          <w:b/>
        </w:rPr>
      </w:pPr>
      <w:r w:rsidRPr="00CA47B9">
        <w:t xml:space="preserve">The 85 years and over age group is expected to grow at the greatest rate, increasing by around </w:t>
      </w:r>
      <w:r>
        <w:t>84</w:t>
      </w:r>
      <w:r w:rsidRPr="00CA47B9">
        <w:t xml:space="preserve">% by 2036. This is followed by the 75-79 and 80-84 age groups, increasing by around </w:t>
      </w:r>
      <w:r>
        <w:t>42</w:t>
      </w:r>
      <w:r w:rsidRPr="00CA47B9">
        <w:t xml:space="preserve">% and </w:t>
      </w:r>
      <w:r>
        <w:t>49</w:t>
      </w:r>
      <w:r w:rsidRPr="00CA47B9">
        <w:t xml:space="preserve">%. The young </w:t>
      </w:r>
      <w:r w:rsidR="00855CA6">
        <w:t>working-</w:t>
      </w:r>
      <w:r w:rsidRPr="00CA47B9">
        <w:t>age groups are</w:t>
      </w:r>
      <w:r>
        <w:t xml:space="preserve"> also</w:t>
      </w:r>
      <w:r w:rsidRPr="00CA47B9">
        <w:t xml:space="preserve"> forecast to experience growth</w:t>
      </w:r>
      <w:r>
        <w:t>, peaking at 38% for those aged</w:t>
      </w:r>
      <w:r w:rsidR="002C72FE">
        <w:t xml:space="preserve"> </w:t>
      </w:r>
      <w:r>
        <w:t>20-24</w:t>
      </w:r>
      <w:r w:rsidR="002C72FE">
        <w:t>. However,</w:t>
      </w:r>
      <w:r w:rsidR="00FD0E9C">
        <w:t xml:space="preserve"> the number of people</w:t>
      </w:r>
      <w:r w:rsidR="002C72FE">
        <w:t xml:space="preserve"> aged in their 50s</w:t>
      </w:r>
      <w:r w:rsidRPr="00CA47B9">
        <w:t xml:space="preserve"> </w:t>
      </w:r>
      <w:r w:rsidR="00FD0E9C">
        <w:t>is</w:t>
      </w:r>
      <w:r w:rsidRPr="00CA47B9">
        <w:t xml:space="preserve"> projected to </w:t>
      </w:r>
      <w:r w:rsidR="00FD0E9C">
        <w:t>decrease</w:t>
      </w:r>
      <w:r w:rsidRPr="00CA47B9">
        <w:t xml:space="preserve">. </w:t>
      </w:r>
      <w:bookmarkStart w:id="86" w:name="_Hlk27047667"/>
      <w:bookmarkStart w:id="87" w:name="_Hlk33519497"/>
    </w:p>
    <w:p w:rsidR="002804C6" w:rsidRPr="00CA47B9" w:rsidRDefault="002804C6" w:rsidP="0009738C">
      <w:pPr>
        <w:pStyle w:val="Tableheading"/>
        <w:tabs>
          <w:tab w:val="clear" w:pos="794"/>
          <w:tab w:val="clear" w:pos="1843"/>
          <w:tab w:val="left" w:pos="0"/>
        </w:tabs>
        <w:ind w:left="0" w:firstLine="0"/>
      </w:pPr>
      <w:r w:rsidRPr="00CA47B9">
        <w:lastRenderedPageBreak/>
        <w:t>Projected pop</w:t>
      </w:r>
      <w:r w:rsidR="00F51964">
        <w:t>ulation</w:t>
      </w:r>
      <w:r w:rsidRPr="00CA47B9">
        <w:t xml:space="preserve"> </w:t>
      </w:r>
      <w:r w:rsidR="002E26AC" w:rsidRPr="00CA47B9">
        <w:t>change</w:t>
      </w:r>
      <w:r w:rsidRPr="00CA47B9">
        <w:t xml:space="preserve"> in Chichester </w:t>
      </w:r>
      <w:r w:rsidR="00FD0E9C">
        <w:t>Plan Area</w:t>
      </w:r>
      <w:r w:rsidRPr="00CA47B9">
        <w:t xml:space="preserve"> (linked to 650 dpa)</w:t>
      </w:r>
    </w:p>
    <w:tbl>
      <w:tblPr>
        <w:tblStyle w:val="TableGrid"/>
        <w:tblW w:w="4894" w:type="pct"/>
        <w:tblInd w:w="108" w:type="dxa"/>
        <w:tblLook w:val="04A0" w:firstRow="1" w:lastRow="0" w:firstColumn="1" w:lastColumn="0" w:noHBand="0" w:noVBand="1"/>
        <w:tblCaption w:val="Table 14: Projected population change in Chichester LPA (linked to 650 dpa)"/>
      </w:tblPr>
      <w:tblGrid>
        <w:gridCol w:w="1862"/>
        <w:gridCol w:w="1968"/>
        <w:gridCol w:w="1968"/>
        <w:gridCol w:w="2514"/>
        <w:gridCol w:w="1326"/>
      </w:tblGrid>
      <w:tr w:rsidR="002804C6" w:rsidRPr="00B242EB" w:rsidTr="00FC604D">
        <w:trPr>
          <w:tblHeader/>
        </w:trPr>
        <w:tc>
          <w:tcPr>
            <w:tcW w:w="966" w:type="pct"/>
            <w:shd w:val="clear" w:color="auto" w:fill="0093D5" w:themeFill="accent2"/>
            <w:vAlign w:val="center"/>
          </w:tcPr>
          <w:p w:rsidR="002804C6" w:rsidRPr="00B242EB" w:rsidRDefault="002804C6" w:rsidP="005C6E02">
            <w:pPr>
              <w:keepNext/>
              <w:spacing w:line="300" w:lineRule="auto"/>
              <w:rPr>
                <w:rFonts w:ascii="Arial Narrow" w:hAnsi="Arial Narrow"/>
                <w:bCs/>
                <w:color w:val="FFFFFF" w:themeColor="background1"/>
                <w:sz w:val="24"/>
                <w:szCs w:val="24"/>
              </w:rPr>
            </w:pPr>
            <w:bookmarkStart w:id="88" w:name="_Hlk27722389"/>
          </w:p>
        </w:tc>
        <w:tc>
          <w:tcPr>
            <w:tcW w:w="1021" w:type="pct"/>
            <w:shd w:val="clear" w:color="auto" w:fill="0093D5" w:themeFill="accent2"/>
            <w:vAlign w:val="center"/>
          </w:tcPr>
          <w:p w:rsidR="002804C6" w:rsidRPr="00B242EB" w:rsidRDefault="002804C6" w:rsidP="005C6E02">
            <w:pPr>
              <w:keepNext/>
              <w:spacing w:line="300" w:lineRule="auto"/>
              <w:jc w:val="center"/>
              <w:rPr>
                <w:rFonts w:ascii="Arial Narrow" w:hAnsi="Arial Narrow"/>
                <w:bCs/>
                <w:color w:val="FFFFFF" w:themeColor="background1"/>
                <w:sz w:val="24"/>
                <w:szCs w:val="24"/>
              </w:rPr>
            </w:pPr>
            <w:r w:rsidRPr="00B242EB">
              <w:rPr>
                <w:rFonts w:ascii="Arial Narrow" w:hAnsi="Arial Narrow"/>
                <w:bCs/>
                <w:color w:val="FFFFFF" w:themeColor="background1"/>
                <w:sz w:val="24"/>
                <w:szCs w:val="24"/>
              </w:rPr>
              <w:t>Population 2019</w:t>
            </w:r>
          </w:p>
        </w:tc>
        <w:tc>
          <w:tcPr>
            <w:tcW w:w="1021" w:type="pct"/>
            <w:shd w:val="clear" w:color="auto" w:fill="0093D5" w:themeFill="accent2"/>
            <w:vAlign w:val="center"/>
          </w:tcPr>
          <w:p w:rsidR="002804C6" w:rsidRPr="00B242EB" w:rsidRDefault="002804C6" w:rsidP="005C6E02">
            <w:pPr>
              <w:keepNext/>
              <w:spacing w:line="300" w:lineRule="auto"/>
              <w:jc w:val="center"/>
              <w:rPr>
                <w:rFonts w:ascii="Arial Narrow" w:hAnsi="Arial Narrow"/>
                <w:bCs/>
                <w:color w:val="FFFFFF" w:themeColor="background1"/>
                <w:sz w:val="24"/>
                <w:szCs w:val="24"/>
              </w:rPr>
            </w:pPr>
            <w:r w:rsidRPr="00B242EB">
              <w:rPr>
                <w:rFonts w:ascii="Arial Narrow" w:hAnsi="Arial Narrow"/>
                <w:bCs/>
                <w:color w:val="FFFFFF" w:themeColor="background1"/>
                <w:sz w:val="24"/>
                <w:szCs w:val="24"/>
              </w:rPr>
              <w:t>Population 2036</w:t>
            </w:r>
          </w:p>
        </w:tc>
        <w:tc>
          <w:tcPr>
            <w:tcW w:w="1304" w:type="pct"/>
            <w:shd w:val="clear" w:color="auto" w:fill="0093D5" w:themeFill="accent2"/>
            <w:vAlign w:val="center"/>
          </w:tcPr>
          <w:p w:rsidR="002804C6" w:rsidRPr="00B242EB" w:rsidRDefault="002804C6" w:rsidP="005C6E02">
            <w:pPr>
              <w:keepNext/>
              <w:spacing w:line="300" w:lineRule="auto"/>
              <w:jc w:val="center"/>
              <w:rPr>
                <w:rFonts w:ascii="Arial Narrow" w:hAnsi="Arial Narrow"/>
                <w:bCs/>
                <w:color w:val="FFFFFF" w:themeColor="background1"/>
                <w:sz w:val="24"/>
                <w:szCs w:val="24"/>
              </w:rPr>
            </w:pPr>
            <w:r w:rsidRPr="00B242EB">
              <w:rPr>
                <w:rFonts w:ascii="Arial Narrow" w:hAnsi="Arial Narrow"/>
                <w:bCs/>
                <w:color w:val="FFFFFF" w:themeColor="background1"/>
                <w:sz w:val="24"/>
                <w:szCs w:val="24"/>
              </w:rPr>
              <w:t>Change in population</w:t>
            </w:r>
          </w:p>
        </w:tc>
        <w:tc>
          <w:tcPr>
            <w:tcW w:w="688" w:type="pct"/>
            <w:shd w:val="clear" w:color="auto" w:fill="0093D5" w:themeFill="accent2"/>
            <w:vAlign w:val="center"/>
          </w:tcPr>
          <w:p w:rsidR="002804C6" w:rsidRPr="00B242EB" w:rsidRDefault="002804C6" w:rsidP="005C6E02">
            <w:pPr>
              <w:keepNext/>
              <w:spacing w:line="300" w:lineRule="auto"/>
              <w:jc w:val="center"/>
              <w:rPr>
                <w:rFonts w:ascii="Arial Narrow" w:hAnsi="Arial Narrow"/>
                <w:bCs/>
                <w:color w:val="FFFFFF" w:themeColor="background1"/>
                <w:sz w:val="24"/>
                <w:szCs w:val="24"/>
              </w:rPr>
            </w:pPr>
            <w:r w:rsidRPr="00B242EB">
              <w:rPr>
                <w:rFonts w:ascii="Arial Narrow" w:hAnsi="Arial Narrow"/>
                <w:bCs/>
                <w:color w:val="FFFFFF" w:themeColor="background1"/>
                <w:sz w:val="24"/>
                <w:szCs w:val="24"/>
              </w:rPr>
              <w:t>% change</w:t>
            </w:r>
          </w:p>
        </w:tc>
      </w:tr>
      <w:tr w:rsidR="002804C6" w:rsidRPr="00B242EB" w:rsidTr="00FC604D">
        <w:tc>
          <w:tcPr>
            <w:tcW w:w="966" w:type="pct"/>
            <w:vAlign w:val="center"/>
          </w:tcPr>
          <w:p w:rsidR="002804C6" w:rsidRPr="00B242EB" w:rsidRDefault="002804C6" w:rsidP="005C6E02">
            <w:pPr>
              <w:keepNext/>
              <w:spacing w:line="300" w:lineRule="auto"/>
              <w:rPr>
                <w:rFonts w:ascii="Arial Narrow" w:hAnsi="Arial Narrow"/>
                <w:bCs/>
                <w:sz w:val="24"/>
                <w:szCs w:val="24"/>
              </w:rPr>
            </w:pPr>
            <w:r w:rsidRPr="00B242EB">
              <w:rPr>
                <w:rFonts w:ascii="Arial Narrow" w:hAnsi="Arial Narrow"/>
                <w:bCs/>
                <w:color w:val="000000"/>
                <w:sz w:val="24"/>
                <w:szCs w:val="24"/>
              </w:rPr>
              <w:t>0-4</w:t>
            </w:r>
          </w:p>
        </w:tc>
        <w:tc>
          <w:tcPr>
            <w:tcW w:w="1021"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4,299</w:t>
            </w:r>
          </w:p>
        </w:tc>
        <w:tc>
          <w:tcPr>
            <w:tcW w:w="1021"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5,147</w:t>
            </w:r>
          </w:p>
        </w:tc>
        <w:tc>
          <w:tcPr>
            <w:tcW w:w="1304"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848</w:t>
            </w:r>
          </w:p>
        </w:tc>
        <w:tc>
          <w:tcPr>
            <w:tcW w:w="688"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19.7%</w:t>
            </w:r>
          </w:p>
        </w:tc>
      </w:tr>
      <w:tr w:rsidR="002804C6" w:rsidRPr="00B242EB" w:rsidTr="00FC604D">
        <w:tc>
          <w:tcPr>
            <w:tcW w:w="966" w:type="pct"/>
            <w:vAlign w:val="center"/>
          </w:tcPr>
          <w:p w:rsidR="002804C6" w:rsidRPr="00B242EB" w:rsidRDefault="002804C6" w:rsidP="005C6E02">
            <w:pPr>
              <w:keepNext/>
              <w:spacing w:line="300" w:lineRule="auto"/>
              <w:rPr>
                <w:rFonts w:ascii="Arial Narrow" w:hAnsi="Arial Narrow"/>
                <w:bCs/>
                <w:sz w:val="24"/>
                <w:szCs w:val="24"/>
              </w:rPr>
            </w:pPr>
            <w:r w:rsidRPr="00B242EB">
              <w:rPr>
                <w:rFonts w:ascii="Arial Narrow" w:hAnsi="Arial Narrow"/>
                <w:bCs/>
                <w:color w:val="000000"/>
                <w:sz w:val="24"/>
                <w:szCs w:val="24"/>
              </w:rPr>
              <w:t>5-9</w:t>
            </w:r>
          </w:p>
        </w:tc>
        <w:tc>
          <w:tcPr>
            <w:tcW w:w="1021"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4,854</w:t>
            </w:r>
          </w:p>
        </w:tc>
        <w:tc>
          <w:tcPr>
            <w:tcW w:w="1021"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5,255</w:t>
            </w:r>
          </w:p>
        </w:tc>
        <w:tc>
          <w:tcPr>
            <w:tcW w:w="1304"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400</w:t>
            </w:r>
          </w:p>
        </w:tc>
        <w:tc>
          <w:tcPr>
            <w:tcW w:w="688"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8.2%</w:t>
            </w:r>
          </w:p>
        </w:tc>
      </w:tr>
      <w:tr w:rsidR="002804C6" w:rsidRPr="00B242EB" w:rsidTr="00FC604D">
        <w:tc>
          <w:tcPr>
            <w:tcW w:w="966" w:type="pct"/>
            <w:vAlign w:val="center"/>
          </w:tcPr>
          <w:p w:rsidR="002804C6" w:rsidRPr="00B242EB" w:rsidRDefault="002804C6" w:rsidP="005C6E02">
            <w:pPr>
              <w:keepNext/>
              <w:spacing w:line="300" w:lineRule="auto"/>
              <w:rPr>
                <w:rFonts w:ascii="Arial Narrow" w:hAnsi="Arial Narrow"/>
                <w:bCs/>
                <w:sz w:val="24"/>
                <w:szCs w:val="24"/>
              </w:rPr>
            </w:pPr>
            <w:r w:rsidRPr="00B242EB">
              <w:rPr>
                <w:rFonts w:ascii="Arial Narrow" w:hAnsi="Arial Narrow"/>
                <w:bCs/>
                <w:color w:val="000000"/>
                <w:sz w:val="24"/>
                <w:szCs w:val="24"/>
              </w:rPr>
              <w:t>10-14</w:t>
            </w:r>
          </w:p>
        </w:tc>
        <w:tc>
          <w:tcPr>
            <w:tcW w:w="1021"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4,610</w:t>
            </w:r>
          </w:p>
        </w:tc>
        <w:tc>
          <w:tcPr>
            <w:tcW w:w="1021"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5,056</w:t>
            </w:r>
          </w:p>
        </w:tc>
        <w:tc>
          <w:tcPr>
            <w:tcW w:w="1304"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446</w:t>
            </w:r>
          </w:p>
        </w:tc>
        <w:tc>
          <w:tcPr>
            <w:tcW w:w="688"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9.7%</w:t>
            </w:r>
          </w:p>
        </w:tc>
      </w:tr>
      <w:tr w:rsidR="002804C6" w:rsidRPr="00B242EB" w:rsidTr="00FC604D">
        <w:tc>
          <w:tcPr>
            <w:tcW w:w="966" w:type="pct"/>
            <w:vAlign w:val="center"/>
          </w:tcPr>
          <w:p w:rsidR="002804C6" w:rsidRPr="00B242EB" w:rsidRDefault="002804C6" w:rsidP="005C6E02">
            <w:pPr>
              <w:keepNext/>
              <w:spacing w:line="300" w:lineRule="auto"/>
              <w:rPr>
                <w:rFonts w:ascii="Arial Narrow" w:hAnsi="Arial Narrow"/>
                <w:bCs/>
                <w:sz w:val="24"/>
                <w:szCs w:val="24"/>
              </w:rPr>
            </w:pPr>
            <w:r w:rsidRPr="00B242EB">
              <w:rPr>
                <w:rFonts w:ascii="Arial Narrow" w:hAnsi="Arial Narrow"/>
                <w:bCs/>
                <w:color w:val="000000"/>
                <w:sz w:val="24"/>
                <w:szCs w:val="24"/>
              </w:rPr>
              <w:t>15-19</w:t>
            </w:r>
          </w:p>
        </w:tc>
        <w:tc>
          <w:tcPr>
            <w:tcW w:w="1021"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4,654</w:t>
            </w:r>
          </w:p>
        </w:tc>
        <w:tc>
          <w:tcPr>
            <w:tcW w:w="1021"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5,674</w:t>
            </w:r>
          </w:p>
        </w:tc>
        <w:tc>
          <w:tcPr>
            <w:tcW w:w="1304"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1,019</w:t>
            </w:r>
          </w:p>
        </w:tc>
        <w:tc>
          <w:tcPr>
            <w:tcW w:w="688"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21.9%</w:t>
            </w:r>
          </w:p>
        </w:tc>
      </w:tr>
      <w:tr w:rsidR="002804C6" w:rsidRPr="00B242EB" w:rsidTr="00FC604D">
        <w:tc>
          <w:tcPr>
            <w:tcW w:w="966" w:type="pct"/>
            <w:vAlign w:val="center"/>
          </w:tcPr>
          <w:p w:rsidR="002804C6" w:rsidRPr="00B242EB" w:rsidRDefault="002804C6" w:rsidP="005C6E02">
            <w:pPr>
              <w:keepNext/>
              <w:spacing w:line="300" w:lineRule="auto"/>
              <w:rPr>
                <w:rFonts w:ascii="Arial Narrow" w:hAnsi="Arial Narrow"/>
                <w:bCs/>
                <w:sz w:val="24"/>
                <w:szCs w:val="24"/>
              </w:rPr>
            </w:pPr>
            <w:r w:rsidRPr="00B242EB">
              <w:rPr>
                <w:rFonts w:ascii="Arial Narrow" w:hAnsi="Arial Narrow"/>
                <w:bCs/>
                <w:color w:val="000000"/>
                <w:sz w:val="24"/>
                <w:szCs w:val="24"/>
              </w:rPr>
              <w:t>20-24</w:t>
            </w:r>
          </w:p>
        </w:tc>
        <w:tc>
          <w:tcPr>
            <w:tcW w:w="1021"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5,386</w:t>
            </w:r>
          </w:p>
        </w:tc>
        <w:tc>
          <w:tcPr>
            <w:tcW w:w="1021"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7,446</w:t>
            </w:r>
          </w:p>
        </w:tc>
        <w:tc>
          <w:tcPr>
            <w:tcW w:w="1304"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2,060</w:t>
            </w:r>
          </w:p>
        </w:tc>
        <w:tc>
          <w:tcPr>
            <w:tcW w:w="688"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38.2%</w:t>
            </w:r>
          </w:p>
        </w:tc>
      </w:tr>
      <w:tr w:rsidR="002804C6" w:rsidRPr="00B242EB" w:rsidTr="00FC604D">
        <w:tc>
          <w:tcPr>
            <w:tcW w:w="966" w:type="pct"/>
            <w:vAlign w:val="center"/>
          </w:tcPr>
          <w:p w:rsidR="002804C6" w:rsidRPr="00B242EB" w:rsidRDefault="002804C6" w:rsidP="005C6E02">
            <w:pPr>
              <w:keepNext/>
              <w:spacing w:line="300" w:lineRule="auto"/>
              <w:rPr>
                <w:rFonts w:ascii="Arial Narrow" w:hAnsi="Arial Narrow"/>
                <w:bCs/>
                <w:sz w:val="24"/>
                <w:szCs w:val="24"/>
              </w:rPr>
            </w:pPr>
            <w:r w:rsidRPr="00B242EB">
              <w:rPr>
                <w:rFonts w:ascii="Arial Narrow" w:hAnsi="Arial Narrow"/>
                <w:bCs/>
                <w:color w:val="000000"/>
                <w:sz w:val="24"/>
                <w:szCs w:val="24"/>
              </w:rPr>
              <w:t>25-29</w:t>
            </w:r>
          </w:p>
        </w:tc>
        <w:tc>
          <w:tcPr>
            <w:tcW w:w="1021"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4,544</w:t>
            </w:r>
          </w:p>
        </w:tc>
        <w:tc>
          <w:tcPr>
            <w:tcW w:w="1021"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5,892</w:t>
            </w:r>
          </w:p>
        </w:tc>
        <w:tc>
          <w:tcPr>
            <w:tcW w:w="1304"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1,348</w:t>
            </w:r>
          </w:p>
        </w:tc>
        <w:tc>
          <w:tcPr>
            <w:tcW w:w="688"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29.7%</w:t>
            </w:r>
          </w:p>
        </w:tc>
      </w:tr>
      <w:tr w:rsidR="002804C6" w:rsidRPr="00B242EB" w:rsidTr="00FC604D">
        <w:tc>
          <w:tcPr>
            <w:tcW w:w="966" w:type="pct"/>
            <w:vAlign w:val="center"/>
          </w:tcPr>
          <w:p w:rsidR="002804C6" w:rsidRPr="00B242EB" w:rsidRDefault="002804C6" w:rsidP="005C6E02">
            <w:pPr>
              <w:keepNext/>
              <w:spacing w:line="300" w:lineRule="auto"/>
              <w:rPr>
                <w:rFonts w:ascii="Arial Narrow" w:hAnsi="Arial Narrow"/>
                <w:bCs/>
                <w:sz w:val="24"/>
                <w:szCs w:val="24"/>
              </w:rPr>
            </w:pPr>
            <w:r w:rsidRPr="00B242EB">
              <w:rPr>
                <w:rFonts w:ascii="Arial Narrow" w:hAnsi="Arial Narrow"/>
                <w:bCs/>
                <w:color w:val="000000"/>
                <w:sz w:val="24"/>
                <w:szCs w:val="24"/>
              </w:rPr>
              <w:t>30-34</w:t>
            </w:r>
          </w:p>
        </w:tc>
        <w:tc>
          <w:tcPr>
            <w:tcW w:w="1021"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4,234</w:t>
            </w:r>
          </w:p>
        </w:tc>
        <w:tc>
          <w:tcPr>
            <w:tcW w:w="1021"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5,127</w:t>
            </w:r>
          </w:p>
        </w:tc>
        <w:tc>
          <w:tcPr>
            <w:tcW w:w="1304"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893</w:t>
            </w:r>
          </w:p>
        </w:tc>
        <w:tc>
          <w:tcPr>
            <w:tcW w:w="688"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21.1%</w:t>
            </w:r>
          </w:p>
        </w:tc>
      </w:tr>
      <w:tr w:rsidR="002804C6" w:rsidRPr="00B242EB" w:rsidTr="00FC604D">
        <w:tc>
          <w:tcPr>
            <w:tcW w:w="966" w:type="pct"/>
            <w:vAlign w:val="center"/>
          </w:tcPr>
          <w:p w:rsidR="002804C6" w:rsidRPr="00B242EB" w:rsidRDefault="002804C6" w:rsidP="005C6E02">
            <w:pPr>
              <w:keepNext/>
              <w:spacing w:line="300" w:lineRule="auto"/>
              <w:rPr>
                <w:rFonts w:ascii="Arial Narrow" w:hAnsi="Arial Narrow"/>
                <w:bCs/>
                <w:sz w:val="24"/>
                <w:szCs w:val="24"/>
              </w:rPr>
            </w:pPr>
            <w:r w:rsidRPr="00B242EB">
              <w:rPr>
                <w:rFonts w:ascii="Arial Narrow" w:hAnsi="Arial Narrow"/>
                <w:bCs/>
                <w:color w:val="000000"/>
                <w:sz w:val="24"/>
                <w:szCs w:val="24"/>
              </w:rPr>
              <w:t>35-39</w:t>
            </w:r>
          </w:p>
        </w:tc>
        <w:tc>
          <w:tcPr>
            <w:tcW w:w="1021"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4,497</w:t>
            </w:r>
          </w:p>
        </w:tc>
        <w:tc>
          <w:tcPr>
            <w:tcW w:w="1021"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4,925</w:t>
            </w:r>
          </w:p>
        </w:tc>
        <w:tc>
          <w:tcPr>
            <w:tcW w:w="1304"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428</w:t>
            </w:r>
          </w:p>
        </w:tc>
        <w:tc>
          <w:tcPr>
            <w:tcW w:w="688"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9.5%</w:t>
            </w:r>
          </w:p>
        </w:tc>
      </w:tr>
      <w:tr w:rsidR="002804C6" w:rsidRPr="00B242EB" w:rsidTr="00FC604D">
        <w:tc>
          <w:tcPr>
            <w:tcW w:w="966" w:type="pct"/>
            <w:vAlign w:val="center"/>
          </w:tcPr>
          <w:p w:rsidR="002804C6" w:rsidRPr="00B242EB" w:rsidRDefault="002804C6" w:rsidP="005C6E02">
            <w:pPr>
              <w:keepNext/>
              <w:spacing w:line="300" w:lineRule="auto"/>
              <w:rPr>
                <w:rFonts w:ascii="Arial Narrow" w:hAnsi="Arial Narrow"/>
                <w:bCs/>
                <w:sz w:val="24"/>
                <w:szCs w:val="24"/>
              </w:rPr>
            </w:pPr>
            <w:r w:rsidRPr="00B242EB">
              <w:rPr>
                <w:rFonts w:ascii="Arial Narrow" w:hAnsi="Arial Narrow"/>
                <w:bCs/>
                <w:color w:val="000000"/>
                <w:sz w:val="24"/>
                <w:szCs w:val="24"/>
              </w:rPr>
              <w:t>40-44</w:t>
            </w:r>
          </w:p>
        </w:tc>
        <w:tc>
          <w:tcPr>
            <w:tcW w:w="1021"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4,442</w:t>
            </w:r>
          </w:p>
        </w:tc>
        <w:tc>
          <w:tcPr>
            <w:tcW w:w="1021"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5,298</w:t>
            </w:r>
          </w:p>
        </w:tc>
        <w:tc>
          <w:tcPr>
            <w:tcW w:w="1304"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856</w:t>
            </w:r>
          </w:p>
        </w:tc>
        <w:tc>
          <w:tcPr>
            <w:tcW w:w="688"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19.3%</w:t>
            </w:r>
          </w:p>
        </w:tc>
      </w:tr>
      <w:tr w:rsidR="002804C6" w:rsidRPr="00B242EB" w:rsidTr="00FC604D">
        <w:tc>
          <w:tcPr>
            <w:tcW w:w="966" w:type="pct"/>
            <w:vAlign w:val="center"/>
          </w:tcPr>
          <w:p w:rsidR="002804C6" w:rsidRPr="00B242EB" w:rsidRDefault="002804C6" w:rsidP="005C6E02">
            <w:pPr>
              <w:keepNext/>
              <w:spacing w:line="300" w:lineRule="auto"/>
              <w:rPr>
                <w:rFonts w:ascii="Arial Narrow" w:hAnsi="Arial Narrow"/>
                <w:bCs/>
                <w:sz w:val="24"/>
                <w:szCs w:val="24"/>
              </w:rPr>
            </w:pPr>
            <w:r w:rsidRPr="00B242EB">
              <w:rPr>
                <w:rFonts w:ascii="Arial Narrow" w:hAnsi="Arial Narrow"/>
                <w:bCs/>
                <w:color w:val="000000"/>
                <w:sz w:val="24"/>
                <w:szCs w:val="24"/>
              </w:rPr>
              <w:t>45-49</w:t>
            </w:r>
          </w:p>
        </w:tc>
        <w:tc>
          <w:tcPr>
            <w:tcW w:w="1021"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5,421</w:t>
            </w:r>
          </w:p>
        </w:tc>
        <w:tc>
          <w:tcPr>
            <w:tcW w:w="1021"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5,714</w:t>
            </w:r>
          </w:p>
        </w:tc>
        <w:tc>
          <w:tcPr>
            <w:tcW w:w="1304"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293</w:t>
            </w:r>
          </w:p>
        </w:tc>
        <w:tc>
          <w:tcPr>
            <w:tcW w:w="688"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5.4%</w:t>
            </w:r>
          </w:p>
        </w:tc>
      </w:tr>
      <w:tr w:rsidR="002804C6" w:rsidRPr="00B242EB" w:rsidTr="00FC604D">
        <w:tc>
          <w:tcPr>
            <w:tcW w:w="966" w:type="pct"/>
            <w:vAlign w:val="center"/>
          </w:tcPr>
          <w:p w:rsidR="002804C6" w:rsidRPr="00B242EB" w:rsidRDefault="002804C6" w:rsidP="005C6E02">
            <w:pPr>
              <w:keepNext/>
              <w:spacing w:line="300" w:lineRule="auto"/>
              <w:rPr>
                <w:rFonts w:ascii="Arial Narrow" w:hAnsi="Arial Narrow"/>
                <w:bCs/>
                <w:sz w:val="24"/>
                <w:szCs w:val="24"/>
              </w:rPr>
            </w:pPr>
            <w:r w:rsidRPr="00B242EB">
              <w:rPr>
                <w:rFonts w:ascii="Arial Narrow" w:hAnsi="Arial Narrow"/>
                <w:bCs/>
                <w:color w:val="000000"/>
                <w:sz w:val="24"/>
                <w:szCs w:val="24"/>
              </w:rPr>
              <w:t>50-54</w:t>
            </w:r>
          </w:p>
        </w:tc>
        <w:tc>
          <w:tcPr>
            <w:tcW w:w="1021"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6,116</w:t>
            </w:r>
          </w:p>
        </w:tc>
        <w:tc>
          <w:tcPr>
            <w:tcW w:w="1021"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5,657</w:t>
            </w:r>
          </w:p>
        </w:tc>
        <w:tc>
          <w:tcPr>
            <w:tcW w:w="1304"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-459</w:t>
            </w:r>
          </w:p>
        </w:tc>
        <w:tc>
          <w:tcPr>
            <w:tcW w:w="688"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-7.5%</w:t>
            </w:r>
          </w:p>
        </w:tc>
      </w:tr>
      <w:tr w:rsidR="002804C6" w:rsidRPr="00B242EB" w:rsidTr="00FC604D">
        <w:tc>
          <w:tcPr>
            <w:tcW w:w="966" w:type="pct"/>
            <w:vAlign w:val="center"/>
          </w:tcPr>
          <w:p w:rsidR="002804C6" w:rsidRPr="00B242EB" w:rsidRDefault="002804C6" w:rsidP="005C6E02">
            <w:pPr>
              <w:keepNext/>
              <w:spacing w:line="300" w:lineRule="auto"/>
              <w:rPr>
                <w:rFonts w:ascii="Arial Narrow" w:hAnsi="Arial Narrow"/>
                <w:bCs/>
                <w:sz w:val="24"/>
                <w:szCs w:val="24"/>
              </w:rPr>
            </w:pPr>
            <w:r w:rsidRPr="00B242EB">
              <w:rPr>
                <w:rFonts w:ascii="Arial Narrow" w:hAnsi="Arial Narrow"/>
                <w:bCs/>
                <w:color w:val="000000"/>
                <w:sz w:val="24"/>
                <w:szCs w:val="24"/>
              </w:rPr>
              <w:t>55-59</w:t>
            </w:r>
          </w:p>
        </w:tc>
        <w:tc>
          <w:tcPr>
            <w:tcW w:w="1021"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6,487</w:t>
            </w:r>
          </w:p>
        </w:tc>
        <w:tc>
          <w:tcPr>
            <w:tcW w:w="1021"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6,119</w:t>
            </w:r>
          </w:p>
        </w:tc>
        <w:tc>
          <w:tcPr>
            <w:tcW w:w="1304"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-368</w:t>
            </w:r>
          </w:p>
        </w:tc>
        <w:tc>
          <w:tcPr>
            <w:tcW w:w="688"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-5.7%</w:t>
            </w:r>
          </w:p>
        </w:tc>
      </w:tr>
      <w:tr w:rsidR="002804C6" w:rsidRPr="00B242EB" w:rsidTr="00FC604D">
        <w:tc>
          <w:tcPr>
            <w:tcW w:w="966" w:type="pct"/>
            <w:vAlign w:val="center"/>
          </w:tcPr>
          <w:p w:rsidR="002804C6" w:rsidRPr="00B242EB" w:rsidRDefault="002804C6" w:rsidP="005C6E02">
            <w:pPr>
              <w:keepNext/>
              <w:spacing w:line="300" w:lineRule="auto"/>
              <w:rPr>
                <w:rFonts w:ascii="Arial Narrow" w:hAnsi="Arial Narrow"/>
                <w:bCs/>
                <w:sz w:val="24"/>
                <w:szCs w:val="24"/>
              </w:rPr>
            </w:pPr>
            <w:r w:rsidRPr="00B242EB">
              <w:rPr>
                <w:rFonts w:ascii="Arial Narrow" w:hAnsi="Arial Narrow"/>
                <w:bCs/>
                <w:color w:val="000000"/>
                <w:sz w:val="24"/>
                <w:szCs w:val="24"/>
              </w:rPr>
              <w:t>60-64</w:t>
            </w:r>
          </w:p>
        </w:tc>
        <w:tc>
          <w:tcPr>
            <w:tcW w:w="1021"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5,988</w:t>
            </w:r>
          </w:p>
        </w:tc>
        <w:tc>
          <w:tcPr>
            <w:tcW w:w="1021"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6,733</w:t>
            </w:r>
          </w:p>
        </w:tc>
        <w:tc>
          <w:tcPr>
            <w:tcW w:w="1304"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745</w:t>
            </w:r>
          </w:p>
        </w:tc>
        <w:tc>
          <w:tcPr>
            <w:tcW w:w="688"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12.4%</w:t>
            </w:r>
          </w:p>
        </w:tc>
      </w:tr>
      <w:tr w:rsidR="002804C6" w:rsidRPr="00B242EB" w:rsidTr="00FC604D">
        <w:tc>
          <w:tcPr>
            <w:tcW w:w="966" w:type="pct"/>
            <w:vAlign w:val="center"/>
          </w:tcPr>
          <w:p w:rsidR="002804C6" w:rsidRPr="00B242EB" w:rsidRDefault="002804C6" w:rsidP="005C6E02">
            <w:pPr>
              <w:keepNext/>
              <w:spacing w:line="300" w:lineRule="auto"/>
              <w:rPr>
                <w:rFonts w:ascii="Arial Narrow" w:hAnsi="Arial Narrow"/>
                <w:bCs/>
                <w:sz w:val="24"/>
                <w:szCs w:val="24"/>
              </w:rPr>
            </w:pPr>
            <w:r w:rsidRPr="00B242EB">
              <w:rPr>
                <w:rFonts w:ascii="Arial Narrow" w:hAnsi="Arial Narrow"/>
                <w:bCs/>
                <w:color w:val="000000"/>
                <w:sz w:val="24"/>
                <w:szCs w:val="24"/>
              </w:rPr>
              <w:t>65-69</w:t>
            </w:r>
          </w:p>
        </w:tc>
        <w:tc>
          <w:tcPr>
            <w:tcW w:w="1021"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5,619</w:t>
            </w:r>
          </w:p>
        </w:tc>
        <w:tc>
          <w:tcPr>
            <w:tcW w:w="1021"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7,646</w:t>
            </w:r>
          </w:p>
        </w:tc>
        <w:tc>
          <w:tcPr>
            <w:tcW w:w="1304"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2,027</w:t>
            </w:r>
          </w:p>
        </w:tc>
        <w:tc>
          <w:tcPr>
            <w:tcW w:w="688"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36.1%</w:t>
            </w:r>
          </w:p>
        </w:tc>
      </w:tr>
      <w:tr w:rsidR="002804C6" w:rsidRPr="00B242EB" w:rsidTr="00FC604D">
        <w:tc>
          <w:tcPr>
            <w:tcW w:w="966" w:type="pct"/>
            <w:vAlign w:val="center"/>
          </w:tcPr>
          <w:p w:rsidR="002804C6" w:rsidRPr="00B242EB" w:rsidRDefault="002804C6" w:rsidP="005C6E02">
            <w:pPr>
              <w:keepNext/>
              <w:spacing w:line="300" w:lineRule="auto"/>
              <w:rPr>
                <w:rFonts w:ascii="Arial Narrow" w:hAnsi="Arial Narrow"/>
                <w:bCs/>
                <w:sz w:val="24"/>
                <w:szCs w:val="24"/>
              </w:rPr>
            </w:pPr>
            <w:r w:rsidRPr="00B242EB">
              <w:rPr>
                <w:rFonts w:ascii="Arial Narrow" w:hAnsi="Arial Narrow"/>
                <w:bCs/>
                <w:color w:val="000000"/>
                <w:sz w:val="24"/>
                <w:szCs w:val="24"/>
              </w:rPr>
              <w:t>70-74</w:t>
            </w:r>
          </w:p>
        </w:tc>
        <w:tc>
          <w:tcPr>
            <w:tcW w:w="1021"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6,339</w:t>
            </w:r>
          </w:p>
        </w:tc>
        <w:tc>
          <w:tcPr>
            <w:tcW w:w="1021"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8,103</w:t>
            </w:r>
          </w:p>
        </w:tc>
        <w:tc>
          <w:tcPr>
            <w:tcW w:w="1304"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1,764</w:t>
            </w:r>
          </w:p>
        </w:tc>
        <w:tc>
          <w:tcPr>
            <w:tcW w:w="688"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27.8%</w:t>
            </w:r>
          </w:p>
        </w:tc>
      </w:tr>
      <w:tr w:rsidR="002804C6" w:rsidRPr="00B242EB" w:rsidTr="00FC604D">
        <w:tc>
          <w:tcPr>
            <w:tcW w:w="966" w:type="pct"/>
            <w:vAlign w:val="center"/>
          </w:tcPr>
          <w:p w:rsidR="002804C6" w:rsidRPr="00B242EB" w:rsidRDefault="002804C6" w:rsidP="005C6E02">
            <w:pPr>
              <w:keepNext/>
              <w:spacing w:line="300" w:lineRule="auto"/>
              <w:rPr>
                <w:rFonts w:ascii="Arial Narrow" w:hAnsi="Arial Narrow"/>
                <w:bCs/>
                <w:sz w:val="24"/>
                <w:szCs w:val="24"/>
              </w:rPr>
            </w:pPr>
            <w:r w:rsidRPr="00B242EB">
              <w:rPr>
                <w:rFonts w:ascii="Arial Narrow" w:hAnsi="Arial Narrow"/>
                <w:bCs/>
                <w:color w:val="000000"/>
                <w:sz w:val="24"/>
                <w:szCs w:val="24"/>
              </w:rPr>
              <w:t>75-79</w:t>
            </w:r>
          </w:p>
        </w:tc>
        <w:tc>
          <w:tcPr>
            <w:tcW w:w="1021"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4,654</w:t>
            </w:r>
          </w:p>
        </w:tc>
        <w:tc>
          <w:tcPr>
            <w:tcW w:w="1021"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6,635</w:t>
            </w:r>
          </w:p>
        </w:tc>
        <w:tc>
          <w:tcPr>
            <w:tcW w:w="1304"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1,981</w:t>
            </w:r>
          </w:p>
        </w:tc>
        <w:tc>
          <w:tcPr>
            <w:tcW w:w="688"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42.6%</w:t>
            </w:r>
          </w:p>
        </w:tc>
      </w:tr>
      <w:tr w:rsidR="002804C6" w:rsidRPr="00B242EB" w:rsidTr="00FC604D">
        <w:tc>
          <w:tcPr>
            <w:tcW w:w="966" w:type="pct"/>
            <w:vAlign w:val="center"/>
          </w:tcPr>
          <w:p w:rsidR="002804C6" w:rsidRPr="00B242EB" w:rsidRDefault="002804C6" w:rsidP="005C6E02">
            <w:pPr>
              <w:keepNext/>
              <w:spacing w:line="300" w:lineRule="auto"/>
              <w:rPr>
                <w:rFonts w:ascii="Arial Narrow" w:hAnsi="Arial Narrow"/>
                <w:bCs/>
                <w:sz w:val="24"/>
                <w:szCs w:val="24"/>
              </w:rPr>
            </w:pPr>
            <w:r w:rsidRPr="00B242EB">
              <w:rPr>
                <w:rFonts w:ascii="Arial Narrow" w:hAnsi="Arial Narrow"/>
                <w:bCs/>
                <w:color w:val="000000"/>
                <w:sz w:val="24"/>
                <w:szCs w:val="24"/>
              </w:rPr>
              <w:t>80-84</w:t>
            </w:r>
          </w:p>
        </w:tc>
        <w:tc>
          <w:tcPr>
            <w:tcW w:w="1021"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3,501</w:t>
            </w:r>
          </w:p>
        </w:tc>
        <w:tc>
          <w:tcPr>
            <w:tcW w:w="1021"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5,219</w:t>
            </w:r>
          </w:p>
        </w:tc>
        <w:tc>
          <w:tcPr>
            <w:tcW w:w="1304"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1,719</w:t>
            </w:r>
          </w:p>
        </w:tc>
        <w:tc>
          <w:tcPr>
            <w:tcW w:w="688"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49.1%</w:t>
            </w:r>
          </w:p>
        </w:tc>
      </w:tr>
      <w:tr w:rsidR="002804C6" w:rsidRPr="00B242EB" w:rsidTr="00FC604D">
        <w:tc>
          <w:tcPr>
            <w:tcW w:w="966" w:type="pct"/>
            <w:vAlign w:val="center"/>
          </w:tcPr>
          <w:p w:rsidR="002804C6" w:rsidRPr="00B242EB" w:rsidRDefault="002804C6" w:rsidP="005C6E02">
            <w:pPr>
              <w:keepNext/>
              <w:spacing w:line="300" w:lineRule="auto"/>
              <w:rPr>
                <w:rFonts w:ascii="Arial Narrow" w:hAnsi="Arial Narrow"/>
                <w:bCs/>
                <w:sz w:val="24"/>
                <w:szCs w:val="24"/>
              </w:rPr>
            </w:pPr>
            <w:r w:rsidRPr="00B242EB">
              <w:rPr>
                <w:rFonts w:ascii="Arial Narrow" w:hAnsi="Arial Narrow"/>
                <w:bCs/>
                <w:color w:val="000000"/>
                <w:sz w:val="24"/>
                <w:szCs w:val="24"/>
              </w:rPr>
              <w:t>85 &amp; over</w:t>
            </w:r>
          </w:p>
        </w:tc>
        <w:tc>
          <w:tcPr>
            <w:tcW w:w="1021"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3,843</w:t>
            </w:r>
          </w:p>
        </w:tc>
        <w:tc>
          <w:tcPr>
            <w:tcW w:w="1021"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7,092</w:t>
            </w:r>
          </w:p>
        </w:tc>
        <w:tc>
          <w:tcPr>
            <w:tcW w:w="1304"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3,249</w:t>
            </w:r>
          </w:p>
        </w:tc>
        <w:tc>
          <w:tcPr>
            <w:tcW w:w="688"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84.6%</w:t>
            </w:r>
          </w:p>
        </w:tc>
      </w:tr>
      <w:tr w:rsidR="002804C6" w:rsidRPr="00B242EB" w:rsidTr="00FC604D">
        <w:tc>
          <w:tcPr>
            <w:tcW w:w="966" w:type="pct"/>
            <w:vAlign w:val="center"/>
          </w:tcPr>
          <w:p w:rsidR="002804C6" w:rsidRPr="00B242EB" w:rsidRDefault="002804C6" w:rsidP="005C6E02">
            <w:pPr>
              <w:keepNext/>
              <w:spacing w:line="300" w:lineRule="auto"/>
              <w:rPr>
                <w:rFonts w:ascii="Arial Narrow" w:hAnsi="Arial Narrow"/>
                <w:bCs/>
                <w:sz w:val="24"/>
                <w:szCs w:val="24"/>
              </w:rPr>
            </w:pPr>
            <w:r w:rsidRPr="00B242EB">
              <w:rPr>
                <w:rFonts w:ascii="Arial Narrow" w:hAnsi="Arial Narrow"/>
                <w:bCs/>
                <w:color w:val="000000"/>
                <w:sz w:val="24"/>
                <w:szCs w:val="24"/>
              </w:rPr>
              <w:t>Total</w:t>
            </w:r>
          </w:p>
        </w:tc>
        <w:tc>
          <w:tcPr>
            <w:tcW w:w="1021"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89,487</w:t>
            </w:r>
          </w:p>
        </w:tc>
        <w:tc>
          <w:tcPr>
            <w:tcW w:w="1021"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108,737</w:t>
            </w:r>
          </w:p>
        </w:tc>
        <w:tc>
          <w:tcPr>
            <w:tcW w:w="1304"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19,251</w:t>
            </w:r>
          </w:p>
        </w:tc>
        <w:tc>
          <w:tcPr>
            <w:tcW w:w="688" w:type="pct"/>
            <w:vAlign w:val="bottom"/>
          </w:tcPr>
          <w:p w:rsidR="002804C6" w:rsidRPr="00B242EB" w:rsidRDefault="002804C6" w:rsidP="005C6E02">
            <w:pPr>
              <w:keepNext/>
              <w:spacing w:line="300" w:lineRule="auto"/>
              <w:jc w:val="center"/>
              <w:rPr>
                <w:rFonts w:ascii="Arial Narrow" w:hAnsi="Arial Narrow"/>
                <w:bCs/>
                <w:sz w:val="24"/>
                <w:szCs w:val="24"/>
              </w:rPr>
            </w:pPr>
            <w:r w:rsidRPr="00B242EB">
              <w:rPr>
                <w:rFonts w:ascii="Arial Narrow" w:hAnsi="Arial Narrow"/>
                <w:color w:val="000000"/>
                <w:sz w:val="24"/>
                <w:szCs w:val="24"/>
                <w:lang w:eastAsia="en-GB"/>
              </w:rPr>
              <w:t>21.5%</w:t>
            </w:r>
          </w:p>
        </w:tc>
      </w:tr>
    </w:tbl>
    <w:bookmarkEnd w:id="88"/>
    <w:p w:rsidR="002804C6" w:rsidRPr="00B242EB" w:rsidRDefault="002804C6" w:rsidP="0009738C">
      <w:pPr>
        <w:pStyle w:val="Tableheading"/>
        <w:numPr>
          <w:ilvl w:val="0"/>
          <w:numId w:val="0"/>
        </w:numPr>
        <w:tabs>
          <w:tab w:val="clear" w:pos="794"/>
          <w:tab w:val="clear" w:pos="1843"/>
          <w:tab w:val="left" w:pos="0"/>
        </w:tabs>
        <w:rPr>
          <w:b w:val="0"/>
          <w:bCs/>
        </w:rPr>
      </w:pPr>
      <w:r w:rsidRPr="00B242EB">
        <w:rPr>
          <w:b w:val="0"/>
          <w:bCs/>
        </w:rPr>
        <w:t xml:space="preserve">Source: GLH Demographic Projections </w:t>
      </w:r>
    </w:p>
    <w:p w:rsidR="002804C6" w:rsidRPr="00D0516F" w:rsidRDefault="002804C6" w:rsidP="00020CFC">
      <w:pPr>
        <w:pStyle w:val="11Bodytext"/>
        <w:tabs>
          <w:tab w:val="clear" w:pos="2212"/>
          <w:tab w:val="num" w:pos="567"/>
        </w:tabs>
        <w:ind w:left="567" w:hanging="567"/>
      </w:pPr>
      <w:r>
        <w:t>We have also set out below the age profile growth of delivering 731 dpa across the district.</w:t>
      </w:r>
      <w:r w:rsidR="00855CA6">
        <w:t xml:space="preserve"> </w:t>
      </w:r>
      <w:r w:rsidR="002C72FE">
        <w:t>These show a similar trend to the district.</w:t>
      </w:r>
    </w:p>
    <w:p w:rsidR="002C72FE" w:rsidRDefault="002C72FE">
      <w:pPr>
        <w:spacing w:after="200"/>
        <w:rPr>
          <w:b/>
          <w:szCs w:val="24"/>
        </w:rPr>
      </w:pPr>
      <w:bookmarkStart w:id="89" w:name="_Hlk27047695"/>
      <w:bookmarkEnd w:id="86"/>
      <w:r>
        <w:br w:type="page"/>
      </w:r>
    </w:p>
    <w:p w:rsidR="002804C6" w:rsidRDefault="002804C6" w:rsidP="00FC604D">
      <w:pPr>
        <w:pStyle w:val="Tableheading"/>
        <w:tabs>
          <w:tab w:val="clear" w:pos="794"/>
          <w:tab w:val="clear" w:pos="1843"/>
          <w:tab w:val="left" w:pos="0"/>
        </w:tabs>
        <w:ind w:left="0" w:firstLine="0"/>
      </w:pPr>
      <w:r w:rsidRPr="001B5DFA">
        <w:lastRenderedPageBreak/>
        <w:t>Projected pop</w:t>
      </w:r>
      <w:r w:rsidR="002D60A1">
        <w:t>ulation</w:t>
      </w:r>
      <w:r w:rsidRPr="001B5DFA">
        <w:t xml:space="preserve"> </w:t>
      </w:r>
      <w:r w:rsidRPr="00657772">
        <w:t>ch</w:t>
      </w:r>
      <w:r w:rsidR="004C735B" w:rsidRPr="00657772">
        <w:t>ange</w:t>
      </w:r>
      <w:r w:rsidRPr="001B5DFA">
        <w:t xml:space="preserve"> in </w:t>
      </w:r>
      <w:r>
        <w:t>Chichester</w:t>
      </w:r>
      <w:r w:rsidRPr="001B5DFA">
        <w:t xml:space="preserve"> </w:t>
      </w:r>
      <w:r w:rsidR="00FD0E9C">
        <w:t>District</w:t>
      </w:r>
      <w:r>
        <w:t xml:space="preserve"> </w:t>
      </w:r>
      <w:r w:rsidR="00B242EB">
        <w:t>(</w:t>
      </w:r>
      <w:r>
        <w:t xml:space="preserve">linked to 731 </w:t>
      </w:r>
      <w:r w:rsidR="00B242EB">
        <w:t>dpa)</w:t>
      </w:r>
    </w:p>
    <w:tbl>
      <w:tblPr>
        <w:tblStyle w:val="TableGrid"/>
        <w:tblW w:w="4894" w:type="pct"/>
        <w:tblInd w:w="108" w:type="dxa"/>
        <w:tblLook w:val="04A0" w:firstRow="1" w:lastRow="0" w:firstColumn="1" w:lastColumn="0" w:noHBand="0" w:noVBand="1"/>
        <w:tblCaption w:val="Table 15: Projected population change in Chichester LPA (linked to 731 dpa)"/>
      </w:tblPr>
      <w:tblGrid>
        <w:gridCol w:w="1418"/>
        <w:gridCol w:w="2186"/>
        <w:gridCol w:w="1901"/>
        <w:gridCol w:w="2535"/>
        <w:gridCol w:w="1598"/>
      </w:tblGrid>
      <w:tr w:rsidR="002804C6" w:rsidRPr="00B242EB" w:rsidTr="00FC604D">
        <w:trPr>
          <w:trHeight w:val="615"/>
          <w:tblHeader/>
        </w:trPr>
        <w:tc>
          <w:tcPr>
            <w:tcW w:w="736" w:type="pct"/>
            <w:shd w:val="clear" w:color="auto" w:fill="0093D5" w:themeFill="accent2"/>
            <w:vAlign w:val="center"/>
          </w:tcPr>
          <w:p w:rsidR="002804C6" w:rsidRPr="00B242EB" w:rsidRDefault="002804C6" w:rsidP="005C6E02">
            <w:pPr>
              <w:keepNext/>
              <w:spacing w:line="300" w:lineRule="auto"/>
              <w:rPr>
                <w:rFonts w:ascii="Arial Narrow" w:hAnsi="Arial Narrow"/>
                <w:color w:val="FFFFFF" w:themeColor="background1"/>
                <w:sz w:val="24"/>
                <w:szCs w:val="24"/>
              </w:rPr>
            </w:pPr>
          </w:p>
        </w:tc>
        <w:tc>
          <w:tcPr>
            <w:tcW w:w="1134" w:type="pct"/>
            <w:shd w:val="clear" w:color="auto" w:fill="0093D5" w:themeFill="accent2"/>
            <w:vAlign w:val="center"/>
          </w:tcPr>
          <w:p w:rsidR="002804C6" w:rsidRPr="00B242EB" w:rsidRDefault="002804C6" w:rsidP="008864C0">
            <w:pPr>
              <w:keepNext/>
              <w:spacing w:line="300" w:lineRule="auto"/>
              <w:jc w:val="center"/>
              <w:rPr>
                <w:rFonts w:ascii="Arial Narrow" w:hAnsi="Arial Narrow"/>
                <w:color w:val="FFFFFF" w:themeColor="background1"/>
                <w:sz w:val="24"/>
                <w:szCs w:val="24"/>
              </w:rPr>
            </w:pPr>
            <w:r w:rsidRPr="00B242EB">
              <w:rPr>
                <w:rFonts w:ascii="Arial Narrow" w:hAnsi="Arial Narrow"/>
                <w:color w:val="FFFFFF" w:themeColor="background1"/>
                <w:sz w:val="24"/>
                <w:szCs w:val="24"/>
              </w:rPr>
              <w:t xml:space="preserve">Population </w:t>
            </w:r>
            <w:r w:rsidR="008864C0" w:rsidRPr="00B242EB">
              <w:rPr>
                <w:rFonts w:ascii="Arial Narrow" w:hAnsi="Arial Narrow"/>
                <w:color w:val="FFFFFF" w:themeColor="background1"/>
                <w:sz w:val="24"/>
                <w:szCs w:val="24"/>
              </w:rPr>
              <w:t>2019</w:t>
            </w:r>
          </w:p>
        </w:tc>
        <w:tc>
          <w:tcPr>
            <w:tcW w:w="986" w:type="pct"/>
            <w:shd w:val="clear" w:color="auto" w:fill="0093D5" w:themeFill="accent2"/>
            <w:vAlign w:val="center"/>
          </w:tcPr>
          <w:p w:rsidR="002804C6" w:rsidRPr="00B242EB" w:rsidRDefault="002804C6" w:rsidP="005C6E02">
            <w:pPr>
              <w:keepNext/>
              <w:spacing w:line="300" w:lineRule="auto"/>
              <w:jc w:val="center"/>
              <w:rPr>
                <w:rFonts w:ascii="Arial Narrow" w:hAnsi="Arial Narrow"/>
                <w:color w:val="FFFFFF" w:themeColor="background1"/>
                <w:sz w:val="24"/>
                <w:szCs w:val="24"/>
              </w:rPr>
            </w:pPr>
            <w:r w:rsidRPr="00B242EB">
              <w:rPr>
                <w:rFonts w:ascii="Arial Narrow" w:hAnsi="Arial Narrow"/>
                <w:color w:val="FFFFFF" w:themeColor="background1"/>
                <w:sz w:val="24"/>
                <w:szCs w:val="24"/>
              </w:rPr>
              <w:t>Population 2036</w:t>
            </w:r>
          </w:p>
        </w:tc>
        <w:tc>
          <w:tcPr>
            <w:tcW w:w="1315" w:type="pct"/>
            <w:shd w:val="clear" w:color="auto" w:fill="0093D5" w:themeFill="accent2"/>
            <w:vAlign w:val="center"/>
          </w:tcPr>
          <w:p w:rsidR="002804C6" w:rsidRPr="00B242EB" w:rsidRDefault="002804C6" w:rsidP="005C6E02">
            <w:pPr>
              <w:keepNext/>
              <w:spacing w:line="300" w:lineRule="auto"/>
              <w:jc w:val="center"/>
              <w:rPr>
                <w:rFonts w:ascii="Arial Narrow" w:hAnsi="Arial Narrow"/>
                <w:color w:val="FFFFFF" w:themeColor="background1"/>
                <w:sz w:val="24"/>
                <w:szCs w:val="24"/>
              </w:rPr>
            </w:pPr>
            <w:r w:rsidRPr="00B242EB">
              <w:rPr>
                <w:rFonts w:ascii="Arial Narrow" w:hAnsi="Arial Narrow"/>
                <w:color w:val="FFFFFF" w:themeColor="background1"/>
                <w:sz w:val="24"/>
                <w:szCs w:val="24"/>
              </w:rPr>
              <w:t>Change in population</w:t>
            </w:r>
          </w:p>
        </w:tc>
        <w:tc>
          <w:tcPr>
            <w:tcW w:w="829" w:type="pct"/>
            <w:shd w:val="clear" w:color="auto" w:fill="0093D5" w:themeFill="accent2"/>
            <w:vAlign w:val="center"/>
          </w:tcPr>
          <w:p w:rsidR="002804C6" w:rsidRPr="00B242EB" w:rsidRDefault="002804C6" w:rsidP="005C6E02">
            <w:pPr>
              <w:keepNext/>
              <w:spacing w:line="300" w:lineRule="auto"/>
              <w:jc w:val="center"/>
              <w:rPr>
                <w:rFonts w:ascii="Arial Narrow" w:hAnsi="Arial Narrow"/>
                <w:color w:val="FFFFFF" w:themeColor="background1"/>
                <w:sz w:val="24"/>
                <w:szCs w:val="24"/>
              </w:rPr>
            </w:pPr>
            <w:r w:rsidRPr="00B242EB">
              <w:rPr>
                <w:rFonts w:ascii="Arial Narrow" w:hAnsi="Arial Narrow"/>
                <w:color w:val="FFFFFF" w:themeColor="background1"/>
                <w:sz w:val="24"/>
                <w:szCs w:val="24"/>
              </w:rPr>
              <w:t>% change</w:t>
            </w:r>
          </w:p>
        </w:tc>
      </w:tr>
      <w:tr w:rsidR="002804C6" w:rsidRPr="00B242EB" w:rsidTr="00FC604D">
        <w:trPr>
          <w:trHeight w:val="307"/>
        </w:trPr>
        <w:tc>
          <w:tcPr>
            <w:tcW w:w="736" w:type="pct"/>
            <w:vAlign w:val="center"/>
          </w:tcPr>
          <w:p w:rsidR="002804C6" w:rsidRPr="00B242EB" w:rsidRDefault="002804C6" w:rsidP="005C6E02">
            <w:pPr>
              <w:keepNext/>
              <w:spacing w:line="300" w:lineRule="auto"/>
              <w:rPr>
                <w:rFonts w:ascii="Arial Narrow" w:hAnsi="Arial Narrow"/>
                <w:sz w:val="24"/>
                <w:szCs w:val="24"/>
              </w:rPr>
            </w:pPr>
            <w:r w:rsidRPr="00B242EB">
              <w:rPr>
                <w:rFonts w:ascii="Arial Narrow" w:hAnsi="Arial Narrow"/>
                <w:color w:val="000000"/>
                <w:sz w:val="24"/>
                <w:szCs w:val="24"/>
              </w:rPr>
              <w:t>0-4</w:t>
            </w:r>
          </w:p>
        </w:tc>
        <w:tc>
          <w:tcPr>
            <w:tcW w:w="1134"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5,661</w:t>
            </w:r>
          </w:p>
        </w:tc>
        <w:tc>
          <w:tcPr>
            <w:tcW w:w="986"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6,266</w:t>
            </w:r>
          </w:p>
        </w:tc>
        <w:tc>
          <w:tcPr>
            <w:tcW w:w="1315"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605</w:t>
            </w:r>
          </w:p>
        </w:tc>
        <w:tc>
          <w:tcPr>
            <w:tcW w:w="829"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10.7%</w:t>
            </w:r>
          </w:p>
        </w:tc>
      </w:tr>
      <w:tr w:rsidR="002804C6" w:rsidRPr="00B242EB" w:rsidTr="00FC604D">
        <w:trPr>
          <w:trHeight w:val="307"/>
        </w:trPr>
        <w:tc>
          <w:tcPr>
            <w:tcW w:w="736" w:type="pct"/>
            <w:vAlign w:val="center"/>
          </w:tcPr>
          <w:p w:rsidR="002804C6" w:rsidRPr="00B242EB" w:rsidRDefault="002804C6" w:rsidP="005C6E02">
            <w:pPr>
              <w:keepNext/>
              <w:spacing w:line="300" w:lineRule="auto"/>
              <w:rPr>
                <w:rFonts w:ascii="Arial Narrow" w:hAnsi="Arial Narrow"/>
                <w:sz w:val="24"/>
                <w:szCs w:val="24"/>
              </w:rPr>
            </w:pPr>
            <w:r w:rsidRPr="00B242EB">
              <w:rPr>
                <w:rFonts w:ascii="Arial Narrow" w:hAnsi="Arial Narrow"/>
                <w:color w:val="000000"/>
                <w:sz w:val="24"/>
                <w:szCs w:val="24"/>
              </w:rPr>
              <w:t>5-9</w:t>
            </w:r>
          </w:p>
        </w:tc>
        <w:tc>
          <w:tcPr>
            <w:tcW w:w="1134"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6,611</w:t>
            </w:r>
          </w:p>
        </w:tc>
        <w:tc>
          <w:tcPr>
            <w:tcW w:w="986"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6,723</w:t>
            </w:r>
          </w:p>
        </w:tc>
        <w:tc>
          <w:tcPr>
            <w:tcW w:w="1315"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112</w:t>
            </w:r>
          </w:p>
        </w:tc>
        <w:tc>
          <w:tcPr>
            <w:tcW w:w="829"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1.7%</w:t>
            </w:r>
          </w:p>
        </w:tc>
      </w:tr>
      <w:tr w:rsidR="002804C6" w:rsidRPr="00B242EB" w:rsidTr="00FC604D">
        <w:trPr>
          <w:trHeight w:val="291"/>
        </w:trPr>
        <w:tc>
          <w:tcPr>
            <w:tcW w:w="736" w:type="pct"/>
            <w:vAlign w:val="center"/>
          </w:tcPr>
          <w:p w:rsidR="002804C6" w:rsidRPr="00B242EB" w:rsidRDefault="002804C6" w:rsidP="005C6E02">
            <w:pPr>
              <w:keepNext/>
              <w:spacing w:line="300" w:lineRule="auto"/>
              <w:rPr>
                <w:rFonts w:ascii="Arial Narrow" w:hAnsi="Arial Narrow"/>
                <w:sz w:val="24"/>
                <w:szCs w:val="24"/>
              </w:rPr>
            </w:pPr>
            <w:r w:rsidRPr="00B242EB">
              <w:rPr>
                <w:rFonts w:ascii="Arial Narrow" w:hAnsi="Arial Narrow"/>
                <w:color w:val="000000"/>
                <w:sz w:val="24"/>
                <w:szCs w:val="24"/>
              </w:rPr>
              <w:t>10-14</w:t>
            </w:r>
          </w:p>
        </w:tc>
        <w:tc>
          <w:tcPr>
            <w:tcW w:w="1134"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6,592</w:t>
            </w:r>
          </w:p>
        </w:tc>
        <w:tc>
          <w:tcPr>
            <w:tcW w:w="986"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6,882</w:t>
            </w:r>
          </w:p>
        </w:tc>
        <w:tc>
          <w:tcPr>
            <w:tcW w:w="1315"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290</w:t>
            </w:r>
          </w:p>
        </w:tc>
        <w:tc>
          <w:tcPr>
            <w:tcW w:w="829"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4.4%</w:t>
            </w:r>
          </w:p>
        </w:tc>
      </w:tr>
      <w:tr w:rsidR="002804C6" w:rsidRPr="00B242EB" w:rsidTr="00FC604D">
        <w:trPr>
          <w:trHeight w:val="307"/>
        </w:trPr>
        <w:tc>
          <w:tcPr>
            <w:tcW w:w="736" w:type="pct"/>
            <w:vAlign w:val="center"/>
          </w:tcPr>
          <w:p w:rsidR="002804C6" w:rsidRPr="00B242EB" w:rsidRDefault="002804C6" w:rsidP="005C6E02">
            <w:pPr>
              <w:keepNext/>
              <w:spacing w:line="300" w:lineRule="auto"/>
              <w:rPr>
                <w:rFonts w:ascii="Arial Narrow" w:hAnsi="Arial Narrow"/>
                <w:sz w:val="24"/>
                <w:szCs w:val="24"/>
              </w:rPr>
            </w:pPr>
            <w:r w:rsidRPr="00B242EB">
              <w:rPr>
                <w:rFonts w:ascii="Arial Narrow" w:hAnsi="Arial Narrow"/>
                <w:color w:val="000000"/>
                <w:sz w:val="24"/>
                <w:szCs w:val="24"/>
              </w:rPr>
              <w:t>15-19</w:t>
            </w:r>
          </w:p>
        </w:tc>
        <w:tc>
          <w:tcPr>
            <w:tcW w:w="1134"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6,226</w:t>
            </w:r>
          </w:p>
        </w:tc>
        <w:tc>
          <w:tcPr>
            <w:tcW w:w="986"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7,345</w:t>
            </w:r>
          </w:p>
        </w:tc>
        <w:tc>
          <w:tcPr>
            <w:tcW w:w="1315"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1,119</w:t>
            </w:r>
          </w:p>
        </w:tc>
        <w:tc>
          <w:tcPr>
            <w:tcW w:w="829"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18.0%</w:t>
            </w:r>
          </w:p>
        </w:tc>
      </w:tr>
      <w:tr w:rsidR="002804C6" w:rsidRPr="00B242EB" w:rsidTr="00FC604D">
        <w:trPr>
          <w:trHeight w:val="307"/>
        </w:trPr>
        <w:tc>
          <w:tcPr>
            <w:tcW w:w="736" w:type="pct"/>
            <w:vAlign w:val="center"/>
          </w:tcPr>
          <w:p w:rsidR="002804C6" w:rsidRPr="00B242EB" w:rsidRDefault="002804C6" w:rsidP="005C6E02">
            <w:pPr>
              <w:keepNext/>
              <w:spacing w:line="300" w:lineRule="auto"/>
              <w:rPr>
                <w:rFonts w:ascii="Arial Narrow" w:hAnsi="Arial Narrow"/>
                <w:sz w:val="24"/>
                <w:szCs w:val="24"/>
              </w:rPr>
            </w:pPr>
            <w:r w:rsidRPr="00B242EB">
              <w:rPr>
                <w:rFonts w:ascii="Arial Narrow" w:hAnsi="Arial Narrow"/>
                <w:color w:val="000000"/>
                <w:sz w:val="24"/>
                <w:szCs w:val="24"/>
              </w:rPr>
              <w:t>20-24</w:t>
            </w:r>
          </w:p>
        </w:tc>
        <w:tc>
          <w:tcPr>
            <w:tcW w:w="1134"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6,391</w:t>
            </w:r>
          </w:p>
        </w:tc>
        <w:tc>
          <w:tcPr>
            <w:tcW w:w="986"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8,535</w:t>
            </w:r>
          </w:p>
        </w:tc>
        <w:tc>
          <w:tcPr>
            <w:tcW w:w="1315"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2,144</w:t>
            </w:r>
          </w:p>
        </w:tc>
        <w:tc>
          <w:tcPr>
            <w:tcW w:w="829"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33.6%</w:t>
            </w:r>
          </w:p>
        </w:tc>
      </w:tr>
      <w:tr w:rsidR="002804C6" w:rsidRPr="00B242EB" w:rsidTr="00FC604D">
        <w:trPr>
          <w:trHeight w:val="307"/>
        </w:trPr>
        <w:tc>
          <w:tcPr>
            <w:tcW w:w="736" w:type="pct"/>
            <w:vAlign w:val="center"/>
          </w:tcPr>
          <w:p w:rsidR="002804C6" w:rsidRPr="00B242EB" w:rsidRDefault="002804C6" w:rsidP="005C6E02">
            <w:pPr>
              <w:keepNext/>
              <w:spacing w:line="300" w:lineRule="auto"/>
              <w:rPr>
                <w:rFonts w:ascii="Arial Narrow" w:hAnsi="Arial Narrow"/>
                <w:sz w:val="24"/>
                <w:szCs w:val="24"/>
              </w:rPr>
            </w:pPr>
            <w:r w:rsidRPr="00B242EB">
              <w:rPr>
                <w:rFonts w:ascii="Arial Narrow" w:hAnsi="Arial Narrow"/>
                <w:color w:val="000000"/>
                <w:sz w:val="24"/>
                <w:szCs w:val="24"/>
              </w:rPr>
              <w:t>25-29</w:t>
            </w:r>
          </w:p>
        </w:tc>
        <w:tc>
          <w:tcPr>
            <w:tcW w:w="1134"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5,757</w:t>
            </w:r>
          </w:p>
        </w:tc>
        <w:tc>
          <w:tcPr>
            <w:tcW w:w="986"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6,944</w:t>
            </w:r>
          </w:p>
        </w:tc>
        <w:tc>
          <w:tcPr>
            <w:tcW w:w="1315"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1,187</w:t>
            </w:r>
          </w:p>
        </w:tc>
        <w:tc>
          <w:tcPr>
            <w:tcW w:w="829"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20.6%</w:t>
            </w:r>
          </w:p>
        </w:tc>
      </w:tr>
      <w:tr w:rsidR="002804C6" w:rsidRPr="00B242EB" w:rsidTr="00FC604D">
        <w:trPr>
          <w:trHeight w:val="307"/>
        </w:trPr>
        <w:tc>
          <w:tcPr>
            <w:tcW w:w="736" w:type="pct"/>
            <w:vAlign w:val="center"/>
          </w:tcPr>
          <w:p w:rsidR="002804C6" w:rsidRPr="00B242EB" w:rsidRDefault="002804C6" w:rsidP="005C6E02">
            <w:pPr>
              <w:keepNext/>
              <w:spacing w:line="300" w:lineRule="auto"/>
              <w:rPr>
                <w:rFonts w:ascii="Arial Narrow" w:hAnsi="Arial Narrow"/>
                <w:sz w:val="24"/>
                <w:szCs w:val="24"/>
              </w:rPr>
            </w:pPr>
            <w:r w:rsidRPr="00B242EB">
              <w:rPr>
                <w:rFonts w:ascii="Arial Narrow" w:hAnsi="Arial Narrow"/>
                <w:color w:val="000000"/>
                <w:sz w:val="24"/>
                <w:szCs w:val="24"/>
              </w:rPr>
              <w:t>30-34</w:t>
            </w:r>
          </w:p>
        </w:tc>
        <w:tc>
          <w:tcPr>
            <w:tcW w:w="1134"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5,427</w:t>
            </w:r>
          </w:p>
        </w:tc>
        <w:tc>
          <w:tcPr>
            <w:tcW w:w="986"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6,023</w:t>
            </w:r>
          </w:p>
        </w:tc>
        <w:tc>
          <w:tcPr>
            <w:tcW w:w="1315"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596</w:t>
            </w:r>
          </w:p>
        </w:tc>
        <w:tc>
          <w:tcPr>
            <w:tcW w:w="829"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11.0%</w:t>
            </w:r>
          </w:p>
        </w:tc>
      </w:tr>
      <w:tr w:rsidR="002804C6" w:rsidRPr="00B242EB" w:rsidTr="00FC604D">
        <w:trPr>
          <w:trHeight w:val="307"/>
        </w:trPr>
        <w:tc>
          <w:tcPr>
            <w:tcW w:w="736" w:type="pct"/>
            <w:vAlign w:val="center"/>
          </w:tcPr>
          <w:p w:rsidR="002804C6" w:rsidRPr="00B242EB" w:rsidRDefault="002804C6" w:rsidP="005C6E02">
            <w:pPr>
              <w:keepNext/>
              <w:spacing w:line="300" w:lineRule="auto"/>
              <w:rPr>
                <w:rFonts w:ascii="Arial Narrow" w:hAnsi="Arial Narrow"/>
                <w:sz w:val="24"/>
                <w:szCs w:val="24"/>
              </w:rPr>
            </w:pPr>
            <w:r w:rsidRPr="00B242EB">
              <w:rPr>
                <w:rFonts w:ascii="Arial Narrow" w:hAnsi="Arial Narrow"/>
                <w:color w:val="000000"/>
                <w:sz w:val="24"/>
                <w:szCs w:val="24"/>
              </w:rPr>
              <w:t>35-39</w:t>
            </w:r>
          </w:p>
        </w:tc>
        <w:tc>
          <w:tcPr>
            <w:tcW w:w="1134"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5,912</w:t>
            </w:r>
          </w:p>
        </w:tc>
        <w:tc>
          <w:tcPr>
            <w:tcW w:w="986"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5,971</w:t>
            </w:r>
          </w:p>
        </w:tc>
        <w:tc>
          <w:tcPr>
            <w:tcW w:w="1315"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59</w:t>
            </w:r>
          </w:p>
        </w:tc>
        <w:tc>
          <w:tcPr>
            <w:tcW w:w="829"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1.0%</w:t>
            </w:r>
          </w:p>
        </w:tc>
      </w:tr>
      <w:tr w:rsidR="002804C6" w:rsidRPr="00B242EB" w:rsidTr="00FC604D">
        <w:trPr>
          <w:trHeight w:val="291"/>
        </w:trPr>
        <w:tc>
          <w:tcPr>
            <w:tcW w:w="736" w:type="pct"/>
            <w:vAlign w:val="center"/>
          </w:tcPr>
          <w:p w:rsidR="002804C6" w:rsidRPr="00B242EB" w:rsidRDefault="002804C6" w:rsidP="005C6E02">
            <w:pPr>
              <w:keepNext/>
              <w:spacing w:line="300" w:lineRule="auto"/>
              <w:rPr>
                <w:rFonts w:ascii="Arial Narrow" w:hAnsi="Arial Narrow"/>
                <w:sz w:val="24"/>
                <w:szCs w:val="24"/>
              </w:rPr>
            </w:pPr>
            <w:r w:rsidRPr="00B242EB">
              <w:rPr>
                <w:rFonts w:ascii="Arial Narrow" w:hAnsi="Arial Narrow"/>
                <w:color w:val="000000"/>
                <w:sz w:val="24"/>
                <w:szCs w:val="24"/>
              </w:rPr>
              <w:t>40-44</w:t>
            </w:r>
          </w:p>
        </w:tc>
        <w:tc>
          <w:tcPr>
            <w:tcW w:w="1134"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6,016</w:t>
            </w:r>
          </w:p>
        </w:tc>
        <w:tc>
          <w:tcPr>
            <w:tcW w:w="986"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6,786</w:t>
            </w:r>
          </w:p>
        </w:tc>
        <w:tc>
          <w:tcPr>
            <w:tcW w:w="1315"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770</w:t>
            </w:r>
          </w:p>
        </w:tc>
        <w:tc>
          <w:tcPr>
            <w:tcW w:w="829"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12.8%</w:t>
            </w:r>
          </w:p>
        </w:tc>
      </w:tr>
      <w:tr w:rsidR="002804C6" w:rsidRPr="00B242EB" w:rsidTr="00FC604D">
        <w:trPr>
          <w:trHeight w:val="307"/>
        </w:trPr>
        <w:tc>
          <w:tcPr>
            <w:tcW w:w="736" w:type="pct"/>
            <w:vAlign w:val="center"/>
          </w:tcPr>
          <w:p w:rsidR="002804C6" w:rsidRPr="00B242EB" w:rsidRDefault="002804C6" w:rsidP="005C6E02">
            <w:pPr>
              <w:keepNext/>
              <w:spacing w:line="300" w:lineRule="auto"/>
              <w:rPr>
                <w:rFonts w:ascii="Arial Narrow" w:hAnsi="Arial Narrow"/>
                <w:sz w:val="24"/>
                <w:szCs w:val="24"/>
              </w:rPr>
            </w:pPr>
            <w:r w:rsidRPr="00B242EB">
              <w:rPr>
                <w:rFonts w:ascii="Arial Narrow" w:hAnsi="Arial Narrow"/>
                <w:color w:val="000000"/>
                <w:sz w:val="24"/>
                <w:szCs w:val="24"/>
              </w:rPr>
              <w:t>45-49</w:t>
            </w:r>
          </w:p>
        </w:tc>
        <w:tc>
          <w:tcPr>
            <w:tcW w:w="1134"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7,611</w:t>
            </w:r>
          </w:p>
        </w:tc>
        <w:tc>
          <w:tcPr>
            <w:tcW w:w="986"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7,684</w:t>
            </w:r>
          </w:p>
        </w:tc>
        <w:tc>
          <w:tcPr>
            <w:tcW w:w="1315"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74</w:t>
            </w:r>
          </w:p>
        </w:tc>
        <w:tc>
          <w:tcPr>
            <w:tcW w:w="829"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1.0%</w:t>
            </w:r>
          </w:p>
        </w:tc>
      </w:tr>
      <w:tr w:rsidR="002804C6" w:rsidRPr="00B242EB" w:rsidTr="00FC604D">
        <w:trPr>
          <w:trHeight w:val="307"/>
        </w:trPr>
        <w:tc>
          <w:tcPr>
            <w:tcW w:w="736" w:type="pct"/>
            <w:vAlign w:val="center"/>
          </w:tcPr>
          <w:p w:rsidR="002804C6" w:rsidRPr="00B242EB" w:rsidRDefault="002804C6" w:rsidP="005C6E02">
            <w:pPr>
              <w:keepNext/>
              <w:spacing w:line="300" w:lineRule="auto"/>
              <w:rPr>
                <w:rFonts w:ascii="Arial Narrow" w:hAnsi="Arial Narrow"/>
                <w:sz w:val="24"/>
                <w:szCs w:val="24"/>
              </w:rPr>
            </w:pPr>
            <w:r w:rsidRPr="00B242EB">
              <w:rPr>
                <w:rFonts w:ascii="Arial Narrow" w:hAnsi="Arial Narrow"/>
                <w:color w:val="000000"/>
                <w:sz w:val="24"/>
                <w:szCs w:val="24"/>
              </w:rPr>
              <w:t>50-54</w:t>
            </w:r>
          </w:p>
        </w:tc>
        <w:tc>
          <w:tcPr>
            <w:tcW w:w="1134"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8,793</w:t>
            </w:r>
          </w:p>
        </w:tc>
        <w:tc>
          <w:tcPr>
            <w:tcW w:w="986"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7,839</w:t>
            </w:r>
          </w:p>
        </w:tc>
        <w:tc>
          <w:tcPr>
            <w:tcW w:w="1315"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-953</w:t>
            </w:r>
          </w:p>
        </w:tc>
        <w:tc>
          <w:tcPr>
            <w:tcW w:w="829"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-10.8%</w:t>
            </w:r>
          </w:p>
        </w:tc>
      </w:tr>
      <w:tr w:rsidR="002804C6" w:rsidRPr="00B242EB" w:rsidTr="00FC604D">
        <w:trPr>
          <w:trHeight w:val="307"/>
        </w:trPr>
        <w:tc>
          <w:tcPr>
            <w:tcW w:w="736" w:type="pct"/>
            <w:vAlign w:val="center"/>
          </w:tcPr>
          <w:p w:rsidR="002804C6" w:rsidRPr="00B242EB" w:rsidRDefault="002804C6" w:rsidP="005C6E02">
            <w:pPr>
              <w:keepNext/>
              <w:spacing w:line="300" w:lineRule="auto"/>
              <w:rPr>
                <w:rFonts w:ascii="Arial Narrow" w:hAnsi="Arial Narrow"/>
                <w:sz w:val="24"/>
                <w:szCs w:val="24"/>
              </w:rPr>
            </w:pPr>
            <w:r w:rsidRPr="00B242EB">
              <w:rPr>
                <w:rFonts w:ascii="Arial Narrow" w:hAnsi="Arial Narrow"/>
                <w:color w:val="000000"/>
                <w:sz w:val="24"/>
                <w:szCs w:val="24"/>
              </w:rPr>
              <w:t>55-59</w:t>
            </w:r>
          </w:p>
        </w:tc>
        <w:tc>
          <w:tcPr>
            <w:tcW w:w="1134"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9,054</w:t>
            </w:r>
          </w:p>
        </w:tc>
        <w:tc>
          <w:tcPr>
            <w:tcW w:w="986"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8,297</w:t>
            </w:r>
          </w:p>
        </w:tc>
        <w:tc>
          <w:tcPr>
            <w:tcW w:w="1315"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-756</w:t>
            </w:r>
          </w:p>
        </w:tc>
        <w:tc>
          <w:tcPr>
            <w:tcW w:w="829"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-8.4%</w:t>
            </w:r>
          </w:p>
        </w:tc>
      </w:tr>
      <w:tr w:rsidR="002804C6" w:rsidRPr="00B242EB" w:rsidTr="00FC604D">
        <w:trPr>
          <w:trHeight w:val="307"/>
        </w:trPr>
        <w:tc>
          <w:tcPr>
            <w:tcW w:w="736" w:type="pct"/>
            <w:vAlign w:val="center"/>
          </w:tcPr>
          <w:p w:rsidR="002804C6" w:rsidRPr="00B242EB" w:rsidRDefault="002804C6" w:rsidP="005C6E02">
            <w:pPr>
              <w:keepNext/>
              <w:spacing w:line="300" w:lineRule="auto"/>
              <w:rPr>
                <w:rFonts w:ascii="Arial Narrow" w:hAnsi="Arial Narrow"/>
                <w:sz w:val="24"/>
                <w:szCs w:val="24"/>
              </w:rPr>
            </w:pPr>
            <w:r w:rsidRPr="00B242EB">
              <w:rPr>
                <w:rFonts w:ascii="Arial Narrow" w:hAnsi="Arial Narrow"/>
                <w:color w:val="000000"/>
                <w:sz w:val="24"/>
                <w:szCs w:val="24"/>
              </w:rPr>
              <w:t>60-64</w:t>
            </w:r>
          </w:p>
        </w:tc>
        <w:tc>
          <w:tcPr>
            <w:tcW w:w="1134"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8,489</w:t>
            </w:r>
          </w:p>
        </w:tc>
        <w:tc>
          <w:tcPr>
            <w:tcW w:w="986"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9,293</w:t>
            </w:r>
          </w:p>
        </w:tc>
        <w:tc>
          <w:tcPr>
            <w:tcW w:w="1315"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804</w:t>
            </w:r>
          </w:p>
        </w:tc>
        <w:tc>
          <w:tcPr>
            <w:tcW w:w="829"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9.5%</w:t>
            </w:r>
          </w:p>
        </w:tc>
      </w:tr>
      <w:tr w:rsidR="002804C6" w:rsidRPr="00B242EB" w:rsidTr="00FC604D">
        <w:trPr>
          <w:trHeight w:val="307"/>
        </w:trPr>
        <w:tc>
          <w:tcPr>
            <w:tcW w:w="736" w:type="pct"/>
            <w:vAlign w:val="center"/>
          </w:tcPr>
          <w:p w:rsidR="002804C6" w:rsidRPr="00B242EB" w:rsidRDefault="002804C6" w:rsidP="005C6E02">
            <w:pPr>
              <w:keepNext/>
              <w:spacing w:line="300" w:lineRule="auto"/>
              <w:rPr>
                <w:rFonts w:ascii="Arial Narrow" w:hAnsi="Arial Narrow"/>
                <w:sz w:val="24"/>
                <w:szCs w:val="24"/>
              </w:rPr>
            </w:pPr>
            <w:r w:rsidRPr="00B242EB">
              <w:rPr>
                <w:rFonts w:ascii="Arial Narrow" w:hAnsi="Arial Narrow"/>
                <w:color w:val="000000"/>
                <w:sz w:val="24"/>
                <w:szCs w:val="24"/>
              </w:rPr>
              <w:t>65-69</w:t>
            </w:r>
          </w:p>
        </w:tc>
        <w:tc>
          <w:tcPr>
            <w:tcW w:w="1134"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7,974</w:t>
            </w:r>
          </w:p>
        </w:tc>
        <w:tc>
          <w:tcPr>
            <w:tcW w:w="986"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10,593</w:t>
            </w:r>
          </w:p>
        </w:tc>
        <w:tc>
          <w:tcPr>
            <w:tcW w:w="1315"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2,618</w:t>
            </w:r>
          </w:p>
        </w:tc>
        <w:tc>
          <w:tcPr>
            <w:tcW w:w="829"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32.8%</w:t>
            </w:r>
          </w:p>
        </w:tc>
      </w:tr>
      <w:tr w:rsidR="002804C6" w:rsidRPr="00B242EB" w:rsidTr="00FC604D">
        <w:trPr>
          <w:trHeight w:val="291"/>
        </w:trPr>
        <w:tc>
          <w:tcPr>
            <w:tcW w:w="736" w:type="pct"/>
            <w:vAlign w:val="center"/>
          </w:tcPr>
          <w:p w:rsidR="002804C6" w:rsidRPr="00B242EB" w:rsidRDefault="002804C6" w:rsidP="005C6E02">
            <w:pPr>
              <w:keepNext/>
              <w:spacing w:line="300" w:lineRule="auto"/>
              <w:rPr>
                <w:rFonts w:ascii="Arial Narrow" w:hAnsi="Arial Narrow"/>
                <w:sz w:val="24"/>
                <w:szCs w:val="24"/>
              </w:rPr>
            </w:pPr>
            <w:r w:rsidRPr="00B242EB">
              <w:rPr>
                <w:rFonts w:ascii="Arial Narrow" w:hAnsi="Arial Narrow"/>
                <w:color w:val="000000"/>
                <w:sz w:val="24"/>
                <w:szCs w:val="24"/>
              </w:rPr>
              <w:t>70-74</w:t>
            </w:r>
          </w:p>
        </w:tc>
        <w:tc>
          <w:tcPr>
            <w:tcW w:w="1134"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8,712</w:t>
            </w:r>
          </w:p>
        </w:tc>
        <w:tc>
          <w:tcPr>
            <w:tcW w:w="986"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10,916</w:t>
            </w:r>
          </w:p>
        </w:tc>
        <w:tc>
          <w:tcPr>
            <w:tcW w:w="1315"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2,203</w:t>
            </w:r>
          </w:p>
        </w:tc>
        <w:tc>
          <w:tcPr>
            <w:tcW w:w="829"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25.3%</w:t>
            </w:r>
          </w:p>
        </w:tc>
      </w:tr>
      <w:tr w:rsidR="002804C6" w:rsidRPr="00B242EB" w:rsidTr="00FC604D">
        <w:trPr>
          <w:trHeight w:val="307"/>
        </w:trPr>
        <w:tc>
          <w:tcPr>
            <w:tcW w:w="736" w:type="pct"/>
            <w:vAlign w:val="center"/>
          </w:tcPr>
          <w:p w:rsidR="002804C6" w:rsidRPr="00B242EB" w:rsidRDefault="002804C6" w:rsidP="005C6E02">
            <w:pPr>
              <w:keepNext/>
              <w:spacing w:line="300" w:lineRule="auto"/>
              <w:rPr>
                <w:rFonts w:ascii="Arial Narrow" w:hAnsi="Arial Narrow"/>
                <w:sz w:val="24"/>
                <w:szCs w:val="24"/>
              </w:rPr>
            </w:pPr>
            <w:r w:rsidRPr="00B242EB">
              <w:rPr>
                <w:rFonts w:ascii="Arial Narrow" w:hAnsi="Arial Narrow"/>
                <w:color w:val="000000"/>
                <w:sz w:val="24"/>
                <w:szCs w:val="24"/>
              </w:rPr>
              <w:t>75-79</w:t>
            </w:r>
          </w:p>
        </w:tc>
        <w:tc>
          <w:tcPr>
            <w:tcW w:w="1134"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6,496</w:t>
            </w:r>
          </w:p>
        </w:tc>
        <w:tc>
          <w:tcPr>
            <w:tcW w:w="986"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9,085</w:t>
            </w:r>
          </w:p>
        </w:tc>
        <w:tc>
          <w:tcPr>
            <w:tcW w:w="1315"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2,589</w:t>
            </w:r>
          </w:p>
        </w:tc>
        <w:tc>
          <w:tcPr>
            <w:tcW w:w="829"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39.9%</w:t>
            </w:r>
          </w:p>
        </w:tc>
      </w:tr>
      <w:tr w:rsidR="002804C6" w:rsidRPr="00B242EB" w:rsidTr="00FC604D">
        <w:trPr>
          <w:trHeight w:val="307"/>
        </w:trPr>
        <w:tc>
          <w:tcPr>
            <w:tcW w:w="736" w:type="pct"/>
            <w:vAlign w:val="center"/>
          </w:tcPr>
          <w:p w:rsidR="002804C6" w:rsidRPr="00B242EB" w:rsidRDefault="002804C6" w:rsidP="005C6E02">
            <w:pPr>
              <w:keepNext/>
              <w:spacing w:line="300" w:lineRule="auto"/>
              <w:rPr>
                <w:rFonts w:ascii="Arial Narrow" w:hAnsi="Arial Narrow"/>
                <w:sz w:val="24"/>
                <w:szCs w:val="24"/>
              </w:rPr>
            </w:pPr>
            <w:r w:rsidRPr="00B242EB">
              <w:rPr>
                <w:rFonts w:ascii="Arial Narrow" w:hAnsi="Arial Narrow"/>
                <w:color w:val="000000"/>
                <w:sz w:val="24"/>
                <w:szCs w:val="24"/>
              </w:rPr>
              <w:t>80-84</w:t>
            </w:r>
          </w:p>
        </w:tc>
        <w:tc>
          <w:tcPr>
            <w:tcW w:w="1134"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4,754</w:t>
            </w:r>
          </w:p>
        </w:tc>
        <w:tc>
          <w:tcPr>
            <w:tcW w:w="986"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6,979</w:t>
            </w:r>
          </w:p>
        </w:tc>
        <w:tc>
          <w:tcPr>
            <w:tcW w:w="1315"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2,225</w:t>
            </w:r>
          </w:p>
        </w:tc>
        <w:tc>
          <w:tcPr>
            <w:tcW w:w="829"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46.8%</w:t>
            </w:r>
          </w:p>
        </w:tc>
      </w:tr>
      <w:tr w:rsidR="002804C6" w:rsidRPr="00B242EB" w:rsidTr="00FC604D">
        <w:trPr>
          <w:trHeight w:val="307"/>
        </w:trPr>
        <w:tc>
          <w:tcPr>
            <w:tcW w:w="736" w:type="pct"/>
            <w:vAlign w:val="center"/>
          </w:tcPr>
          <w:p w:rsidR="002804C6" w:rsidRPr="00B242EB" w:rsidRDefault="002804C6" w:rsidP="005C6E02">
            <w:pPr>
              <w:keepNext/>
              <w:spacing w:line="300" w:lineRule="auto"/>
              <w:rPr>
                <w:rFonts w:ascii="Arial Narrow" w:hAnsi="Arial Narrow"/>
                <w:sz w:val="24"/>
                <w:szCs w:val="24"/>
              </w:rPr>
            </w:pPr>
            <w:r w:rsidRPr="00B242EB">
              <w:rPr>
                <w:rFonts w:ascii="Arial Narrow" w:hAnsi="Arial Narrow"/>
                <w:color w:val="000000"/>
                <w:sz w:val="24"/>
                <w:szCs w:val="24"/>
              </w:rPr>
              <w:t>85 &amp; over</w:t>
            </w:r>
          </w:p>
        </w:tc>
        <w:tc>
          <w:tcPr>
            <w:tcW w:w="1134"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5,154</w:t>
            </w:r>
          </w:p>
        </w:tc>
        <w:tc>
          <w:tcPr>
            <w:tcW w:w="986"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9,355</w:t>
            </w:r>
          </w:p>
        </w:tc>
        <w:tc>
          <w:tcPr>
            <w:tcW w:w="1315"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4,201</w:t>
            </w:r>
          </w:p>
        </w:tc>
        <w:tc>
          <w:tcPr>
            <w:tcW w:w="829"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81.5%</w:t>
            </w:r>
          </w:p>
        </w:tc>
      </w:tr>
      <w:tr w:rsidR="002804C6" w:rsidRPr="00B242EB" w:rsidTr="00FC604D">
        <w:trPr>
          <w:trHeight w:val="291"/>
        </w:trPr>
        <w:tc>
          <w:tcPr>
            <w:tcW w:w="736" w:type="pct"/>
            <w:vAlign w:val="center"/>
          </w:tcPr>
          <w:p w:rsidR="002804C6" w:rsidRPr="00B242EB" w:rsidRDefault="002804C6" w:rsidP="005C6E02">
            <w:pPr>
              <w:keepNext/>
              <w:spacing w:line="300" w:lineRule="auto"/>
              <w:rPr>
                <w:rFonts w:ascii="Arial Narrow" w:hAnsi="Arial Narrow"/>
                <w:sz w:val="24"/>
                <w:szCs w:val="24"/>
              </w:rPr>
            </w:pPr>
            <w:r w:rsidRPr="00B242EB">
              <w:rPr>
                <w:rFonts w:ascii="Arial Narrow" w:hAnsi="Arial Narrow"/>
                <w:color w:val="000000"/>
                <w:sz w:val="24"/>
                <w:szCs w:val="24"/>
              </w:rPr>
              <w:t>Total</w:t>
            </w:r>
          </w:p>
        </w:tc>
        <w:tc>
          <w:tcPr>
            <w:tcW w:w="1134"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121,628</w:t>
            </w:r>
          </w:p>
        </w:tc>
        <w:tc>
          <w:tcPr>
            <w:tcW w:w="986"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141,517</w:t>
            </w:r>
          </w:p>
        </w:tc>
        <w:tc>
          <w:tcPr>
            <w:tcW w:w="1315"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19,889</w:t>
            </w:r>
          </w:p>
        </w:tc>
        <w:tc>
          <w:tcPr>
            <w:tcW w:w="829" w:type="pct"/>
            <w:vAlign w:val="bottom"/>
          </w:tcPr>
          <w:p w:rsidR="002804C6" w:rsidRPr="00B242EB" w:rsidRDefault="002804C6" w:rsidP="005C6E02">
            <w:pPr>
              <w:keepNext/>
              <w:spacing w:line="300" w:lineRule="auto"/>
              <w:jc w:val="center"/>
              <w:rPr>
                <w:rFonts w:ascii="Arial Narrow" w:hAnsi="Arial Narrow"/>
                <w:sz w:val="24"/>
                <w:szCs w:val="24"/>
              </w:rPr>
            </w:pPr>
            <w:r w:rsidRPr="00B242EB">
              <w:rPr>
                <w:rFonts w:ascii="Arial Narrow" w:hAnsi="Arial Narrow"/>
                <w:color w:val="000000"/>
                <w:sz w:val="24"/>
                <w:szCs w:val="24"/>
                <w:lang w:eastAsia="en-GB"/>
              </w:rPr>
              <w:t>16.4%</w:t>
            </w:r>
          </w:p>
        </w:tc>
      </w:tr>
    </w:tbl>
    <w:p w:rsidR="002804C6" w:rsidRPr="00B242EB" w:rsidRDefault="002804C6" w:rsidP="00FC604D">
      <w:pPr>
        <w:spacing w:line="300" w:lineRule="auto"/>
        <w:rPr>
          <w:sz w:val="24"/>
          <w:szCs w:val="24"/>
        </w:rPr>
      </w:pPr>
      <w:r w:rsidRPr="00B242EB">
        <w:rPr>
          <w:sz w:val="24"/>
          <w:szCs w:val="24"/>
        </w:rPr>
        <w:t>Source: Demographic projections</w:t>
      </w:r>
    </w:p>
    <w:bookmarkEnd w:id="89"/>
    <w:p w:rsidR="002804C6" w:rsidRPr="00707A96" w:rsidRDefault="002804C6" w:rsidP="004F4DBD"/>
    <w:bookmarkEnd w:id="87"/>
    <w:tbl>
      <w:tblPr>
        <w:tblStyle w:val="TableGrid"/>
        <w:tblW w:w="5000" w:type="pct"/>
        <w:tblBorders>
          <w:top w:val="single" w:sz="18" w:space="0" w:color="0093D5" w:themeColor="accent2"/>
          <w:left w:val="single" w:sz="18" w:space="0" w:color="0093D5" w:themeColor="accent2"/>
          <w:bottom w:val="single" w:sz="18" w:space="0" w:color="0093D5" w:themeColor="accent2"/>
          <w:right w:val="single" w:sz="18" w:space="0" w:color="0093D5" w:themeColor="accent2"/>
          <w:insideH w:val="single" w:sz="18" w:space="0" w:color="0093D5" w:themeColor="accent2"/>
          <w:insideV w:val="single" w:sz="18" w:space="0" w:color="0093D5" w:themeColor="accent2"/>
        </w:tblBorders>
        <w:tblLook w:val="04A0" w:firstRow="1" w:lastRow="0" w:firstColumn="1" w:lastColumn="0" w:noHBand="0" w:noVBand="1"/>
        <w:tblCaption w:val="Key Points: Demographic Profile and Housing Need"/>
      </w:tblPr>
      <w:tblGrid>
        <w:gridCol w:w="9847"/>
      </w:tblGrid>
      <w:tr w:rsidR="002804C6" w:rsidRPr="00CA47B9" w:rsidTr="008E554D">
        <w:trPr>
          <w:cantSplit/>
          <w:tblHeader/>
        </w:trPr>
        <w:tc>
          <w:tcPr>
            <w:tcW w:w="5000" w:type="pct"/>
          </w:tcPr>
          <w:p w:rsidR="002804C6" w:rsidRPr="00CA47B9" w:rsidRDefault="002804C6" w:rsidP="005C6E02">
            <w:pPr>
              <w:rPr>
                <w:b/>
              </w:rPr>
            </w:pPr>
          </w:p>
          <w:p w:rsidR="002804C6" w:rsidRPr="00B242EB" w:rsidRDefault="002804C6" w:rsidP="005C6E02">
            <w:pPr>
              <w:rPr>
                <w:b/>
                <w:sz w:val="24"/>
                <w:szCs w:val="24"/>
              </w:rPr>
            </w:pPr>
            <w:r w:rsidRPr="00B242EB">
              <w:rPr>
                <w:b/>
                <w:sz w:val="24"/>
                <w:szCs w:val="24"/>
              </w:rPr>
              <w:t xml:space="preserve">Key Points </w:t>
            </w:r>
          </w:p>
          <w:p w:rsidR="002804C6" w:rsidRPr="00CA47B9" w:rsidRDefault="002804C6" w:rsidP="005C6E02">
            <w:pPr>
              <w:rPr>
                <w:b/>
              </w:rPr>
            </w:pPr>
          </w:p>
          <w:p w:rsidR="009B6D66" w:rsidRPr="00CA47B9" w:rsidRDefault="009B6D66" w:rsidP="00A54ECA">
            <w:pPr>
              <w:pStyle w:val="ListParagraph"/>
            </w:pPr>
            <w:bookmarkStart w:id="90" w:name="_Hlk27665215"/>
            <w:r w:rsidRPr="00CA47B9">
              <w:t xml:space="preserve">The Chichester District’s population totals 120,750 persons as of mid-2018. This has grown by 19% since 1991, with an average annual growth of 0.6%. </w:t>
            </w:r>
          </w:p>
          <w:p w:rsidR="009B6D66" w:rsidRPr="00CA47B9" w:rsidRDefault="009B6D66" w:rsidP="00A54ECA">
            <w:pPr>
              <w:pStyle w:val="ListParagraph"/>
            </w:pPr>
            <w:proofErr w:type="gramStart"/>
            <w:r w:rsidRPr="00CA47B9">
              <w:t>A large proportion (27%) of the district’s residents are</w:t>
            </w:r>
            <w:proofErr w:type="gramEnd"/>
            <w:r w:rsidRPr="00CA47B9">
              <w:t xml:space="preserve"> aged 65 or over. There is also a relatively high percentage of those in their early 20’s linked to the University.</w:t>
            </w:r>
          </w:p>
          <w:p w:rsidR="009B6D66" w:rsidRPr="00CA47B9" w:rsidRDefault="009B6D66" w:rsidP="00A54ECA">
            <w:pPr>
              <w:pStyle w:val="ListParagraph"/>
            </w:pPr>
            <w:r w:rsidRPr="00CA47B9">
              <w:t>Net migration has been a key driver of historic population change, although levels of migration have been notably lower in the most recent past.</w:t>
            </w:r>
          </w:p>
          <w:p w:rsidR="009B6D66" w:rsidRPr="00CA47B9" w:rsidRDefault="009B6D66" w:rsidP="00A54ECA">
            <w:pPr>
              <w:pStyle w:val="ListParagraph"/>
            </w:pPr>
            <w:r w:rsidRPr="00CA47B9">
              <w:t>The starting point of the assessment is the 2014-based projections which show an average household growth of about 533 household</w:t>
            </w:r>
            <w:r w:rsidR="00855CA6">
              <w:t>s</w:t>
            </w:r>
            <w:r w:rsidRPr="00CA47B9">
              <w:t xml:space="preserve"> per annum for the period 2019-2029</w:t>
            </w:r>
            <w:r w:rsidR="00793C23">
              <w:t xml:space="preserve"> for the whole District</w:t>
            </w:r>
            <w:r w:rsidRPr="00CA47B9">
              <w:t xml:space="preserve">. </w:t>
            </w:r>
          </w:p>
          <w:p w:rsidR="009B6D66" w:rsidRPr="00CA47B9" w:rsidRDefault="009B6D66" w:rsidP="00A54ECA">
            <w:pPr>
              <w:pStyle w:val="ListParagraph"/>
            </w:pPr>
            <w:r w:rsidRPr="00CA47B9">
              <w:t xml:space="preserve">The proposed methodology adjusts this figure </w:t>
            </w:r>
            <w:r w:rsidR="00855CA6">
              <w:t>based on</w:t>
            </w:r>
            <w:r w:rsidRPr="00CA47B9">
              <w:t xml:space="preserve"> local affordability (13.1 at 2018). In Chichester’s case</w:t>
            </w:r>
            <w:r w:rsidR="00855CA6">
              <w:t>,</w:t>
            </w:r>
            <w:r w:rsidRPr="00CA47B9">
              <w:t xml:space="preserve"> this increases the </w:t>
            </w:r>
            <w:r>
              <w:t>housing need</w:t>
            </w:r>
            <w:r w:rsidRPr="00CA47B9">
              <w:t xml:space="preserve"> by 57% to 836 dpa. </w:t>
            </w:r>
          </w:p>
          <w:p w:rsidR="009B6D66" w:rsidRPr="00CA47B9" w:rsidRDefault="009B6D66" w:rsidP="00A54ECA">
            <w:pPr>
              <w:pStyle w:val="ListParagraph"/>
            </w:pPr>
            <w:r w:rsidRPr="00CA47B9">
              <w:t>However, the standard methodology also caps the need. In the case where strategic policies were adopted more than 5 years ago, the local housing need figure is capped at whichever is higher of the projected household growth over the 10</w:t>
            </w:r>
            <w:r w:rsidR="00855CA6">
              <w:t xml:space="preserve"> years</w:t>
            </w:r>
            <w:r w:rsidRPr="00CA47B9">
              <w:t xml:space="preserve"> or the average annual housing requirement figure set out in the recently adopted strategic policy.</w:t>
            </w:r>
          </w:p>
          <w:p w:rsidR="009B6D66" w:rsidRPr="00CA47B9" w:rsidRDefault="00793C23" w:rsidP="00A54ECA">
            <w:pPr>
              <w:pStyle w:val="ListParagraph"/>
            </w:pPr>
            <w:r>
              <w:t>Once the</w:t>
            </w:r>
            <w:r w:rsidR="00855CA6">
              <w:t xml:space="preserve"> </w:t>
            </w:r>
            <w:r w:rsidR="009B6D66" w:rsidRPr="00CA47B9">
              <w:t xml:space="preserve">Chichester Local Plan is over 5 years old, the </w:t>
            </w:r>
            <w:r w:rsidR="009B6D66">
              <w:t xml:space="preserve">local housing need figure </w:t>
            </w:r>
            <w:r>
              <w:t>will be</w:t>
            </w:r>
            <w:r w:rsidR="009B6D66">
              <w:t xml:space="preserve"> set at 40% above the projected household growth. The </w:t>
            </w:r>
            <w:r w:rsidR="009B6D66" w:rsidRPr="00CA47B9">
              <w:t>local housing need is 746 dpa for the District.</w:t>
            </w:r>
            <w:r w:rsidR="00855CA6">
              <w:t xml:space="preserve"> </w:t>
            </w:r>
            <w:r w:rsidR="009B6D66">
              <w:t xml:space="preserve"> However</w:t>
            </w:r>
            <w:r w:rsidR="00855CA6">
              <w:t>,</w:t>
            </w:r>
            <w:r w:rsidR="009B6D66">
              <w:t xml:space="preserve"> this is for the district and assumes </w:t>
            </w:r>
            <w:r w:rsidR="00FB5DE0">
              <w:t>unconstrained</w:t>
            </w:r>
            <w:r w:rsidR="009B6D66">
              <w:t xml:space="preserve"> development within the National Park which is perhaps contrary to the NPPF</w:t>
            </w:r>
          </w:p>
          <w:p w:rsidR="00B3367F" w:rsidRPr="00C21710" w:rsidRDefault="009B6D66" w:rsidP="00A54ECA">
            <w:pPr>
              <w:pStyle w:val="ListParagraph"/>
              <w:rPr>
                <w:b/>
              </w:rPr>
            </w:pPr>
            <w:r w:rsidRPr="00CA47B9">
              <w:t>Un</w:t>
            </w:r>
            <w:r w:rsidR="00BC3199">
              <w:t>til</w:t>
            </w:r>
            <w:r w:rsidR="00855CA6">
              <w:t xml:space="preserve"> </w:t>
            </w:r>
            <w:r w:rsidR="00BC3199">
              <w:t>July 2020 when the</w:t>
            </w:r>
            <w:r w:rsidRPr="00CA47B9">
              <w:t xml:space="preserve"> Local Plan </w:t>
            </w:r>
            <w:r w:rsidR="00C76591">
              <w:t>will become</w:t>
            </w:r>
            <w:r w:rsidR="00855CA6">
              <w:t xml:space="preserve"> </w:t>
            </w:r>
            <w:r w:rsidRPr="00CA47B9">
              <w:t xml:space="preserve">5 years old, the need is capped at 40% above the Local Plan target for the Plan Area. The Local Plan target is 435 dpa. Applying the 40% cap results in 609 dpa. Chichester </w:t>
            </w:r>
            <w:r w:rsidR="00B3367F">
              <w:t>signed a Statement of Common Ground</w:t>
            </w:r>
            <w:r w:rsidR="00855CA6">
              <w:t xml:space="preserve"> </w:t>
            </w:r>
            <w:r w:rsidRPr="00CA47B9">
              <w:t xml:space="preserve">to </w:t>
            </w:r>
            <w:r>
              <w:t>investigate if it can deliver</w:t>
            </w:r>
            <w:r w:rsidRPr="00CA47B9">
              <w:t xml:space="preserve"> </w:t>
            </w:r>
            <w:r w:rsidR="00B3367F">
              <w:t>44</w:t>
            </w:r>
            <w:r w:rsidR="00B3367F" w:rsidRPr="00CA47B9">
              <w:t xml:space="preserve"> </w:t>
            </w:r>
            <w:r w:rsidRPr="00CA47B9">
              <w:t>dpa of unmet need from the SDNPA</w:t>
            </w:r>
            <w:r w:rsidR="00B3367F">
              <w:t>.</w:t>
            </w:r>
            <w:r w:rsidR="00855CA6">
              <w:t xml:space="preserve"> </w:t>
            </w:r>
            <w:r w:rsidR="00B3367F">
              <w:t>The Preferred Approach Plan in December 2018</w:t>
            </w:r>
            <w:r w:rsidR="00855CA6">
              <w:t>, therefore,</w:t>
            </w:r>
            <w:r w:rsidR="00B3367F">
              <w:t xml:space="preserve"> contained propos</w:t>
            </w:r>
            <w:r w:rsidR="00C21710">
              <w:t>al</w:t>
            </w:r>
            <w:r w:rsidR="00B3367F">
              <w:t>s for 650 homes per annum.</w:t>
            </w:r>
          </w:p>
          <w:p w:rsidR="009B6D66" w:rsidRPr="00ED6C17" w:rsidRDefault="009B6D66" w:rsidP="00A54ECA">
            <w:pPr>
              <w:pStyle w:val="ListParagraph"/>
            </w:pPr>
            <w:r w:rsidRPr="00CA47B9">
              <w:t xml:space="preserve">The analysis </w:t>
            </w:r>
            <w:r>
              <w:t xml:space="preserve">within the remainder of this report </w:t>
            </w:r>
            <w:r w:rsidRPr="00CA47B9">
              <w:t xml:space="preserve">is based on 650 dpa in the Local Plan Area </w:t>
            </w:r>
            <w:r w:rsidRPr="00ED6C17">
              <w:t>plus 81 dpa in the National Park. This results in 731 dpa in the District.</w:t>
            </w:r>
          </w:p>
          <w:p w:rsidR="00C21710" w:rsidRDefault="009B6D66" w:rsidP="00A54ECA">
            <w:pPr>
              <w:pStyle w:val="ListParagraph"/>
            </w:pPr>
            <w:r w:rsidRPr="004F4DBD">
              <w:t>This rate of housing growth is expected to generate a population growth of around</w:t>
            </w:r>
            <w:r w:rsidRPr="00B43E90">
              <w:t xml:space="preserve"> </w:t>
            </w:r>
            <w:r w:rsidRPr="004F4DBD">
              <w:t>19,250 over the 2019 to 2036 period for the plan area and 19</w:t>
            </w:r>
            <w:r>
              <w:t>,</w:t>
            </w:r>
            <w:r w:rsidRPr="004F4DBD">
              <w:t>889 across the district</w:t>
            </w:r>
            <w:r>
              <w:t>.</w:t>
            </w:r>
            <w:r w:rsidR="00C21710" w:rsidRPr="008522A1">
              <w:t xml:space="preserve"> </w:t>
            </w:r>
          </w:p>
          <w:p w:rsidR="007F7FD3" w:rsidRDefault="00C21710" w:rsidP="00A54ECA">
            <w:pPr>
              <w:pStyle w:val="ListParagraph"/>
            </w:pPr>
            <w:r w:rsidRPr="008522A1">
              <w:t xml:space="preserve">It is the case that the </w:t>
            </w:r>
            <w:r>
              <w:t xml:space="preserve">inputs to the standard methodology for housing need (population projections and affordability ratios) change </w:t>
            </w:r>
            <w:r w:rsidR="00855CA6">
              <w:t>regularly</w:t>
            </w:r>
            <w:r>
              <w:t>.</w:t>
            </w:r>
            <w:r w:rsidR="00855CA6">
              <w:t xml:space="preserve"> </w:t>
            </w:r>
            <w:r>
              <w:t>It is also the case that the final amount of housing in the Local Plan (including any addition in response to unmet need) has yet to be determined.</w:t>
            </w:r>
            <w:r w:rsidR="00855CA6">
              <w:t xml:space="preserve"> </w:t>
            </w:r>
          </w:p>
          <w:p w:rsidR="009B6D66" w:rsidRPr="00B43E90" w:rsidRDefault="00C21710" w:rsidP="00A54ECA">
            <w:pPr>
              <w:pStyle w:val="ListParagraph"/>
            </w:pPr>
            <w:r>
              <w:t>Therefore to provide a suitable basis for informing the production of the Local Plan a judgement has to be made regarding the assumed level of housing, to then enable an assessment of the various types of housing need to be addressed and the interaction with employment needs.</w:t>
            </w:r>
          </w:p>
          <w:bookmarkEnd w:id="90"/>
          <w:p w:rsidR="002804C6" w:rsidRPr="00CA47B9" w:rsidRDefault="002804C6" w:rsidP="005C6E02"/>
        </w:tc>
      </w:tr>
    </w:tbl>
    <w:p w:rsidR="002804C6" w:rsidRPr="00CA47B9" w:rsidRDefault="002804C6" w:rsidP="002804C6">
      <w:pPr>
        <w:spacing w:after="200"/>
        <w:rPr>
          <w:rFonts w:asciiTheme="minorHAnsi" w:hAnsiTheme="minorHAnsi" w:cstheme="minorHAnsi"/>
        </w:rPr>
      </w:pPr>
    </w:p>
    <w:p w:rsidR="002804C6" w:rsidRPr="00CA47B9" w:rsidRDefault="002804C6" w:rsidP="002804C6">
      <w:pPr>
        <w:spacing w:after="200"/>
        <w:rPr>
          <w:rFonts w:asciiTheme="minorHAnsi" w:hAnsiTheme="minorHAnsi" w:cstheme="minorHAnsi"/>
        </w:rPr>
      </w:pPr>
      <w:r w:rsidRPr="00CA47B9">
        <w:rPr>
          <w:rFonts w:asciiTheme="minorHAnsi" w:hAnsiTheme="minorHAnsi" w:cstheme="minorHAnsi"/>
        </w:rPr>
        <w:br w:type="page"/>
      </w:r>
    </w:p>
    <w:p w:rsidR="00B0298E" w:rsidRPr="00CA47B9" w:rsidRDefault="00B0298E" w:rsidP="003C7491">
      <w:pPr>
        <w:pStyle w:val="1Bodytext"/>
        <w:tabs>
          <w:tab w:val="clear" w:pos="794"/>
          <w:tab w:val="num" w:pos="567"/>
        </w:tabs>
        <w:spacing w:after="120" w:line="360" w:lineRule="auto"/>
        <w:ind w:left="567" w:hanging="567"/>
        <w:rPr>
          <w:rFonts w:asciiTheme="minorHAnsi" w:hAnsiTheme="minorHAnsi" w:cstheme="minorHAnsi"/>
        </w:rPr>
      </w:pPr>
      <w:bookmarkStart w:id="91" w:name="_Toc51600011"/>
      <w:r w:rsidRPr="00CA47B9">
        <w:rPr>
          <w:rFonts w:asciiTheme="minorHAnsi" w:hAnsiTheme="minorHAnsi" w:cstheme="minorHAnsi"/>
        </w:rPr>
        <w:lastRenderedPageBreak/>
        <w:t>The</w:t>
      </w:r>
      <w:r w:rsidR="004B41A2" w:rsidRPr="00CA47B9">
        <w:rPr>
          <w:rFonts w:asciiTheme="minorHAnsi" w:hAnsiTheme="minorHAnsi" w:cstheme="minorHAnsi"/>
        </w:rPr>
        <w:t xml:space="preserve"> </w:t>
      </w:r>
      <w:r w:rsidRPr="00CA47B9">
        <w:rPr>
          <w:rFonts w:asciiTheme="minorHAnsi" w:hAnsiTheme="minorHAnsi" w:cstheme="minorHAnsi"/>
        </w:rPr>
        <w:t>Economy</w:t>
      </w:r>
      <w:r w:rsidR="004B41A2" w:rsidRPr="00CA47B9">
        <w:rPr>
          <w:rFonts w:asciiTheme="minorHAnsi" w:hAnsiTheme="minorHAnsi" w:cstheme="minorHAnsi"/>
        </w:rPr>
        <w:t xml:space="preserve"> </w:t>
      </w:r>
      <w:r w:rsidRPr="00CA47B9">
        <w:rPr>
          <w:rFonts w:asciiTheme="minorHAnsi" w:hAnsiTheme="minorHAnsi" w:cstheme="minorHAnsi"/>
        </w:rPr>
        <w:t>and</w:t>
      </w:r>
      <w:r w:rsidR="004B41A2" w:rsidRPr="00CA47B9">
        <w:rPr>
          <w:rFonts w:asciiTheme="minorHAnsi" w:hAnsiTheme="minorHAnsi" w:cstheme="minorHAnsi"/>
        </w:rPr>
        <w:t xml:space="preserve"> </w:t>
      </w:r>
      <w:r w:rsidRPr="00CA47B9">
        <w:rPr>
          <w:rFonts w:asciiTheme="minorHAnsi" w:hAnsiTheme="minorHAnsi" w:cstheme="minorHAnsi"/>
        </w:rPr>
        <w:t>Labour</w:t>
      </w:r>
      <w:r w:rsidR="004B41A2" w:rsidRPr="00CA47B9">
        <w:rPr>
          <w:rFonts w:asciiTheme="minorHAnsi" w:hAnsiTheme="minorHAnsi" w:cstheme="minorHAnsi"/>
        </w:rPr>
        <w:t xml:space="preserve"> </w:t>
      </w:r>
      <w:r w:rsidRPr="00CA47B9">
        <w:rPr>
          <w:rFonts w:asciiTheme="minorHAnsi" w:hAnsiTheme="minorHAnsi" w:cstheme="minorHAnsi"/>
        </w:rPr>
        <w:t>Market</w:t>
      </w:r>
      <w:bookmarkEnd w:id="78"/>
      <w:bookmarkEnd w:id="91"/>
    </w:p>
    <w:p w:rsidR="00B0298E" w:rsidRPr="00CA47B9" w:rsidRDefault="00B0298E" w:rsidP="00020CFC">
      <w:pPr>
        <w:pStyle w:val="11Bodytext"/>
        <w:tabs>
          <w:tab w:val="clear" w:pos="2212"/>
          <w:tab w:val="num" w:pos="567"/>
        </w:tabs>
        <w:ind w:left="567" w:hanging="567"/>
      </w:pPr>
      <w:r w:rsidRPr="00CA47B9">
        <w:t>Chichester</w:t>
      </w:r>
      <w:r w:rsidR="004B41A2" w:rsidRPr="00CA47B9">
        <w:t xml:space="preserve"> </w:t>
      </w:r>
      <w:r w:rsidR="00845BCB" w:rsidRPr="00CA47B9">
        <w:t>District</w:t>
      </w:r>
      <w:r w:rsidRPr="00CA47B9">
        <w:t>’s</w:t>
      </w:r>
      <w:r w:rsidR="004B41A2" w:rsidRPr="00CA47B9">
        <w:t xml:space="preserve"> </w:t>
      </w:r>
      <w:r w:rsidRPr="00CA47B9">
        <w:t>economy</w:t>
      </w:r>
      <w:r w:rsidR="004B41A2" w:rsidRPr="00CA47B9">
        <w:t xml:space="preserve"> </w:t>
      </w:r>
      <w:r w:rsidRPr="00CA47B9">
        <w:t>produces</w:t>
      </w:r>
      <w:r w:rsidR="004B41A2" w:rsidRPr="00CA47B9">
        <w:t xml:space="preserve"> </w:t>
      </w:r>
      <w:r w:rsidRPr="00CA47B9">
        <w:t>goods</w:t>
      </w:r>
      <w:r w:rsidR="004B41A2" w:rsidRPr="00CA47B9">
        <w:t xml:space="preserve"> </w:t>
      </w:r>
      <w:r w:rsidRPr="00CA47B9">
        <w:t>and</w:t>
      </w:r>
      <w:r w:rsidR="004B41A2" w:rsidRPr="00CA47B9">
        <w:t xml:space="preserve"> </w:t>
      </w:r>
      <w:r w:rsidRPr="00CA47B9">
        <w:t>services</w:t>
      </w:r>
      <w:r w:rsidR="004B41A2" w:rsidRPr="00CA47B9">
        <w:t xml:space="preserve"> </w:t>
      </w:r>
      <w:r w:rsidRPr="00CA47B9">
        <w:t>valued</w:t>
      </w:r>
      <w:r w:rsidR="004B41A2" w:rsidRPr="00CA47B9">
        <w:t xml:space="preserve"> </w:t>
      </w:r>
      <w:r w:rsidRPr="00CA47B9">
        <w:t>at</w:t>
      </w:r>
      <w:r w:rsidR="004B41A2" w:rsidRPr="00CA47B9">
        <w:t xml:space="preserve"> </w:t>
      </w:r>
      <w:r w:rsidRPr="00CA47B9">
        <w:t>just</w:t>
      </w:r>
      <w:r w:rsidR="004B41A2" w:rsidRPr="00CA47B9">
        <w:t xml:space="preserve"> </w:t>
      </w:r>
      <w:r w:rsidRPr="00CA47B9">
        <w:t>over</w:t>
      </w:r>
      <w:r w:rsidR="004B41A2" w:rsidRPr="00CA47B9">
        <w:t xml:space="preserve"> </w:t>
      </w:r>
      <w:r w:rsidRPr="00CA47B9">
        <w:t>£3.</w:t>
      </w:r>
      <w:r w:rsidR="009234B5" w:rsidRPr="00CA47B9">
        <w:t>3</w:t>
      </w:r>
      <w:r w:rsidR="004B41A2" w:rsidRPr="00CA47B9">
        <w:t xml:space="preserve"> </w:t>
      </w:r>
      <w:r w:rsidRPr="00CA47B9">
        <w:t>billion</w:t>
      </w:r>
      <w:r w:rsidR="004B41A2" w:rsidRPr="00CA47B9">
        <w:t xml:space="preserve"> </w:t>
      </w:r>
      <w:r w:rsidRPr="00CA47B9">
        <w:t>per</w:t>
      </w:r>
      <w:r w:rsidR="004B41A2" w:rsidRPr="00CA47B9">
        <w:t xml:space="preserve"> </w:t>
      </w:r>
      <w:r w:rsidRPr="00CA47B9">
        <w:t>annum</w:t>
      </w:r>
      <w:r w:rsidR="004B41A2" w:rsidRPr="00CA47B9">
        <w:t xml:space="preserve"> </w:t>
      </w:r>
      <w:r w:rsidR="00871836" w:rsidRPr="00CA47B9">
        <w:t>Gross</w:t>
      </w:r>
      <w:r w:rsidR="004B41A2" w:rsidRPr="00CA47B9">
        <w:t xml:space="preserve"> </w:t>
      </w:r>
      <w:r w:rsidR="00871836" w:rsidRPr="00CA47B9">
        <w:t>Value</w:t>
      </w:r>
      <w:r w:rsidR="004B41A2" w:rsidRPr="00CA47B9">
        <w:t xml:space="preserve"> </w:t>
      </w:r>
      <w:r w:rsidR="00871836" w:rsidRPr="00CA47B9">
        <w:t>Added</w:t>
      </w:r>
      <w:r w:rsidR="004B41A2" w:rsidRPr="00CA47B9">
        <w:t xml:space="preserve"> </w:t>
      </w:r>
      <w:r w:rsidRPr="00CA47B9">
        <w:t>(GVA)</w:t>
      </w:r>
      <w:r w:rsidR="004B41A2" w:rsidRPr="00CA47B9">
        <w:t xml:space="preserve"> </w:t>
      </w:r>
      <w:r w:rsidRPr="00CA47B9">
        <w:t>and</w:t>
      </w:r>
      <w:r w:rsidR="004B41A2" w:rsidRPr="00CA47B9">
        <w:t xml:space="preserve"> </w:t>
      </w:r>
      <w:r w:rsidRPr="00CA47B9">
        <w:t>supports</w:t>
      </w:r>
      <w:r w:rsidR="004B41A2" w:rsidRPr="00CA47B9">
        <w:t xml:space="preserve"> </w:t>
      </w:r>
      <w:r w:rsidRPr="00CA47B9">
        <w:t>around</w:t>
      </w:r>
      <w:r w:rsidR="004B41A2" w:rsidRPr="00CA47B9">
        <w:t xml:space="preserve"> </w:t>
      </w:r>
      <w:r w:rsidRPr="00CA47B9">
        <w:t>7</w:t>
      </w:r>
      <w:r w:rsidR="00B370C0" w:rsidRPr="00CA47B9">
        <w:t>1</w:t>
      </w:r>
      <w:r w:rsidRPr="00CA47B9">
        <w:t>,</w:t>
      </w:r>
      <w:r w:rsidR="00B370C0" w:rsidRPr="00CA47B9">
        <w:t>380</w:t>
      </w:r>
      <w:r w:rsidR="004B41A2" w:rsidRPr="00CA47B9">
        <w:t xml:space="preserve"> </w:t>
      </w:r>
      <w:r w:rsidRPr="00CA47B9">
        <w:t>jobs</w:t>
      </w:r>
      <w:r w:rsidRPr="00CA47B9">
        <w:rPr>
          <w:vertAlign w:val="superscript"/>
        </w:rPr>
        <w:footnoteReference w:id="5"/>
      </w:r>
      <w:r w:rsidR="00837A3F" w:rsidRPr="00CA47B9">
        <w:t>.</w:t>
      </w:r>
      <w:r w:rsidR="004B41A2" w:rsidRPr="00CA47B9">
        <w:t xml:space="preserve"> </w:t>
      </w:r>
      <w:r w:rsidRPr="00CA47B9">
        <w:t>This</w:t>
      </w:r>
      <w:r w:rsidR="004B41A2" w:rsidRPr="00CA47B9">
        <w:t xml:space="preserve"> </w:t>
      </w:r>
      <w:r w:rsidRPr="00CA47B9">
        <w:t>equates</w:t>
      </w:r>
      <w:r w:rsidR="004B41A2" w:rsidRPr="00CA47B9">
        <w:t xml:space="preserve"> </w:t>
      </w:r>
      <w:r w:rsidRPr="00CA47B9">
        <w:t>to</w:t>
      </w:r>
      <w:r w:rsidR="004B41A2" w:rsidRPr="00CA47B9">
        <w:t xml:space="preserve"> </w:t>
      </w:r>
      <w:r w:rsidRPr="00CA47B9">
        <w:t>around</w:t>
      </w:r>
      <w:r w:rsidR="004B41A2" w:rsidRPr="00CA47B9">
        <w:t xml:space="preserve"> </w:t>
      </w:r>
      <w:r w:rsidRPr="00CA47B9">
        <w:t>1.</w:t>
      </w:r>
      <w:r w:rsidR="00B370C0" w:rsidRPr="00CA47B9">
        <w:t>5</w:t>
      </w:r>
      <w:r w:rsidRPr="00CA47B9">
        <w:t>%</w:t>
      </w:r>
      <w:r w:rsidR="004B41A2" w:rsidRPr="00CA47B9">
        <w:t xml:space="preserve"> </w:t>
      </w:r>
      <w:r w:rsidRPr="00CA47B9">
        <w:t>of</w:t>
      </w:r>
      <w:r w:rsidR="004B41A2" w:rsidRPr="00CA47B9">
        <w:t xml:space="preserve"> </w:t>
      </w:r>
      <w:r w:rsidRPr="00CA47B9">
        <w:t>the</w:t>
      </w:r>
      <w:r w:rsidR="004B41A2" w:rsidRPr="00CA47B9">
        <w:t xml:space="preserve"> </w:t>
      </w:r>
      <w:r w:rsidRPr="00CA47B9">
        <w:t>regional</w:t>
      </w:r>
      <w:r w:rsidR="004B41A2" w:rsidRPr="00CA47B9">
        <w:t xml:space="preserve"> </w:t>
      </w:r>
      <w:r w:rsidRPr="00CA47B9">
        <w:t>jobs</w:t>
      </w:r>
      <w:r w:rsidR="004B41A2" w:rsidRPr="00CA47B9">
        <w:t xml:space="preserve"> </w:t>
      </w:r>
      <w:r w:rsidRPr="00CA47B9">
        <w:t>total</w:t>
      </w:r>
      <w:r w:rsidR="004B41A2" w:rsidRPr="00CA47B9">
        <w:t xml:space="preserve"> </w:t>
      </w:r>
      <w:r w:rsidRPr="00CA47B9">
        <w:t>(4.9</w:t>
      </w:r>
      <w:r w:rsidR="00837A3F" w:rsidRPr="00CA47B9">
        <w:t xml:space="preserve"> </w:t>
      </w:r>
      <w:r w:rsidRPr="00CA47B9">
        <w:t>million)</w:t>
      </w:r>
      <w:r w:rsidR="004B41A2" w:rsidRPr="00CA47B9">
        <w:t xml:space="preserve"> </w:t>
      </w:r>
      <w:r w:rsidRPr="00CA47B9">
        <w:t>and</w:t>
      </w:r>
      <w:r w:rsidR="004B41A2" w:rsidRPr="00CA47B9">
        <w:t xml:space="preserve"> </w:t>
      </w:r>
      <w:r w:rsidRPr="00CA47B9">
        <w:t>1.</w:t>
      </w:r>
      <w:r w:rsidR="00B370C0" w:rsidRPr="00CA47B9">
        <w:t>3</w:t>
      </w:r>
      <w:r w:rsidRPr="00CA47B9">
        <w:t>%</w:t>
      </w:r>
      <w:r w:rsidR="004B41A2" w:rsidRPr="00CA47B9">
        <w:t xml:space="preserve"> </w:t>
      </w:r>
      <w:r w:rsidRPr="00CA47B9">
        <w:t>of</w:t>
      </w:r>
      <w:r w:rsidR="004B41A2" w:rsidRPr="00CA47B9">
        <w:t xml:space="preserve"> </w:t>
      </w:r>
      <w:r w:rsidRPr="00CA47B9">
        <w:t>the</w:t>
      </w:r>
      <w:r w:rsidR="004B41A2" w:rsidRPr="00CA47B9">
        <w:t xml:space="preserve"> </w:t>
      </w:r>
      <w:r w:rsidRPr="00CA47B9">
        <w:t>GVA</w:t>
      </w:r>
      <w:r w:rsidR="004B41A2" w:rsidRPr="00CA47B9">
        <w:t xml:space="preserve"> </w:t>
      </w:r>
      <w:r w:rsidRPr="00CA47B9">
        <w:t>(£250</w:t>
      </w:r>
      <w:r w:rsidR="004B41A2" w:rsidRPr="00CA47B9">
        <w:t xml:space="preserve"> </w:t>
      </w:r>
      <w:r w:rsidRPr="00CA47B9">
        <w:t>billion).</w:t>
      </w:r>
      <w:r w:rsidR="004B41A2" w:rsidRPr="00CA47B9">
        <w:t xml:space="preserve"> </w:t>
      </w:r>
      <w:r w:rsidRPr="00CA47B9">
        <w:t>Figure</w:t>
      </w:r>
      <w:r w:rsidR="004B41A2" w:rsidRPr="00CA47B9">
        <w:t xml:space="preserve"> </w:t>
      </w:r>
      <w:r w:rsidR="00442CA7">
        <w:t>19</w:t>
      </w:r>
      <w:r w:rsidR="004B41A2" w:rsidRPr="00CA47B9">
        <w:t xml:space="preserve"> </w:t>
      </w:r>
      <w:r w:rsidRPr="00CA47B9">
        <w:t>illustrates</w:t>
      </w:r>
      <w:r w:rsidR="004B41A2" w:rsidRPr="00CA47B9">
        <w:t xml:space="preserve"> </w:t>
      </w:r>
      <w:r w:rsidRPr="00CA47B9">
        <w:t>the</w:t>
      </w:r>
      <w:r w:rsidR="004B41A2" w:rsidRPr="00CA47B9">
        <w:t xml:space="preserve"> </w:t>
      </w:r>
      <w:r w:rsidRPr="00CA47B9">
        <w:t>growth</w:t>
      </w:r>
      <w:r w:rsidR="004B41A2" w:rsidRPr="00CA47B9">
        <w:t xml:space="preserve"> </w:t>
      </w:r>
      <w:r w:rsidRPr="00CA47B9">
        <w:t>in</w:t>
      </w:r>
      <w:r w:rsidR="004B41A2" w:rsidRPr="00CA47B9">
        <w:t xml:space="preserve"> </w:t>
      </w:r>
      <w:r w:rsidRPr="00CA47B9">
        <w:t>GVA</w:t>
      </w:r>
      <w:r w:rsidR="004B41A2" w:rsidRPr="00CA47B9">
        <w:t xml:space="preserve"> </w:t>
      </w:r>
      <w:r w:rsidRPr="00CA47B9">
        <w:t>and</w:t>
      </w:r>
      <w:r w:rsidR="004B41A2" w:rsidRPr="00CA47B9">
        <w:t xml:space="preserve"> </w:t>
      </w:r>
      <w:r w:rsidRPr="00CA47B9">
        <w:t>Employment</w:t>
      </w:r>
      <w:r w:rsidR="004B41A2" w:rsidRPr="00CA47B9">
        <w:t xml:space="preserve"> </w:t>
      </w:r>
      <w:r w:rsidRPr="00CA47B9">
        <w:t>since</w:t>
      </w:r>
      <w:r w:rsidR="004B41A2" w:rsidRPr="00CA47B9">
        <w:t xml:space="preserve"> </w:t>
      </w:r>
      <w:r w:rsidRPr="00CA47B9">
        <w:t>1991</w:t>
      </w:r>
      <w:r w:rsidR="004B41A2" w:rsidRPr="00CA47B9">
        <w:t xml:space="preserve"> </w:t>
      </w:r>
      <w:r w:rsidRPr="00CA47B9">
        <w:t>in</w:t>
      </w:r>
      <w:r w:rsidR="004B41A2" w:rsidRPr="00CA47B9">
        <w:t xml:space="preserve"> </w:t>
      </w:r>
      <w:r w:rsidRPr="00CA47B9">
        <w:t>Chichester</w:t>
      </w:r>
      <w:r w:rsidR="00D86785">
        <w:t xml:space="preserve"> using the latest Oxford Economics data</w:t>
      </w:r>
      <w:r w:rsidRPr="00CA47B9">
        <w:t>.</w:t>
      </w:r>
    </w:p>
    <w:p w:rsidR="00B0298E" w:rsidRPr="00CA47B9" w:rsidRDefault="00B0298E" w:rsidP="00FC604D">
      <w:pPr>
        <w:pStyle w:val="FigureHeading"/>
        <w:tabs>
          <w:tab w:val="clear" w:pos="794"/>
          <w:tab w:val="clear" w:pos="1843"/>
          <w:tab w:val="left" w:pos="0"/>
        </w:tabs>
        <w:ind w:left="0" w:firstLine="0"/>
      </w:pPr>
      <w:bookmarkStart w:id="92" w:name="_Toc481156651"/>
      <w:r w:rsidRPr="00CA47B9">
        <w:t>Employment</w:t>
      </w:r>
      <w:r w:rsidR="004B41A2" w:rsidRPr="00CA47B9">
        <w:t xml:space="preserve"> </w:t>
      </w:r>
      <w:r w:rsidRPr="00CA47B9">
        <w:t>and</w:t>
      </w:r>
      <w:r w:rsidR="004B41A2" w:rsidRPr="00CA47B9">
        <w:t xml:space="preserve"> </w:t>
      </w:r>
      <w:r w:rsidRPr="00CA47B9">
        <w:t>GVA</w:t>
      </w:r>
      <w:r w:rsidR="004B41A2" w:rsidRPr="00CA47B9">
        <w:t xml:space="preserve"> </w:t>
      </w:r>
      <w:r w:rsidRPr="00CA47B9">
        <w:t>Trend</w:t>
      </w:r>
      <w:r w:rsidR="004B41A2" w:rsidRPr="00CA47B9">
        <w:t xml:space="preserve"> </w:t>
      </w:r>
      <w:r w:rsidRPr="00CA47B9">
        <w:t>(1991-201</w:t>
      </w:r>
      <w:r w:rsidR="009234B5" w:rsidRPr="00CA47B9">
        <w:t>8</w:t>
      </w:r>
      <w:r w:rsidRPr="00CA47B9">
        <w:t>)</w:t>
      </w:r>
      <w:bookmarkEnd w:id="92"/>
      <w:r w:rsidR="004F20D3" w:rsidRPr="00CA47B9">
        <w:t xml:space="preserve"> – Chichester District</w:t>
      </w:r>
    </w:p>
    <w:p w:rsidR="00D22734" w:rsidRPr="00CA47B9" w:rsidRDefault="000852FF" w:rsidP="00A1178F">
      <w:pPr>
        <w:pStyle w:val="Bodytextwithindent"/>
        <w:keepNext/>
        <w:spacing w:before="0" w:after="0" w:line="240" w:lineRule="auto"/>
        <w:ind w:left="0"/>
        <w:rPr>
          <w:rFonts w:asciiTheme="minorHAnsi" w:hAnsiTheme="minorHAnsi" w:cstheme="minorHAnsi"/>
          <w:color w:val="auto"/>
        </w:rPr>
      </w:pPr>
      <w:r w:rsidRPr="00CA47B9">
        <w:rPr>
          <w:noProof/>
          <w:color w:val="auto"/>
          <w:lang w:eastAsia="en-GB"/>
        </w:rPr>
        <w:drawing>
          <wp:inline distT="0" distB="0" distL="0" distR="0" wp14:anchorId="27AF0164" wp14:editId="7FD52B39">
            <wp:extent cx="6120000" cy="2880000"/>
            <wp:effectExtent l="0" t="0" r="14605" b="15875"/>
            <wp:docPr id="250" name="Chart 250" descr="Line chart showing GVA over time compared to employment over time presented on a secondary axis" title="Figure 19: Employment and GVA Trend 1991-2018 Chichester District">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0298E" w:rsidRPr="00B242EB" w:rsidRDefault="00B0298E" w:rsidP="00FC604D">
      <w:pPr>
        <w:pStyle w:val="Bodytextwithindent"/>
        <w:spacing w:before="0" w:after="120"/>
        <w:ind w:left="0"/>
        <w:rPr>
          <w:rFonts w:asciiTheme="minorHAnsi" w:hAnsiTheme="minorHAnsi" w:cstheme="minorHAnsi"/>
          <w:color w:val="auto"/>
          <w:sz w:val="24"/>
          <w:szCs w:val="22"/>
        </w:rPr>
      </w:pPr>
      <w:r w:rsidRPr="00B242EB">
        <w:rPr>
          <w:rFonts w:asciiTheme="minorHAnsi" w:hAnsiTheme="minorHAnsi" w:cstheme="minorHAnsi"/>
          <w:color w:val="auto"/>
          <w:sz w:val="24"/>
          <w:szCs w:val="22"/>
        </w:rPr>
        <w:t>Source:</w:t>
      </w:r>
      <w:r w:rsidR="004B41A2" w:rsidRPr="00B242EB">
        <w:rPr>
          <w:rFonts w:asciiTheme="minorHAnsi" w:hAnsiTheme="minorHAnsi" w:cstheme="minorHAnsi"/>
          <w:color w:val="auto"/>
          <w:sz w:val="24"/>
          <w:szCs w:val="22"/>
        </w:rPr>
        <w:t xml:space="preserve"> </w:t>
      </w:r>
      <w:r w:rsidRPr="00B242EB">
        <w:rPr>
          <w:rFonts w:asciiTheme="minorHAnsi" w:hAnsiTheme="minorHAnsi" w:cstheme="minorHAnsi"/>
          <w:color w:val="auto"/>
          <w:sz w:val="24"/>
          <w:szCs w:val="22"/>
        </w:rPr>
        <w:t>Oxford</w:t>
      </w:r>
      <w:r w:rsidR="004B41A2" w:rsidRPr="00B242EB">
        <w:rPr>
          <w:rFonts w:asciiTheme="minorHAnsi" w:hAnsiTheme="minorHAnsi" w:cstheme="minorHAnsi"/>
          <w:color w:val="auto"/>
          <w:sz w:val="24"/>
          <w:szCs w:val="22"/>
        </w:rPr>
        <w:t xml:space="preserve"> </w:t>
      </w:r>
      <w:r w:rsidRPr="00B242EB">
        <w:rPr>
          <w:rFonts w:asciiTheme="minorHAnsi" w:hAnsiTheme="minorHAnsi" w:cstheme="minorHAnsi"/>
          <w:color w:val="auto"/>
          <w:sz w:val="24"/>
          <w:szCs w:val="22"/>
        </w:rPr>
        <w:t>Economics,</w:t>
      </w:r>
      <w:r w:rsidR="004B41A2" w:rsidRPr="00B242EB">
        <w:rPr>
          <w:rFonts w:asciiTheme="minorHAnsi" w:hAnsiTheme="minorHAnsi" w:cstheme="minorHAnsi"/>
          <w:color w:val="auto"/>
          <w:sz w:val="24"/>
          <w:szCs w:val="22"/>
        </w:rPr>
        <w:t xml:space="preserve"> </w:t>
      </w:r>
      <w:r w:rsidRPr="00B242EB">
        <w:rPr>
          <w:rFonts w:asciiTheme="minorHAnsi" w:hAnsiTheme="minorHAnsi" w:cstheme="minorHAnsi"/>
          <w:color w:val="auto"/>
          <w:sz w:val="24"/>
          <w:szCs w:val="22"/>
        </w:rPr>
        <w:t>201</w:t>
      </w:r>
      <w:r w:rsidR="009234B5" w:rsidRPr="00B242EB">
        <w:rPr>
          <w:rFonts w:asciiTheme="minorHAnsi" w:hAnsiTheme="minorHAnsi" w:cstheme="minorHAnsi"/>
          <w:color w:val="auto"/>
          <w:sz w:val="24"/>
          <w:szCs w:val="22"/>
        </w:rPr>
        <w:t>9</w:t>
      </w:r>
    </w:p>
    <w:p w:rsidR="00B0298E" w:rsidRPr="00B242EB" w:rsidRDefault="00B0298E" w:rsidP="00BD6C75">
      <w:pPr>
        <w:pStyle w:val="Addressline1"/>
        <w:ind w:left="567" w:firstLine="0"/>
      </w:pPr>
      <w:r w:rsidRPr="00B242EB">
        <w:t>Employment</w:t>
      </w:r>
      <w:r w:rsidR="004B41A2" w:rsidRPr="00B242EB">
        <w:t xml:space="preserve"> </w:t>
      </w:r>
      <w:r w:rsidRPr="00B242EB">
        <w:t>and</w:t>
      </w:r>
      <w:r w:rsidR="004B41A2" w:rsidRPr="00B242EB">
        <w:t xml:space="preserve"> </w:t>
      </w:r>
      <w:r w:rsidRPr="00B242EB">
        <w:t>Economic</w:t>
      </w:r>
      <w:r w:rsidR="004B41A2" w:rsidRPr="00B242EB">
        <w:t xml:space="preserve"> </w:t>
      </w:r>
      <w:r w:rsidRPr="00B242EB">
        <w:t>Growth</w:t>
      </w:r>
    </w:p>
    <w:p w:rsidR="00D93B77" w:rsidRPr="00D837A2" w:rsidRDefault="00B0298E" w:rsidP="00020CFC">
      <w:pPr>
        <w:pStyle w:val="11Bodytext"/>
        <w:tabs>
          <w:tab w:val="clear" w:pos="2212"/>
          <w:tab w:val="num" w:pos="567"/>
        </w:tabs>
        <w:ind w:left="567" w:hanging="567"/>
      </w:pPr>
      <w:r w:rsidRPr="00D837A2">
        <w:t>Figure</w:t>
      </w:r>
      <w:r w:rsidR="004B41A2" w:rsidRPr="00D837A2">
        <w:t xml:space="preserve"> </w:t>
      </w:r>
      <w:r w:rsidR="00CA6EFA" w:rsidRPr="00D837A2">
        <w:t>20</w:t>
      </w:r>
      <w:r w:rsidR="004B41A2" w:rsidRPr="00D837A2">
        <w:t xml:space="preserve"> </w:t>
      </w:r>
      <w:r w:rsidRPr="00D837A2">
        <w:t>shows</w:t>
      </w:r>
      <w:r w:rsidR="004B41A2" w:rsidRPr="00D837A2">
        <w:t xml:space="preserve"> </w:t>
      </w:r>
      <w:r w:rsidRPr="00D837A2">
        <w:t>Chichester’s</w:t>
      </w:r>
      <w:r w:rsidR="004B41A2" w:rsidRPr="00D837A2">
        <w:t xml:space="preserve"> </w:t>
      </w:r>
      <w:r w:rsidRPr="00D837A2">
        <w:t>GVA</w:t>
      </w:r>
      <w:r w:rsidR="004B41A2" w:rsidRPr="00D837A2">
        <w:t xml:space="preserve"> </w:t>
      </w:r>
      <w:r w:rsidRPr="00D837A2">
        <w:t>growth</w:t>
      </w:r>
      <w:r w:rsidR="004B41A2" w:rsidRPr="00D837A2">
        <w:t xml:space="preserve"> </w:t>
      </w:r>
      <w:r w:rsidRPr="00D837A2">
        <w:t>trend</w:t>
      </w:r>
      <w:r w:rsidR="004B41A2" w:rsidRPr="00D837A2">
        <w:t xml:space="preserve"> </w:t>
      </w:r>
      <w:r w:rsidRPr="00D837A2">
        <w:t>since</w:t>
      </w:r>
      <w:r w:rsidR="004B41A2" w:rsidRPr="00D837A2">
        <w:t xml:space="preserve"> </w:t>
      </w:r>
      <w:r w:rsidRPr="00D837A2">
        <w:t>1991</w:t>
      </w:r>
      <w:r w:rsidR="004B41A2" w:rsidRPr="00D837A2">
        <w:t xml:space="preserve"> </w:t>
      </w:r>
      <w:r w:rsidRPr="00D837A2">
        <w:t>compared</w:t>
      </w:r>
      <w:r w:rsidR="004B41A2" w:rsidRPr="00D837A2">
        <w:t xml:space="preserve"> </w:t>
      </w:r>
      <w:r w:rsidRPr="00D837A2">
        <w:t>to</w:t>
      </w:r>
      <w:r w:rsidR="004B41A2" w:rsidRPr="00D837A2">
        <w:t xml:space="preserve"> </w:t>
      </w:r>
      <w:r w:rsidRPr="00D837A2">
        <w:t>the</w:t>
      </w:r>
      <w:r w:rsidR="004B41A2" w:rsidRPr="00D837A2">
        <w:t xml:space="preserve"> </w:t>
      </w:r>
      <w:r w:rsidRPr="00D837A2">
        <w:t>trend</w:t>
      </w:r>
      <w:r w:rsidR="004B41A2" w:rsidRPr="00D837A2">
        <w:t xml:space="preserve"> </w:t>
      </w:r>
      <w:r w:rsidRPr="00D837A2">
        <w:t>for</w:t>
      </w:r>
      <w:r w:rsidR="004B41A2" w:rsidRPr="00D837A2">
        <w:t xml:space="preserve"> </w:t>
      </w:r>
      <w:r w:rsidRPr="00D837A2">
        <w:t>the</w:t>
      </w:r>
      <w:r w:rsidR="004B41A2" w:rsidRPr="00D837A2">
        <w:t xml:space="preserve"> </w:t>
      </w:r>
      <w:r w:rsidRPr="00D837A2">
        <w:t>South</w:t>
      </w:r>
      <w:r w:rsidR="004B41A2" w:rsidRPr="00D837A2">
        <w:t xml:space="preserve"> </w:t>
      </w:r>
      <w:r w:rsidRPr="00D837A2">
        <w:t>East.</w:t>
      </w:r>
      <w:r w:rsidR="004B41A2" w:rsidRPr="00D837A2">
        <w:t xml:space="preserve"> </w:t>
      </w:r>
      <w:r w:rsidR="00BE6B84" w:rsidRPr="00D837A2">
        <w:t>Whilst Chichester’s GVA has grown by 50% since 1991, its</w:t>
      </w:r>
      <w:r w:rsidR="004B41A2" w:rsidRPr="00D837A2">
        <w:t xml:space="preserve"> </w:t>
      </w:r>
      <w:r w:rsidRPr="00D837A2">
        <w:t>GVA</w:t>
      </w:r>
      <w:r w:rsidR="004B41A2" w:rsidRPr="00D837A2">
        <w:t xml:space="preserve"> </w:t>
      </w:r>
      <w:r w:rsidRPr="00D837A2">
        <w:t>growth</w:t>
      </w:r>
      <w:r w:rsidR="004B41A2" w:rsidRPr="00D837A2">
        <w:t xml:space="preserve"> </w:t>
      </w:r>
      <w:r w:rsidRPr="00D837A2">
        <w:t>has</w:t>
      </w:r>
      <w:r w:rsidR="004B41A2" w:rsidRPr="00D837A2">
        <w:t xml:space="preserve"> </w:t>
      </w:r>
      <w:r w:rsidR="00D93B77" w:rsidRPr="00D837A2">
        <w:t xml:space="preserve">been </w:t>
      </w:r>
      <w:r w:rsidRPr="00D837A2">
        <w:t>outpaced</w:t>
      </w:r>
      <w:r w:rsidR="00D93B77" w:rsidRPr="00D837A2">
        <w:t xml:space="preserve"> by the greater region </w:t>
      </w:r>
      <w:r w:rsidR="00BE6B84" w:rsidRPr="00D837A2">
        <w:t>in the same period (84%)</w:t>
      </w:r>
      <w:r w:rsidR="00D93B77" w:rsidRPr="00D837A2">
        <w:t>. GVA growth in Chichester has somewhat flatlined since 2006 whereas growth has continued in the South East.</w:t>
      </w:r>
    </w:p>
    <w:p w:rsidR="004310D1" w:rsidRPr="00CA47B9" w:rsidRDefault="00B0298E" w:rsidP="00FC604D">
      <w:pPr>
        <w:pStyle w:val="FigureHeading"/>
        <w:tabs>
          <w:tab w:val="clear" w:pos="794"/>
          <w:tab w:val="clear" w:pos="1843"/>
          <w:tab w:val="left" w:pos="0"/>
        </w:tabs>
        <w:ind w:left="0" w:firstLine="0"/>
      </w:pPr>
      <w:bookmarkStart w:id="93" w:name="_Toc471486957"/>
      <w:bookmarkStart w:id="94" w:name="_Toc481156652"/>
      <w:r w:rsidRPr="00CA47B9">
        <w:lastRenderedPageBreak/>
        <w:t>Indexed</w:t>
      </w:r>
      <w:r w:rsidR="004B41A2" w:rsidRPr="00CA47B9">
        <w:t xml:space="preserve"> </w:t>
      </w:r>
      <w:r w:rsidRPr="00CA47B9">
        <w:t>GVA</w:t>
      </w:r>
      <w:r w:rsidR="004B41A2" w:rsidRPr="00CA47B9">
        <w:t xml:space="preserve"> </w:t>
      </w:r>
      <w:r w:rsidRPr="00CA47B9">
        <w:t>Growth</w:t>
      </w:r>
      <w:r w:rsidR="004B41A2" w:rsidRPr="00CA47B9">
        <w:t xml:space="preserve"> </w:t>
      </w:r>
      <w:r w:rsidRPr="00CA47B9">
        <w:t>(1991-201</w:t>
      </w:r>
      <w:r w:rsidR="00D93B77" w:rsidRPr="00CA47B9">
        <w:t>8</w:t>
      </w:r>
      <w:r w:rsidRPr="00CA47B9">
        <w:t>)</w:t>
      </w:r>
      <w:bookmarkEnd w:id="93"/>
      <w:bookmarkEnd w:id="94"/>
    </w:p>
    <w:p w:rsidR="00E0078B" w:rsidRPr="00CA47B9" w:rsidRDefault="00E0078B" w:rsidP="00163B4B">
      <w:pPr>
        <w:pStyle w:val="Bodytextwithindent"/>
        <w:keepNext/>
        <w:spacing w:before="0" w:after="0" w:line="240" w:lineRule="auto"/>
        <w:ind w:left="0"/>
        <w:rPr>
          <w:rFonts w:asciiTheme="minorHAnsi" w:hAnsiTheme="minorHAnsi" w:cstheme="minorHAnsi"/>
          <w:color w:val="auto"/>
        </w:rPr>
      </w:pPr>
      <w:r w:rsidRPr="00CA47B9">
        <w:rPr>
          <w:noProof/>
          <w:color w:val="auto"/>
          <w:lang w:eastAsia="en-GB"/>
        </w:rPr>
        <w:drawing>
          <wp:inline distT="0" distB="0" distL="0" distR="0" wp14:anchorId="2FE81801" wp14:editId="75EDA039">
            <wp:extent cx="6120000" cy="2880000"/>
            <wp:effectExtent l="0" t="0" r="14605" b="15875"/>
            <wp:docPr id="251" name="Chart 251" descr="Line chart comparing Chichester GVA growth compared to the South East Region from 1991 to 2018" title="Figure 20: Indexed GVA Growth 1991-20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A7F5B57-CA31-435D-ADAD-FF251B7560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0298E" w:rsidRPr="00B242EB" w:rsidRDefault="00B0298E" w:rsidP="00FC604D">
      <w:pPr>
        <w:pStyle w:val="Bodytextwithindent"/>
        <w:spacing w:before="0" w:after="120"/>
        <w:ind w:left="0"/>
        <w:rPr>
          <w:rFonts w:asciiTheme="minorHAnsi" w:hAnsiTheme="minorHAnsi" w:cstheme="minorHAnsi"/>
          <w:color w:val="auto"/>
          <w:sz w:val="24"/>
          <w:szCs w:val="22"/>
        </w:rPr>
      </w:pPr>
      <w:r w:rsidRPr="00B242EB">
        <w:rPr>
          <w:rFonts w:asciiTheme="minorHAnsi" w:hAnsiTheme="minorHAnsi" w:cstheme="minorHAnsi"/>
          <w:color w:val="auto"/>
          <w:sz w:val="24"/>
          <w:szCs w:val="22"/>
        </w:rPr>
        <w:t>Source:</w:t>
      </w:r>
      <w:r w:rsidR="004B41A2" w:rsidRPr="00B242EB">
        <w:rPr>
          <w:rFonts w:asciiTheme="minorHAnsi" w:hAnsiTheme="minorHAnsi" w:cstheme="minorHAnsi"/>
          <w:color w:val="auto"/>
          <w:sz w:val="24"/>
          <w:szCs w:val="22"/>
        </w:rPr>
        <w:t xml:space="preserve"> </w:t>
      </w:r>
      <w:r w:rsidRPr="00B242EB">
        <w:rPr>
          <w:rFonts w:asciiTheme="minorHAnsi" w:hAnsiTheme="minorHAnsi" w:cstheme="minorHAnsi"/>
          <w:color w:val="auto"/>
          <w:sz w:val="24"/>
          <w:szCs w:val="22"/>
        </w:rPr>
        <w:t>Oxford</w:t>
      </w:r>
      <w:r w:rsidR="004B41A2" w:rsidRPr="00B242EB">
        <w:rPr>
          <w:rFonts w:asciiTheme="minorHAnsi" w:hAnsiTheme="minorHAnsi" w:cstheme="minorHAnsi"/>
          <w:color w:val="auto"/>
          <w:sz w:val="24"/>
          <w:szCs w:val="22"/>
        </w:rPr>
        <w:t xml:space="preserve"> </w:t>
      </w:r>
      <w:r w:rsidRPr="00B242EB">
        <w:rPr>
          <w:rFonts w:asciiTheme="minorHAnsi" w:hAnsiTheme="minorHAnsi" w:cstheme="minorHAnsi"/>
          <w:color w:val="auto"/>
          <w:sz w:val="24"/>
          <w:szCs w:val="22"/>
        </w:rPr>
        <w:t>Economics,</w:t>
      </w:r>
      <w:r w:rsidR="004B41A2" w:rsidRPr="00B242EB">
        <w:rPr>
          <w:rFonts w:asciiTheme="minorHAnsi" w:hAnsiTheme="minorHAnsi" w:cstheme="minorHAnsi"/>
          <w:color w:val="auto"/>
          <w:sz w:val="24"/>
          <w:szCs w:val="22"/>
        </w:rPr>
        <w:t xml:space="preserve"> </w:t>
      </w:r>
      <w:r w:rsidRPr="00B242EB">
        <w:rPr>
          <w:rFonts w:asciiTheme="minorHAnsi" w:hAnsiTheme="minorHAnsi" w:cstheme="minorHAnsi"/>
          <w:color w:val="auto"/>
          <w:sz w:val="24"/>
          <w:szCs w:val="22"/>
        </w:rPr>
        <w:t>201</w:t>
      </w:r>
      <w:r w:rsidR="00D93B77" w:rsidRPr="00B242EB">
        <w:rPr>
          <w:rFonts w:asciiTheme="minorHAnsi" w:hAnsiTheme="minorHAnsi" w:cstheme="minorHAnsi"/>
          <w:color w:val="auto"/>
          <w:sz w:val="24"/>
          <w:szCs w:val="22"/>
        </w:rPr>
        <w:t>9</w:t>
      </w:r>
    </w:p>
    <w:p w:rsidR="00B0298E" w:rsidRPr="00CA47B9" w:rsidRDefault="00B0298E" w:rsidP="00020CFC">
      <w:pPr>
        <w:pStyle w:val="11Bodytext"/>
        <w:tabs>
          <w:tab w:val="clear" w:pos="2212"/>
          <w:tab w:val="num" w:pos="567"/>
        </w:tabs>
        <w:ind w:left="567" w:hanging="567"/>
        <w:rPr>
          <w:b/>
        </w:rPr>
      </w:pPr>
      <w:r w:rsidRPr="00CA47B9">
        <w:t>Since</w:t>
      </w:r>
      <w:r w:rsidR="004B41A2" w:rsidRPr="00CA47B9">
        <w:t xml:space="preserve"> </w:t>
      </w:r>
      <w:r w:rsidRPr="00CA47B9">
        <w:t>1991</w:t>
      </w:r>
      <w:r w:rsidR="004B41A2" w:rsidRPr="00CA47B9">
        <w:t xml:space="preserve"> </w:t>
      </w:r>
      <w:r w:rsidRPr="00CA47B9">
        <w:t>the</w:t>
      </w:r>
      <w:r w:rsidR="004B41A2" w:rsidRPr="00CA47B9">
        <w:t xml:space="preserve"> </w:t>
      </w:r>
      <w:r w:rsidRPr="00CA47B9">
        <w:t>employment</w:t>
      </w:r>
      <w:r w:rsidR="004B41A2" w:rsidRPr="00CA47B9">
        <w:t xml:space="preserve"> </w:t>
      </w:r>
      <w:r w:rsidRPr="00CA47B9">
        <w:t>in</w:t>
      </w:r>
      <w:r w:rsidR="004B41A2" w:rsidRPr="00CA47B9">
        <w:t xml:space="preserve"> </w:t>
      </w:r>
      <w:r w:rsidRPr="00CA47B9">
        <w:t>Chichester</w:t>
      </w:r>
      <w:r w:rsidR="004B41A2" w:rsidRPr="00CA47B9">
        <w:t xml:space="preserve"> </w:t>
      </w:r>
      <w:r w:rsidR="00B35E9A" w:rsidRPr="00CA47B9">
        <w:t>District</w:t>
      </w:r>
      <w:r w:rsidR="004B41A2" w:rsidRPr="00CA47B9">
        <w:t xml:space="preserve"> </w:t>
      </w:r>
      <w:r w:rsidRPr="00CA47B9">
        <w:t>has</w:t>
      </w:r>
      <w:r w:rsidR="004B41A2" w:rsidRPr="00CA47B9">
        <w:t xml:space="preserve"> </w:t>
      </w:r>
      <w:r w:rsidRPr="00CA47B9">
        <w:t>grown</w:t>
      </w:r>
      <w:r w:rsidR="004B41A2" w:rsidRPr="00CA47B9">
        <w:t xml:space="preserve"> </w:t>
      </w:r>
      <w:r w:rsidRPr="00CA47B9">
        <w:t>by</w:t>
      </w:r>
      <w:r w:rsidR="004B41A2" w:rsidRPr="00CA47B9">
        <w:t xml:space="preserve"> </w:t>
      </w:r>
      <w:r w:rsidRPr="00CA47B9">
        <w:t>almost</w:t>
      </w:r>
      <w:r w:rsidR="004B41A2" w:rsidRPr="00CA47B9">
        <w:t xml:space="preserve"> </w:t>
      </w:r>
      <w:r w:rsidR="004A1F6C" w:rsidRPr="00CA47B9">
        <w:t>15,700</w:t>
      </w:r>
      <w:r w:rsidR="004B41A2" w:rsidRPr="00CA47B9">
        <w:t xml:space="preserve"> </w:t>
      </w:r>
      <w:r w:rsidRPr="00CA47B9">
        <w:t>jobs</w:t>
      </w:r>
      <w:r w:rsidR="004B41A2" w:rsidRPr="00CA47B9">
        <w:t xml:space="preserve"> </w:t>
      </w:r>
      <w:r w:rsidRPr="00CA47B9">
        <w:t>(34%</w:t>
      </w:r>
      <w:r w:rsidR="004B41A2" w:rsidRPr="00CA47B9">
        <w:t xml:space="preserve"> </w:t>
      </w:r>
      <w:r w:rsidRPr="00CA47B9">
        <w:t>growth).</w:t>
      </w:r>
      <w:r w:rsidR="004B41A2" w:rsidRPr="00CA47B9">
        <w:t xml:space="preserve"> </w:t>
      </w:r>
      <w:r w:rsidRPr="00CA47B9">
        <w:t>This</w:t>
      </w:r>
      <w:r w:rsidR="004B41A2" w:rsidRPr="00CA47B9">
        <w:t xml:space="preserve"> </w:t>
      </w:r>
      <w:r w:rsidRPr="00CA47B9">
        <w:t>represents</w:t>
      </w:r>
      <w:r w:rsidR="004B41A2" w:rsidRPr="00CA47B9">
        <w:t xml:space="preserve"> </w:t>
      </w:r>
      <w:r w:rsidRPr="00CA47B9">
        <w:t>a</w:t>
      </w:r>
      <w:r w:rsidR="004B41A2" w:rsidRPr="00CA47B9">
        <w:t xml:space="preserve"> </w:t>
      </w:r>
      <w:r w:rsidRPr="00CA47B9">
        <w:t>level</w:t>
      </w:r>
      <w:r w:rsidR="004B41A2" w:rsidRPr="00CA47B9">
        <w:t xml:space="preserve"> </w:t>
      </w:r>
      <w:r w:rsidRPr="00CA47B9">
        <w:t>of</w:t>
      </w:r>
      <w:r w:rsidR="004B41A2" w:rsidRPr="00CA47B9">
        <w:t xml:space="preserve"> </w:t>
      </w:r>
      <w:r w:rsidRPr="00CA47B9">
        <w:t>growth</w:t>
      </w:r>
      <w:r w:rsidR="004B41A2" w:rsidRPr="00CA47B9">
        <w:t xml:space="preserve"> </w:t>
      </w:r>
      <w:r w:rsidRPr="00CA47B9">
        <w:t>above</w:t>
      </w:r>
      <w:r w:rsidR="004B41A2" w:rsidRPr="00CA47B9">
        <w:t xml:space="preserve"> </w:t>
      </w:r>
      <w:r w:rsidR="00855CA6">
        <w:t xml:space="preserve">the </w:t>
      </w:r>
      <w:r w:rsidRPr="00CA47B9">
        <w:t>regional</w:t>
      </w:r>
      <w:r w:rsidR="004B41A2" w:rsidRPr="00CA47B9">
        <w:t xml:space="preserve"> </w:t>
      </w:r>
      <w:r w:rsidRPr="00CA47B9">
        <w:t>trend</w:t>
      </w:r>
      <w:r w:rsidR="004B41A2" w:rsidRPr="00CA47B9">
        <w:t xml:space="preserve"> </w:t>
      </w:r>
      <w:r w:rsidRPr="00CA47B9">
        <w:t>where</w:t>
      </w:r>
      <w:r w:rsidR="004B41A2" w:rsidRPr="00CA47B9">
        <w:t xml:space="preserve"> </w:t>
      </w:r>
      <w:r w:rsidRPr="00CA47B9">
        <w:t>there</w:t>
      </w:r>
      <w:r w:rsidR="004B41A2" w:rsidRPr="00CA47B9">
        <w:t xml:space="preserve"> </w:t>
      </w:r>
      <w:r w:rsidRPr="00CA47B9">
        <w:t>has</w:t>
      </w:r>
      <w:r w:rsidR="004B41A2" w:rsidRPr="00CA47B9">
        <w:t xml:space="preserve"> </w:t>
      </w:r>
      <w:r w:rsidRPr="00CA47B9">
        <w:t>been</w:t>
      </w:r>
      <w:r w:rsidR="004B41A2" w:rsidRPr="00CA47B9">
        <w:t xml:space="preserve"> </w:t>
      </w:r>
      <w:r w:rsidRPr="00CA47B9">
        <w:t>a</w:t>
      </w:r>
      <w:r w:rsidR="004B41A2" w:rsidRPr="00CA47B9">
        <w:t xml:space="preserve"> </w:t>
      </w:r>
      <w:r w:rsidR="00BE6B84" w:rsidRPr="00CA47B9">
        <w:t>28</w:t>
      </w:r>
      <w:r w:rsidRPr="00CA47B9">
        <w:t>%</w:t>
      </w:r>
      <w:r w:rsidR="004B41A2" w:rsidRPr="00CA47B9">
        <w:t xml:space="preserve"> </w:t>
      </w:r>
      <w:r w:rsidRPr="00CA47B9">
        <w:t>growth</w:t>
      </w:r>
      <w:r w:rsidR="004B41A2" w:rsidRPr="00CA47B9">
        <w:t xml:space="preserve"> </w:t>
      </w:r>
      <w:r w:rsidRPr="00CA47B9">
        <w:t>in</w:t>
      </w:r>
      <w:r w:rsidR="004B41A2" w:rsidRPr="00CA47B9">
        <w:t xml:space="preserve"> </w:t>
      </w:r>
      <w:r w:rsidRPr="00CA47B9">
        <w:t>employment.</w:t>
      </w:r>
      <w:r w:rsidR="004B41A2" w:rsidRPr="00CA47B9">
        <w:t xml:space="preserve"> </w:t>
      </w:r>
      <w:r w:rsidRPr="00CA47B9">
        <w:t>Growth</w:t>
      </w:r>
      <w:r w:rsidR="004B41A2" w:rsidRPr="00CA47B9">
        <w:t xml:space="preserve"> </w:t>
      </w:r>
      <w:r w:rsidRPr="00CA47B9">
        <w:t>in</w:t>
      </w:r>
      <w:r w:rsidR="004B41A2" w:rsidRPr="00CA47B9">
        <w:t xml:space="preserve"> </w:t>
      </w:r>
      <w:r w:rsidRPr="00CA47B9">
        <w:t>employment</w:t>
      </w:r>
      <w:r w:rsidR="004B41A2" w:rsidRPr="00CA47B9">
        <w:t xml:space="preserve"> </w:t>
      </w:r>
      <w:r w:rsidRPr="00CA47B9">
        <w:t>has</w:t>
      </w:r>
      <w:r w:rsidR="004B41A2" w:rsidRPr="00CA47B9">
        <w:t xml:space="preserve"> </w:t>
      </w:r>
      <w:r w:rsidR="00BE6B84" w:rsidRPr="00CA47B9">
        <w:t>not been</w:t>
      </w:r>
      <w:r w:rsidR="00724E3C">
        <w:t xml:space="preserve"> in line with the </w:t>
      </w:r>
      <w:r w:rsidRPr="00CA47B9">
        <w:t>GVA</w:t>
      </w:r>
      <w:r w:rsidR="004B41A2" w:rsidRPr="00CA47B9">
        <w:t xml:space="preserve"> </w:t>
      </w:r>
      <w:r w:rsidRPr="00CA47B9">
        <w:t>growth</w:t>
      </w:r>
      <w:r w:rsidR="00BE6B84" w:rsidRPr="00CA47B9">
        <w:t xml:space="preserve"> (50%)</w:t>
      </w:r>
      <w:r w:rsidRPr="00CA47B9">
        <w:t>,</w:t>
      </w:r>
      <w:r w:rsidR="004B41A2" w:rsidRPr="00CA47B9">
        <w:t xml:space="preserve"> </w:t>
      </w:r>
      <w:r w:rsidRPr="00CA47B9">
        <w:t>indicating</w:t>
      </w:r>
      <w:r w:rsidR="004B41A2" w:rsidRPr="00CA47B9">
        <w:t xml:space="preserve"> </w:t>
      </w:r>
      <w:r w:rsidRPr="00CA47B9">
        <w:t>productivity</w:t>
      </w:r>
      <w:r w:rsidR="004B41A2" w:rsidRPr="00CA47B9">
        <w:t xml:space="preserve"> </w:t>
      </w:r>
      <w:r w:rsidRPr="00CA47B9">
        <w:t>improvements</w:t>
      </w:r>
      <w:r w:rsidR="004B41A2" w:rsidRPr="00CA47B9">
        <w:t xml:space="preserve"> </w:t>
      </w:r>
      <w:r w:rsidRPr="00CA47B9">
        <w:t>within</w:t>
      </w:r>
      <w:r w:rsidR="004B41A2" w:rsidRPr="00CA47B9">
        <w:t xml:space="preserve"> </w:t>
      </w:r>
      <w:r w:rsidRPr="00CA47B9">
        <w:t>the</w:t>
      </w:r>
      <w:r w:rsidR="004B41A2" w:rsidRPr="00CA47B9">
        <w:t xml:space="preserve"> </w:t>
      </w:r>
      <w:r w:rsidRPr="00CA47B9">
        <w:t>local</w:t>
      </w:r>
      <w:r w:rsidR="004B41A2" w:rsidRPr="00CA47B9">
        <w:t xml:space="preserve"> </w:t>
      </w:r>
      <w:r w:rsidRPr="00CA47B9">
        <w:t>economy.</w:t>
      </w:r>
      <w:bookmarkStart w:id="95" w:name="_Toc471486958"/>
      <w:bookmarkStart w:id="96" w:name="_Toc481156653"/>
      <w:r w:rsidR="00BE6B84" w:rsidRPr="00CA47B9">
        <w:t xml:space="preserve"> Employment growth in Chichester, as shown in Figure </w:t>
      </w:r>
      <w:r w:rsidR="00CA6EFA">
        <w:t>21</w:t>
      </w:r>
      <w:r w:rsidR="00BE6B84" w:rsidRPr="00CA47B9">
        <w:t xml:space="preserve">, has outpaced growth in the greater South East </w:t>
      </w:r>
      <w:r w:rsidR="00855CA6">
        <w:t>except for</w:t>
      </w:r>
      <w:r w:rsidR="00BE6B84" w:rsidRPr="00CA47B9">
        <w:t xml:space="preserve"> between 2003 and 2009.</w:t>
      </w:r>
    </w:p>
    <w:p w:rsidR="00B0298E" w:rsidRPr="00CA47B9" w:rsidRDefault="00B0298E" w:rsidP="00FC604D">
      <w:pPr>
        <w:pStyle w:val="FigureHeading"/>
        <w:tabs>
          <w:tab w:val="clear" w:pos="794"/>
          <w:tab w:val="clear" w:pos="1843"/>
          <w:tab w:val="left" w:pos="0"/>
        </w:tabs>
        <w:spacing w:line="240" w:lineRule="auto"/>
        <w:ind w:left="0" w:firstLine="0"/>
      </w:pPr>
      <w:r w:rsidRPr="00CA47B9">
        <w:t>Indexed</w:t>
      </w:r>
      <w:r w:rsidR="004B41A2" w:rsidRPr="00CA47B9">
        <w:t xml:space="preserve"> </w:t>
      </w:r>
      <w:r w:rsidRPr="00CA47B9">
        <w:t>Employment</w:t>
      </w:r>
      <w:r w:rsidR="004B41A2" w:rsidRPr="00CA47B9">
        <w:t xml:space="preserve"> </w:t>
      </w:r>
      <w:r w:rsidRPr="00CA47B9">
        <w:t>Growth</w:t>
      </w:r>
      <w:r w:rsidR="004B41A2" w:rsidRPr="00CA47B9">
        <w:t xml:space="preserve"> </w:t>
      </w:r>
      <w:r w:rsidRPr="00CA47B9">
        <w:t>(1991-</w:t>
      </w:r>
      <w:r w:rsidR="009B6FCB" w:rsidRPr="00CA47B9">
        <w:t>201</w:t>
      </w:r>
      <w:r w:rsidR="00BE6B84" w:rsidRPr="00CA47B9">
        <w:t>8</w:t>
      </w:r>
      <w:r w:rsidRPr="00CA47B9">
        <w:t>)</w:t>
      </w:r>
      <w:bookmarkEnd w:id="95"/>
      <w:bookmarkEnd w:id="96"/>
    </w:p>
    <w:p w:rsidR="00E0078B" w:rsidRPr="00CA47B9" w:rsidRDefault="00E0078B" w:rsidP="00163B4B">
      <w:pPr>
        <w:pStyle w:val="11Bodytext"/>
        <w:keepNext/>
        <w:numPr>
          <w:ilvl w:val="0"/>
          <w:numId w:val="0"/>
        </w:numPr>
        <w:spacing w:before="0" w:after="0" w:line="240" w:lineRule="auto"/>
      </w:pPr>
      <w:r w:rsidRPr="00CA47B9">
        <w:rPr>
          <w:noProof/>
          <w:lang w:eastAsia="en-GB"/>
        </w:rPr>
        <w:drawing>
          <wp:inline distT="0" distB="0" distL="0" distR="0" wp14:anchorId="38289DF3" wp14:editId="094034B2">
            <wp:extent cx="6120000" cy="2880000"/>
            <wp:effectExtent l="0" t="0" r="14605" b="15875"/>
            <wp:docPr id="252" name="Chart 252" descr="Line chart showing GVA growth (indexed) in Chichester District as compared to the South East" title="Figure 21: Indexed Employment Growth 1991-20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B10CD74-619E-4BC3-8173-C4BA0AB92D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0298E" w:rsidRPr="00CA47B9" w:rsidRDefault="00B0298E" w:rsidP="00FC604D">
      <w:pPr>
        <w:pStyle w:val="11Bodytext"/>
        <w:numPr>
          <w:ilvl w:val="0"/>
          <w:numId w:val="0"/>
        </w:numPr>
        <w:spacing w:before="0" w:after="0" w:line="240" w:lineRule="auto"/>
      </w:pPr>
      <w:r w:rsidRPr="00CA47B9">
        <w:t>Source:</w:t>
      </w:r>
      <w:r w:rsidR="004B41A2" w:rsidRPr="00CA47B9">
        <w:t xml:space="preserve"> </w:t>
      </w:r>
      <w:r w:rsidRPr="00CA47B9">
        <w:t>Oxford</w:t>
      </w:r>
      <w:r w:rsidR="004B41A2" w:rsidRPr="00CA47B9">
        <w:t xml:space="preserve"> </w:t>
      </w:r>
      <w:r w:rsidRPr="00CA47B9">
        <w:t>Economics,</w:t>
      </w:r>
      <w:r w:rsidR="004B41A2" w:rsidRPr="00CA47B9">
        <w:t xml:space="preserve"> </w:t>
      </w:r>
      <w:r w:rsidRPr="00CA47B9">
        <w:t>201</w:t>
      </w:r>
      <w:r w:rsidR="00BE6B84" w:rsidRPr="00CA47B9">
        <w:t>9</w:t>
      </w:r>
    </w:p>
    <w:p w:rsidR="00766669" w:rsidRDefault="00766669" w:rsidP="00BD6C75">
      <w:pPr>
        <w:pStyle w:val="Subheadingbold"/>
        <w:ind w:left="567" w:firstLine="0"/>
        <w:sectPr w:rsidR="00766669" w:rsidSect="008B43C6">
          <w:pgSz w:w="11900" w:h="16840"/>
          <w:pgMar w:top="1668" w:right="851" w:bottom="1418" w:left="1418" w:header="709" w:footer="709" w:gutter="0"/>
          <w:cols w:space="720"/>
          <w:formProt w:val="0"/>
        </w:sectPr>
      </w:pPr>
    </w:p>
    <w:p w:rsidR="00B0298E" w:rsidRPr="00CA47B9" w:rsidRDefault="00B0298E" w:rsidP="00766669">
      <w:pPr>
        <w:pStyle w:val="Subheadingbold"/>
        <w:spacing w:before="0"/>
        <w:ind w:left="567" w:firstLine="0"/>
      </w:pPr>
      <w:r w:rsidRPr="00CA47B9">
        <w:lastRenderedPageBreak/>
        <w:t>GVA</w:t>
      </w:r>
      <w:r w:rsidR="004B41A2" w:rsidRPr="00CA47B9">
        <w:t xml:space="preserve"> </w:t>
      </w:r>
      <w:r w:rsidRPr="00CA47B9">
        <w:t>Growth</w:t>
      </w:r>
      <w:r w:rsidR="004B41A2" w:rsidRPr="00CA47B9">
        <w:t xml:space="preserve"> </w:t>
      </w:r>
      <w:r w:rsidRPr="00CA47B9">
        <w:t>by</w:t>
      </w:r>
      <w:r w:rsidR="004B41A2" w:rsidRPr="00CA47B9">
        <w:t xml:space="preserve"> </w:t>
      </w:r>
      <w:r w:rsidRPr="00CA47B9">
        <w:t>Sector</w:t>
      </w:r>
      <w:r w:rsidR="004B41A2" w:rsidRPr="00CA47B9">
        <w:t xml:space="preserve"> </w:t>
      </w:r>
    </w:p>
    <w:p w:rsidR="00B0298E" w:rsidRPr="00CA47B9" w:rsidRDefault="00B0298E" w:rsidP="00020CFC">
      <w:pPr>
        <w:pStyle w:val="11Bodytext"/>
        <w:tabs>
          <w:tab w:val="clear" w:pos="2212"/>
          <w:tab w:val="num" w:pos="567"/>
        </w:tabs>
        <w:ind w:left="567" w:hanging="567"/>
      </w:pPr>
      <w:r w:rsidRPr="00CA47B9">
        <w:t>Figure</w:t>
      </w:r>
      <w:r w:rsidR="004B41A2" w:rsidRPr="00CA47B9">
        <w:t xml:space="preserve"> </w:t>
      </w:r>
      <w:r w:rsidR="00152484">
        <w:t>22</w:t>
      </w:r>
      <w:r w:rsidR="004B41A2" w:rsidRPr="00CA47B9">
        <w:t xml:space="preserve"> </w:t>
      </w:r>
      <w:r w:rsidRPr="00CA47B9">
        <w:t>shows</w:t>
      </w:r>
      <w:r w:rsidR="004B41A2" w:rsidRPr="00CA47B9">
        <w:t xml:space="preserve"> </w:t>
      </w:r>
      <w:r w:rsidRPr="00CA47B9">
        <w:t>the</w:t>
      </w:r>
      <w:r w:rsidR="004B41A2" w:rsidRPr="00CA47B9">
        <w:t xml:space="preserve"> </w:t>
      </w:r>
      <w:r w:rsidRPr="00CA47B9">
        <w:t>breakdown</w:t>
      </w:r>
      <w:r w:rsidR="004B41A2" w:rsidRPr="00CA47B9">
        <w:t xml:space="preserve"> </w:t>
      </w:r>
      <w:r w:rsidRPr="00CA47B9">
        <w:t>of</w:t>
      </w:r>
      <w:r w:rsidR="004B41A2" w:rsidRPr="00CA47B9">
        <w:t xml:space="preserve"> </w:t>
      </w:r>
      <w:r w:rsidRPr="00CA47B9">
        <w:t>Chichester</w:t>
      </w:r>
      <w:r w:rsidR="004B41A2" w:rsidRPr="00CA47B9">
        <w:t xml:space="preserve"> </w:t>
      </w:r>
      <w:r w:rsidR="00B35E9A" w:rsidRPr="00CA47B9">
        <w:t>District</w:t>
      </w:r>
      <w:r w:rsidRPr="00CA47B9">
        <w:t>’s</w:t>
      </w:r>
      <w:r w:rsidR="004B41A2" w:rsidRPr="00CA47B9">
        <w:t xml:space="preserve"> </w:t>
      </w:r>
      <w:r w:rsidRPr="00CA47B9">
        <w:t>GVA</w:t>
      </w:r>
      <w:r w:rsidR="004B41A2" w:rsidRPr="00CA47B9">
        <w:t xml:space="preserve"> </w:t>
      </w:r>
      <w:r w:rsidRPr="00CA47B9">
        <w:t>by</w:t>
      </w:r>
      <w:r w:rsidR="004B41A2" w:rsidRPr="00CA47B9">
        <w:t xml:space="preserve"> </w:t>
      </w:r>
      <w:r w:rsidRPr="00CA47B9">
        <w:t>sector</w:t>
      </w:r>
      <w:r w:rsidR="004B41A2" w:rsidRPr="00CA47B9">
        <w:t xml:space="preserve"> </w:t>
      </w:r>
      <w:r w:rsidRPr="00CA47B9">
        <w:t>in</w:t>
      </w:r>
      <w:r w:rsidR="004B41A2" w:rsidRPr="00CA47B9">
        <w:t xml:space="preserve"> </w:t>
      </w:r>
      <w:r w:rsidRPr="00CA47B9">
        <w:t>201</w:t>
      </w:r>
      <w:r w:rsidR="003648C9" w:rsidRPr="00CA47B9">
        <w:t>8</w:t>
      </w:r>
      <w:r w:rsidRPr="00CA47B9">
        <w:t>.</w:t>
      </w:r>
      <w:r w:rsidR="004B41A2" w:rsidRPr="00CA47B9">
        <w:t xml:space="preserve"> </w:t>
      </w:r>
      <w:r w:rsidRPr="00CA47B9">
        <w:t>The</w:t>
      </w:r>
      <w:r w:rsidR="004B41A2" w:rsidRPr="00CA47B9">
        <w:t xml:space="preserve"> </w:t>
      </w:r>
      <w:r w:rsidRPr="00CA47B9">
        <w:t>strongest</w:t>
      </w:r>
      <w:r w:rsidR="004B41A2" w:rsidRPr="00CA47B9">
        <w:t xml:space="preserve"> </w:t>
      </w:r>
      <w:r w:rsidRPr="00CA47B9">
        <w:t>contributors</w:t>
      </w:r>
      <w:r w:rsidR="004B41A2" w:rsidRPr="00CA47B9">
        <w:t xml:space="preserve"> </w:t>
      </w:r>
      <w:r w:rsidRPr="00CA47B9">
        <w:t>to</w:t>
      </w:r>
      <w:r w:rsidR="004B41A2" w:rsidRPr="00CA47B9">
        <w:t xml:space="preserve"> </w:t>
      </w:r>
      <w:r w:rsidRPr="00CA47B9">
        <w:t>GVA</w:t>
      </w:r>
      <w:r w:rsidR="004B41A2" w:rsidRPr="00CA47B9">
        <w:t xml:space="preserve"> </w:t>
      </w:r>
      <w:r w:rsidRPr="00CA47B9">
        <w:t>in</w:t>
      </w:r>
      <w:r w:rsidR="004B41A2" w:rsidRPr="00CA47B9">
        <w:t xml:space="preserve"> </w:t>
      </w:r>
      <w:r w:rsidRPr="00CA47B9">
        <w:t>Chichester</w:t>
      </w:r>
      <w:r w:rsidR="004B41A2" w:rsidRPr="00CA47B9">
        <w:t xml:space="preserve"> </w:t>
      </w:r>
      <w:r w:rsidRPr="00CA47B9">
        <w:t>are</w:t>
      </w:r>
      <w:r w:rsidR="004B41A2" w:rsidRPr="00CA47B9">
        <w:t xml:space="preserve"> </w:t>
      </w:r>
      <w:r w:rsidRPr="00CA47B9">
        <w:t>the</w:t>
      </w:r>
      <w:r w:rsidR="004B41A2" w:rsidRPr="00CA47B9">
        <w:t xml:space="preserve"> </w:t>
      </w:r>
      <w:r w:rsidRPr="00CA47B9">
        <w:t>real</w:t>
      </w:r>
      <w:r w:rsidR="004B41A2" w:rsidRPr="00CA47B9">
        <w:t xml:space="preserve"> </w:t>
      </w:r>
      <w:r w:rsidRPr="00CA47B9">
        <w:t>estate,</w:t>
      </w:r>
      <w:r w:rsidR="004B41A2" w:rsidRPr="00CA47B9">
        <w:t xml:space="preserve"> </w:t>
      </w:r>
      <w:r w:rsidR="00B35E9A" w:rsidRPr="00CA47B9">
        <w:t>w</w:t>
      </w:r>
      <w:r w:rsidRPr="00CA47B9">
        <w:t>holesale</w:t>
      </w:r>
      <w:r w:rsidR="004B41A2" w:rsidRPr="00CA47B9">
        <w:t xml:space="preserve"> </w:t>
      </w:r>
      <w:r w:rsidRPr="00CA47B9">
        <w:t>and</w:t>
      </w:r>
      <w:r w:rsidR="004B41A2" w:rsidRPr="00CA47B9">
        <w:t xml:space="preserve"> </w:t>
      </w:r>
      <w:r w:rsidRPr="00CA47B9">
        <w:t>retail</w:t>
      </w:r>
      <w:r w:rsidR="004B41A2" w:rsidRPr="00CA47B9">
        <w:t xml:space="preserve"> </w:t>
      </w:r>
      <w:r w:rsidRPr="00CA47B9">
        <w:t>and</w:t>
      </w:r>
      <w:r w:rsidR="004B41A2" w:rsidRPr="00CA47B9">
        <w:t xml:space="preserve"> </w:t>
      </w:r>
      <w:r w:rsidRPr="00CA47B9">
        <w:t>manufacturing</w:t>
      </w:r>
      <w:r w:rsidR="004B41A2" w:rsidRPr="00CA47B9">
        <w:t xml:space="preserve"> </w:t>
      </w:r>
      <w:r w:rsidRPr="00CA47B9">
        <w:t>sector.</w:t>
      </w:r>
      <w:r w:rsidR="004B41A2" w:rsidRPr="00CA47B9">
        <w:t xml:space="preserve"> </w:t>
      </w:r>
      <w:r w:rsidRPr="00CA47B9">
        <w:t>Also</w:t>
      </w:r>
      <w:r w:rsidR="004B41A2" w:rsidRPr="00CA47B9">
        <w:t xml:space="preserve"> </w:t>
      </w:r>
      <w:r w:rsidRPr="00CA47B9">
        <w:t>shown</w:t>
      </w:r>
      <w:r w:rsidR="004B41A2" w:rsidRPr="00CA47B9">
        <w:t xml:space="preserve"> </w:t>
      </w:r>
      <w:r w:rsidRPr="00CA47B9">
        <w:t>is</w:t>
      </w:r>
      <w:r w:rsidR="004B41A2" w:rsidRPr="00CA47B9">
        <w:t xml:space="preserve"> </w:t>
      </w:r>
      <w:r w:rsidRPr="00CA47B9">
        <w:t>the</w:t>
      </w:r>
      <w:r w:rsidR="004B41A2" w:rsidRPr="00CA47B9">
        <w:t xml:space="preserve"> </w:t>
      </w:r>
      <w:r w:rsidRPr="00CA47B9">
        <w:t>equivalent</w:t>
      </w:r>
      <w:r w:rsidR="004B41A2" w:rsidRPr="00CA47B9">
        <w:t xml:space="preserve"> </w:t>
      </w:r>
      <w:r w:rsidRPr="00CA47B9">
        <w:t>GVA</w:t>
      </w:r>
      <w:r w:rsidR="004B41A2" w:rsidRPr="00CA47B9">
        <w:t xml:space="preserve"> </w:t>
      </w:r>
      <w:r w:rsidRPr="00CA47B9">
        <w:t>figure</w:t>
      </w:r>
      <w:r w:rsidR="004B41A2" w:rsidRPr="00CA47B9">
        <w:t xml:space="preserve"> </w:t>
      </w:r>
      <w:r w:rsidRPr="00CA47B9">
        <w:t>from</w:t>
      </w:r>
      <w:r w:rsidR="004B41A2" w:rsidRPr="00CA47B9">
        <w:t xml:space="preserve"> </w:t>
      </w:r>
      <w:r w:rsidRPr="00CA47B9">
        <w:t>1991.</w:t>
      </w:r>
      <w:r w:rsidR="004B41A2" w:rsidRPr="00CA47B9">
        <w:t xml:space="preserve"> </w:t>
      </w:r>
      <w:r w:rsidRPr="00CA47B9">
        <w:t>This</w:t>
      </w:r>
      <w:r w:rsidR="004B41A2" w:rsidRPr="00CA47B9">
        <w:t xml:space="preserve"> </w:t>
      </w:r>
      <w:r w:rsidRPr="00CA47B9">
        <w:t>shows</w:t>
      </w:r>
      <w:r w:rsidR="004B41A2" w:rsidRPr="00CA47B9">
        <w:t xml:space="preserve"> </w:t>
      </w:r>
      <w:r w:rsidRPr="00CA47B9">
        <w:t>that</w:t>
      </w:r>
      <w:r w:rsidR="004B41A2" w:rsidRPr="00CA47B9">
        <w:t xml:space="preserve"> </w:t>
      </w:r>
      <w:r w:rsidR="00B35E9A" w:rsidRPr="00CA47B9">
        <w:t>the</w:t>
      </w:r>
      <w:r w:rsidR="004B41A2" w:rsidRPr="00CA47B9">
        <w:t xml:space="preserve"> </w:t>
      </w:r>
      <w:r w:rsidR="00B35E9A" w:rsidRPr="00CA47B9">
        <w:t>r</w:t>
      </w:r>
      <w:r w:rsidRPr="00CA47B9">
        <w:t>eal</w:t>
      </w:r>
      <w:r w:rsidR="004B41A2" w:rsidRPr="00CA47B9">
        <w:t xml:space="preserve"> </w:t>
      </w:r>
      <w:r w:rsidR="00B35E9A" w:rsidRPr="00CA47B9">
        <w:t>e</w:t>
      </w:r>
      <w:r w:rsidRPr="00CA47B9">
        <w:t>state</w:t>
      </w:r>
      <w:r w:rsidR="004B41A2" w:rsidRPr="00CA47B9">
        <w:t xml:space="preserve"> </w:t>
      </w:r>
      <w:r w:rsidRPr="00CA47B9">
        <w:t>sector</w:t>
      </w:r>
      <w:r w:rsidR="004B41A2" w:rsidRPr="00CA47B9">
        <w:t xml:space="preserve"> </w:t>
      </w:r>
      <w:r w:rsidRPr="00CA47B9">
        <w:t>has</w:t>
      </w:r>
      <w:r w:rsidR="004B41A2" w:rsidRPr="00CA47B9">
        <w:t xml:space="preserve"> </w:t>
      </w:r>
      <w:r w:rsidRPr="00CA47B9">
        <w:t>seen</w:t>
      </w:r>
      <w:r w:rsidR="004B41A2" w:rsidRPr="00CA47B9">
        <w:t xml:space="preserve"> </w:t>
      </w:r>
      <w:r w:rsidRPr="00CA47B9">
        <w:t>the</w:t>
      </w:r>
      <w:r w:rsidR="004B41A2" w:rsidRPr="00CA47B9">
        <w:t xml:space="preserve"> </w:t>
      </w:r>
      <w:r w:rsidRPr="00CA47B9">
        <w:t>largest</w:t>
      </w:r>
      <w:r w:rsidR="004B41A2" w:rsidRPr="00CA47B9">
        <w:t xml:space="preserve"> </w:t>
      </w:r>
      <w:r w:rsidRPr="00CA47B9">
        <w:t>absolute</w:t>
      </w:r>
      <w:r w:rsidR="004B41A2" w:rsidRPr="00CA47B9">
        <w:t xml:space="preserve"> </w:t>
      </w:r>
      <w:r w:rsidRPr="00CA47B9">
        <w:t>GVA</w:t>
      </w:r>
      <w:r w:rsidR="004B41A2" w:rsidRPr="00CA47B9">
        <w:t xml:space="preserve"> </w:t>
      </w:r>
      <w:r w:rsidRPr="00CA47B9">
        <w:t>growth</w:t>
      </w:r>
      <w:r w:rsidR="004B41A2" w:rsidRPr="00CA47B9">
        <w:t xml:space="preserve"> </w:t>
      </w:r>
      <w:r w:rsidRPr="00CA47B9">
        <w:t>over</w:t>
      </w:r>
      <w:r w:rsidR="004B41A2" w:rsidRPr="00CA47B9">
        <w:t xml:space="preserve"> </w:t>
      </w:r>
      <w:r w:rsidRPr="00CA47B9">
        <w:t>this</w:t>
      </w:r>
      <w:r w:rsidR="004B41A2" w:rsidRPr="00CA47B9">
        <w:t xml:space="preserve"> </w:t>
      </w:r>
      <w:r w:rsidRPr="00CA47B9">
        <w:t>period.</w:t>
      </w:r>
      <w:r w:rsidR="004B41A2" w:rsidRPr="00CA47B9">
        <w:t xml:space="preserve"> </w:t>
      </w:r>
    </w:p>
    <w:p w:rsidR="00B0298E" w:rsidRPr="00CA47B9" w:rsidRDefault="00B0298E" w:rsidP="00020CFC">
      <w:pPr>
        <w:pStyle w:val="11Bodytext"/>
        <w:tabs>
          <w:tab w:val="clear" w:pos="2212"/>
          <w:tab w:val="num" w:pos="567"/>
        </w:tabs>
        <w:ind w:left="567" w:hanging="567"/>
      </w:pPr>
      <w:r w:rsidRPr="00CA47B9">
        <w:t>In</w:t>
      </w:r>
      <w:r w:rsidR="004B41A2" w:rsidRPr="00CA47B9">
        <w:t xml:space="preserve"> </w:t>
      </w:r>
      <w:r w:rsidRPr="00CA47B9">
        <w:t>proportional</w:t>
      </w:r>
      <w:r w:rsidR="004B41A2" w:rsidRPr="00CA47B9">
        <w:t xml:space="preserve"> </w:t>
      </w:r>
      <w:r w:rsidRPr="00CA47B9">
        <w:t>terms</w:t>
      </w:r>
      <w:r w:rsidR="004B41A2" w:rsidRPr="00CA47B9">
        <w:t xml:space="preserve"> </w:t>
      </w:r>
      <w:r w:rsidRPr="00CA47B9">
        <w:t>the</w:t>
      </w:r>
      <w:r w:rsidR="00BA1409" w:rsidRPr="00CA47B9">
        <w:t xml:space="preserve"> Real Estate sector has increased by 149% from 1991-2018, followed by Wholesale (128%), Professional services (126%) and Human Health (110%).</w:t>
      </w:r>
      <w:r w:rsidR="004B41A2" w:rsidRPr="00CA47B9">
        <w:t xml:space="preserve"> </w:t>
      </w:r>
      <w:r w:rsidRPr="00CA47B9">
        <w:t>Most</w:t>
      </w:r>
      <w:r w:rsidR="004B41A2" w:rsidRPr="00CA47B9">
        <w:t xml:space="preserve"> </w:t>
      </w:r>
      <w:r w:rsidRPr="00CA47B9">
        <w:t>sectors</w:t>
      </w:r>
      <w:r w:rsidR="004B41A2" w:rsidRPr="00CA47B9">
        <w:t xml:space="preserve"> </w:t>
      </w:r>
      <w:r w:rsidRPr="00CA47B9">
        <w:t>have</w:t>
      </w:r>
      <w:r w:rsidR="004B41A2" w:rsidRPr="00CA47B9">
        <w:t xml:space="preserve"> </w:t>
      </w:r>
      <w:r w:rsidRPr="00CA47B9">
        <w:t>seen</w:t>
      </w:r>
      <w:r w:rsidR="004B41A2" w:rsidRPr="00CA47B9">
        <w:t xml:space="preserve"> </w:t>
      </w:r>
      <w:r w:rsidRPr="00CA47B9">
        <w:t>a</w:t>
      </w:r>
      <w:r w:rsidR="004B41A2" w:rsidRPr="00CA47B9">
        <w:t xml:space="preserve"> </w:t>
      </w:r>
      <w:r w:rsidRPr="00CA47B9">
        <w:t>growth</w:t>
      </w:r>
      <w:r w:rsidR="004B41A2" w:rsidRPr="00CA47B9">
        <w:t xml:space="preserve"> </w:t>
      </w:r>
      <w:r w:rsidRPr="00CA47B9">
        <w:t>in</w:t>
      </w:r>
      <w:r w:rsidR="004B41A2" w:rsidRPr="00CA47B9">
        <w:t xml:space="preserve"> </w:t>
      </w:r>
      <w:r w:rsidRPr="00CA47B9">
        <w:t>GVA</w:t>
      </w:r>
      <w:r w:rsidR="004B41A2" w:rsidRPr="00CA47B9">
        <w:t xml:space="preserve"> </w:t>
      </w:r>
      <w:r w:rsidRPr="00CA47B9">
        <w:t>over</w:t>
      </w:r>
      <w:r w:rsidR="004B41A2" w:rsidRPr="00CA47B9">
        <w:t xml:space="preserve"> </w:t>
      </w:r>
      <w:r w:rsidRPr="00CA47B9">
        <w:t>this</w:t>
      </w:r>
      <w:r w:rsidR="004B41A2" w:rsidRPr="00CA47B9">
        <w:t xml:space="preserve"> </w:t>
      </w:r>
      <w:r w:rsidRPr="00CA47B9">
        <w:t>period,</w:t>
      </w:r>
      <w:r w:rsidR="004B41A2" w:rsidRPr="00CA47B9">
        <w:t xml:space="preserve"> </w:t>
      </w:r>
      <w:r w:rsidRPr="00CA47B9">
        <w:t>the</w:t>
      </w:r>
      <w:r w:rsidR="004B41A2" w:rsidRPr="00CA47B9">
        <w:t xml:space="preserve"> </w:t>
      </w:r>
      <w:r w:rsidRPr="00CA47B9">
        <w:t>exception</w:t>
      </w:r>
      <w:r w:rsidR="004B41A2" w:rsidRPr="00CA47B9">
        <w:t xml:space="preserve"> </w:t>
      </w:r>
      <w:r w:rsidR="00374D1A" w:rsidRPr="00CA47B9">
        <w:t xml:space="preserve">being Water Supply (-56%) and Public Administration and </w:t>
      </w:r>
      <w:r w:rsidR="00C45338" w:rsidRPr="00CA47B9">
        <w:t>Defence</w:t>
      </w:r>
      <w:r w:rsidR="00374D1A" w:rsidRPr="00CA47B9">
        <w:t xml:space="preserve"> (-57</w:t>
      </w:r>
      <w:r w:rsidR="00C45338" w:rsidRPr="00CA47B9">
        <w:t>%)</w:t>
      </w:r>
      <w:r w:rsidRPr="00CA47B9">
        <w:t>.</w:t>
      </w:r>
    </w:p>
    <w:p w:rsidR="00D54BFA" w:rsidRPr="00CA47B9" w:rsidRDefault="00B0298E" w:rsidP="00FC604D">
      <w:pPr>
        <w:pStyle w:val="FigureHeading"/>
        <w:tabs>
          <w:tab w:val="clear" w:pos="794"/>
          <w:tab w:val="clear" w:pos="1843"/>
          <w:tab w:val="left" w:pos="0"/>
        </w:tabs>
        <w:ind w:left="0" w:firstLine="0"/>
      </w:pPr>
      <w:bookmarkStart w:id="97" w:name="_Toc481156654"/>
      <w:bookmarkStart w:id="98" w:name="_Toc471486959"/>
      <w:r w:rsidRPr="00CA47B9">
        <w:t>GVA</w:t>
      </w:r>
      <w:r w:rsidR="004B41A2" w:rsidRPr="00CA47B9">
        <w:t xml:space="preserve"> </w:t>
      </w:r>
      <w:r w:rsidRPr="00CA47B9">
        <w:t>by</w:t>
      </w:r>
      <w:r w:rsidR="004B41A2" w:rsidRPr="00CA47B9">
        <w:t xml:space="preserve"> </w:t>
      </w:r>
      <w:r w:rsidRPr="00CA47B9">
        <w:t>Sector</w:t>
      </w:r>
      <w:bookmarkEnd w:id="97"/>
      <w:bookmarkEnd w:id="98"/>
      <w:r w:rsidR="004B41A2" w:rsidRPr="00CA47B9">
        <w:t xml:space="preserve"> </w:t>
      </w:r>
      <w:r w:rsidRPr="00CA47B9">
        <w:t>(1991-201</w:t>
      </w:r>
      <w:r w:rsidR="003648C9" w:rsidRPr="00CA47B9">
        <w:t>8</w:t>
      </w:r>
      <w:r w:rsidRPr="00CA47B9">
        <w:t>)</w:t>
      </w:r>
      <w:r w:rsidR="004F20D3" w:rsidRPr="00CA47B9">
        <w:t xml:space="preserve"> – Chichester District</w:t>
      </w:r>
    </w:p>
    <w:p w:rsidR="00E0078B" w:rsidRPr="00CA47B9" w:rsidRDefault="00E0078B" w:rsidP="00163B4B">
      <w:pPr>
        <w:pStyle w:val="Bodytextwithindent"/>
        <w:keepNext/>
        <w:spacing w:before="0" w:after="0" w:line="240" w:lineRule="auto"/>
        <w:ind w:left="0"/>
        <w:rPr>
          <w:rFonts w:asciiTheme="minorHAnsi" w:hAnsiTheme="minorHAnsi" w:cstheme="minorHAnsi"/>
          <w:color w:val="FF0000"/>
        </w:rPr>
      </w:pPr>
      <w:r w:rsidRPr="00CA47B9">
        <w:rPr>
          <w:noProof/>
          <w:lang w:eastAsia="en-GB"/>
        </w:rPr>
        <w:drawing>
          <wp:inline distT="0" distB="0" distL="0" distR="0" wp14:anchorId="7F3233BA" wp14:editId="43F76713">
            <wp:extent cx="6192000" cy="4917600"/>
            <wp:effectExtent l="0" t="0" r="18415" b="16510"/>
            <wp:docPr id="60" name="Chart 60" descr="Bar chart comparing 1991 GVA vs 2018 GVA broken down according to sector" title="Figure 22: GVA by Sector 1991-2018 Chichester District">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0298E" w:rsidRPr="00B242EB" w:rsidRDefault="00B0298E" w:rsidP="00FC604D">
      <w:pPr>
        <w:pStyle w:val="Bodytextwithindent"/>
        <w:spacing w:before="0" w:after="120"/>
        <w:ind w:left="0"/>
        <w:rPr>
          <w:rFonts w:asciiTheme="minorHAnsi" w:hAnsiTheme="minorHAnsi" w:cstheme="minorHAnsi"/>
          <w:color w:val="auto"/>
          <w:sz w:val="24"/>
          <w:szCs w:val="22"/>
        </w:rPr>
      </w:pPr>
      <w:r w:rsidRPr="00B242EB">
        <w:rPr>
          <w:rFonts w:asciiTheme="minorHAnsi" w:hAnsiTheme="minorHAnsi" w:cstheme="minorHAnsi"/>
          <w:color w:val="auto"/>
          <w:sz w:val="24"/>
          <w:szCs w:val="22"/>
        </w:rPr>
        <w:t>Source:</w:t>
      </w:r>
      <w:r w:rsidR="004B41A2" w:rsidRPr="00B242EB">
        <w:rPr>
          <w:rFonts w:asciiTheme="minorHAnsi" w:hAnsiTheme="minorHAnsi" w:cstheme="minorHAnsi"/>
          <w:color w:val="auto"/>
          <w:sz w:val="24"/>
          <w:szCs w:val="22"/>
        </w:rPr>
        <w:t xml:space="preserve"> </w:t>
      </w:r>
      <w:r w:rsidRPr="00B242EB">
        <w:rPr>
          <w:rFonts w:asciiTheme="minorHAnsi" w:hAnsiTheme="minorHAnsi" w:cstheme="minorHAnsi"/>
          <w:color w:val="auto"/>
          <w:sz w:val="24"/>
          <w:szCs w:val="22"/>
        </w:rPr>
        <w:t>Oxford</w:t>
      </w:r>
      <w:r w:rsidR="004B41A2" w:rsidRPr="00B242EB">
        <w:rPr>
          <w:rFonts w:asciiTheme="minorHAnsi" w:hAnsiTheme="minorHAnsi" w:cstheme="minorHAnsi"/>
          <w:color w:val="auto"/>
          <w:sz w:val="24"/>
          <w:szCs w:val="22"/>
        </w:rPr>
        <w:t xml:space="preserve"> </w:t>
      </w:r>
      <w:r w:rsidRPr="00B242EB">
        <w:rPr>
          <w:rFonts w:asciiTheme="minorHAnsi" w:hAnsiTheme="minorHAnsi" w:cstheme="minorHAnsi"/>
          <w:color w:val="auto"/>
          <w:sz w:val="24"/>
          <w:szCs w:val="22"/>
        </w:rPr>
        <w:t>Economics,</w:t>
      </w:r>
      <w:r w:rsidR="004B41A2" w:rsidRPr="00B242EB">
        <w:rPr>
          <w:rFonts w:asciiTheme="minorHAnsi" w:hAnsiTheme="minorHAnsi" w:cstheme="minorHAnsi"/>
          <w:color w:val="auto"/>
          <w:sz w:val="24"/>
          <w:szCs w:val="22"/>
        </w:rPr>
        <w:t xml:space="preserve"> </w:t>
      </w:r>
      <w:r w:rsidRPr="00B242EB">
        <w:rPr>
          <w:rFonts w:asciiTheme="minorHAnsi" w:hAnsiTheme="minorHAnsi" w:cstheme="minorHAnsi"/>
          <w:color w:val="auto"/>
          <w:sz w:val="24"/>
          <w:szCs w:val="22"/>
        </w:rPr>
        <w:t>201</w:t>
      </w:r>
      <w:r w:rsidR="00E453F9" w:rsidRPr="00B242EB">
        <w:rPr>
          <w:rFonts w:asciiTheme="minorHAnsi" w:hAnsiTheme="minorHAnsi" w:cstheme="minorHAnsi"/>
          <w:color w:val="auto"/>
          <w:sz w:val="24"/>
          <w:szCs w:val="22"/>
        </w:rPr>
        <w:t>9</w:t>
      </w:r>
    </w:p>
    <w:p w:rsidR="00766669" w:rsidRDefault="00766669" w:rsidP="00BD6C75">
      <w:pPr>
        <w:pStyle w:val="Subheadingbold"/>
        <w:ind w:left="567" w:firstLine="0"/>
        <w:sectPr w:rsidR="00766669" w:rsidSect="008B43C6">
          <w:pgSz w:w="11900" w:h="16840"/>
          <w:pgMar w:top="1668" w:right="851" w:bottom="1418" w:left="1418" w:header="709" w:footer="709" w:gutter="0"/>
          <w:cols w:space="720"/>
          <w:formProt w:val="0"/>
        </w:sectPr>
      </w:pPr>
    </w:p>
    <w:p w:rsidR="00B0298E" w:rsidRPr="00CA47B9" w:rsidRDefault="00B0298E" w:rsidP="00766669">
      <w:pPr>
        <w:pStyle w:val="Subheadingbold"/>
        <w:spacing w:before="0"/>
        <w:ind w:left="567" w:firstLine="0"/>
      </w:pPr>
      <w:r w:rsidRPr="00CA47B9">
        <w:lastRenderedPageBreak/>
        <w:t>Employment</w:t>
      </w:r>
      <w:r w:rsidR="004B41A2" w:rsidRPr="00CA47B9">
        <w:t xml:space="preserve"> </w:t>
      </w:r>
      <w:r w:rsidRPr="00CA47B9">
        <w:t>Structure</w:t>
      </w:r>
    </w:p>
    <w:p w:rsidR="00B0298E" w:rsidRPr="00CA47B9" w:rsidRDefault="00B0298E" w:rsidP="00020CFC">
      <w:pPr>
        <w:pStyle w:val="11Bodytext"/>
        <w:tabs>
          <w:tab w:val="clear" w:pos="2212"/>
          <w:tab w:val="num" w:pos="567"/>
        </w:tabs>
        <w:ind w:left="567" w:hanging="567"/>
      </w:pPr>
      <w:r w:rsidRPr="00CA47B9">
        <w:t>The</w:t>
      </w:r>
      <w:r w:rsidR="004B41A2" w:rsidRPr="00CA47B9">
        <w:t xml:space="preserve"> </w:t>
      </w:r>
      <w:r w:rsidRPr="00CA47B9">
        <w:t>District’s</w:t>
      </w:r>
      <w:r w:rsidR="004B41A2" w:rsidRPr="00CA47B9">
        <w:t xml:space="preserve"> </w:t>
      </w:r>
      <w:r w:rsidRPr="00CA47B9">
        <w:t>largest</w:t>
      </w:r>
      <w:r w:rsidR="004B41A2" w:rsidRPr="00CA47B9">
        <w:t xml:space="preserve"> </w:t>
      </w:r>
      <w:r w:rsidRPr="00CA47B9">
        <w:t>sector</w:t>
      </w:r>
      <w:r w:rsidR="004B41A2" w:rsidRPr="00CA47B9">
        <w:t xml:space="preserve"> </w:t>
      </w:r>
      <w:r w:rsidRPr="00CA47B9">
        <w:t>in</w:t>
      </w:r>
      <w:r w:rsidR="004B41A2" w:rsidRPr="00CA47B9">
        <w:t xml:space="preserve"> </w:t>
      </w:r>
      <w:r w:rsidRPr="00CA47B9">
        <w:t>terms</w:t>
      </w:r>
      <w:r w:rsidR="004B41A2" w:rsidRPr="00CA47B9">
        <w:t xml:space="preserve"> </w:t>
      </w:r>
      <w:r w:rsidRPr="00CA47B9">
        <w:t>of</w:t>
      </w:r>
      <w:r w:rsidR="004B41A2" w:rsidRPr="00CA47B9">
        <w:t xml:space="preserve"> </w:t>
      </w:r>
      <w:r w:rsidRPr="00CA47B9">
        <w:t>total</w:t>
      </w:r>
      <w:r w:rsidR="004B41A2" w:rsidRPr="00CA47B9">
        <w:t xml:space="preserve"> </w:t>
      </w:r>
      <w:r w:rsidRPr="00CA47B9">
        <w:t>employment</w:t>
      </w:r>
      <w:r w:rsidR="004B41A2" w:rsidRPr="00CA47B9">
        <w:t xml:space="preserve"> </w:t>
      </w:r>
      <w:r w:rsidRPr="00CA47B9">
        <w:t>numbers</w:t>
      </w:r>
      <w:r w:rsidR="004B41A2" w:rsidRPr="00CA47B9">
        <w:t xml:space="preserve"> </w:t>
      </w:r>
      <w:r w:rsidRPr="00CA47B9">
        <w:t>is</w:t>
      </w:r>
      <w:r w:rsidR="004B41A2" w:rsidRPr="00CA47B9">
        <w:t xml:space="preserve"> </w:t>
      </w:r>
      <w:r w:rsidRPr="00CA47B9">
        <w:t>the</w:t>
      </w:r>
      <w:r w:rsidR="004B41A2" w:rsidRPr="00CA47B9">
        <w:t xml:space="preserve"> </w:t>
      </w:r>
      <w:r w:rsidR="00396B19" w:rsidRPr="00CA47B9">
        <w:t xml:space="preserve">Human Health and Social Work Activities with 9,700 jobs in 2018 along with 9,400 jobs in the Wholesale and Retail sector. </w:t>
      </w:r>
      <w:r w:rsidRPr="00CA47B9">
        <w:t>There</w:t>
      </w:r>
      <w:r w:rsidR="004B41A2" w:rsidRPr="00CA47B9">
        <w:t xml:space="preserve"> </w:t>
      </w:r>
      <w:r w:rsidRPr="00CA47B9">
        <w:t>are</w:t>
      </w:r>
      <w:r w:rsidR="004B41A2" w:rsidRPr="00CA47B9">
        <w:t xml:space="preserve"> </w:t>
      </w:r>
      <w:r w:rsidRPr="00CA47B9">
        <w:t>also</w:t>
      </w:r>
      <w:r w:rsidR="004B41A2" w:rsidRPr="00CA47B9">
        <w:t xml:space="preserve"> </w:t>
      </w:r>
      <w:r w:rsidRPr="00CA47B9">
        <w:t>large</w:t>
      </w:r>
      <w:r w:rsidR="004B41A2" w:rsidRPr="00CA47B9">
        <w:t xml:space="preserve"> </w:t>
      </w:r>
      <w:r w:rsidRPr="00CA47B9">
        <w:t>numbers</w:t>
      </w:r>
      <w:r w:rsidR="004B41A2" w:rsidRPr="00CA47B9">
        <w:t xml:space="preserve"> </w:t>
      </w:r>
      <w:r w:rsidRPr="00CA47B9">
        <w:t>employed</w:t>
      </w:r>
      <w:r w:rsidR="004B41A2" w:rsidRPr="00CA47B9">
        <w:t xml:space="preserve"> </w:t>
      </w:r>
      <w:r w:rsidRPr="00CA47B9">
        <w:t>in</w:t>
      </w:r>
      <w:r w:rsidR="00396B19" w:rsidRPr="00CA47B9">
        <w:t xml:space="preserve"> Education (6,700), Accommodation and Food Services (6,400), Manufacturing (5,600) and Professional Services (4,900).</w:t>
      </w:r>
      <w:r w:rsidR="004B41A2" w:rsidRPr="00CA47B9">
        <w:t xml:space="preserve"> </w:t>
      </w:r>
    </w:p>
    <w:p w:rsidR="00B0298E" w:rsidRPr="00CA47B9" w:rsidRDefault="000A2B7A" w:rsidP="00020CFC">
      <w:pPr>
        <w:pStyle w:val="11Bodytext"/>
        <w:tabs>
          <w:tab w:val="clear" w:pos="2212"/>
          <w:tab w:val="num" w:pos="567"/>
        </w:tabs>
        <w:ind w:left="567" w:hanging="567"/>
      </w:pPr>
      <w:r w:rsidRPr="00CA47B9">
        <w:t>T</w:t>
      </w:r>
      <w:r w:rsidR="00B0298E" w:rsidRPr="00CA47B9">
        <w:t>he</w:t>
      </w:r>
      <w:r w:rsidR="004B41A2" w:rsidRPr="00CA47B9">
        <w:t xml:space="preserve"> </w:t>
      </w:r>
      <w:r w:rsidR="00B0298E" w:rsidRPr="00CA47B9">
        <w:t>Oxford</w:t>
      </w:r>
      <w:r w:rsidR="004B41A2" w:rsidRPr="00CA47B9">
        <w:t xml:space="preserve"> </w:t>
      </w:r>
      <w:r w:rsidR="00B0298E" w:rsidRPr="00CA47B9">
        <w:t>Economics</w:t>
      </w:r>
      <w:r w:rsidR="004B41A2" w:rsidRPr="00CA47B9">
        <w:t xml:space="preserve"> </w:t>
      </w:r>
      <w:r w:rsidR="00B0298E" w:rsidRPr="00CA47B9">
        <w:t>data</w:t>
      </w:r>
      <w:r w:rsidR="004B41A2" w:rsidRPr="00CA47B9">
        <w:t xml:space="preserve"> </w:t>
      </w:r>
      <w:r w:rsidR="00B0298E" w:rsidRPr="00CA47B9">
        <w:t>suggests</w:t>
      </w:r>
      <w:r w:rsidR="004B41A2" w:rsidRPr="00CA47B9">
        <w:t xml:space="preserve"> </w:t>
      </w:r>
      <w:r w:rsidR="00B0298E" w:rsidRPr="00CA47B9">
        <w:t>that</w:t>
      </w:r>
      <w:r w:rsidR="004B41A2" w:rsidRPr="00CA47B9">
        <w:t xml:space="preserve"> </w:t>
      </w:r>
      <w:r w:rsidR="00B0298E" w:rsidRPr="00CA47B9">
        <w:t>2,</w:t>
      </w:r>
      <w:r w:rsidR="00396B19" w:rsidRPr="00CA47B9">
        <w:t>7</w:t>
      </w:r>
      <w:r w:rsidR="00B0298E" w:rsidRPr="00CA47B9">
        <w:t>00</w:t>
      </w:r>
      <w:r w:rsidR="004B41A2" w:rsidRPr="00CA47B9">
        <w:t xml:space="preserve"> </w:t>
      </w:r>
      <w:r w:rsidR="00B0298E" w:rsidRPr="00CA47B9">
        <w:t>agricultural</w:t>
      </w:r>
      <w:r w:rsidR="004B41A2" w:rsidRPr="00CA47B9">
        <w:t xml:space="preserve"> </w:t>
      </w:r>
      <w:r w:rsidR="00B0298E" w:rsidRPr="00CA47B9">
        <w:t>jobs</w:t>
      </w:r>
      <w:r w:rsidR="004B41A2" w:rsidRPr="00CA47B9">
        <w:t xml:space="preserve"> </w:t>
      </w:r>
      <w:r w:rsidR="00B0298E" w:rsidRPr="00CA47B9">
        <w:t>are</w:t>
      </w:r>
      <w:r w:rsidR="004B41A2" w:rsidRPr="00CA47B9">
        <w:t xml:space="preserve"> </w:t>
      </w:r>
      <w:r w:rsidR="00B0298E" w:rsidRPr="00CA47B9">
        <w:t>located</w:t>
      </w:r>
      <w:r w:rsidR="004B41A2" w:rsidRPr="00CA47B9">
        <w:t xml:space="preserve"> </w:t>
      </w:r>
      <w:r w:rsidR="00B0298E" w:rsidRPr="00CA47B9">
        <w:t>in</w:t>
      </w:r>
      <w:r w:rsidR="004B41A2" w:rsidRPr="00CA47B9">
        <w:t xml:space="preserve"> </w:t>
      </w:r>
      <w:r w:rsidR="00B0298E" w:rsidRPr="00CA47B9">
        <w:t>Chichester</w:t>
      </w:r>
      <w:r w:rsidR="004B41A2" w:rsidRPr="00CA47B9">
        <w:t xml:space="preserve"> </w:t>
      </w:r>
      <w:r w:rsidR="00B35E9A" w:rsidRPr="00CA47B9">
        <w:t>District</w:t>
      </w:r>
      <w:r w:rsidRPr="00CA47B9">
        <w:t>.</w:t>
      </w:r>
      <w:r w:rsidR="004B41A2" w:rsidRPr="00CA47B9">
        <w:t xml:space="preserve"> </w:t>
      </w:r>
      <w:r w:rsidRPr="00CA47B9">
        <w:t>T</w:t>
      </w:r>
      <w:r w:rsidR="00B0298E" w:rsidRPr="00CA47B9">
        <w:t>he</w:t>
      </w:r>
      <w:r w:rsidR="004B41A2" w:rsidRPr="00CA47B9">
        <w:t xml:space="preserve"> </w:t>
      </w:r>
      <w:r w:rsidR="00B0298E" w:rsidRPr="00CA47B9">
        <w:t>West</w:t>
      </w:r>
      <w:r w:rsidR="004B41A2" w:rsidRPr="00CA47B9">
        <w:t xml:space="preserve"> </w:t>
      </w:r>
      <w:r w:rsidR="00B0298E" w:rsidRPr="00CA47B9">
        <w:t>Sussex</w:t>
      </w:r>
      <w:r w:rsidR="004B41A2" w:rsidRPr="00CA47B9">
        <w:t xml:space="preserve"> </w:t>
      </w:r>
      <w:r w:rsidR="00B0298E" w:rsidRPr="00CA47B9">
        <w:t>Growers</w:t>
      </w:r>
      <w:r w:rsidR="004B41A2" w:rsidRPr="00CA47B9">
        <w:t xml:space="preserve"> </w:t>
      </w:r>
      <w:r w:rsidR="00B0298E" w:rsidRPr="00CA47B9">
        <w:t>Association</w:t>
      </w:r>
      <w:r w:rsidR="004B41A2" w:rsidRPr="00CA47B9">
        <w:t xml:space="preserve"> </w:t>
      </w:r>
      <w:r w:rsidRPr="00CA47B9">
        <w:t xml:space="preserve">suggest that horticulture employs around 10,000 </w:t>
      </w:r>
      <w:r w:rsidR="00855CA6" w:rsidRPr="00CA47B9">
        <w:t>full</w:t>
      </w:r>
      <w:r w:rsidR="00855CA6">
        <w:t>-</w:t>
      </w:r>
      <w:r w:rsidRPr="00CA47B9">
        <w:t xml:space="preserve">time equivalents </w:t>
      </w:r>
      <w:r w:rsidR="002C64B8">
        <w:t xml:space="preserve">across West Sussex </w:t>
      </w:r>
      <w:r w:rsidRPr="00CA47B9">
        <w:t>including a</w:t>
      </w:r>
      <w:r w:rsidR="004B41A2" w:rsidRPr="00CA47B9">
        <w:t xml:space="preserve"> </w:t>
      </w:r>
      <w:r w:rsidR="00CC47DA" w:rsidRPr="00CA47B9">
        <w:t>wider</w:t>
      </w:r>
      <w:r w:rsidR="004B41A2" w:rsidRPr="00CA47B9">
        <w:t xml:space="preserve"> </w:t>
      </w:r>
      <w:r w:rsidR="00CC47DA" w:rsidRPr="00CA47B9">
        <w:t>definition</w:t>
      </w:r>
      <w:r w:rsidR="004B41A2" w:rsidRPr="00CA47B9">
        <w:t xml:space="preserve"> </w:t>
      </w:r>
      <w:r w:rsidRPr="00CA47B9">
        <w:t>of</w:t>
      </w:r>
      <w:r w:rsidR="004B41A2" w:rsidRPr="00CA47B9">
        <w:t xml:space="preserve"> </w:t>
      </w:r>
      <w:r w:rsidR="00CC47DA" w:rsidRPr="00CA47B9">
        <w:t>packers,</w:t>
      </w:r>
      <w:r w:rsidR="004B41A2" w:rsidRPr="00CA47B9">
        <w:t xml:space="preserve"> </w:t>
      </w:r>
      <w:r w:rsidR="00CC47DA" w:rsidRPr="00CA47B9">
        <w:t>processors</w:t>
      </w:r>
      <w:r w:rsidR="004B41A2" w:rsidRPr="00CA47B9">
        <w:t xml:space="preserve"> </w:t>
      </w:r>
      <w:r w:rsidR="00CC47DA" w:rsidRPr="00CA47B9">
        <w:t>and</w:t>
      </w:r>
      <w:r w:rsidR="004B41A2" w:rsidRPr="00CA47B9">
        <w:t xml:space="preserve"> </w:t>
      </w:r>
      <w:r w:rsidR="00CC47DA" w:rsidRPr="00CA47B9">
        <w:t>distributors</w:t>
      </w:r>
      <w:r w:rsidR="004B41A2" w:rsidRPr="00CA47B9">
        <w:t xml:space="preserve"> </w:t>
      </w:r>
      <w:r w:rsidR="003D47B8" w:rsidRPr="00CA47B9">
        <w:t>and/or</w:t>
      </w:r>
      <w:r w:rsidR="004B41A2" w:rsidRPr="00CA47B9">
        <w:t xml:space="preserve"> </w:t>
      </w:r>
      <w:r w:rsidR="003D47B8" w:rsidRPr="00CA47B9">
        <w:t>temporary</w:t>
      </w:r>
      <w:r w:rsidR="004B41A2" w:rsidRPr="00CA47B9">
        <w:t xml:space="preserve"> </w:t>
      </w:r>
      <w:r w:rsidR="003D47B8" w:rsidRPr="00CA47B9">
        <w:t>workers</w:t>
      </w:r>
      <w:r w:rsidR="004B41A2" w:rsidRPr="00CA47B9">
        <w:t xml:space="preserve"> </w:t>
      </w:r>
      <w:r w:rsidRPr="00CA47B9">
        <w:t xml:space="preserve">as well as those in </w:t>
      </w:r>
      <w:r w:rsidR="00855CA6" w:rsidRPr="00CA47B9">
        <w:t>office</w:t>
      </w:r>
      <w:r w:rsidR="00855CA6">
        <w:t>-</w:t>
      </w:r>
      <w:r w:rsidRPr="00CA47B9">
        <w:t xml:space="preserve">based and other support employment, as well as taking into account </w:t>
      </w:r>
      <w:r w:rsidR="00DF4262" w:rsidRPr="00CA47B9">
        <w:t>the</w:t>
      </w:r>
      <w:r w:rsidR="004B41A2" w:rsidRPr="00CA47B9">
        <w:t xml:space="preserve"> </w:t>
      </w:r>
      <w:r w:rsidR="00CC47DA" w:rsidRPr="00CA47B9">
        <w:t>seasonality</w:t>
      </w:r>
      <w:r w:rsidR="004B41A2" w:rsidRPr="00CA47B9">
        <w:t xml:space="preserve"> </w:t>
      </w:r>
      <w:r w:rsidR="00DF4262" w:rsidRPr="00CA47B9">
        <w:t>of</w:t>
      </w:r>
      <w:r w:rsidR="004B41A2" w:rsidRPr="00CA47B9">
        <w:t xml:space="preserve"> </w:t>
      </w:r>
      <w:r w:rsidR="00DF4262" w:rsidRPr="00CA47B9">
        <w:t>employment</w:t>
      </w:r>
      <w:r w:rsidR="00B0298E" w:rsidRPr="00CA47B9">
        <w:t>.</w:t>
      </w:r>
    </w:p>
    <w:p w:rsidR="006F33ED" w:rsidRPr="00CA47B9" w:rsidRDefault="002B7B55" w:rsidP="00020CFC">
      <w:pPr>
        <w:pStyle w:val="11Bodytext"/>
        <w:tabs>
          <w:tab w:val="clear" w:pos="2212"/>
          <w:tab w:val="num" w:pos="567"/>
        </w:tabs>
        <w:ind w:left="567" w:hanging="567"/>
      </w:pPr>
      <w:r w:rsidRPr="00CA47B9">
        <w:t>The</w:t>
      </w:r>
      <w:r w:rsidR="004B41A2" w:rsidRPr="00CA47B9">
        <w:t xml:space="preserve"> </w:t>
      </w:r>
      <w:r w:rsidR="0086511B" w:rsidRPr="00CA47B9">
        <w:t>Accommodation and Food Services Sector</w:t>
      </w:r>
      <w:r w:rsidR="004B41A2" w:rsidRPr="00CA47B9">
        <w:t xml:space="preserve"> </w:t>
      </w:r>
      <w:r w:rsidRPr="00CA47B9">
        <w:t>has</w:t>
      </w:r>
      <w:r w:rsidR="004B41A2" w:rsidRPr="00CA47B9">
        <w:t xml:space="preserve"> </w:t>
      </w:r>
      <w:r w:rsidRPr="00CA47B9">
        <w:t>seen</w:t>
      </w:r>
      <w:r w:rsidR="004B41A2" w:rsidRPr="00CA47B9">
        <w:t xml:space="preserve"> </w:t>
      </w:r>
      <w:r w:rsidRPr="00CA47B9">
        <w:t>the</w:t>
      </w:r>
      <w:r w:rsidR="004B41A2" w:rsidRPr="00CA47B9">
        <w:t xml:space="preserve"> </w:t>
      </w:r>
      <w:r w:rsidRPr="00CA47B9">
        <w:t>largest</w:t>
      </w:r>
      <w:r w:rsidR="004B41A2" w:rsidRPr="00CA47B9">
        <w:t xml:space="preserve"> </w:t>
      </w:r>
      <w:r w:rsidRPr="00CA47B9">
        <w:t>jobs</w:t>
      </w:r>
      <w:r w:rsidR="004B41A2" w:rsidRPr="00CA47B9">
        <w:t xml:space="preserve"> </w:t>
      </w:r>
      <w:r w:rsidRPr="00CA47B9">
        <w:t>growth</w:t>
      </w:r>
      <w:r w:rsidR="004B41A2" w:rsidRPr="00CA47B9">
        <w:t xml:space="preserve"> </w:t>
      </w:r>
      <w:r w:rsidRPr="00CA47B9">
        <w:t>since</w:t>
      </w:r>
      <w:r w:rsidR="004B41A2" w:rsidRPr="00CA47B9">
        <w:t xml:space="preserve"> </w:t>
      </w:r>
      <w:r w:rsidRPr="00CA47B9">
        <w:t>1991,</w:t>
      </w:r>
      <w:r w:rsidR="004B41A2" w:rsidRPr="00CA47B9">
        <w:t xml:space="preserve"> </w:t>
      </w:r>
      <w:r w:rsidRPr="00CA47B9">
        <w:t>with</w:t>
      </w:r>
      <w:r w:rsidR="004B41A2" w:rsidRPr="00CA47B9">
        <w:t xml:space="preserve"> </w:t>
      </w:r>
      <w:r w:rsidRPr="00CA47B9">
        <w:t>a</w:t>
      </w:r>
      <w:r w:rsidR="004B41A2" w:rsidRPr="00CA47B9">
        <w:t xml:space="preserve"> </w:t>
      </w:r>
      <w:r w:rsidRPr="00CA47B9">
        <w:t>growth</w:t>
      </w:r>
      <w:r w:rsidR="004B41A2" w:rsidRPr="00CA47B9">
        <w:t xml:space="preserve"> </w:t>
      </w:r>
      <w:r w:rsidRPr="00CA47B9">
        <w:t>of</w:t>
      </w:r>
      <w:r w:rsidR="004B41A2" w:rsidRPr="00CA47B9">
        <w:t xml:space="preserve"> </w:t>
      </w:r>
      <w:r w:rsidRPr="00CA47B9">
        <w:t>3,</w:t>
      </w:r>
      <w:r w:rsidR="0086511B" w:rsidRPr="00CA47B9">
        <w:t>000</w:t>
      </w:r>
      <w:r w:rsidR="004B41A2" w:rsidRPr="00CA47B9">
        <w:t xml:space="preserve"> </w:t>
      </w:r>
      <w:r w:rsidRPr="00CA47B9">
        <w:t>jobs.</w:t>
      </w:r>
      <w:r w:rsidR="004B41A2" w:rsidRPr="00CA47B9">
        <w:t xml:space="preserve"> </w:t>
      </w:r>
      <w:r w:rsidRPr="00CA47B9">
        <w:t>Other</w:t>
      </w:r>
      <w:r w:rsidR="004B41A2" w:rsidRPr="00CA47B9">
        <w:t xml:space="preserve"> </w:t>
      </w:r>
      <w:r w:rsidRPr="00CA47B9">
        <w:t>sectors</w:t>
      </w:r>
      <w:r w:rsidR="004B41A2" w:rsidRPr="00CA47B9">
        <w:t xml:space="preserve"> </w:t>
      </w:r>
      <w:r w:rsidRPr="00CA47B9">
        <w:t>which</w:t>
      </w:r>
      <w:r w:rsidR="004B41A2" w:rsidRPr="00CA47B9">
        <w:t xml:space="preserve"> </w:t>
      </w:r>
      <w:r w:rsidRPr="00CA47B9">
        <w:t>have</w:t>
      </w:r>
      <w:r w:rsidR="004B41A2" w:rsidRPr="00CA47B9">
        <w:t xml:space="preserve"> </w:t>
      </w:r>
      <w:r w:rsidRPr="00CA47B9">
        <w:t>seen</w:t>
      </w:r>
      <w:r w:rsidR="004B41A2" w:rsidRPr="00CA47B9">
        <w:t xml:space="preserve"> </w:t>
      </w:r>
      <w:r w:rsidR="00855CA6">
        <w:t xml:space="preserve">a </w:t>
      </w:r>
      <w:r w:rsidRPr="00CA47B9">
        <w:t>large</w:t>
      </w:r>
      <w:r w:rsidR="004B41A2" w:rsidRPr="00CA47B9">
        <w:t xml:space="preserve"> </w:t>
      </w:r>
      <w:r w:rsidRPr="00CA47B9">
        <w:t>growth</w:t>
      </w:r>
      <w:r w:rsidR="004B41A2" w:rsidRPr="00CA47B9">
        <w:t xml:space="preserve"> </w:t>
      </w:r>
      <w:r w:rsidRPr="00CA47B9">
        <w:t>in</w:t>
      </w:r>
      <w:r w:rsidR="004B41A2" w:rsidRPr="00CA47B9">
        <w:t xml:space="preserve"> </w:t>
      </w:r>
      <w:r w:rsidRPr="00CA47B9">
        <w:t>the</w:t>
      </w:r>
      <w:r w:rsidR="004B41A2" w:rsidRPr="00CA47B9">
        <w:t xml:space="preserve"> </w:t>
      </w:r>
      <w:r w:rsidRPr="00CA47B9">
        <w:t>District</w:t>
      </w:r>
      <w:r w:rsidR="004B41A2" w:rsidRPr="00CA47B9">
        <w:t xml:space="preserve"> </w:t>
      </w:r>
      <w:r w:rsidRPr="00CA47B9">
        <w:t>over</w:t>
      </w:r>
      <w:r w:rsidR="004B41A2" w:rsidRPr="00CA47B9">
        <w:t xml:space="preserve"> </w:t>
      </w:r>
      <w:r w:rsidRPr="00CA47B9">
        <w:t>this</w:t>
      </w:r>
      <w:r w:rsidR="004B41A2" w:rsidRPr="00CA47B9">
        <w:t xml:space="preserve"> </w:t>
      </w:r>
      <w:r w:rsidRPr="00CA47B9">
        <w:t>period</w:t>
      </w:r>
      <w:r w:rsidR="004B41A2" w:rsidRPr="00CA47B9">
        <w:t xml:space="preserve"> </w:t>
      </w:r>
      <w:r w:rsidRPr="00CA47B9">
        <w:t>are</w:t>
      </w:r>
      <w:r w:rsidR="004B41A2" w:rsidRPr="00CA47B9">
        <w:t xml:space="preserve"> </w:t>
      </w:r>
      <w:r w:rsidR="0086511B" w:rsidRPr="00CA47B9">
        <w:t>Wholesale and Retail Trade</w:t>
      </w:r>
      <w:r w:rsidR="004B41A2" w:rsidRPr="00CA47B9">
        <w:t xml:space="preserve"> </w:t>
      </w:r>
      <w:r w:rsidRPr="00CA47B9">
        <w:t>(</w:t>
      </w:r>
      <w:r w:rsidR="0004730C">
        <w:t>2,249</w:t>
      </w:r>
      <w:r w:rsidR="004B41A2" w:rsidRPr="00CA47B9">
        <w:t xml:space="preserve"> </w:t>
      </w:r>
      <w:r w:rsidRPr="00CA47B9">
        <w:t>jobs)</w:t>
      </w:r>
      <w:r w:rsidR="004B41A2" w:rsidRPr="00CA47B9">
        <w:t xml:space="preserve"> </w:t>
      </w:r>
      <w:r w:rsidRPr="00CA47B9">
        <w:t>and</w:t>
      </w:r>
      <w:r w:rsidR="004B41A2" w:rsidRPr="00CA47B9">
        <w:t xml:space="preserve"> </w:t>
      </w:r>
      <w:r w:rsidRPr="00CA47B9">
        <w:t>Administrative</w:t>
      </w:r>
      <w:r w:rsidR="004B41A2" w:rsidRPr="00CA47B9">
        <w:t xml:space="preserve"> </w:t>
      </w:r>
      <w:r w:rsidRPr="00CA47B9">
        <w:t>and</w:t>
      </w:r>
      <w:r w:rsidR="004B41A2" w:rsidRPr="00CA47B9">
        <w:t xml:space="preserve"> </w:t>
      </w:r>
      <w:r w:rsidRPr="00CA47B9">
        <w:t>Support</w:t>
      </w:r>
      <w:r w:rsidR="004B41A2" w:rsidRPr="00CA47B9">
        <w:t xml:space="preserve"> </w:t>
      </w:r>
      <w:r w:rsidRPr="00CA47B9">
        <w:t>(</w:t>
      </w:r>
      <w:r w:rsidR="0086511B" w:rsidRPr="00CA47B9">
        <w:t>1,700</w:t>
      </w:r>
      <w:r w:rsidR="004B41A2" w:rsidRPr="00CA47B9">
        <w:t xml:space="preserve"> </w:t>
      </w:r>
      <w:r w:rsidRPr="00CA47B9">
        <w:t>jobs).</w:t>
      </w:r>
      <w:r w:rsidR="004B41A2" w:rsidRPr="00CA47B9">
        <w:t xml:space="preserve"> </w:t>
      </w:r>
      <w:r w:rsidRPr="00CA47B9">
        <w:t>In</w:t>
      </w:r>
      <w:r w:rsidR="004B41A2" w:rsidRPr="00CA47B9">
        <w:t xml:space="preserve"> </w:t>
      </w:r>
      <w:r w:rsidRPr="00CA47B9">
        <w:t>percentage</w:t>
      </w:r>
      <w:r w:rsidR="004B41A2" w:rsidRPr="00CA47B9">
        <w:t xml:space="preserve"> </w:t>
      </w:r>
      <w:r w:rsidRPr="00CA47B9">
        <w:t>terms</w:t>
      </w:r>
      <w:r w:rsidR="00855CA6">
        <w:t>,</w:t>
      </w:r>
      <w:r w:rsidR="004B41A2" w:rsidRPr="00CA47B9">
        <w:t xml:space="preserve"> </w:t>
      </w:r>
      <w:r w:rsidRPr="00CA47B9">
        <w:t>the</w:t>
      </w:r>
      <w:r w:rsidR="004B41A2" w:rsidRPr="00CA47B9">
        <w:t xml:space="preserve"> </w:t>
      </w:r>
      <w:r w:rsidRPr="00CA47B9">
        <w:t>largest</w:t>
      </w:r>
      <w:r w:rsidR="004B41A2" w:rsidRPr="00CA47B9">
        <w:t xml:space="preserve"> </w:t>
      </w:r>
      <w:r w:rsidRPr="00CA47B9">
        <w:t>growth</w:t>
      </w:r>
      <w:r w:rsidR="004B41A2" w:rsidRPr="00CA47B9">
        <w:t xml:space="preserve"> </w:t>
      </w:r>
      <w:r w:rsidRPr="00CA47B9">
        <w:t>was</w:t>
      </w:r>
      <w:r w:rsidR="004B41A2" w:rsidRPr="00CA47B9">
        <w:t xml:space="preserve"> </w:t>
      </w:r>
      <w:r w:rsidRPr="00CA47B9">
        <w:t>in</w:t>
      </w:r>
      <w:r w:rsidR="004B41A2" w:rsidRPr="00CA47B9">
        <w:t xml:space="preserve"> </w:t>
      </w:r>
      <w:r w:rsidRPr="00CA47B9">
        <w:t>the</w:t>
      </w:r>
      <w:r w:rsidR="004B41A2" w:rsidRPr="00CA47B9">
        <w:t xml:space="preserve"> </w:t>
      </w:r>
      <w:r w:rsidRPr="00CA47B9">
        <w:t>Real</w:t>
      </w:r>
      <w:r w:rsidR="004B41A2" w:rsidRPr="00CA47B9">
        <w:t xml:space="preserve"> </w:t>
      </w:r>
      <w:r w:rsidRPr="00CA47B9">
        <w:t>Estate</w:t>
      </w:r>
      <w:r w:rsidR="004B41A2" w:rsidRPr="00CA47B9">
        <w:t xml:space="preserve"> </w:t>
      </w:r>
      <w:r w:rsidRPr="00CA47B9">
        <w:t>sector</w:t>
      </w:r>
      <w:r w:rsidR="004B41A2" w:rsidRPr="00CA47B9">
        <w:t xml:space="preserve"> </w:t>
      </w:r>
      <w:r w:rsidRPr="00CA47B9">
        <w:t>(2</w:t>
      </w:r>
      <w:r w:rsidR="0086511B" w:rsidRPr="00CA47B9">
        <w:t>50</w:t>
      </w:r>
      <w:r w:rsidRPr="00CA47B9">
        <w:t>%)</w:t>
      </w:r>
      <w:r w:rsidR="004B41A2" w:rsidRPr="00CA47B9">
        <w:t xml:space="preserve"> </w:t>
      </w:r>
      <w:r w:rsidRPr="00CA47B9">
        <w:t>followed</w:t>
      </w:r>
      <w:r w:rsidR="004B41A2" w:rsidRPr="00CA47B9">
        <w:t xml:space="preserve"> </w:t>
      </w:r>
      <w:r w:rsidRPr="00CA47B9">
        <w:t>by</w:t>
      </w:r>
      <w:r w:rsidR="0086511B" w:rsidRPr="00CA47B9">
        <w:t xml:space="preserve"> Information and Communication (116%),</w:t>
      </w:r>
      <w:r w:rsidR="00C42C28" w:rsidRPr="00CA47B9">
        <w:t xml:space="preserve"> and </w:t>
      </w:r>
      <w:r w:rsidR="0086511B" w:rsidRPr="00CA47B9">
        <w:t>Accommodation and Food Services (90%)</w:t>
      </w:r>
      <w:r w:rsidR="00C42C28" w:rsidRPr="00CA47B9">
        <w:t xml:space="preserve">. </w:t>
      </w:r>
    </w:p>
    <w:p w:rsidR="00B0298E" w:rsidRPr="00CA47B9" w:rsidRDefault="00B0298E" w:rsidP="00FC604D">
      <w:pPr>
        <w:pStyle w:val="FigureHeading"/>
        <w:tabs>
          <w:tab w:val="clear" w:pos="794"/>
          <w:tab w:val="clear" w:pos="1843"/>
          <w:tab w:val="left" w:pos="0"/>
        </w:tabs>
        <w:spacing w:line="240" w:lineRule="auto"/>
        <w:ind w:left="0" w:firstLine="0"/>
      </w:pPr>
      <w:bookmarkStart w:id="99" w:name="_Toc481156655"/>
      <w:r w:rsidRPr="00CA47B9">
        <w:lastRenderedPageBreak/>
        <w:t>Emp</w:t>
      </w:r>
      <w:r w:rsidR="003C7491">
        <w:t>loyment</w:t>
      </w:r>
      <w:r w:rsidR="004B41A2" w:rsidRPr="00CA47B9">
        <w:t xml:space="preserve"> </w:t>
      </w:r>
      <w:r w:rsidRPr="00CA47B9">
        <w:t>by</w:t>
      </w:r>
      <w:r w:rsidR="004B41A2" w:rsidRPr="00CA47B9">
        <w:t xml:space="preserve"> </w:t>
      </w:r>
      <w:r w:rsidR="00E10ED6" w:rsidRPr="00CA47B9">
        <w:t>Broad</w:t>
      </w:r>
      <w:r w:rsidR="004B41A2" w:rsidRPr="00CA47B9">
        <w:t xml:space="preserve"> </w:t>
      </w:r>
      <w:r w:rsidRPr="00CA47B9">
        <w:t>Sector</w:t>
      </w:r>
      <w:bookmarkEnd w:id="99"/>
      <w:r w:rsidR="00E10ED6" w:rsidRPr="00CA47B9">
        <w:rPr>
          <w:rStyle w:val="FootnoteReference"/>
          <w:color w:val="auto"/>
        </w:rPr>
        <w:footnoteReference w:id="6"/>
      </w:r>
      <w:r w:rsidR="004B41A2" w:rsidRPr="00CA47B9">
        <w:t xml:space="preserve"> </w:t>
      </w:r>
      <w:r w:rsidRPr="00CA47B9">
        <w:t>(1991</w:t>
      </w:r>
      <w:r w:rsidR="004B41A2" w:rsidRPr="00CA47B9">
        <w:t xml:space="preserve"> </w:t>
      </w:r>
      <w:r w:rsidRPr="00CA47B9">
        <w:t>-</w:t>
      </w:r>
      <w:r w:rsidR="004B41A2" w:rsidRPr="00CA47B9">
        <w:t xml:space="preserve"> </w:t>
      </w:r>
      <w:r w:rsidRPr="00CA47B9">
        <w:t>201</w:t>
      </w:r>
      <w:r w:rsidR="00E35D1E" w:rsidRPr="00CA47B9">
        <w:t>8</w:t>
      </w:r>
      <w:r w:rsidRPr="00CA47B9">
        <w:t>)</w:t>
      </w:r>
      <w:r w:rsidR="004F20D3" w:rsidRPr="00CA47B9">
        <w:t xml:space="preserve"> – Chichester District</w:t>
      </w:r>
    </w:p>
    <w:p w:rsidR="00E0078B" w:rsidRPr="00CA47B9" w:rsidRDefault="00E0078B" w:rsidP="00163B4B">
      <w:pPr>
        <w:pStyle w:val="11Bodytext"/>
        <w:numPr>
          <w:ilvl w:val="0"/>
          <w:numId w:val="0"/>
        </w:numPr>
        <w:spacing w:before="0" w:after="0" w:line="240" w:lineRule="auto"/>
      </w:pPr>
      <w:r w:rsidRPr="00CA47B9">
        <w:rPr>
          <w:noProof/>
          <w:lang w:eastAsia="en-GB"/>
        </w:rPr>
        <w:drawing>
          <wp:inline distT="0" distB="0" distL="0" distR="0" wp14:anchorId="053A0B2A" wp14:editId="1ECAF3C5">
            <wp:extent cx="6120000" cy="4125600"/>
            <wp:effectExtent l="0" t="0" r="14605" b="27305"/>
            <wp:docPr id="62" name="Chart 62" descr="Bar chart comparing 1991 vs 2018 employment by broad sector" title="Figure 23: Employment by Broad Sector 1991-2018 Chichester District">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0298E" w:rsidRPr="00CA47B9" w:rsidRDefault="00B0298E" w:rsidP="00FC604D">
      <w:pPr>
        <w:pStyle w:val="11Bodytext"/>
        <w:numPr>
          <w:ilvl w:val="0"/>
          <w:numId w:val="0"/>
        </w:numPr>
        <w:spacing w:before="0" w:after="0" w:line="240" w:lineRule="auto"/>
      </w:pPr>
      <w:r w:rsidRPr="00CA47B9">
        <w:t>Source:</w:t>
      </w:r>
      <w:r w:rsidR="004B41A2" w:rsidRPr="00CA47B9">
        <w:t xml:space="preserve"> </w:t>
      </w:r>
      <w:r w:rsidRPr="00CA47B9">
        <w:t>Oxford</w:t>
      </w:r>
      <w:r w:rsidR="004B41A2" w:rsidRPr="00CA47B9">
        <w:t xml:space="preserve"> </w:t>
      </w:r>
      <w:r w:rsidRPr="00CA47B9">
        <w:t>Economics</w:t>
      </w:r>
    </w:p>
    <w:p w:rsidR="002C72FE" w:rsidRPr="00CA47B9" w:rsidRDefault="002C72FE" w:rsidP="00020CFC">
      <w:pPr>
        <w:pStyle w:val="11Bodytext"/>
        <w:tabs>
          <w:tab w:val="clear" w:pos="2212"/>
          <w:tab w:val="num" w:pos="567"/>
        </w:tabs>
        <w:ind w:left="567" w:hanging="567"/>
      </w:pPr>
      <w:r w:rsidRPr="00CA47B9">
        <w:t>Conversely, the Mining and Quarrying sector has seen the greatest relative loss of employment (-52%) but in absolute terms only lost only 4</w:t>
      </w:r>
      <w:r>
        <w:t>6</w:t>
      </w:r>
      <w:r w:rsidRPr="00CA47B9">
        <w:t xml:space="preserve"> jobs</w:t>
      </w:r>
      <w:r w:rsidRPr="00CA47B9">
        <w:rPr>
          <w:color w:val="FF0000"/>
        </w:rPr>
        <w:t xml:space="preserve">. </w:t>
      </w:r>
      <w:r w:rsidRPr="004F4DBD">
        <w:t>Agriculture lost 45</w:t>
      </w:r>
      <w:r>
        <w:t>2</w:t>
      </w:r>
      <w:r w:rsidRPr="004F4DBD">
        <w:t xml:space="preserve"> jobs</w:t>
      </w:r>
      <w:r w:rsidRPr="00CA47B9">
        <w:t xml:space="preserve"> since 1991, a decline of 14%. All other sectors grew during this time. These changes are illustrated in Figure </w:t>
      </w:r>
      <w:r>
        <w:t>23</w:t>
      </w:r>
      <w:r w:rsidRPr="00CA47B9">
        <w:t>.</w:t>
      </w:r>
    </w:p>
    <w:p w:rsidR="009B6400" w:rsidRPr="00CA47B9" w:rsidRDefault="009B6400" w:rsidP="00020CFC">
      <w:pPr>
        <w:pStyle w:val="11Bodytext"/>
        <w:tabs>
          <w:tab w:val="clear" w:pos="2212"/>
          <w:tab w:val="num" w:pos="567"/>
        </w:tabs>
        <w:ind w:left="567" w:hanging="567"/>
      </w:pPr>
      <w:r w:rsidRPr="00CA47B9">
        <w:t>The</w:t>
      </w:r>
      <w:r w:rsidR="004B41A2" w:rsidRPr="00CA47B9">
        <w:t xml:space="preserve"> </w:t>
      </w:r>
      <w:r w:rsidRPr="00CA47B9">
        <w:t>OE</w:t>
      </w:r>
      <w:r w:rsidR="004B41A2" w:rsidRPr="00CA47B9">
        <w:t xml:space="preserve"> </w:t>
      </w:r>
      <w:r w:rsidRPr="00CA47B9">
        <w:t>forecasts</w:t>
      </w:r>
      <w:r w:rsidR="004B41A2" w:rsidRPr="00CA47B9">
        <w:t xml:space="preserve"> </w:t>
      </w:r>
      <w:r w:rsidRPr="00CA47B9">
        <w:t>do</w:t>
      </w:r>
      <w:r w:rsidR="004B41A2" w:rsidRPr="00CA47B9">
        <w:t xml:space="preserve"> </w:t>
      </w:r>
      <w:r w:rsidRPr="00CA47B9">
        <w:t>not</w:t>
      </w:r>
      <w:r w:rsidR="004B41A2" w:rsidRPr="00CA47B9">
        <w:t xml:space="preserve"> </w:t>
      </w:r>
      <w:r w:rsidRPr="00CA47B9">
        <w:t>explicitly</w:t>
      </w:r>
      <w:r w:rsidR="004B41A2" w:rsidRPr="00CA47B9">
        <w:t xml:space="preserve"> </w:t>
      </w:r>
      <w:r w:rsidRPr="00CA47B9">
        <w:t>identify</w:t>
      </w:r>
      <w:r w:rsidR="004B41A2" w:rsidRPr="00CA47B9">
        <w:t xml:space="preserve"> </w:t>
      </w:r>
      <w:r w:rsidRPr="00CA47B9">
        <w:t>jobs</w:t>
      </w:r>
      <w:r w:rsidR="004B41A2" w:rsidRPr="00CA47B9">
        <w:t xml:space="preserve"> </w:t>
      </w:r>
      <w:r w:rsidRPr="00CA47B9">
        <w:t>in</w:t>
      </w:r>
      <w:r w:rsidR="004B41A2" w:rsidRPr="00CA47B9">
        <w:t xml:space="preserve"> </w:t>
      </w:r>
      <w:r w:rsidRPr="00CA47B9">
        <w:t>the</w:t>
      </w:r>
      <w:r w:rsidR="004B41A2" w:rsidRPr="00CA47B9">
        <w:t xml:space="preserve"> </w:t>
      </w:r>
      <w:r w:rsidRPr="00CA47B9">
        <w:t>tourism</w:t>
      </w:r>
      <w:r w:rsidR="004B41A2" w:rsidRPr="00CA47B9">
        <w:t xml:space="preserve"> </w:t>
      </w:r>
      <w:r w:rsidRPr="00CA47B9">
        <w:t>sector,</w:t>
      </w:r>
      <w:r w:rsidR="004B41A2" w:rsidRPr="00CA47B9">
        <w:t xml:space="preserve"> </w:t>
      </w:r>
      <w:r w:rsidRPr="00CA47B9">
        <w:t>but</w:t>
      </w:r>
      <w:r w:rsidR="004B41A2" w:rsidRPr="00CA47B9">
        <w:t xml:space="preserve"> </w:t>
      </w:r>
      <w:r w:rsidRPr="00CA47B9">
        <w:t>these</w:t>
      </w:r>
      <w:r w:rsidR="004B41A2" w:rsidRPr="00CA47B9">
        <w:t xml:space="preserve"> </w:t>
      </w:r>
      <w:r w:rsidRPr="00CA47B9">
        <w:t>are</w:t>
      </w:r>
      <w:r w:rsidR="004B41A2" w:rsidRPr="00CA47B9">
        <w:t xml:space="preserve"> </w:t>
      </w:r>
      <w:r w:rsidRPr="00CA47B9">
        <w:t>divided</w:t>
      </w:r>
      <w:r w:rsidR="004B41A2" w:rsidRPr="00CA47B9">
        <w:t xml:space="preserve"> </w:t>
      </w:r>
      <w:r w:rsidRPr="00CA47B9">
        <w:t>across</w:t>
      </w:r>
      <w:r w:rsidR="004B41A2" w:rsidRPr="00CA47B9">
        <w:t xml:space="preserve"> </w:t>
      </w:r>
      <w:r w:rsidRPr="00CA47B9">
        <w:t>the</w:t>
      </w:r>
      <w:r w:rsidR="004B41A2" w:rsidRPr="00CA47B9">
        <w:t xml:space="preserve"> </w:t>
      </w:r>
      <w:r w:rsidRPr="00CA47B9">
        <w:t>Accommodation</w:t>
      </w:r>
      <w:r w:rsidR="004B41A2" w:rsidRPr="00CA47B9">
        <w:t xml:space="preserve"> </w:t>
      </w:r>
      <w:r w:rsidRPr="00CA47B9">
        <w:t>and</w:t>
      </w:r>
      <w:r w:rsidR="004B41A2" w:rsidRPr="00CA47B9">
        <w:t xml:space="preserve"> </w:t>
      </w:r>
      <w:r w:rsidR="00D837A2">
        <w:t>F</w:t>
      </w:r>
      <w:r w:rsidRPr="00CA47B9">
        <w:t>ood</w:t>
      </w:r>
      <w:r w:rsidR="004B41A2" w:rsidRPr="00CA47B9">
        <w:t xml:space="preserve"> </w:t>
      </w:r>
      <w:r w:rsidR="00D837A2">
        <w:t>S</w:t>
      </w:r>
      <w:r w:rsidRPr="00CA47B9">
        <w:t>ervice</w:t>
      </w:r>
      <w:r w:rsidR="004B41A2" w:rsidRPr="00CA47B9">
        <w:t xml:space="preserve"> </w:t>
      </w:r>
      <w:r w:rsidRPr="00CA47B9">
        <w:t>and</w:t>
      </w:r>
      <w:r w:rsidR="004B41A2" w:rsidRPr="00CA47B9">
        <w:t xml:space="preserve"> </w:t>
      </w:r>
      <w:r w:rsidRPr="00CA47B9">
        <w:t>Arts,</w:t>
      </w:r>
      <w:r w:rsidR="004B41A2" w:rsidRPr="00CA47B9">
        <w:t xml:space="preserve"> </w:t>
      </w:r>
      <w:r w:rsidR="00D837A2">
        <w:t>E</w:t>
      </w:r>
      <w:r w:rsidRPr="00CA47B9">
        <w:t>ntertainment</w:t>
      </w:r>
      <w:r w:rsidR="004B41A2" w:rsidRPr="00CA47B9">
        <w:t xml:space="preserve"> </w:t>
      </w:r>
      <w:r w:rsidRPr="00CA47B9">
        <w:t>and</w:t>
      </w:r>
      <w:r w:rsidR="004B41A2" w:rsidRPr="00CA47B9">
        <w:t xml:space="preserve"> </w:t>
      </w:r>
      <w:r w:rsidR="00D837A2">
        <w:t>R</w:t>
      </w:r>
      <w:r w:rsidRPr="00CA47B9">
        <w:t>ecreation</w:t>
      </w:r>
      <w:r w:rsidR="004B41A2" w:rsidRPr="00CA47B9">
        <w:t xml:space="preserve"> </w:t>
      </w:r>
      <w:r w:rsidR="00D837A2">
        <w:t>S</w:t>
      </w:r>
      <w:r w:rsidRPr="00CA47B9">
        <w:t>ectors.</w:t>
      </w:r>
      <w:r w:rsidR="004B41A2" w:rsidRPr="00CA47B9">
        <w:t xml:space="preserve"> </w:t>
      </w:r>
      <w:r w:rsidRPr="00CA47B9">
        <w:t>In</w:t>
      </w:r>
      <w:r w:rsidR="004B41A2" w:rsidRPr="00CA47B9">
        <w:t xml:space="preserve"> </w:t>
      </w:r>
      <w:r w:rsidRPr="00CA47B9">
        <w:t>combination,</w:t>
      </w:r>
      <w:r w:rsidR="004B41A2" w:rsidRPr="00CA47B9">
        <w:t xml:space="preserve"> </w:t>
      </w:r>
      <w:r w:rsidRPr="00CA47B9">
        <w:t>these</w:t>
      </w:r>
      <w:r w:rsidR="004B41A2" w:rsidRPr="00CA47B9">
        <w:t xml:space="preserve"> </w:t>
      </w:r>
      <w:r w:rsidRPr="00CA47B9">
        <w:t>totalled</w:t>
      </w:r>
      <w:r w:rsidR="004B41A2" w:rsidRPr="00CA47B9">
        <w:t xml:space="preserve"> </w:t>
      </w:r>
      <w:r w:rsidRPr="00CA47B9">
        <w:t>just</w:t>
      </w:r>
      <w:r w:rsidR="004B41A2" w:rsidRPr="00CA47B9">
        <w:t xml:space="preserve"> </w:t>
      </w:r>
      <w:r w:rsidRPr="00CA47B9">
        <w:t>over</w:t>
      </w:r>
      <w:r w:rsidR="004B41A2" w:rsidRPr="00CA47B9">
        <w:t xml:space="preserve"> </w:t>
      </w:r>
      <w:r w:rsidRPr="00CA47B9">
        <w:t>10,000</w:t>
      </w:r>
      <w:r w:rsidR="004B41A2" w:rsidRPr="00CA47B9">
        <w:t xml:space="preserve"> </w:t>
      </w:r>
      <w:r w:rsidRPr="00CA47B9">
        <w:t>jobs</w:t>
      </w:r>
      <w:r w:rsidR="004B41A2" w:rsidRPr="00CA47B9">
        <w:t xml:space="preserve"> </w:t>
      </w:r>
      <w:r w:rsidRPr="00CA47B9">
        <w:t>in</w:t>
      </w:r>
      <w:r w:rsidR="004B41A2" w:rsidRPr="00CA47B9">
        <w:t xml:space="preserve"> </w:t>
      </w:r>
      <w:r w:rsidRPr="00CA47B9">
        <w:t>201</w:t>
      </w:r>
      <w:r w:rsidR="002C705F" w:rsidRPr="00CA47B9">
        <w:t>8</w:t>
      </w:r>
      <w:r w:rsidR="004B41A2" w:rsidRPr="00CA47B9">
        <w:t xml:space="preserve"> </w:t>
      </w:r>
      <w:r w:rsidRPr="00CA47B9">
        <w:t>and</w:t>
      </w:r>
      <w:r w:rsidR="004B41A2" w:rsidRPr="00CA47B9">
        <w:t xml:space="preserve"> </w:t>
      </w:r>
      <w:r w:rsidRPr="00CA47B9">
        <w:t>have</w:t>
      </w:r>
      <w:r w:rsidR="004B41A2" w:rsidRPr="00CA47B9">
        <w:t xml:space="preserve"> </w:t>
      </w:r>
      <w:r w:rsidRPr="00CA47B9">
        <w:t>seen</w:t>
      </w:r>
      <w:r w:rsidR="004B41A2" w:rsidRPr="00CA47B9">
        <w:t xml:space="preserve"> </w:t>
      </w:r>
      <w:r w:rsidRPr="00CA47B9">
        <w:t>a</w:t>
      </w:r>
      <w:r w:rsidR="004B41A2" w:rsidRPr="00CA47B9">
        <w:t xml:space="preserve"> </w:t>
      </w:r>
      <w:r w:rsidRPr="00CA47B9">
        <w:t>growth</w:t>
      </w:r>
      <w:r w:rsidR="004B41A2" w:rsidRPr="00CA47B9">
        <w:t xml:space="preserve"> </w:t>
      </w:r>
      <w:r w:rsidRPr="00CA47B9">
        <w:t>of</w:t>
      </w:r>
      <w:r w:rsidR="004B41A2" w:rsidRPr="00CA47B9">
        <w:t xml:space="preserve"> </w:t>
      </w:r>
      <w:r w:rsidRPr="00CA47B9">
        <w:t>just</w:t>
      </w:r>
      <w:r w:rsidR="004B41A2" w:rsidRPr="00CA47B9">
        <w:t xml:space="preserve"> </w:t>
      </w:r>
      <w:r w:rsidRPr="00CA47B9">
        <w:t>under</w:t>
      </w:r>
      <w:r w:rsidR="004B41A2" w:rsidRPr="00CA47B9">
        <w:t xml:space="preserve"> </w:t>
      </w:r>
      <w:r w:rsidRPr="00CA47B9">
        <w:t>4,000</w:t>
      </w:r>
      <w:r w:rsidR="004B41A2" w:rsidRPr="00CA47B9">
        <w:t xml:space="preserve"> </w:t>
      </w:r>
      <w:r w:rsidRPr="00CA47B9">
        <w:t>jobs</w:t>
      </w:r>
      <w:r w:rsidR="004B41A2" w:rsidRPr="00CA47B9">
        <w:t xml:space="preserve"> </w:t>
      </w:r>
      <w:r w:rsidRPr="00CA47B9">
        <w:t>since</w:t>
      </w:r>
      <w:r w:rsidR="004B41A2" w:rsidRPr="00CA47B9">
        <w:t xml:space="preserve"> </w:t>
      </w:r>
      <w:r w:rsidRPr="00CA47B9">
        <w:t>1991.</w:t>
      </w:r>
    </w:p>
    <w:p w:rsidR="00766669" w:rsidRDefault="00766669" w:rsidP="00BD6C75">
      <w:pPr>
        <w:pStyle w:val="Subheadingbold"/>
        <w:ind w:left="567" w:firstLine="0"/>
        <w:sectPr w:rsidR="00766669" w:rsidSect="008B43C6">
          <w:pgSz w:w="11900" w:h="16840"/>
          <w:pgMar w:top="1668" w:right="851" w:bottom="1418" w:left="1418" w:header="709" w:footer="709" w:gutter="0"/>
          <w:cols w:space="720"/>
          <w:formProt w:val="0"/>
        </w:sectPr>
      </w:pPr>
    </w:p>
    <w:p w:rsidR="00B0298E" w:rsidRPr="00CA47B9" w:rsidRDefault="00B0298E" w:rsidP="00766669">
      <w:pPr>
        <w:pStyle w:val="Subheadingbold"/>
        <w:spacing w:before="0"/>
        <w:ind w:left="567" w:firstLine="0"/>
      </w:pPr>
      <w:r w:rsidRPr="00CA47B9">
        <w:lastRenderedPageBreak/>
        <w:t>Location</w:t>
      </w:r>
      <w:r w:rsidR="004B41A2" w:rsidRPr="00CA47B9">
        <w:t xml:space="preserve"> </w:t>
      </w:r>
      <w:r w:rsidRPr="00CA47B9">
        <w:t>Quotient</w:t>
      </w:r>
    </w:p>
    <w:p w:rsidR="002C72FE" w:rsidRDefault="00B0298E" w:rsidP="00020CFC">
      <w:pPr>
        <w:pStyle w:val="11Bodytext"/>
        <w:tabs>
          <w:tab w:val="clear" w:pos="2212"/>
          <w:tab w:val="num" w:pos="567"/>
        </w:tabs>
        <w:ind w:left="567" w:hanging="567"/>
      </w:pPr>
      <w:r w:rsidRPr="00CA47B9">
        <w:t>Figure</w:t>
      </w:r>
      <w:r w:rsidR="004B41A2" w:rsidRPr="00CA47B9">
        <w:t xml:space="preserve"> </w:t>
      </w:r>
      <w:r w:rsidR="00152484">
        <w:t>24</w:t>
      </w:r>
      <w:r w:rsidR="004B41A2" w:rsidRPr="00CA47B9">
        <w:t xml:space="preserve"> </w:t>
      </w:r>
      <w:r w:rsidRPr="00CA47B9">
        <w:t>shows</w:t>
      </w:r>
      <w:r w:rsidR="004B41A2" w:rsidRPr="00CA47B9">
        <w:t xml:space="preserve"> </w:t>
      </w:r>
      <w:r w:rsidRPr="00CA47B9">
        <w:t>the</w:t>
      </w:r>
      <w:r w:rsidR="004B41A2" w:rsidRPr="00CA47B9">
        <w:t xml:space="preserve"> </w:t>
      </w:r>
      <w:r w:rsidRPr="00CA47B9">
        <w:t>location</w:t>
      </w:r>
      <w:r w:rsidR="004B41A2" w:rsidRPr="00CA47B9">
        <w:t xml:space="preserve"> </w:t>
      </w:r>
      <w:r w:rsidRPr="00CA47B9">
        <w:t>quotient</w:t>
      </w:r>
      <w:r w:rsidR="004B41A2" w:rsidRPr="00CA47B9">
        <w:t xml:space="preserve"> </w:t>
      </w:r>
      <w:r w:rsidRPr="00CA47B9">
        <w:t>analysis</w:t>
      </w:r>
      <w:r w:rsidR="004B41A2" w:rsidRPr="00CA47B9">
        <w:t xml:space="preserve"> </w:t>
      </w:r>
      <w:r w:rsidRPr="00CA47B9">
        <w:t>of</w:t>
      </w:r>
      <w:r w:rsidR="004B41A2" w:rsidRPr="00CA47B9">
        <w:t xml:space="preserve"> </w:t>
      </w:r>
      <w:r w:rsidRPr="00CA47B9">
        <w:t>Chichester</w:t>
      </w:r>
      <w:r w:rsidR="004B41A2" w:rsidRPr="00CA47B9">
        <w:t xml:space="preserve"> </w:t>
      </w:r>
      <w:r w:rsidR="00B35E9A" w:rsidRPr="00CA47B9">
        <w:t>District</w:t>
      </w:r>
      <w:r w:rsidRPr="00CA47B9">
        <w:t>’s</w:t>
      </w:r>
      <w:r w:rsidR="004B41A2" w:rsidRPr="00CA47B9">
        <w:t xml:space="preserve"> </w:t>
      </w:r>
      <w:r w:rsidRPr="00CA47B9">
        <w:t>employment</w:t>
      </w:r>
      <w:r w:rsidR="004B41A2" w:rsidRPr="00CA47B9">
        <w:t xml:space="preserve"> </w:t>
      </w:r>
      <w:r w:rsidRPr="00CA47B9">
        <w:t>structure</w:t>
      </w:r>
      <w:r w:rsidR="004B41A2" w:rsidRPr="00CA47B9">
        <w:t xml:space="preserve"> </w:t>
      </w:r>
      <w:r w:rsidRPr="00CA47B9">
        <w:t>compared</w:t>
      </w:r>
      <w:r w:rsidR="004B41A2" w:rsidRPr="00CA47B9">
        <w:t xml:space="preserve"> </w:t>
      </w:r>
      <w:r w:rsidRPr="00CA47B9">
        <w:t>to</w:t>
      </w:r>
      <w:r w:rsidR="004B41A2" w:rsidRPr="00CA47B9">
        <w:t xml:space="preserve"> </w:t>
      </w:r>
      <w:r w:rsidRPr="00CA47B9">
        <w:t>the</w:t>
      </w:r>
      <w:r w:rsidR="004B41A2" w:rsidRPr="00CA47B9">
        <w:t xml:space="preserve"> </w:t>
      </w:r>
      <w:r w:rsidRPr="00CA47B9">
        <w:t>structures</w:t>
      </w:r>
      <w:r w:rsidR="004B41A2" w:rsidRPr="00CA47B9">
        <w:t xml:space="preserve"> </w:t>
      </w:r>
      <w:r w:rsidRPr="00CA47B9">
        <w:t>at</w:t>
      </w:r>
      <w:r w:rsidR="004B41A2" w:rsidRPr="00CA47B9">
        <w:t xml:space="preserve"> </w:t>
      </w:r>
      <w:r w:rsidRPr="00CA47B9">
        <w:t>regional</w:t>
      </w:r>
      <w:r w:rsidR="004B41A2" w:rsidRPr="00CA47B9">
        <w:t xml:space="preserve"> </w:t>
      </w:r>
      <w:r w:rsidRPr="00CA47B9">
        <w:t>and</w:t>
      </w:r>
      <w:r w:rsidR="004B41A2" w:rsidRPr="00CA47B9">
        <w:t xml:space="preserve"> </w:t>
      </w:r>
      <w:r w:rsidRPr="00CA47B9">
        <w:t>national</w:t>
      </w:r>
      <w:r w:rsidR="004B41A2" w:rsidRPr="00CA47B9">
        <w:t xml:space="preserve"> </w:t>
      </w:r>
      <w:r w:rsidRPr="00CA47B9">
        <w:t>levels.</w:t>
      </w:r>
      <w:r w:rsidR="004B41A2" w:rsidRPr="00CA47B9">
        <w:t xml:space="preserve"> </w:t>
      </w:r>
      <w:r w:rsidRPr="00CA47B9">
        <w:t>In</w:t>
      </w:r>
      <w:r w:rsidR="004B41A2" w:rsidRPr="00CA47B9">
        <w:t xml:space="preserve"> </w:t>
      </w:r>
      <w:r w:rsidRPr="00CA47B9">
        <w:t>relative</w:t>
      </w:r>
      <w:r w:rsidR="004B41A2" w:rsidRPr="00CA47B9">
        <w:t xml:space="preserve"> </w:t>
      </w:r>
      <w:r w:rsidRPr="00CA47B9">
        <w:t>terms,</w:t>
      </w:r>
      <w:r w:rsidR="004B41A2" w:rsidRPr="00CA47B9">
        <w:t xml:space="preserve"> </w:t>
      </w:r>
      <w:r w:rsidRPr="00CA47B9">
        <w:t>a</w:t>
      </w:r>
      <w:r w:rsidR="004B41A2" w:rsidRPr="00CA47B9">
        <w:t xml:space="preserve"> </w:t>
      </w:r>
      <w:r w:rsidRPr="00CA47B9">
        <w:t>key</w:t>
      </w:r>
      <w:r w:rsidR="004B41A2" w:rsidRPr="00CA47B9">
        <w:t xml:space="preserve"> </w:t>
      </w:r>
      <w:r w:rsidRPr="00CA47B9">
        <w:t>sector</w:t>
      </w:r>
      <w:r w:rsidR="004B41A2" w:rsidRPr="00CA47B9">
        <w:t xml:space="preserve"> </w:t>
      </w:r>
      <w:r w:rsidRPr="00CA47B9">
        <w:t>strength</w:t>
      </w:r>
      <w:r w:rsidR="004B41A2" w:rsidRPr="00CA47B9">
        <w:t xml:space="preserve"> </w:t>
      </w:r>
      <w:r w:rsidRPr="00CA47B9">
        <w:t>in</w:t>
      </w:r>
      <w:r w:rsidR="004B41A2" w:rsidRPr="00CA47B9">
        <w:t xml:space="preserve"> </w:t>
      </w:r>
      <w:r w:rsidRPr="00CA47B9">
        <w:t>Chichester</w:t>
      </w:r>
      <w:r w:rsidR="004B41A2" w:rsidRPr="00CA47B9">
        <w:t xml:space="preserve"> </w:t>
      </w:r>
      <w:r w:rsidRPr="00CA47B9">
        <w:t>is</w:t>
      </w:r>
      <w:r w:rsidR="004B41A2" w:rsidRPr="00CA47B9">
        <w:t xml:space="preserve"> </w:t>
      </w:r>
      <w:r w:rsidR="00DF220E">
        <w:t xml:space="preserve">in </w:t>
      </w:r>
      <w:r w:rsidRPr="00CA47B9">
        <w:t>Agriculture,</w:t>
      </w:r>
      <w:r w:rsidR="004B41A2" w:rsidRPr="00CA47B9">
        <w:t xml:space="preserve"> </w:t>
      </w:r>
      <w:r w:rsidRPr="00CA47B9">
        <w:t>forestry</w:t>
      </w:r>
      <w:r w:rsidR="004B41A2" w:rsidRPr="00CA47B9">
        <w:t xml:space="preserve"> </w:t>
      </w:r>
      <w:r w:rsidRPr="00CA47B9">
        <w:t>&amp;</w:t>
      </w:r>
      <w:r w:rsidR="004B41A2" w:rsidRPr="00CA47B9">
        <w:t xml:space="preserve"> </w:t>
      </w:r>
      <w:r w:rsidRPr="00CA47B9">
        <w:t>fishing</w:t>
      </w:r>
      <w:r w:rsidR="004B41A2" w:rsidRPr="00CA47B9">
        <w:t xml:space="preserve"> </w:t>
      </w:r>
      <w:r w:rsidRPr="00CA47B9">
        <w:t>sector,</w:t>
      </w:r>
      <w:r w:rsidR="004B41A2" w:rsidRPr="00CA47B9">
        <w:t xml:space="preserve"> </w:t>
      </w:r>
      <w:r w:rsidR="00DF220E">
        <w:t>and to a lesser extent in A</w:t>
      </w:r>
      <w:r w:rsidRPr="00CA47B9">
        <w:t>ccommodation</w:t>
      </w:r>
      <w:r w:rsidR="004B41A2" w:rsidRPr="00CA47B9">
        <w:t xml:space="preserve"> </w:t>
      </w:r>
      <w:r w:rsidRPr="00CA47B9">
        <w:t>and</w:t>
      </w:r>
      <w:r w:rsidR="004B41A2" w:rsidRPr="00CA47B9">
        <w:t xml:space="preserve"> </w:t>
      </w:r>
      <w:r w:rsidRPr="00CA47B9">
        <w:t>food</w:t>
      </w:r>
      <w:r w:rsidR="004B41A2" w:rsidRPr="00CA47B9">
        <w:t xml:space="preserve"> </w:t>
      </w:r>
      <w:r w:rsidRPr="00CA47B9">
        <w:t>service</w:t>
      </w:r>
      <w:r w:rsidR="00DF220E">
        <w:t>s</w:t>
      </w:r>
      <w:r w:rsidR="004B41A2" w:rsidRPr="00CA47B9">
        <w:t xml:space="preserve"> </w:t>
      </w:r>
      <w:r w:rsidRPr="00CA47B9">
        <w:t>and</w:t>
      </w:r>
      <w:r w:rsidR="004B41A2" w:rsidRPr="00CA47B9">
        <w:t xml:space="preserve"> </w:t>
      </w:r>
      <w:r w:rsidRPr="00CA47B9">
        <w:t>Real</w:t>
      </w:r>
      <w:r w:rsidR="004B41A2" w:rsidRPr="00CA47B9">
        <w:t xml:space="preserve"> </w:t>
      </w:r>
      <w:r w:rsidRPr="00CA47B9">
        <w:t>Estate</w:t>
      </w:r>
      <w:r w:rsidR="004B41A2" w:rsidRPr="00CA47B9">
        <w:t xml:space="preserve"> </w:t>
      </w:r>
      <w:r w:rsidRPr="00CA47B9">
        <w:t>activities</w:t>
      </w:r>
      <w:r w:rsidR="00DF220E">
        <w:t>,</w:t>
      </w:r>
      <w:r w:rsidR="004B41A2" w:rsidRPr="00CA47B9">
        <w:t xml:space="preserve"> </w:t>
      </w:r>
      <w:r w:rsidRPr="00CA47B9">
        <w:t>all</w:t>
      </w:r>
      <w:r w:rsidR="004B41A2" w:rsidRPr="00CA47B9">
        <w:t xml:space="preserve"> </w:t>
      </w:r>
      <w:r w:rsidRPr="00CA47B9">
        <w:t>of</w:t>
      </w:r>
      <w:r w:rsidR="004B41A2" w:rsidRPr="00CA47B9">
        <w:t xml:space="preserve"> </w:t>
      </w:r>
      <w:r w:rsidRPr="00CA47B9">
        <w:t>which</w:t>
      </w:r>
      <w:r w:rsidR="004B41A2" w:rsidRPr="00CA47B9">
        <w:t xml:space="preserve"> </w:t>
      </w:r>
      <w:r w:rsidRPr="00CA47B9">
        <w:t>are</w:t>
      </w:r>
      <w:r w:rsidR="004B41A2" w:rsidRPr="00CA47B9">
        <w:t xml:space="preserve"> </w:t>
      </w:r>
      <w:r w:rsidRPr="00CA47B9">
        <w:t>stronger</w:t>
      </w:r>
      <w:r w:rsidR="004B41A2" w:rsidRPr="00CA47B9">
        <w:t xml:space="preserve"> </w:t>
      </w:r>
      <w:r w:rsidRPr="00CA47B9">
        <w:t>than</w:t>
      </w:r>
      <w:r w:rsidR="004B41A2" w:rsidRPr="00CA47B9">
        <w:t xml:space="preserve"> </w:t>
      </w:r>
      <w:r w:rsidRPr="00CA47B9">
        <w:t>the</w:t>
      </w:r>
      <w:r w:rsidR="004B41A2" w:rsidRPr="00CA47B9">
        <w:t xml:space="preserve"> </w:t>
      </w:r>
      <w:r w:rsidRPr="00CA47B9">
        <w:t>national</w:t>
      </w:r>
      <w:r w:rsidR="004B41A2" w:rsidRPr="00CA47B9">
        <w:t xml:space="preserve"> </w:t>
      </w:r>
      <w:r w:rsidRPr="00CA47B9">
        <w:t>and</w:t>
      </w:r>
      <w:r w:rsidR="004B41A2" w:rsidRPr="00CA47B9">
        <w:t xml:space="preserve"> </w:t>
      </w:r>
      <w:r w:rsidRPr="00CA47B9">
        <w:t>regional</w:t>
      </w:r>
      <w:r w:rsidR="004B41A2" w:rsidRPr="00CA47B9">
        <w:t xml:space="preserve"> </w:t>
      </w:r>
      <w:r w:rsidRPr="00CA47B9">
        <w:t>trends.</w:t>
      </w:r>
      <w:r w:rsidR="003075A4">
        <w:t xml:space="preserve"> </w:t>
      </w:r>
    </w:p>
    <w:p w:rsidR="00B0298E" w:rsidRPr="00CA47B9" w:rsidRDefault="00B0298E" w:rsidP="00FC604D">
      <w:pPr>
        <w:pStyle w:val="FigureHeading"/>
        <w:tabs>
          <w:tab w:val="clear" w:pos="794"/>
          <w:tab w:val="clear" w:pos="1843"/>
          <w:tab w:val="left" w:pos="0"/>
        </w:tabs>
        <w:ind w:left="0" w:firstLine="0"/>
      </w:pPr>
      <w:r w:rsidRPr="00CA47B9">
        <w:t>Employment</w:t>
      </w:r>
      <w:r w:rsidR="004B41A2" w:rsidRPr="00CA47B9">
        <w:t xml:space="preserve"> </w:t>
      </w:r>
      <w:r w:rsidRPr="00CA47B9">
        <w:t>Location</w:t>
      </w:r>
      <w:r w:rsidR="004B41A2" w:rsidRPr="00CA47B9">
        <w:t xml:space="preserve"> </w:t>
      </w:r>
      <w:r w:rsidRPr="00CA47B9">
        <w:t>Quotient</w:t>
      </w:r>
      <w:r w:rsidR="004B41A2" w:rsidRPr="00CA47B9">
        <w:t xml:space="preserve"> </w:t>
      </w:r>
      <w:r w:rsidRPr="00CA47B9">
        <w:t>(201</w:t>
      </w:r>
      <w:r w:rsidR="00082BFF" w:rsidRPr="00CA47B9">
        <w:t>8</w:t>
      </w:r>
      <w:r w:rsidRPr="00CA47B9">
        <w:t>)</w:t>
      </w:r>
    </w:p>
    <w:p w:rsidR="00214FCE" w:rsidRPr="00CA47B9" w:rsidRDefault="00E0078B" w:rsidP="00163B4B">
      <w:pPr>
        <w:pStyle w:val="11Bodytext"/>
        <w:keepNext/>
        <w:numPr>
          <w:ilvl w:val="0"/>
          <w:numId w:val="0"/>
        </w:numPr>
        <w:spacing w:before="0" w:after="0" w:line="240" w:lineRule="auto"/>
      </w:pPr>
      <w:r w:rsidRPr="00CA47B9">
        <w:rPr>
          <w:noProof/>
          <w:lang w:eastAsia="en-GB"/>
        </w:rPr>
        <w:drawing>
          <wp:inline distT="0" distB="0" distL="0" distR="0" wp14:anchorId="6AF6982B" wp14:editId="11388E07">
            <wp:extent cx="6192000" cy="4885200"/>
            <wp:effectExtent l="0" t="0" r="18415" b="10795"/>
            <wp:docPr id="63" name="Chart 63" descr="Bar chart comparing the location quotient of various sectors vs the UK and South East" title="Figure 24: Employment Location Quotient 20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389940-F9CD-48BD-83D9-E50A9B6CB6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0298E" w:rsidRPr="00CA47B9" w:rsidRDefault="00B0298E" w:rsidP="00FC604D">
      <w:pPr>
        <w:pStyle w:val="11Bodytext"/>
        <w:numPr>
          <w:ilvl w:val="0"/>
          <w:numId w:val="0"/>
        </w:numPr>
        <w:spacing w:before="0" w:after="0" w:line="240" w:lineRule="auto"/>
        <w:rPr>
          <w:i/>
        </w:rPr>
      </w:pPr>
      <w:r w:rsidRPr="00CA47B9">
        <w:t>Source:</w:t>
      </w:r>
      <w:r w:rsidR="004B41A2" w:rsidRPr="00CA47B9">
        <w:t xml:space="preserve"> </w:t>
      </w:r>
      <w:r w:rsidR="00F6342C" w:rsidRPr="00CA47B9">
        <w:t>Business Register and Employment Survey (2018)</w:t>
      </w:r>
    </w:p>
    <w:p w:rsidR="002C72FE" w:rsidRPr="00CA47B9" w:rsidRDefault="002C72FE" w:rsidP="00020CFC">
      <w:pPr>
        <w:pStyle w:val="11Bodytext"/>
        <w:tabs>
          <w:tab w:val="clear" w:pos="2212"/>
          <w:tab w:val="num" w:pos="567"/>
        </w:tabs>
        <w:ind w:left="567" w:hanging="567"/>
      </w:pPr>
      <w:r>
        <w:t>Horticulture, which is broadly included under the</w:t>
      </w:r>
      <w:r w:rsidR="00855CA6">
        <w:t xml:space="preserve"> </w:t>
      </w:r>
      <w:r w:rsidRPr="00CA47B9">
        <w:t>Agriculture, forestry &amp; fishing sector</w:t>
      </w:r>
      <w:r>
        <w:t>, can be approximated under the two-digit sector of</w:t>
      </w:r>
      <w:r w:rsidRPr="00CA47B9">
        <w:t xml:space="preserve"> Food and Crop Production</w:t>
      </w:r>
      <w:r>
        <w:t xml:space="preserve">. Further analysis of </w:t>
      </w:r>
      <w:r w:rsidR="00EF3749">
        <w:t xml:space="preserve">horticultural needs </w:t>
      </w:r>
      <w:r>
        <w:t>is provided under Chapter 11.</w:t>
      </w:r>
    </w:p>
    <w:p w:rsidR="002C72FE" w:rsidRPr="00CA47B9" w:rsidRDefault="002C72FE" w:rsidP="00020CFC">
      <w:pPr>
        <w:pStyle w:val="11Bodytext"/>
        <w:tabs>
          <w:tab w:val="clear" w:pos="2212"/>
          <w:tab w:val="num" w:pos="567"/>
        </w:tabs>
        <w:ind w:left="567" w:hanging="567"/>
      </w:pPr>
      <w:r w:rsidRPr="00CA47B9">
        <w:lastRenderedPageBreak/>
        <w:t>Against the regional representation Chichester District also has a strong representation in the Arts, Entertainment and Recreation; while against the national representation, Chichester is strong in the Public Administration and Defence sector.</w:t>
      </w:r>
    </w:p>
    <w:p w:rsidR="00C13FB7" w:rsidRPr="00CA47B9" w:rsidRDefault="00B0298E" w:rsidP="00020CFC">
      <w:pPr>
        <w:pStyle w:val="11Bodytext"/>
        <w:tabs>
          <w:tab w:val="clear" w:pos="2212"/>
          <w:tab w:val="num" w:pos="567"/>
        </w:tabs>
        <w:ind w:left="567" w:hanging="567"/>
      </w:pPr>
      <w:r w:rsidRPr="00CA47B9">
        <w:t>There</w:t>
      </w:r>
      <w:r w:rsidR="004B41A2" w:rsidRPr="00CA47B9">
        <w:t xml:space="preserve"> </w:t>
      </w:r>
      <w:r w:rsidRPr="00CA47B9">
        <w:t>are</w:t>
      </w:r>
      <w:r w:rsidR="004B41A2" w:rsidRPr="00CA47B9">
        <w:t xml:space="preserve"> </w:t>
      </w:r>
      <w:r w:rsidR="00855CA6">
        <w:t>some</w:t>
      </w:r>
      <w:r w:rsidR="004B41A2" w:rsidRPr="00CA47B9">
        <w:t xml:space="preserve"> </w:t>
      </w:r>
      <w:r w:rsidRPr="00CA47B9">
        <w:t>sectors</w:t>
      </w:r>
      <w:r w:rsidR="004B41A2" w:rsidRPr="00CA47B9">
        <w:t xml:space="preserve"> </w:t>
      </w:r>
      <w:r w:rsidRPr="00CA47B9">
        <w:t>in</w:t>
      </w:r>
      <w:r w:rsidR="004B41A2" w:rsidRPr="00CA47B9">
        <w:t xml:space="preserve"> </w:t>
      </w:r>
      <w:r w:rsidRPr="00CA47B9">
        <w:t>the</w:t>
      </w:r>
      <w:r w:rsidR="004B41A2" w:rsidRPr="00CA47B9">
        <w:t xml:space="preserve"> </w:t>
      </w:r>
      <w:r w:rsidRPr="00CA47B9">
        <w:t>district</w:t>
      </w:r>
      <w:r w:rsidR="004B41A2" w:rsidRPr="00CA47B9">
        <w:t xml:space="preserve"> </w:t>
      </w:r>
      <w:r w:rsidRPr="00CA47B9">
        <w:t>which</w:t>
      </w:r>
      <w:r w:rsidR="004B41A2" w:rsidRPr="00CA47B9">
        <w:t xml:space="preserve"> </w:t>
      </w:r>
      <w:r w:rsidRPr="00CA47B9">
        <w:t>are</w:t>
      </w:r>
      <w:r w:rsidR="004B41A2" w:rsidRPr="00CA47B9">
        <w:t xml:space="preserve"> </w:t>
      </w:r>
      <w:r w:rsidRPr="00CA47B9">
        <w:t>relatively</w:t>
      </w:r>
      <w:r w:rsidR="004B41A2" w:rsidRPr="00CA47B9">
        <w:t xml:space="preserve"> </w:t>
      </w:r>
      <w:r w:rsidRPr="00CA47B9">
        <w:t>weak</w:t>
      </w:r>
      <w:r w:rsidR="004B41A2" w:rsidRPr="00CA47B9">
        <w:t xml:space="preserve"> </w:t>
      </w:r>
      <w:r w:rsidRPr="00CA47B9">
        <w:t>in</w:t>
      </w:r>
      <w:r w:rsidR="004B41A2" w:rsidRPr="00CA47B9">
        <w:t xml:space="preserve"> </w:t>
      </w:r>
      <w:r w:rsidRPr="00CA47B9">
        <w:t>comparison</w:t>
      </w:r>
      <w:r w:rsidR="004B41A2" w:rsidRPr="00CA47B9">
        <w:t xml:space="preserve"> </w:t>
      </w:r>
      <w:r w:rsidRPr="00CA47B9">
        <w:t>to</w:t>
      </w:r>
      <w:r w:rsidR="004B41A2" w:rsidRPr="00CA47B9">
        <w:t xml:space="preserve"> </w:t>
      </w:r>
      <w:r w:rsidRPr="00CA47B9">
        <w:t>the</w:t>
      </w:r>
      <w:r w:rsidR="004B41A2" w:rsidRPr="00CA47B9">
        <w:t xml:space="preserve"> </w:t>
      </w:r>
      <w:r w:rsidRPr="00CA47B9">
        <w:t>regional</w:t>
      </w:r>
      <w:r w:rsidR="004B41A2" w:rsidRPr="00CA47B9">
        <w:t xml:space="preserve"> </w:t>
      </w:r>
      <w:r w:rsidRPr="00CA47B9">
        <w:t>and</w:t>
      </w:r>
      <w:r w:rsidR="004B41A2" w:rsidRPr="00CA47B9">
        <w:t xml:space="preserve"> </w:t>
      </w:r>
      <w:r w:rsidRPr="00CA47B9">
        <w:t>national</w:t>
      </w:r>
      <w:r w:rsidR="004B41A2" w:rsidRPr="00CA47B9">
        <w:t xml:space="preserve"> </w:t>
      </w:r>
      <w:r w:rsidRPr="00CA47B9">
        <w:t>representation.</w:t>
      </w:r>
      <w:r w:rsidR="004B41A2" w:rsidRPr="00CA47B9">
        <w:t xml:space="preserve"> </w:t>
      </w:r>
      <w:r w:rsidRPr="00CA47B9">
        <w:t>Of</w:t>
      </w:r>
      <w:r w:rsidR="004B41A2" w:rsidRPr="00CA47B9">
        <w:t xml:space="preserve"> </w:t>
      </w:r>
      <w:r w:rsidRPr="00CA47B9">
        <w:t>particular</w:t>
      </w:r>
      <w:r w:rsidR="004B41A2" w:rsidRPr="00CA47B9">
        <w:t xml:space="preserve"> </w:t>
      </w:r>
      <w:r w:rsidRPr="00CA47B9">
        <w:t>note</w:t>
      </w:r>
      <w:r w:rsidR="004B41A2" w:rsidRPr="00CA47B9">
        <w:t xml:space="preserve"> </w:t>
      </w:r>
      <w:r w:rsidRPr="00CA47B9">
        <w:t>are</w:t>
      </w:r>
      <w:r w:rsidR="00462CD8" w:rsidRPr="00CA47B9">
        <w:t xml:space="preserve"> Transportation and Storage along with Mining and Quarrying along with Information and Communication.</w:t>
      </w:r>
    </w:p>
    <w:p w:rsidR="00B0298E" w:rsidRPr="00CA47B9" w:rsidRDefault="00B0298E" w:rsidP="00020CFC">
      <w:pPr>
        <w:pStyle w:val="11Bodytext"/>
        <w:tabs>
          <w:tab w:val="clear" w:pos="2212"/>
          <w:tab w:val="num" w:pos="567"/>
        </w:tabs>
        <w:ind w:left="567" w:hanging="567"/>
      </w:pPr>
      <w:r w:rsidRPr="00CA47B9">
        <w:t>Within</w:t>
      </w:r>
      <w:r w:rsidR="004B41A2" w:rsidRPr="00CA47B9">
        <w:t xml:space="preserve"> </w:t>
      </w:r>
      <w:r w:rsidRPr="00CA47B9">
        <w:t>the</w:t>
      </w:r>
      <w:r w:rsidR="004B41A2" w:rsidRPr="00CA47B9">
        <w:t xml:space="preserve"> </w:t>
      </w:r>
      <w:r w:rsidRPr="00CA47B9">
        <w:t>manufacturing</w:t>
      </w:r>
      <w:r w:rsidR="004B41A2" w:rsidRPr="00CA47B9">
        <w:t xml:space="preserve"> </w:t>
      </w:r>
      <w:r w:rsidRPr="00CA47B9">
        <w:t>sector</w:t>
      </w:r>
      <w:r w:rsidR="00855CA6">
        <w:t>,</w:t>
      </w:r>
      <w:r w:rsidR="004B41A2" w:rsidRPr="00CA47B9">
        <w:t xml:space="preserve"> </w:t>
      </w:r>
      <w:r w:rsidRPr="00CA47B9">
        <w:t>we</w:t>
      </w:r>
      <w:r w:rsidR="004B41A2" w:rsidRPr="00CA47B9">
        <w:t xml:space="preserve"> </w:t>
      </w:r>
      <w:r w:rsidRPr="00CA47B9">
        <w:t>do</w:t>
      </w:r>
      <w:r w:rsidR="004B41A2" w:rsidRPr="00CA47B9">
        <w:t xml:space="preserve"> </w:t>
      </w:r>
      <w:r w:rsidRPr="00CA47B9">
        <w:t>see</w:t>
      </w:r>
      <w:r w:rsidR="004B41A2" w:rsidRPr="00CA47B9">
        <w:t xml:space="preserve"> </w:t>
      </w:r>
      <w:r w:rsidRPr="00CA47B9">
        <w:t>some</w:t>
      </w:r>
      <w:r w:rsidR="004B41A2" w:rsidRPr="00CA47B9">
        <w:t xml:space="preserve"> </w:t>
      </w:r>
      <w:r w:rsidRPr="00CA47B9">
        <w:t>notable</w:t>
      </w:r>
      <w:r w:rsidR="004B41A2" w:rsidRPr="00CA47B9">
        <w:t xml:space="preserve"> </w:t>
      </w:r>
      <w:r w:rsidRPr="00CA47B9">
        <w:t>variation</w:t>
      </w:r>
      <w:r w:rsidR="004B41A2" w:rsidRPr="00CA47B9">
        <w:t xml:space="preserve"> </w:t>
      </w:r>
      <w:r w:rsidRPr="00CA47B9">
        <w:t>within</w:t>
      </w:r>
      <w:r w:rsidR="004B41A2" w:rsidRPr="00CA47B9">
        <w:t xml:space="preserve"> </w:t>
      </w:r>
      <w:r w:rsidRPr="00CA47B9">
        <w:t>the</w:t>
      </w:r>
      <w:r w:rsidR="004B41A2" w:rsidRPr="00CA47B9">
        <w:t xml:space="preserve"> </w:t>
      </w:r>
      <w:r w:rsidR="00855CA6" w:rsidRPr="00CA47B9">
        <w:t>sub</w:t>
      </w:r>
      <w:r w:rsidR="00855CA6">
        <w:t>-</w:t>
      </w:r>
      <w:r w:rsidRPr="00CA47B9">
        <w:t>sectors.</w:t>
      </w:r>
      <w:r w:rsidR="004B41A2" w:rsidRPr="00CA47B9">
        <w:t xml:space="preserve"> </w:t>
      </w:r>
      <w:r w:rsidRPr="00CA47B9">
        <w:t>For</w:t>
      </w:r>
      <w:r w:rsidR="004B41A2" w:rsidRPr="00CA47B9">
        <w:t xml:space="preserve"> </w:t>
      </w:r>
      <w:r w:rsidRPr="00CA47B9">
        <w:t>example</w:t>
      </w:r>
      <w:r w:rsidR="00327636" w:rsidRPr="00CA47B9">
        <w:t>,</w:t>
      </w:r>
      <w:r w:rsidR="004B41A2" w:rsidRPr="00CA47B9">
        <w:t xml:space="preserve"> </w:t>
      </w:r>
      <w:r w:rsidRPr="00CA47B9">
        <w:t>there</w:t>
      </w:r>
      <w:r w:rsidR="004B41A2" w:rsidRPr="00CA47B9">
        <w:t xml:space="preserve"> </w:t>
      </w:r>
      <w:r w:rsidRPr="00CA47B9">
        <w:t>is</w:t>
      </w:r>
      <w:r w:rsidR="004B41A2" w:rsidRPr="00CA47B9">
        <w:t xml:space="preserve"> </w:t>
      </w:r>
      <w:r w:rsidRPr="00CA47B9">
        <w:t>significant</w:t>
      </w:r>
      <w:r w:rsidR="004B41A2" w:rsidRPr="00CA47B9">
        <w:t xml:space="preserve"> </w:t>
      </w:r>
      <w:r w:rsidRPr="00CA47B9">
        <w:t>strength</w:t>
      </w:r>
      <w:r w:rsidR="004B41A2" w:rsidRPr="00CA47B9">
        <w:t xml:space="preserve"> </w:t>
      </w:r>
      <w:r w:rsidRPr="00CA47B9">
        <w:t>in</w:t>
      </w:r>
      <w:r w:rsidR="004B41A2" w:rsidRPr="00CA47B9">
        <w:t xml:space="preserve"> </w:t>
      </w:r>
      <w:r w:rsidRPr="00CA47B9">
        <w:t>the</w:t>
      </w:r>
      <w:r w:rsidR="004B41A2" w:rsidRPr="00CA47B9">
        <w:t xml:space="preserve"> </w:t>
      </w:r>
      <w:r w:rsidRPr="00CA47B9">
        <w:t>manufacturing</w:t>
      </w:r>
      <w:r w:rsidR="004B41A2" w:rsidRPr="00CA47B9">
        <w:t xml:space="preserve"> </w:t>
      </w:r>
      <w:r w:rsidRPr="00CA47B9">
        <w:t>of</w:t>
      </w:r>
      <w:r w:rsidR="004B41A2" w:rsidRPr="00CA47B9">
        <w:t xml:space="preserve"> </w:t>
      </w:r>
      <w:r w:rsidRPr="00CA47B9">
        <w:t>motor</w:t>
      </w:r>
      <w:r w:rsidR="004B41A2" w:rsidRPr="00CA47B9">
        <w:t xml:space="preserve"> </w:t>
      </w:r>
      <w:r w:rsidRPr="00CA47B9">
        <w:t>vehicles</w:t>
      </w:r>
      <w:r w:rsidR="004B41A2" w:rsidRPr="00CA47B9">
        <w:t xml:space="preserve"> </w:t>
      </w:r>
      <w:r w:rsidR="009B6400" w:rsidRPr="00CA47B9">
        <w:t>(mostly</w:t>
      </w:r>
      <w:r w:rsidR="004B41A2" w:rsidRPr="00CA47B9">
        <w:t xml:space="preserve"> </w:t>
      </w:r>
      <w:r w:rsidR="009B6400" w:rsidRPr="00CA47B9">
        <w:t>Rolls</w:t>
      </w:r>
      <w:r w:rsidR="004B41A2" w:rsidRPr="00CA47B9">
        <w:t xml:space="preserve"> </w:t>
      </w:r>
      <w:r w:rsidR="009B6400" w:rsidRPr="00CA47B9">
        <w:t>Royce)</w:t>
      </w:r>
      <w:r w:rsidRPr="00CA47B9">
        <w:t>,</w:t>
      </w:r>
      <w:r w:rsidR="004B41A2" w:rsidRPr="00CA47B9">
        <w:t xml:space="preserve"> </w:t>
      </w:r>
      <w:r w:rsidRPr="00CA47B9">
        <w:t>textiles,</w:t>
      </w:r>
      <w:r w:rsidR="004B41A2" w:rsidRPr="00CA47B9">
        <w:t xml:space="preserve"> </w:t>
      </w:r>
      <w:r w:rsidRPr="00CA47B9">
        <w:t>food</w:t>
      </w:r>
      <w:r w:rsidR="004B41A2" w:rsidRPr="00CA47B9">
        <w:t xml:space="preserve"> </w:t>
      </w:r>
      <w:r w:rsidRPr="00CA47B9">
        <w:t>products,</w:t>
      </w:r>
      <w:r w:rsidR="004B41A2" w:rsidRPr="00CA47B9">
        <w:t xml:space="preserve"> </w:t>
      </w:r>
      <w:r w:rsidRPr="00CA47B9">
        <w:t>wood</w:t>
      </w:r>
      <w:r w:rsidR="004B41A2" w:rsidRPr="00CA47B9">
        <w:t xml:space="preserve"> </w:t>
      </w:r>
      <w:r w:rsidRPr="00CA47B9">
        <w:t>and</w:t>
      </w:r>
      <w:r w:rsidR="004B41A2" w:rsidRPr="00CA47B9">
        <w:t xml:space="preserve"> </w:t>
      </w:r>
      <w:r w:rsidRPr="00CA47B9">
        <w:t>of</w:t>
      </w:r>
      <w:r w:rsidR="004B41A2" w:rsidRPr="00CA47B9">
        <w:t xml:space="preserve"> </w:t>
      </w:r>
      <w:r w:rsidR="00855CA6" w:rsidRPr="00CA47B9">
        <w:t>wood</w:t>
      </w:r>
      <w:r w:rsidR="00855CA6">
        <w:t>-</w:t>
      </w:r>
      <w:r w:rsidR="000E5808" w:rsidRPr="00CA47B9">
        <w:t>related</w:t>
      </w:r>
      <w:r w:rsidR="004B41A2" w:rsidRPr="00CA47B9">
        <w:t xml:space="preserve"> </w:t>
      </w:r>
      <w:r w:rsidRPr="00CA47B9">
        <w:t>products</w:t>
      </w:r>
      <w:r w:rsidR="004B41A2" w:rsidRPr="00CA47B9">
        <w:t xml:space="preserve"> </w:t>
      </w:r>
      <w:r w:rsidRPr="00CA47B9">
        <w:t>and</w:t>
      </w:r>
      <w:r w:rsidR="004B41A2" w:rsidRPr="00CA47B9">
        <w:t xml:space="preserve"> </w:t>
      </w:r>
      <w:r w:rsidRPr="00CA47B9">
        <w:t>“Other”</w:t>
      </w:r>
      <w:r w:rsidR="004B41A2" w:rsidRPr="00CA47B9">
        <w:t xml:space="preserve"> </w:t>
      </w:r>
      <w:r w:rsidRPr="00CA47B9">
        <w:t>manufacturing</w:t>
      </w:r>
      <w:r w:rsidR="00657342" w:rsidRPr="00CA47B9">
        <w:t>,</w:t>
      </w:r>
      <w:r w:rsidR="004B41A2" w:rsidRPr="00CA47B9">
        <w:t xml:space="preserve"> </w:t>
      </w:r>
      <w:r w:rsidR="00657342" w:rsidRPr="00CA47B9">
        <w:t>b</w:t>
      </w:r>
      <w:r w:rsidRPr="00CA47B9">
        <w:t>ut</w:t>
      </w:r>
      <w:r w:rsidR="004B41A2" w:rsidRPr="00CA47B9">
        <w:t xml:space="preserve"> </w:t>
      </w:r>
      <w:r w:rsidRPr="00CA47B9">
        <w:t>lower</w:t>
      </w:r>
      <w:r w:rsidR="004B41A2" w:rsidRPr="00CA47B9">
        <w:t xml:space="preserve"> </w:t>
      </w:r>
      <w:r w:rsidRPr="00CA47B9">
        <w:t>representation</w:t>
      </w:r>
      <w:r w:rsidR="004B41A2" w:rsidRPr="00CA47B9">
        <w:t xml:space="preserve"> </w:t>
      </w:r>
      <w:r w:rsidRPr="00CA47B9">
        <w:t>within</w:t>
      </w:r>
      <w:r w:rsidR="004B41A2" w:rsidRPr="00CA47B9">
        <w:t xml:space="preserve"> </w:t>
      </w:r>
      <w:r w:rsidRPr="00CA47B9">
        <w:t>the</w:t>
      </w:r>
      <w:r w:rsidR="004B41A2" w:rsidRPr="00CA47B9">
        <w:t xml:space="preserve"> </w:t>
      </w:r>
      <w:r w:rsidRPr="00CA47B9">
        <w:t>manufacturing</w:t>
      </w:r>
      <w:r w:rsidR="004B41A2" w:rsidRPr="00CA47B9">
        <w:t xml:space="preserve"> </w:t>
      </w:r>
      <w:r w:rsidRPr="00CA47B9">
        <w:t>of</w:t>
      </w:r>
      <w:r w:rsidR="004B41A2" w:rsidRPr="00CA47B9">
        <w:t xml:space="preserve"> </w:t>
      </w:r>
      <w:r w:rsidRPr="00CA47B9">
        <w:t>machinery</w:t>
      </w:r>
      <w:r w:rsidR="004B41A2" w:rsidRPr="00CA47B9">
        <w:t xml:space="preserve"> </w:t>
      </w:r>
      <w:r w:rsidRPr="00CA47B9">
        <w:t>and</w:t>
      </w:r>
      <w:r w:rsidR="004B41A2" w:rsidRPr="00CA47B9">
        <w:t xml:space="preserve"> </w:t>
      </w:r>
      <w:r w:rsidRPr="00CA47B9">
        <w:t>equipment,</w:t>
      </w:r>
      <w:r w:rsidR="004B41A2" w:rsidRPr="00CA47B9">
        <w:t xml:space="preserve"> </w:t>
      </w:r>
      <w:r w:rsidRPr="00CA47B9">
        <w:t>fabricated</w:t>
      </w:r>
      <w:r w:rsidR="004B41A2" w:rsidRPr="00CA47B9">
        <w:t xml:space="preserve"> </w:t>
      </w:r>
      <w:r w:rsidRPr="00CA47B9">
        <w:t>metal</w:t>
      </w:r>
      <w:r w:rsidR="004B41A2" w:rsidRPr="00CA47B9">
        <w:t xml:space="preserve"> </w:t>
      </w:r>
      <w:r w:rsidRPr="00CA47B9">
        <w:t>and</w:t>
      </w:r>
      <w:r w:rsidR="004B41A2" w:rsidRPr="00CA47B9">
        <w:t xml:space="preserve"> </w:t>
      </w:r>
      <w:r w:rsidRPr="00CA47B9">
        <w:t>rubber</w:t>
      </w:r>
      <w:r w:rsidR="004B41A2" w:rsidRPr="00CA47B9">
        <w:t xml:space="preserve"> </w:t>
      </w:r>
      <w:r w:rsidRPr="00CA47B9">
        <w:t>and</w:t>
      </w:r>
      <w:r w:rsidR="004B41A2" w:rsidRPr="00CA47B9">
        <w:t xml:space="preserve"> </w:t>
      </w:r>
      <w:r w:rsidRPr="00CA47B9">
        <w:t>plastic.</w:t>
      </w:r>
    </w:p>
    <w:p w:rsidR="00B0298E" w:rsidRPr="00CA47B9" w:rsidRDefault="00B0298E" w:rsidP="00020CFC">
      <w:pPr>
        <w:pStyle w:val="11Bodytext"/>
        <w:tabs>
          <w:tab w:val="clear" w:pos="2212"/>
          <w:tab w:val="num" w:pos="567"/>
        </w:tabs>
        <w:ind w:left="567" w:hanging="567"/>
        <w:rPr>
          <w:b/>
        </w:rPr>
      </w:pPr>
      <w:r w:rsidRPr="00CA47B9">
        <w:t>The</w:t>
      </w:r>
      <w:r w:rsidR="004B41A2" w:rsidRPr="00CA47B9">
        <w:t xml:space="preserve"> </w:t>
      </w:r>
      <w:r w:rsidRPr="00CA47B9">
        <w:t>lack</w:t>
      </w:r>
      <w:r w:rsidR="004B41A2" w:rsidRPr="00CA47B9">
        <w:t xml:space="preserve"> </w:t>
      </w:r>
      <w:r w:rsidRPr="00CA47B9">
        <w:t>of</w:t>
      </w:r>
      <w:r w:rsidR="004B41A2" w:rsidRPr="00CA47B9">
        <w:t xml:space="preserve"> </w:t>
      </w:r>
      <w:r w:rsidRPr="00CA47B9">
        <w:t>representation</w:t>
      </w:r>
      <w:r w:rsidR="004B41A2" w:rsidRPr="00CA47B9">
        <w:t xml:space="preserve"> </w:t>
      </w:r>
      <w:r w:rsidRPr="00CA47B9">
        <w:t>in</w:t>
      </w:r>
      <w:r w:rsidR="004B41A2" w:rsidRPr="00CA47B9">
        <w:t xml:space="preserve"> </w:t>
      </w:r>
      <w:r w:rsidRPr="00CA47B9">
        <w:t>the</w:t>
      </w:r>
      <w:r w:rsidR="004B41A2" w:rsidRPr="00CA47B9">
        <w:t xml:space="preserve"> </w:t>
      </w:r>
      <w:r w:rsidRPr="00CA47B9">
        <w:t>transportation</w:t>
      </w:r>
      <w:r w:rsidR="004B41A2" w:rsidRPr="00CA47B9">
        <w:t xml:space="preserve"> </w:t>
      </w:r>
      <w:r w:rsidRPr="00CA47B9">
        <w:t>and</w:t>
      </w:r>
      <w:r w:rsidR="004B41A2" w:rsidRPr="00CA47B9">
        <w:t xml:space="preserve"> </w:t>
      </w:r>
      <w:r w:rsidRPr="00CA47B9">
        <w:t>storage</w:t>
      </w:r>
      <w:r w:rsidR="004B41A2" w:rsidRPr="00CA47B9">
        <w:t xml:space="preserve"> </w:t>
      </w:r>
      <w:r w:rsidRPr="00CA47B9">
        <w:t>sector</w:t>
      </w:r>
      <w:r w:rsidR="004B41A2" w:rsidRPr="00CA47B9">
        <w:t xml:space="preserve"> </w:t>
      </w:r>
      <w:r w:rsidRPr="00CA47B9">
        <w:t>reflects</w:t>
      </w:r>
      <w:r w:rsidR="004B41A2" w:rsidRPr="00CA47B9">
        <w:t xml:space="preserve"> </w:t>
      </w:r>
      <w:r w:rsidRPr="00CA47B9">
        <w:t>the</w:t>
      </w:r>
      <w:r w:rsidR="004B41A2" w:rsidRPr="00CA47B9">
        <w:t xml:space="preserve"> </w:t>
      </w:r>
      <w:r w:rsidRPr="00CA47B9">
        <w:t>location</w:t>
      </w:r>
      <w:r w:rsidR="004B41A2" w:rsidRPr="00CA47B9">
        <w:t xml:space="preserve"> </w:t>
      </w:r>
      <w:r w:rsidRPr="00CA47B9">
        <w:t>of</w:t>
      </w:r>
      <w:r w:rsidR="004B41A2" w:rsidRPr="00CA47B9">
        <w:t xml:space="preserve"> </w:t>
      </w:r>
      <w:r w:rsidRPr="00CA47B9">
        <w:t>the</w:t>
      </w:r>
      <w:r w:rsidR="004B41A2" w:rsidRPr="00CA47B9">
        <w:t xml:space="preserve"> </w:t>
      </w:r>
      <w:r w:rsidRPr="00CA47B9">
        <w:t>district</w:t>
      </w:r>
      <w:r w:rsidR="004B41A2" w:rsidRPr="00CA47B9">
        <w:t xml:space="preserve"> </w:t>
      </w:r>
      <w:r w:rsidRPr="00CA47B9">
        <w:t>away</w:t>
      </w:r>
      <w:r w:rsidR="004B41A2" w:rsidRPr="00CA47B9">
        <w:t xml:space="preserve"> </w:t>
      </w:r>
      <w:r w:rsidRPr="00CA47B9">
        <w:t>from</w:t>
      </w:r>
      <w:r w:rsidR="004B41A2" w:rsidRPr="00CA47B9">
        <w:t xml:space="preserve"> </w:t>
      </w:r>
      <w:r w:rsidRPr="00CA47B9">
        <w:t>motorway</w:t>
      </w:r>
      <w:r w:rsidR="004B41A2" w:rsidRPr="00CA47B9">
        <w:t xml:space="preserve"> </w:t>
      </w:r>
      <w:r w:rsidRPr="00CA47B9">
        <w:t>n</w:t>
      </w:r>
      <w:r w:rsidR="00D4280D" w:rsidRPr="00CA47B9">
        <w:t>etworks.</w:t>
      </w:r>
      <w:r w:rsidR="004B41A2" w:rsidRPr="00CA47B9">
        <w:t xml:space="preserve"> </w:t>
      </w:r>
      <w:r w:rsidR="00D4280D" w:rsidRPr="00CA47B9">
        <w:t>While</w:t>
      </w:r>
      <w:r w:rsidR="004B41A2" w:rsidRPr="00CA47B9">
        <w:t xml:space="preserve"> </w:t>
      </w:r>
      <w:r w:rsidR="00D4280D" w:rsidRPr="00CA47B9">
        <w:t>the</w:t>
      </w:r>
      <w:r w:rsidR="004B41A2" w:rsidRPr="00CA47B9">
        <w:t xml:space="preserve"> </w:t>
      </w:r>
      <w:r w:rsidR="00D4280D" w:rsidRPr="00CA47B9">
        <w:t>A27</w:t>
      </w:r>
      <w:r w:rsidR="004B41A2" w:rsidRPr="00CA47B9">
        <w:t xml:space="preserve"> </w:t>
      </w:r>
      <w:r w:rsidR="00D4280D" w:rsidRPr="00CA47B9">
        <w:t>runs</w:t>
      </w:r>
      <w:r w:rsidR="004B41A2" w:rsidRPr="00CA47B9">
        <w:t xml:space="preserve"> </w:t>
      </w:r>
      <w:r w:rsidR="00D4280D" w:rsidRPr="00CA47B9">
        <w:t>through</w:t>
      </w:r>
      <w:r w:rsidR="004B41A2" w:rsidRPr="00CA47B9">
        <w:t xml:space="preserve"> </w:t>
      </w:r>
      <w:r w:rsidRPr="00CA47B9">
        <w:t>the</w:t>
      </w:r>
      <w:r w:rsidR="004B41A2" w:rsidRPr="00CA47B9">
        <w:t xml:space="preserve"> </w:t>
      </w:r>
      <w:r w:rsidRPr="00CA47B9">
        <w:t>district</w:t>
      </w:r>
      <w:r w:rsidR="004B41A2" w:rsidRPr="00CA47B9">
        <w:t xml:space="preserve"> </w:t>
      </w:r>
      <w:r w:rsidRPr="00CA47B9">
        <w:t>its</w:t>
      </w:r>
      <w:r w:rsidR="004B41A2" w:rsidRPr="00CA47B9">
        <w:t xml:space="preserve"> </w:t>
      </w:r>
      <w:r w:rsidRPr="00CA47B9">
        <w:t>reputation</w:t>
      </w:r>
      <w:r w:rsidR="004B41A2" w:rsidRPr="00CA47B9">
        <w:t xml:space="preserve"> </w:t>
      </w:r>
      <w:r w:rsidRPr="00CA47B9">
        <w:t>for</w:t>
      </w:r>
      <w:r w:rsidR="004B41A2" w:rsidRPr="00CA47B9">
        <w:t xml:space="preserve"> </w:t>
      </w:r>
      <w:r w:rsidRPr="00CA47B9">
        <w:t>congestion</w:t>
      </w:r>
      <w:r w:rsidR="004B41A2" w:rsidRPr="00CA47B9">
        <w:t xml:space="preserve"> </w:t>
      </w:r>
      <w:r w:rsidR="00257CE5" w:rsidRPr="00CA47B9">
        <w:t>may</w:t>
      </w:r>
      <w:r w:rsidR="004B41A2" w:rsidRPr="00CA47B9">
        <w:t xml:space="preserve"> </w:t>
      </w:r>
      <w:r w:rsidR="00257CE5" w:rsidRPr="00CA47B9">
        <w:t>be</w:t>
      </w:r>
      <w:r w:rsidR="004B41A2" w:rsidRPr="00CA47B9">
        <w:t xml:space="preserve"> </w:t>
      </w:r>
      <w:r w:rsidR="00855CA6" w:rsidRPr="00CA47B9">
        <w:t>off</w:t>
      </w:r>
      <w:r w:rsidR="00855CA6">
        <w:t>-</w:t>
      </w:r>
      <w:r w:rsidRPr="00CA47B9">
        <w:t>putting</w:t>
      </w:r>
      <w:r w:rsidR="004B41A2" w:rsidRPr="00CA47B9">
        <w:t xml:space="preserve"> </w:t>
      </w:r>
      <w:r w:rsidRPr="00CA47B9">
        <w:t>to</w:t>
      </w:r>
      <w:r w:rsidR="004B41A2" w:rsidRPr="00CA47B9">
        <w:t xml:space="preserve"> </w:t>
      </w:r>
      <w:r w:rsidRPr="00CA47B9">
        <w:t>major</w:t>
      </w:r>
      <w:r w:rsidR="004B41A2" w:rsidRPr="00CA47B9">
        <w:t xml:space="preserve"> </w:t>
      </w:r>
      <w:r w:rsidRPr="00CA47B9">
        <w:t>distribution</w:t>
      </w:r>
      <w:r w:rsidR="004B41A2" w:rsidRPr="00CA47B9">
        <w:t xml:space="preserve"> </w:t>
      </w:r>
      <w:r w:rsidRPr="00CA47B9">
        <w:t>operators</w:t>
      </w:r>
      <w:r w:rsidR="004B41A2" w:rsidRPr="00CA47B9">
        <w:t xml:space="preserve"> </w:t>
      </w:r>
      <w:r w:rsidR="009B6400" w:rsidRPr="00CA47B9">
        <w:t>as</w:t>
      </w:r>
      <w:r w:rsidR="004B41A2" w:rsidRPr="00CA47B9">
        <w:t xml:space="preserve"> </w:t>
      </w:r>
      <w:r w:rsidR="009B6400" w:rsidRPr="00CA47B9">
        <w:t>well</w:t>
      </w:r>
      <w:r w:rsidR="004B41A2" w:rsidRPr="00CA47B9">
        <w:t xml:space="preserve"> </w:t>
      </w:r>
      <w:r w:rsidR="009B6400" w:rsidRPr="00CA47B9">
        <w:t>as</w:t>
      </w:r>
      <w:r w:rsidR="004B41A2" w:rsidRPr="00CA47B9">
        <w:t xml:space="preserve"> </w:t>
      </w:r>
      <w:r w:rsidR="009B6400" w:rsidRPr="00CA47B9">
        <w:t>other</w:t>
      </w:r>
      <w:r w:rsidR="004B41A2" w:rsidRPr="00CA47B9">
        <w:t xml:space="preserve"> </w:t>
      </w:r>
      <w:r w:rsidR="009B6400" w:rsidRPr="00CA47B9">
        <w:t>sectors</w:t>
      </w:r>
      <w:r w:rsidRPr="00CA47B9">
        <w:t>.</w:t>
      </w:r>
      <w:r w:rsidR="004B41A2" w:rsidRPr="00CA47B9">
        <w:t xml:space="preserve"> </w:t>
      </w:r>
    </w:p>
    <w:p w:rsidR="00B0298E" w:rsidRPr="00CA47B9" w:rsidRDefault="00B0298E" w:rsidP="00BD6C75">
      <w:pPr>
        <w:pStyle w:val="Subheadingbold"/>
        <w:ind w:left="567" w:firstLine="0"/>
      </w:pPr>
      <w:r w:rsidRPr="00CA47B9">
        <w:t>Business</w:t>
      </w:r>
      <w:r w:rsidR="004B41A2" w:rsidRPr="00CA47B9">
        <w:t xml:space="preserve"> </w:t>
      </w:r>
      <w:r w:rsidRPr="00CA47B9">
        <w:t>Base</w:t>
      </w:r>
    </w:p>
    <w:p w:rsidR="002C72FE" w:rsidRPr="002C72FE" w:rsidRDefault="00B0298E" w:rsidP="00020CFC">
      <w:pPr>
        <w:pStyle w:val="11Bodytext"/>
        <w:tabs>
          <w:tab w:val="clear" w:pos="2212"/>
          <w:tab w:val="num" w:pos="567"/>
        </w:tabs>
        <w:ind w:left="567" w:hanging="567"/>
        <w:rPr>
          <w:b/>
        </w:rPr>
      </w:pPr>
      <w:r w:rsidRPr="00CA47B9">
        <w:t>The</w:t>
      </w:r>
      <w:r w:rsidR="004B41A2" w:rsidRPr="00CA47B9">
        <w:t xml:space="preserve"> </w:t>
      </w:r>
      <w:r w:rsidRPr="00CA47B9">
        <w:t>vast</w:t>
      </w:r>
      <w:r w:rsidR="004B41A2" w:rsidRPr="00CA47B9">
        <w:t xml:space="preserve"> </w:t>
      </w:r>
      <w:r w:rsidRPr="00CA47B9">
        <w:t>majority</w:t>
      </w:r>
      <w:r w:rsidR="004B41A2" w:rsidRPr="00CA47B9">
        <w:t xml:space="preserve"> </w:t>
      </w:r>
      <w:r w:rsidRPr="00CA47B9">
        <w:t>(90.4%)</w:t>
      </w:r>
      <w:r w:rsidR="004B41A2" w:rsidRPr="00CA47B9">
        <w:t xml:space="preserve"> </w:t>
      </w:r>
      <w:r w:rsidRPr="00CA47B9">
        <w:t>of</w:t>
      </w:r>
      <w:r w:rsidR="004B41A2" w:rsidRPr="00CA47B9">
        <w:t xml:space="preserve"> </w:t>
      </w:r>
      <w:r w:rsidRPr="00CA47B9">
        <w:t>the</w:t>
      </w:r>
      <w:r w:rsidR="004B41A2" w:rsidRPr="00CA47B9">
        <w:t xml:space="preserve"> </w:t>
      </w:r>
      <w:r w:rsidRPr="00CA47B9">
        <w:t>enterprises</w:t>
      </w:r>
      <w:r w:rsidR="004B41A2" w:rsidRPr="00CA47B9">
        <w:t xml:space="preserve"> </w:t>
      </w:r>
      <w:r w:rsidRPr="00CA47B9">
        <w:t>based</w:t>
      </w:r>
      <w:r w:rsidR="004B41A2" w:rsidRPr="00CA47B9">
        <w:t xml:space="preserve"> </w:t>
      </w:r>
      <w:r w:rsidRPr="00CA47B9">
        <w:t>in</w:t>
      </w:r>
      <w:r w:rsidR="004B41A2" w:rsidRPr="00CA47B9">
        <w:t xml:space="preserve"> </w:t>
      </w:r>
      <w:r w:rsidRPr="00CA47B9">
        <w:t>the</w:t>
      </w:r>
      <w:r w:rsidR="004B41A2" w:rsidRPr="00CA47B9">
        <w:t xml:space="preserve"> </w:t>
      </w:r>
      <w:r w:rsidRPr="00CA47B9">
        <w:t>district</w:t>
      </w:r>
      <w:r w:rsidR="004B41A2" w:rsidRPr="00CA47B9">
        <w:t xml:space="preserve"> </w:t>
      </w:r>
      <w:r w:rsidRPr="00CA47B9">
        <w:t>are</w:t>
      </w:r>
      <w:r w:rsidR="004B41A2" w:rsidRPr="00CA47B9">
        <w:t xml:space="preserve"> </w:t>
      </w:r>
      <w:r w:rsidR="00855CA6" w:rsidRPr="00CA47B9">
        <w:t>micro</w:t>
      </w:r>
      <w:r w:rsidR="00855CA6">
        <w:t>-</w:t>
      </w:r>
      <w:r w:rsidRPr="00CA47B9">
        <w:t>businesses:</w:t>
      </w:r>
      <w:r w:rsidR="004B41A2" w:rsidRPr="00CA47B9">
        <w:t xml:space="preserve"> </w:t>
      </w:r>
      <w:r w:rsidRPr="00CA47B9">
        <w:t>that</w:t>
      </w:r>
      <w:r w:rsidR="004B41A2" w:rsidRPr="00CA47B9">
        <w:t xml:space="preserve"> </w:t>
      </w:r>
      <w:r w:rsidRPr="00CA47B9">
        <w:t>is</w:t>
      </w:r>
      <w:r w:rsidR="004B41A2" w:rsidRPr="00CA47B9">
        <w:t xml:space="preserve"> </w:t>
      </w:r>
      <w:r w:rsidRPr="00CA47B9">
        <w:t>they</w:t>
      </w:r>
      <w:r w:rsidR="004B41A2" w:rsidRPr="00CA47B9">
        <w:t xml:space="preserve"> </w:t>
      </w:r>
      <w:r w:rsidRPr="00CA47B9">
        <w:t>employ</w:t>
      </w:r>
      <w:r w:rsidR="004B41A2" w:rsidRPr="00CA47B9">
        <w:t xml:space="preserve"> </w:t>
      </w:r>
      <w:r w:rsidRPr="00CA47B9">
        <w:t>fewer</w:t>
      </w:r>
      <w:r w:rsidR="004B41A2" w:rsidRPr="00CA47B9">
        <w:t xml:space="preserve"> </w:t>
      </w:r>
      <w:r w:rsidRPr="00CA47B9">
        <w:t>than</w:t>
      </w:r>
      <w:r w:rsidR="004B41A2" w:rsidRPr="00CA47B9">
        <w:t xml:space="preserve"> </w:t>
      </w:r>
      <w:r w:rsidRPr="00CA47B9">
        <w:t>10</w:t>
      </w:r>
      <w:r w:rsidR="004B41A2" w:rsidRPr="00CA47B9">
        <w:t xml:space="preserve"> </w:t>
      </w:r>
      <w:r w:rsidRPr="00CA47B9">
        <w:t>people.</w:t>
      </w:r>
      <w:r w:rsidR="004B41A2" w:rsidRPr="00CA47B9">
        <w:t xml:space="preserve"> </w:t>
      </w:r>
      <w:r w:rsidRPr="00CA47B9">
        <w:t>This</w:t>
      </w:r>
      <w:r w:rsidR="004B41A2" w:rsidRPr="00CA47B9">
        <w:t xml:space="preserve"> </w:t>
      </w:r>
      <w:r w:rsidRPr="00CA47B9">
        <w:t>group</w:t>
      </w:r>
      <w:r w:rsidR="004B41A2" w:rsidRPr="00CA47B9">
        <w:t xml:space="preserve"> </w:t>
      </w:r>
      <w:r w:rsidRPr="00CA47B9">
        <w:t>includes</w:t>
      </w:r>
      <w:r w:rsidR="004B41A2" w:rsidRPr="00CA47B9">
        <w:t xml:space="preserve"> </w:t>
      </w:r>
      <w:r w:rsidRPr="00CA47B9">
        <w:t>a</w:t>
      </w:r>
      <w:r w:rsidR="004B41A2" w:rsidRPr="00CA47B9">
        <w:t xml:space="preserve"> </w:t>
      </w:r>
      <w:r w:rsidRPr="00CA47B9">
        <w:t>high</w:t>
      </w:r>
      <w:r w:rsidR="004B41A2" w:rsidRPr="00CA47B9">
        <w:t xml:space="preserve"> </w:t>
      </w:r>
      <w:r w:rsidRPr="00CA47B9">
        <w:t>percentage</w:t>
      </w:r>
      <w:r w:rsidR="004B41A2" w:rsidRPr="00CA47B9">
        <w:t xml:space="preserve"> </w:t>
      </w:r>
      <w:r w:rsidRPr="00CA47B9">
        <w:t>of</w:t>
      </w:r>
      <w:r w:rsidR="004B41A2" w:rsidRPr="00CA47B9">
        <w:t xml:space="preserve"> </w:t>
      </w:r>
      <w:r w:rsidRPr="00CA47B9">
        <w:t>self-employed</w:t>
      </w:r>
      <w:r w:rsidR="004B41A2" w:rsidRPr="00CA47B9">
        <w:t xml:space="preserve"> </w:t>
      </w:r>
      <w:r w:rsidRPr="00CA47B9">
        <w:t>and</w:t>
      </w:r>
      <w:r w:rsidR="004B41A2" w:rsidRPr="00CA47B9">
        <w:t xml:space="preserve"> </w:t>
      </w:r>
      <w:r w:rsidRPr="00CA47B9">
        <w:t>sole-traders.</w:t>
      </w:r>
      <w:r w:rsidR="004B41A2" w:rsidRPr="00CA47B9">
        <w:t xml:space="preserve"> </w:t>
      </w:r>
      <w:r w:rsidRPr="00CA47B9">
        <w:t>This</w:t>
      </w:r>
      <w:r w:rsidR="004B41A2" w:rsidRPr="00CA47B9">
        <w:t xml:space="preserve"> </w:t>
      </w:r>
      <w:r w:rsidRPr="00CA47B9">
        <w:t>is</w:t>
      </w:r>
      <w:r w:rsidR="004B41A2" w:rsidRPr="00CA47B9">
        <w:t xml:space="preserve"> </w:t>
      </w:r>
      <w:r w:rsidRPr="00CA47B9">
        <w:t>slightly</w:t>
      </w:r>
      <w:r w:rsidR="004B41A2" w:rsidRPr="00CA47B9">
        <w:t xml:space="preserve"> </w:t>
      </w:r>
      <w:r w:rsidRPr="00CA47B9">
        <w:t>higher</w:t>
      </w:r>
      <w:r w:rsidR="004B41A2" w:rsidRPr="00CA47B9">
        <w:t xml:space="preserve"> </w:t>
      </w:r>
      <w:r w:rsidRPr="00CA47B9">
        <w:t>than</w:t>
      </w:r>
      <w:r w:rsidR="004B41A2" w:rsidRPr="00CA47B9">
        <w:t xml:space="preserve"> </w:t>
      </w:r>
      <w:r w:rsidRPr="00CA47B9">
        <w:t>the</w:t>
      </w:r>
      <w:r w:rsidR="004B41A2" w:rsidRPr="00CA47B9">
        <w:t xml:space="preserve"> </w:t>
      </w:r>
      <w:r w:rsidRPr="00CA47B9">
        <w:t>county</w:t>
      </w:r>
      <w:r w:rsidR="004B41A2" w:rsidRPr="00CA47B9">
        <w:t xml:space="preserve"> </w:t>
      </w:r>
      <w:r w:rsidRPr="00CA47B9">
        <w:t>(89.</w:t>
      </w:r>
      <w:r w:rsidR="00EA087C" w:rsidRPr="00CA47B9">
        <w:t>7</w:t>
      </w:r>
      <w:r w:rsidRPr="00CA47B9">
        <w:t>%),</w:t>
      </w:r>
      <w:r w:rsidR="004B41A2" w:rsidRPr="00CA47B9">
        <w:t xml:space="preserve"> </w:t>
      </w:r>
      <w:r w:rsidRPr="00CA47B9">
        <w:t>regional</w:t>
      </w:r>
      <w:r w:rsidR="004B41A2" w:rsidRPr="00CA47B9">
        <w:t xml:space="preserve"> </w:t>
      </w:r>
      <w:r w:rsidRPr="00CA47B9">
        <w:t>(89.</w:t>
      </w:r>
      <w:r w:rsidR="00EA087C" w:rsidRPr="00CA47B9">
        <w:t>9</w:t>
      </w:r>
      <w:r w:rsidRPr="00CA47B9">
        <w:t>%)</w:t>
      </w:r>
      <w:r w:rsidR="004B41A2" w:rsidRPr="00CA47B9">
        <w:t xml:space="preserve"> </w:t>
      </w:r>
      <w:r w:rsidRPr="00CA47B9">
        <w:t>or</w:t>
      </w:r>
      <w:r w:rsidR="004B41A2" w:rsidRPr="00CA47B9">
        <w:t xml:space="preserve"> </w:t>
      </w:r>
      <w:r w:rsidRPr="00CA47B9">
        <w:t>national</w:t>
      </w:r>
      <w:r w:rsidR="004B41A2" w:rsidRPr="00CA47B9">
        <w:t xml:space="preserve"> </w:t>
      </w:r>
      <w:r w:rsidRPr="00CA47B9">
        <w:t>(89.</w:t>
      </w:r>
      <w:r w:rsidR="00EA087C" w:rsidRPr="00CA47B9">
        <w:t>5</w:t>
      </w:r>
      <w:r w:rsidRPr="00CA47B9">
        <w:t>%)</w:t>
      </w:r>
      <w:r w:rsidR="004B41A2" w:rsidRPr="00CA47B9">
        <w:t xml:space="preserve"> </w:t>
      </w:r>
      <w:r w:rsidRPr="00CA47B9">
        <w:t>rates</w:t>
      </w:r>
      <w:r w:rsidR="004B41A2" w:rsidRPr="00CA47B9">
        <w:t xml:space="preserve"> </w:t>
      </w:r>
      <w:r w:rsidRPr="00CA47B9">
        <w:t>indicative</w:t>
      </w:r>
      <w:r w:rsidR="004B41A2" w:rsidRPr="00CA47B9">
        <w:t xml:space="preserve"> </w:t>
      </w:r>
      <w:r w:rsidRPr="00CA47B9">
        <w:t>of</w:t>
      </w:r>
      <w:r w:rsidR="004B41A2" w:rsidRPr="00CA47B9">
        <w:t xml:space="preserve"> </w:t>
      </w:r>
      <w:r w:rsidRPr="00CA47B9">
        <w:t>a</w:t>
      </w:r>
      <w:r w:rsidR="004B41A2" w:rsidRPr="00CA47B9">
        <w:t xml:space="preserve"> </w:t>
      </w:r>
      <w:r w:rsidRPr="00CA47B9">
        <w:t>level</w:t>
      </w:r>
      <w:r w:rsidR="004B41A2" w:rsidRPr="00CA47B9">
        <w:t xml:space="preserve"> </w:t>
      </w:r>
      <w:r w:rsidRPr="00CA47B9">
        <w:t>of</w:t>
      </w:r>
      <w:r w:rsidR="004B41A2" w:rsidRPr="00CA47B9">
        <w:t xml:space="preserve"> </w:t>
      </w:r>
      <w:r w:rsidRPr="00CA47B9">
        <w:t>local</w:t>
      </w:r>
      <w:r w:rsidR="004B41A2" w:rsidRPr="00CA47B9">
        <w:t xml:space="preserve"> </w:t>
      </w:r>
      <w:r w:rsidRPr="00CA47B9">
        <w:t>entrepreneurship.</w:t>
      </w:r>
      <w:bookmarkStart w:id="100" w:name="_Toc481156656"/>
    </w:p>
    <w:p w:rsidR="00B0298E" w:rsidRPr="00D837A2" w:rsidRDefault="002C72FE" w:rsidP="00020CFC">
      <w:pPr>
        <w:pStyle w:val="11Bodytext"/>
        <w:tabs>
          <w:tab w:val="clear" w:pos="2212"/>
          <w:tab w:val="num" w:pos="567"/>
        </w:tabs>
        <w:ind w:left="567" w:hanging="567"/>
      </w:pPr>
      <w:r w:rsidRPr="00CA47B9">
        <w:t>As with the regional and national picture employment within Chichester is not overly reliant on a small number of major employers. This provides the district with a level of resilience to a major downturn affecting a single business.</w:t>
      </w:r>
    </w:p>
    <w:p w:rsidR="004310D1" w:rsidRPr="00CA47B9" w:rsidRDefault="00B0298E" w:rsidP="00FC604D">
      <w:pPr>
        <w:pStyle w:val="FigureHeading"/>
        <w:tabs>
          <w:tab w:val="clear" w:pos="794"/>
          <w:tab w:val="clear" w:pos="1843"/>
          <w:tab w:val="left" w:pos="0"/>
        </w:tabs>
        <w:ind w:left="0" w:firstLine="0"/>
      </w:pPr>
      <w:r w:rsidRPr="00CA47B9">
        <w:lastRenderedPageBreak/>
        <w:t>Enterprises</w:t>
      </w:r>
      <w:r w:rsidR="004B41A2" w:rsidRPr="00CA47B9">
        <w:t xml:space="preserve"> </w:t>
      </w:r>
      <w:r w:rsidRPr="00CA47B9">
        <w:t>by</w:t>
      </w:r>
      <w:r w:rsidR="004B41A2" w:rsidRPr="00CA47B9">
        <w:t xml:space="preserve"> </w:t>
      </w:r>
      <w:r w:rsidRPr="00CA47B9">
        <w:t>Size,</w:t>
      </w:r>
      <w:r w:rsidR="004B41A2" w:rsidRPr="00CA47B9">
        <w:t xml:space="preserve"> </w:t>
      </w:r>
      <w:r w:rsidRPr="00CA47B9">
        <w:t>201</w:t>
      </w:r>
      <w:bookmarkEnd w:id="100"/>
      <w:r w:rsidR="00053A34" w:rsidRPr="00CA47B9">
        <w:t>8</w:t>
      </w:r>
      <w:r w:rsidR="004F20D3" w:rsidRPr="00CA47B9">
        <w:t xml:space="preserve"> – Chichester District</w:t>
      </w:r>
    </w:p>
    <w:p w:rsidR="00E0078B" w:rsidRPr="00CA47B9" w:rsidRDefault="00E0078B" w:rsidP="00163B4B">
      <w:pPr>
        <w:keepNext/>
        <w:jc w:val="both"/>
        <w:rPr>
          <w:rFonts w:asciiTheme="minorHAnsi" w:hAnsiTheme="minorHAnsi" w:cstheme="minorHAnsi"/>
          <w:color w:val="auto"/>
        </w:rPr>
      </w:pPr>
      <w:r w:rsidRPr="00CA47B9">
        <w:rPr>
          <w:noProof/>
          <w:color w:val="auto"/>
          <w:lang w:eastAsia="en-GB"/>
        </w:rPr>
        <w:drawing>
          <wp:inline distT="0" distB="0" distL="0" distR="0" wp14:anchorId="41AD654E" wp14:editId="3414351B">
            <wp:extent cx="6120000" cy="2880000"/>
            <wp:effectExtent l="0" t="0" r="14605" b="15875"/>
            <wp:docPr id="261" name="Chart 261" descr="Stacked bar chart showing the concentration of different businesses by size in Chichester as compared to the county, region and country" title="Figure 25: Enterprises by Size 2018 Chichester District">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324632-9B73-4490-B456-9EC46AE064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0298E" w:rsidRPr="00B242EB" w:rsidRDefault="00B0298E" w:rsidP="00FC604D">
      <w:pPr>
        <w:spacing w:after="120" w:line="360" w:lineRule="auto"/>
        <w:jc w:val="both"/>
        <w:rPr>
          <w:rFonts w:asciiTheme="minorHAnsi" w:hAnsiTheme="minorHAnsi" w:cstheme="minorHAnsi"/>
          <w:color w:val="auto"/>
          <w:sz w:val="24"/>
          <w:szCs w:val="24"/>
        </w:rPr>
      </w:pPr>
      <w:r w:rsidRPr="00B242EB">
        <w:rPr>
          <w:rFonts w:asciiTheme="minorHAnsi" w:hAnsiTheme="minorHAnsi" w:cstheme="minorHAnsi"/>
          <w:color w:val="auto"/>
          <w:sz w:val="24"/>
          <w:szCs w:val="24"/>
        </w:rPr>
        <w:t>Source:</w:t>
      </w:r>
      <w:r w:rsidR="004B41A2" w:rsidRPr="00B242EB">
        <w:rPr>
          <w:rFonts w:asciiTheme="minorHAnsi" w:hAnsiTheme="minorHAnsi" w:cstheme="minorHAnsi"/>
          <w:color w:val="auto"/>
          <w:sz w:val="24"/>
          <w:szCs w:val="24"/>
        </w:rPr>
        <w:t xml:space="preserve"> </w:t>
      </w:r>
      <w:r w:rsidRPr="00B242EB">
        <w:rPr>
          <w:rFonts w:asciiTheme="minorHAnsi" w:hAnsiTheme="minorHAnsi" w:cstheme="minorHAnsi"/>
          <w:color w:val="auto"/>
          <w:sz w:val="24"/>
          <w:szCs w:val="24"/>
        </w:rPr>
        <w:t>UK</w:t>
      </w:r>
      <w:r w:rsidR="004B41A2" w:rsidRPr="00B242EB">
        <w:rPr>
          <w:rFonts w:asciiTheme="minorHAnsi" w:hAnsiTheme="minorHAnsi" w:cstheme="minorHAnsi"/>
          <w:color w:val="auto"/>
          <w:sz w:val="24"/>
          <w:szCs w:val="24"/>
        </w:rPr>
        <w:t xml:space="preserve"> </w:t>
      </w:r>
      <w:r w:rsidRPr="00B242EB">
        <w:rPr>
          <w:rFonts w:asciiTheme="minorHAnsi" w:hAnsiTheme="minorHAnsi" w:cstheme="minorHAnsi"/>
          <w:color w:val="auto"/>
          <w:sz w:val="24"/>
          <w:szCs w:val="24"/>
        </w:rPr>
        <w:t>Business</w:t>
      </w:r>
      <w:r w:rsidR="004B41A2" w:rsidRPr="00B242EB">
        <w:rPr>
          <w:rFonts w:asciiTheme="minorHAnsi" w:hAnsiTheme="minorHAnsi" w:cstheme="minorHAnsi"/>
          <w:color w:val="auto"/>
          <w:sz w:val="24"/>
          <w:szCs w:val="24"/>
        </w:rPr>
        <w:t xml:space="preserve"> </w:t>
      </w:r>
      <w:r w:rsidRPr="00B242EB">
        <w:rPr>
          <w:rFonts w:asciiTheme="minorHAnsi" w:hAnsiTheme="minorHAnsi" w:cstheme="minorHAnsi"/>
          <w:color w:val="auto"/>
          <w:sz w:val="24"/>
          <w:szCs w:val="24"/>
        </w:rPr>
        <w:t>Counts,</w:t>
      </w:r>
      <w:r w:rsidR="004B41A2" w:rsidRPr="00B242EB">
        <w:rPr>
          <w:rFonts w:asciiTheme="minorHAnsi" w:hAnsiTheme="minorHAnsi" w:cstheme="minorHAnsi"/>
          <w:color w:val="auto"/>
          <w:sz w:val="24"/>
          <w:szCs w:val="24"/>
        </w:rPr>
        <w:t xml:space="preserve"> </w:t>
      </w:r>
      <w:r w:rsidRPr="00B242EB">
        <w:rPr>
          <w:rFonts w:asciiTheme="minorHAnsi" w:hAnsiTheme="minorHAnsi" w:cstheme="minorHAnsi"/>
          <w:color w:val="auto"/>
          <w:sz w:val="24"/>
          <w:szCs w:val="24"/>
        </w:rPr>
        <w:t>NOMIS</w:t>
      </w:r>
      <w:r w:rsidR="004B41A2" w:rsidRPr="00B242EB">
        <w:rPr>
          <w:rFonts w:asciiTheme="minorHAnsi" w:hAnsiTheme="minorHAnsi" w:cstheme="minorHAnsi"/>
          <w:color w:val="auto"/>
          <w:sz w:val="24"/>
          <w:szCs w:val="24"/>
        </w:rPr>
        <w:t xml:space="preserve"> </w:t>
      </w:r>
      <w:r w:rsidRPr="00B242EB">
        <w:rPr>
          <w:rFonts w:asciiTheme="minorHAnsi" w:hAnsiTheme="minorHAnsi" w:cstheme="minorHAnsi"/>
          <w:color w:val="auto"/>
          <w:sz w:val="24"/>
          <w:szCs w:val="24"/>
        </w:rPr>
        <w:t>201</w:t>
      </w:r>
      <w:r w:rsidR="00EA087C" w:rsidRPr="00B242EB">
        <w:rPr>
          <w:rFonts w:asciiTheme="minorHAnsi" w:hAnsiTheme="minorHAnsi" w:cstheme="minorHAnsi"/>
          <w:color w:val="auto"/>
          <w:sz w:val="24"/>
          <w:szCs w:val="24"/>
        </w:rPr>
        <w:t>8</w:t>
      </w:r>
      <w:r w:rsidR="004B41A2" w:rsidRPr="00B242EB">
        <w:rPr>
          <w:rFonts w:asciiTheme="minorHAnsi" w:hAnsiTheme="minorHAnsi" w:cstheme="minorHAnsi"/>
          <w:color w:val="auto"/>
          <w:sz w:val="24"/>
          <w:szCs w:val="24"/>
        </w:rPr>
        <w:t xml:space="preserve"> </w:t>
      </w:r>
    </w:p>
    <w:p w:rsidR="007C737D" w:rsidRPr="00CA47B9" w:rsidRDefault="00B0298E" w:rsidP="00020CFC">
      <w:pPr>
        <w:pStyle w:val="11Bodytext"/>
        <w:tabs>
          <w:tab w:val="clear" w:pos="2212"/>
          <w:tab w:val="num" w:pos="567"/>
        </w:tabs>
        <w:ind w:left="567" w:hanging="567"/>
        <w:rPr>
          <w:color w:val="FF0000"/>
        </w:rPr>
      </w:pPr>
      <w:r w:rsidRPr="00CA47B9">
        <w:t>There</w:t>
      </w:r>
      <w:r w:rsidR="004B41A2" w:rsidRPr="00CA47B9">
        <w:t xml:space="preserve"> </w:t>
      </w:r>
      <w:r w:rsidRPr="00CA47B9">
        <w:t>are</w:t>
      </w:r>
      <w:r w:rsidR="004B41A2" w:rsidRPr="00CA47B9">
        <w:t xml:space="preserve"> </w:t>
      </w:r>
      <w:r w:rsidR="002A013A" w:rsidRPr="00CA47B9">
        <w:t>20</w:t>
      </w:r>
      <w:r w:rsidR="004B41A2" w:rsidRPr="00CA47B9">
        <w:t xml:space="preserve"> </w:t>
      </w:r>
      <w:r w:rsidRPr="00CA47B9">
        <w:t>business</w:t>
      </w:r>
      <w:r w:rsidR="00257CE5" w:rsidRPr="00CA47B9">
        <w:t>es</w:t>
      </w:r>
      <w:r w:rsidR="004B41A2" w:rsidRPr="00CA47B9">
        <w:t xml:space="preserve"> </w:t>
      </w:r>
      <w:r w:rsidRPr="00CA47B9">
        <w:t>which</w:t>
      </w:r>
      <w:r w:rsidR="004B41A2" w:rsidRPr="00CA47B9">
        <w:t xml:space="preserve"> </w:t>
      </w:r>
      <w:r w:rsidRPr="00CA47B9">
        <w:t>have</w:t>
      </w:r>
      <w:r w:rsidR="004B41A2" w:rsidRPr="00CA47B9">
        <w:t xml:space="preserve"> </w:t>
      </w:r>
      <w:r w:rsidRPr="00CA47B9">
        <w:t>over</w:t>
      </w:r>
      <w:r w:rsidR="004B41A2" w:rsidRPr="00CA47B9">
        <w:t xml:space="preserve"> </w:t>
      </w:r>
      <w:r w:rsidRPr="00CA47B9">
        <w:t>250</w:t>
      </w:r>
      <w:r w:rsidR="004B41A2" w:rsidRPr="00CA47B9">
        <w:t xml:space="preserve"> </w:t>
      </w:r>
      <w:r w:rsidRPr="00CA47B9">
        <w:t>employees.</w:t>
      </w:r>
      <w:r w:rsidR="004B41A2" w:rsidRPr="00CA47B9">
        <w:t xml:space="preserve"> </w:t>
      </w:r>
      <w:r w:rsidR="002A013A" w:rsidRPr="00CA47B9">
        <w:t>Large employers in the district</w:t>
      </w:r>
      <w:r w:rsidR="004B41A2" w:rsidRPr="00CA47B9">
        <w:t xml:space="preserve"> </w:t>
      </w:r>
      <w:r w:rsidRPr="00CA47B9">
        <w:t>include</w:t>
      </w:r>
      <w:r w:rsidR="004B41A2" w:rsidRPr="00CA47B9">
        <w:t xml:space="preserve"> </w:t>
      </w:r>
      <w:r w:rsidRPr="00CA47B9">
        <w:t>Rolls</w:t>
      </w:r>
      <w:r w:rsidR="004B41A2" w:rsidRPr="00CA47B9">
        <w:t xml:space="preserve"> </w:t>
      </w:r>
      <w:r w:rsidRPr="00CA47B9">
        <w:t>Royce</w:t>
      </w:r>
      <w:r w:rsidR="004B41A2" w:rsidRPr="00CA47B9">
        <w:t xml:space="preserve"> </w:t>
      </w:r>
      <w:r w:rsidR="00294C55" w:rsidRPr="00CA47B9">
        <w:t>Motor</w:t>
      </w:r>
      <w:r w:rsidR="004B41A2" w:rsidRPr="00CA47B9">
        <w:t xml:space="preserve"> </w:t>
      </w:r>
      <w:r w:rsidR="00294C55" w:rsidRPr="00CA47B9">
        <w:t>Cars</w:t>
      </w:r>
      <w:r w:rsidR="004B41A2" w:rsidRPr="00CA47B9">
        <w:t xml:space="preserve"> </w:t>
      </w:r>
      <w:r w:rsidRPr="00CA47B9">
        <w:t>which</w:t>
      </w:r>
      <w:r w:rsidR="004B41A2" w:rsidRPr="00CA47B9">
        <w:t xml:space="preserve"> </w:t>
      </w:r>
      <w:r w:rsidRPr="00CA47B9">
        <w:t>is</w:t>
      </w:r>
      <w:r w:rsidR="004B41A2" w:rsidRPr="00CA47B9">
        <w:t xml:space="preserve"> </w:t>
      </w:r>
      <w:r w:rsidRPr="00CA47B9">
        <w:t>part</w:t>
      </w:r>
      <w:r w:rsidR="004B41A2" w:rsidRPr="00CA47B9">
        <w:t xml:space="preserve"> </w:t>
      </w:r>
      <w:r w:rsidRPr="00CA47B9">
        <w:t>of</w:t>
      </w:r>
      <w:r w:rsidR="004B41A2" w:rsidRPr="00CA47B9">
        <w:t xml:space="preserve"> </w:t>
      </w:r>
      <w:r w:rsidRPr="00CA47B9">
        <w:t>the</w:t>
      </w:r>
      <w:r w:rsidR="004B41A2" w:rsidRPr="00CA47B9">
        <w:t xml:space="preserve"> </w:t>
      </w:r>
      <w:r w:rsidRPr="00CA47B9">
        <w:t>manufacturing</w:t>
      </w:r>
      <w:r w:rsidR="004B41A2" w:rsidRPr="00CA47B9">
        <w:t xml:space="preserve"> </w:t>
      </w:r>
      <w:r w:rsidRPr="00CA47B9">
        <w:t>of</w:t>
      </w:r>
      <w:r w:rsidR="004B41A2" w:rsidRPr="00CA47B9">
        <w:t xml:space="preserve"> </w:t>
      </w:r>
      <w:r w:rsidRPr="00CA47B9">
        <w:t>motor</w:t>
      </w:r>
      <w:r w:rsidR="004B41A2" w:rsidRPr="00CA47B9">
        <w:t xml:space="preserve"> </w:t>
      </w:r>
      <w:r w:rsidRPr="00CA47B9">
        <w:t>vehicles</w:t>
      </w:r>
      <w:r w:rsidR="004B41A2" w:rsidRPr="00CA47B9">
        <w:t xml:space="preserve"> </w:t>
      </w:r>
      <w:r w:rsidRPr="00CA47B9">
        <w:t>sector</w:t>
      </w:r>
      <w:r w:rsidR="00D36B75">
        <w:t xml:space="preserve"> and food production companies, </w:t>
      </w:r>
      <w:r w:rsidR="00FA2370" w:rsidRPr="00CA47B9">
        <w:t>although</w:t>
      </w:r>
      <w:r w:rsidR="004B41A2" w:rsidRPr="00CA47B9">
        <w:t xml:space="preserve"> </w:t>
      </w:r>
      <w:r w:rsidR="00FA2370" w:rsidRPr="00CA47B9">
        <w:t>levels</w:t>
      </w:r>
      <w:r w:rsidR="004B41A2" w:rsidRPr="00CA47B9">
        <w:t xml:space="preserve"> </w:t>
      </w:r>
      <w:r w:rsidR="00FA2370" w:rsidRPr="00CA47B9">
        <w:t>of</w:t>
      </w:r>
      <w:r w:rsidR="004B41A2" w:rsidRPr="00CA47B9">
        <w:t xml:space="preserve"> </w:t>
      </w:r>
      <w:r w:rsidR="00FA2370" w:rsidRPr="00CA47B9">
        <w:t>employment</w:t>
      </w:r>
      <w:r w:rsidR="004B41A2" w:rsidRPr="00CA47B9">
        <w:t xml:space="preserve"> </w:t>
      </w:r>
      <w:r w:rsidR="00FA2370" w:rsidRPr="00CA47B9">
        <w:t>in</w:t>
      </w:r>
      <w:r w:rsidR="004B41A2" w:rsidRPr="00CA47B9">
        <w:t xml:space="preserve"> </w:t>
      </w:r>
      <w:r w:rsidR="00FA2370" w:rsidRPr="00CA47B9">
        <w:t>the</w:t>
      </w:r>
      <w:r w:rsidR="004B41A2" w:rsidRPr="00CA47B9">
        <w:t xml:space="preserve"> </w:t>
      </w:r>
      <w:r w:rsidR="00FA2370" w:rsidRPr="00CA47B9">
        <w:t>horticulture/food</w:t>
      </w:r>
      <w:r w:rsidR="004B41A2" w:rsidRPr="00CA47B9">
        <w:t xml:space="preserve"> </w:t>
      </w:r>
      <w:r w:rsidR="00FA2370" w:rsidRPr="00CA47B9">
        <w:t>production</w:t>
      </w:r>
      <w:r w:rsidR="004B41A2" w:rsidRPr="00CA47B9">
        <w:t xml:space="preserve"> </w:t>
      </w:r>
      <w:r w:rsidR="00FA2370" w:rsidRPr="00CA47B9">
        <w:t>sector</w:t>
      </w:r>
      <w:r w:rsidR="004B41A2" w:rsidRPr="00CA47B9">
        <w:t xml:space="preserve"> </w:t>
      </w:r>
      <w:r w:rsidR="00FA2370" w:rsidRPr="00CA47B9">
        <w:t>are</w:t>
      </w:r>
      <w:r w:rsidR="004B41A2" w:rsidRPr="00CA47B9">
        <w:t xml:space="preserve"> </w:t>
      </w:r>
      <w:r w:rsidR="00FA2370" w:rsidRPr="00CA47B9">
        <w:t>subject</w:t>
      </w:r>
      <w:r w:rsidR="004B41A2" w:rsidRPr="00CA47B9">
        <w:t xml:space="preserve"> </w:t>
      </w:r>
      <w:r w:rsidR="00FA2370" w:rsidRPr="00CA47B9">
        <w:t>to</w:t>
      </w:r>
      <w:r w:rsidR="004B41A2" w:rsidRPr="00CA47B9">
        <w:t xml:space="preserve"> </w:t>
      </w:r>
      <w:r w:rsidR="00FA2370" w:rsidRPr="00CA47B9">
        <w:t>significant</w:t>
      </w:r>
      <w:r w:rsidR="004B41A2" w:rsidRPr="00CA47B9">
        <w:t xml:space="preserve"> </w:t>
      </w:r>
      <w:r w:rsidR="00FA2370" w:rsidRPr="00CA47B9">
        <w:t>seasonal</w:t>
      </w:r>
      <w:r w:rsidR="004B41A2" w:rsidRPr="00CA47B9">
        <w:t xml:space="preserve"> </w:t>
      </w:r>
      <w:r w:rsidR="00FA2370" w:rsidRPr="00CA47B9">
        <w:t>fluctuations.</w:t>
      </w:r>
      <w:r w:rsidR="004B41A2" w:rsidRPr="00CA47B9">
        <w:t xml:space="preserve"> </w:t>
      </w:r>
    </w:p>
    <w:p w:rsidR="00B0298E" w:rsidRPr="00CA47B9" w:rsidRDefault="00B0298E" w:rsidP="00BD6C75">
      <w:pPr>
        <w:pStyle w:val="Addressline1"/>
        <w:ind w:left="567" w:firstLine="0"/>
      </w:pPr>
      <w:r w:rsidRPr="00CA47B9">
        <w:t>Labour</w:t>
      </w:r>
      <w:r w:rsidR="004B41A2" w:rsidRPr="00CA47B9">
        <w:t xml:space="preserve"> </w:t>
      </w:r>
      <w:r w:rsidRPr="00CA47B9">
        <w:t>Market</w:t>
      </w:r>
    </w:p>
    <w:p w:rsidR="00B0298E" w:rsidRPr="00CA47B9" w:rsidRDefault="00B0298E" w:rsidP="00BD6C75">
      <w:pPr>
        <w:pStyle w:val="Subheadingbold"/>
        <w:ind w:left="567" w:firstLine="0"/>
      </w:pPr>
      <w:r w:rsidRPr="00CA47B9">
        <w:t>Economic</w:t>
      </w:r>
      <w:r w:rsidR="004B41A2" w:rsidRPr="00CA47B9">
        <w:t xml:space="preserve"> </w:t>
      </w:r>
      <w:r w:rsidRPr="00CA47B9">
        <w:t>Participation</w:t>
      </w:r>
      <w:r w:rsidR="004B41A2" w:rsidRPr="00CA47B9">
        <w:t xml:space="preserve"> </w:t>
      </w:r>
    </w:p>
    <w:p w:rsidR="00B0298E" w:rsidRPr="00CA47B9" w:rsidRDefault="00B0298E" w:rsidP="00020CFC">
      <w:pPr>
        <w:pStyle w:val="11Bodytext"/>
        <w:tabs>
          <w:tab w:val="clear" w:pos="2212"/>
          <w:tab w:val="num" w:pos="567"/>
        </w:tabs>
        <w:ind w:left="567" w:hanging="567"/>
      </w:pPr>
      <w:r w:rsidRPr="00CA47B9">
        <w:t>Figure</w:t>
      </w:r>
      <w:r w:rsidR="004B41A2" w:rsidRPr="00CA47B9">
        <w:t xml:space="preserve"> </w:t>
      </w:r>
      <w:r w:rsidR="005F7E4B">
        <w:t>26</w:t>
      </w:r>
      <w:r w:rsidR="004B41A2" w:rsidRPr="00CA47B9">
        <w:t xml:space="preserve"> </w:t>
      </w:r>
      <w:r w:rsidRPr="00CA47B9">
        <w:t>shows</w:t>
      </w:r>
      <w:r w:rsidR="004B41A2" w:rsidRPr="00CA47B9">
        <w:t xml:space="preserve"> </w:t>
      </w:r>
      <w:r w:rsidRPr="00CA47B9">
        <w:t>employment</w:t>
      </w:r>
      <w:r w:rsidR="004B41A2" w:rsidRPr="00CA47B9">
        <w:t xml:space="preserve"> </w:t>
      </w:r>
      <w:r w:rsidR="00CC47DA" w:rsidRPr="00CA47B9">
        <w:t>and</w:t>
      </w:r>
      <w:r w:rsidR="004B41A2" w:rsidRPr="00CA47B9">
        <w:t xml:space="preserve"> </w:t>
      </w:r>
      <w:r w:rsidRPr="00CA47B9">
        <w:t>unemployment</w:t>
      </w:r>
      <w:r w:rsidR="004B41A2" w:rsidRPr="00CA47B9">
        <w:t xml:space="preserve"> </w:t>
      </w:r>
      <w:r w:rsidRPr="00CA47B9">
        <w:t>as</w:t>
      </w:r>
      <w:r w:rsidR="004B41A2" w:rsidRPr="00CA47B9">
        <w:t xml:space="preserve"> </w:t>
      </w:r>
      <w:r w:rsidRPr="00CA47B9">
        <w:t>a</w:t>
      </w:r>
      <w:r w:rsidR="004B41A2" w:rsidRPr="00CA47B9">
        <w:t xml:space="preserve"> </w:t>
      </w:r>
      <w:r w:rsidRPr="00CA47B9">
        <w:t>percentage</w:t>
      </w:r>
      <w:r w:rsidR="004B41A2" w:rsidRPr="00CA47B9">
        <w:t xml:space="preserve"> </w:t>
      </w:r>
      <w:r w:rsidRPr="00CA47B9">
        <w:t>of</w:t>
      </w:r>
      <w:r w:rsidR="004B41A2" w:rsidRPr="00CA47B9">
        <w:t xml:space="preserve"> </w:t>
      </w:r>
      <w:r w:rsidRPr="00CA47B9">
        <w:t>the</w:t>
      </w:r>
      <w:r w:rsidR="004B41A2" w:rsidRPr="00CA47B9">
        <w:t xml:space="preserve"> </w:t>
      </w:r>
      <w:r w:rsidR="00855CA6" w:rsidRPr="00CA47B9">
        <w:t>working</w:t>
      </w:r>
      <w:r w:rsidR="00855CA6">
        <w:t>-</w:t>
      </w:r>
      <w:r w:rsidRPr="00CA47B9">
        <w:t>age</w:t>
      </w:r>
      <w:r w:rsidR="004B41A2" w:rsidRPr="00CA47B9">
        <w:t xml:space="preserve"> </w:t>
      </w:r>
      <w:r w:rsidR="00CC47DA" w:rsidRPr="00CA47B9">
        <w:t>population</w:t>
      </w:r>
      <w:r w:rsidR="004B41A2" w:rsidRPr="00CA47B9">
        <w:t xml:space="preserve"> </w:t>
      </w:r>
      <w:r w:rsidRPr="00CA47B9">
        <w:t>(</w:t>
      </w:r>
      <w:r w:rsidR="004C0C9D" w:rsidRPr="00CA47B9">
        <w:t>defined</w:t>
      </w:r>
      <w:r w:rsidR="004B41A2" w:rsidRPr="00CA47B9">
        <w:t xml:space="preserve"> </w:t>
      </w:r>
      <w:r w:rsidR="004C0C9D" w:rsidRPr="00CA47B9">
        <w:t>by</w:t>
      </w:r>
      <w:r w:rsidR="004B41A2" w:rsidRPr="00CA47B9">
        <w:t xml:space="preserve"> </w:t>
      </w:r>
      <w:r w:rsidR="004C0C9D" w:rsidRPr="00CA47B9">
        <w:t>ONS</w:t>
      </w:r>
      <w:r w:rsidR="004B41A2" w:rsidRPr="00CA47B9">
        <w:t xml:space="preserve"> </w:t>
      </w:r>
      <w:r w:rsidR="004C0C9D" w:rsidRPr="00CA47B9">
        <w:t>to</w:t>
      </w:r>
      <w:r w:rsidR="004B41A2" w:rsidRPr="00CA47B9">
        <w:t xml:space="preserve"> </w:t>
      </w:r>
      <w:r w:rsidR="004C0C9D" w:rsidRPr="00CA47B9">
        <w:t>be</w:t>
      </w:r>
      <w:r w:rsidR="004B41A2" w:rsidRPr="00CA47B9">
        <w:t xml:space="preserve"> </w:t>
      </w:r>
      <w:r w:rsidR="004C0C9D" w:rsidRPr="00CA47B9">
        <w:t>the</w:t>
      </w:r>
      <w:r w:rsidR="004B41A2" w:rsidRPr="00CA47B9">
        <w:t xml:space="preserve"> </w:t>
      </w:r>
      <w:r w:rsidR="004C0C9D" w:rsidRPr="00CA47B9">
        <w:t>population</w:t>
      </w:r>
      <w:r w:rsidR="004B41A2" w:rsidRPr="00CA47B9">
        <w:t xml:space="preserve"> </w:t>
      </w:r>
      <w:r w:rsidR="004C0C9D" w:rsidRPr="00CA47B9">
        <w:t>aged</w:t>
      </w:r>
      <w:r w:rsidR="004B41A2" w:rsidRPr="00CA47B9">
        <w:t xml:space="preserve"> </w:t>
      </w:r>
      <w:r w:rsidRPr="00CA47B9">
        <w:t>16-64</w:t>
      </w:r>
      <w:r w:rsidR="004B41A2" w:rsidRPr="00CA47B9">
        <w:t xml:space="preserve"> </w:t>
      </w:r>
      <w:r w:rsidRPr="00CA47B9">
        <w:t>years)</w:t>
      </w:r>
      <w:r w:rsidR="00CC47DA" w:rsidRPr="00CA47B9">
        <w:t>.</w:t>
      </w:r>
      <w:r w:rsidR="004B41A2" w:rsidRPr="00CA47B9">
        <w:t xml:space="preserve"> </w:t>
      </w:r>
      <w:r w:rsidR="00642D94" w:rsidRPr="00CA47B9">
        <w:t>The</w:t>
      </w:r>
      <w:r w:rsidR="004B41A2" w:rsidRPr="00CA47B9">
        <w:t xml:space="preserve"> </w:t>
      </w:r>
      <w:r w:rsidR="00642D94" w:rsidRPr="00CA47B9">
        <w:t>figure</w:t>
      </w:r>
      <w:r w:rsidR="004B41A2" w:rsidRPr="00CA47B9">
        <w:t xml:space="preserve"> </w:t>
      </w:r>
      <w:r w:rsidR="00642D94" w:rsidRPr="00CA47B9">
        <w:t>also</w:t>
      </w:r>
      <w:r w:rsidR="004B41A2" w:rsidRPr="00CA47B9">
        <w:t xml:space="preserve"> </w:t>
      </w:r>
      <w:r w:rsidR="00CC47DA" w:rsidRPr="00CA47B9">
        <w:t>shows</w:t>
      </w:r>
      <w:r w:rsidR="004B41A2" w:rsidRPr="00CA47B9">
        <w:t xml:space="preserve"> </w:t>
      </w:r>
      <w:r w:rsidRPr="00CA47B9">
        <w:t>economic</w:t>
      </w:r>
      <w:r w:rsidR="004B41A2" w:rsidRPr="00CA47B9">
        <w:t xml:space="preserve"> </w:t>
      </w:r>
      <w:r w:rsidRPr="00CA47B9">
        <w:t>activity</w:t>
      </w:r>
      <w:r w:rsidR="004B41A2" w:rsidRPr="00CA47B9">
        <w:t xml:space="preserve"> </w:t>
      </w:r>
      <w:r w:rsidR="00642D94" w:rsidRPr="00CA47B9">
        <w:t>as</w:t>
      </w:r>
      <w:r w:rsidR="004B41A2" w:rsidRPr="00CA47B9">
        <w:t xml:space="preserve"> </w:t>
      </w:r>
      <w:r w:rsidR="00642D94" w:rsidRPr="00CA47B9">
        <w:t>a</w:t>
      </w:r>
      <w:r w:rsidR="004B41A2" w:rsidRPr="00CA47B9">
        <w:t xml:space="preserve"> </w:t>
      </w:r>
      <w:r w:rsidR="00642D94" w:rsidRPr="00CA47B9">
        <w:t>percentage</w:t>
      </w:r>
      <w:r w:rsidR="004B41A2" w:rsidRPr="00CA47B9">
        <w:t xml:space="preserve"> </w:t>
      </w:r>
      <w:r w:rsidR="00642D94" w:rsidRPr="00CA47B9">
        <w:t>of</w:t>
      </w:r>
      <w:r w:rsidR="004B41A2" w:rsidRPr="00CA47B9">
        <w:t xml:space="preserve"> </w:t>
      </w:r>
      <w:r w:rsidRPr="00CA47B9">
        <w:t>those</w:t>
      </w:r>
      <w:r w:rsidR="004B41A2" w:rsidRPr="00CA47B9">
        <w:t xml:space="preserve"> </w:t>
      </w:r>
      <w:r w:rsidRPr="00CA47B9">
        <w:t>aged</w:t>
      </w:r>
      <w:r w:rsidR="004B41A2" w:rsidRPr="00CA47B9">
        <w:t xml:space="preserve"> </w:t>
      </w:r>
      <w:r w:rsidRPr="00CA47B9">
        <w:t>over</w:t>
      </w:r>
      <w:r w:rsidR="004B41A2" w:rsidRPr="00CA47B9">
        <w:t xml:space="preserve"> </w:t>
      </w:r>
      <w:r w:rsidRPr="00CA47B9">
        <w:t>16.</w:t>
      </w:r>
      <w:r w:rsidR="004B41A2" w:rsidRPr="00CA47B9">
        <w:t xml:space="preserve"> </w:t>
      </w:r>
    </w:p>
    <w:p w:rsidR="00B0298E" w:rsidRPr="00CA47B9" w:rsidRDefault="00B0298E" w:rsidP="00020CFC">
      <w:pPr>
        <w:pStyle w:val="11Bodytext"/>
        <w:tabs>
          <w:tab w:val="clear" w:pos="2212"/>
          <w:tab w:val="num" w:pos="567"/>
        </w:tabs>
        <w:ind w:left="567" w:hanging="567"/>
      </w:pPr>
      <w:r w:rsidRPr="00CA47B9">
        <w:t>The</w:t>
      </w:r>
      <w:r w:rsidR="004B41A2" w:rsidRPr="00CA47B9">
        <w:t xml:space="preserve"> </w:t>
      </w:r>
      <w:r w:rsidRPr="00CA47B9">
        <w:t>figures</w:t>
      </w:r>
      <w:r w:rsidR="004B41A2" w:rsidRPr="00CA47B9">
        <w:t xml:space="preserve"> </w:t>
      </w:r>
      <w:r w:rsidRPr="00CA47B9">
        <w:t>show</w:t>
      </w:r>
      <w:r w:rsidR="004B41A2" w:rsidRPr="00CA47B9">
        <w:t xml:space="preserve"> </w:t>
      </w:r>
      <w:r w:rsidRPr="00CA47B9">
        <w:t>that</w:t>
      </w:r>
      <w:r w:rsidR="004B41A2" w:rsidRPr="00CA47B9">
        <w:t xml:space="preserve"> </w:t>
      </w:r>
      <w:r w:rsidRPr="00CA47B9">
        <w:t>the</w:t>
      </w:r>
      <w:r w:rsidR="004B41A2" w:rsidRPr="00CA47B9">
        <w:t xml:space="preserve"> </w:t>
      </w:r>
      <w:r w:rsidRPr="00CA47B9">
        <w:t>employment</w:t>
      </w:r>
      <w:r w:rsidR="004B41A2" w:rsidRPr="00CA47B9">
        <w:t xml:space="preserve"> </w:t>
      </w:r>
      <w:r w:rsidRPr="00CA47B9">
        <w:t>rate</w:t>
      </w:r>
      <w:r w:rsidR="004B41A2" w:rsidRPr="00CA47B9">
        <w:t xml:space="preserve"> </w:t>
      </w:r>
      <w:r w:rsidRPr="00CA47B9">
        <w:t>in</w:t>
      </w:r>
      <w:r w:rsidR="004B41A2" w:rsidRPr="00CA47B9">
        <w:t xml:space="preserve"> </w:t>
      </w:r>
      <w:r w:rsidRPr="00CA47B9">
        <w:t>Chichester</w:t>
      </w:r>
      <w:r w:rsidR="004B41A2" w:rsidRPr="00CA47B9">
        <w:t xml:space="preserve"> </w:t>
      </w:r>
      <w:r w:rsidR="00845BCB" w:rsidRPr="00CA47B9">
        <w:t>District</w:t>
      </w:r>
      <w:r w:rsidR="004B41A2" w:rsidRPr="00CA47B9">
        <w:t xml:space="preserve"> </w:t>
      </w:r>
      <w:r w:rsidRPr="00CA47B9">
        <w:t>is</w:t>
      </w:r>
      <w:r w:rsidR="004B41A2" w:rsidRPr="00CA47B9">
        <w:t xml:space="preserve"> </w:t>
      </w:r>
      <w:r w:rsidR="00EA087C" w:rsidRPr="00CA47B9">
        <w:t>85.2</w:t>
      </w:r>
      <w:r w:rsidRPr="00CA47B9">
        <w:t>%.</w:t>
      </w:r>
      <w:r w:rsidR="004B41A2" w:rsidRPr="00CA47B9">
        <w:t xml:space="preserve"> </w:t>
      </w:r>
      <w:r w:rsidRPr="00CA47B9">
        <w:t>This</w:t>
      </w:r>
      <w:r w:rsidR="004B41A2" w:rsidRPr="00CA47B9">
        <w:t xml:space="preserve"> </w:t>
      </w:r>
      <w:r w:rsidRPr="00CA47B9">
        <w:t>is</w:t>
      </w:r>
      <w:r w:rsidR="00590313" w:rsidRPr="00CA47B9">
        <w:t xml:space="preserve"> above </w:t>
      </w:r>
      <w:r w:rsidRPr="00CA47B9">
        <w:t>the</w:t>
      </w:r>
      <w:r w:rsidR="004B41A2" w:rsidRPr="00CA47B9">
        <w:t xml:space="preserve"> </w:t>
      </w:r>
      <w:r w:rsidRPr="00CA47B9">
        <w:t>regional</w:t>
      </w:r>
      <w:r w:rsidR="004B41A2" w:rsidRPr="00CA47B9">
        <w:t xml:space="preserve"> </w:t>
      </w:r>
      <w:r w:rsidRPr="00CA47B9">
        <w:t>rate</w:t>
      </w:r>
      <w:r w:rsidR="004B41A2" w:rsidRPr="00CA47B9">
        <w:t xml:space="preserve"> </w:t>
      </w:r>
      <w:r w:rsidRPr="00CA47B9">
        <w:t>(7</w:t>
      </w:r>
      <w:r w:rsidR="00590313" w:rsidRPr="00CA47B9">
        <w:t>8</w:t>
      </w:r>
      <w:r w:rsidR="009E4C61" w:rsidRPr="00CA47B9">
        <w:t>.</w:t>
      </w:r>
      <w:r w:rsidR="00590313" w:rsidRPr="00CA47B9">
        <w:t>4</w:t>
      </w:r>
      <w:r w:rsidRPr="00CA47B9">
        <w:t>%)</w:t>
      </w:r>
      <w:r w:rsidR="004B41A2" w:rsidRPr="00CA47B9">
        <w:t xml:space="preserve"> </w:t>
      </w:r>
      <w:r w:rsidRPr="00CA47B9">
        <w:t>and</w:t>
      </w:r>
      <w:r w:rsidR="004B41A2" w:rsidRPr="00CA47B9">
        <w:t xml:space="preserve"> </w:t>
      </w:r>
      <w:r w:rsidR="009E4C61" w:rsidRPr="00CA47B9">
        <w:t>above</w:t>
      </w:r>
      <w:r w:rsidR="004B41A2" w:rsidRPr="00CA47B9">
        <w:t xml:space="preserve"> </w:t>
      </w:r>
      <w:r w:rsidRPr="00CA47B9">
        <w:t>the</w:t>
      </w:r>
      <w:r w:rsidR="004B41A2" w:rsidRPr="00CA47B9">
        <w:t xml:space="preserve"> </w:t>
      </w:r>
      <w:r w:rsidRPr="00CA47B9">
        <w:t>national</w:t>
      </w:r>
      <w:r w:rsidR="004B41A2" w:rsidRPr="00CA47B9">
        <w:t xml:space="preserve"> </w:t>
      </w:r>
      <w:r w:rsidRPr="00CA47B9">
        <w:t>rate</w:t>
      </w:r>
      <w:r w:rsidR="004B41A2" w:rsidRPr="00CA47B9">
        <w:t xml:space="preserve"> </w:t>
      </w:r>
      <w:r w:rsidRPr="00CA47B9">
        <w:t>(7</w:t>
      </w:r>
      <w:r w:rsidR="00590313" w:rsidRPr="00CA47B9">
        <w:t>6</w:t>
      </w:r>
      <w:r w:rsidRPr="00CA47B9">
        <w:t>.7%).</w:t>
      </w:r>
    </w:p>
    <w:p w:rsidR="00B0298E" w:rsidRPr="00CA47B9" w:rsidRDefault="00B0298E" w:rsidP="00FC604D">
      <w:pPr>
        <w:pStyle w:val="FigureHeading"/>
        <w:tabs>
          <w:tab w:val="clear" w:pos="794"/>
          <w:tab w:val="clear" w:pos="1843"/>
          <w:tab w:val="left" w:pos="0"/>
        </w:tabs>
        <w:ind w:left="0" w:firstLine="0"/>
      </w:pPr>
      <w:bookmarkStart w:id="101" w:name="_Toc481156658"/>
      <w:r w:rsidRPr="00CA47B9">
        <w:lastRenderedPageBreak/>
        <w:t>Economic</w:t>
      </w:r>
      <w:r w:rsidR="004B41A2" w:rsidRPr="00CA47B9">
        <w:t xml:space="preserve"> </w:t>
      </w:r>
      <w:r w:rsidRPr="00CA47B9">
        <w:t>Activity</w:t>
      </w:r>
      <w:r w:rsidR="004B41A2" w:rsidRPr="00CA47B9">
        <w:t xml:space="preserve"> </w:t>
      </w:r>
      <w:r w:rsidRPr="00CA47B9">
        <w:t>Rates</w:t>
      </w:r>
      <w:r w:rsidR="004B41A2" w:rsidRPr="00CA47B9">
        <w:t xml:space="preserve"> </w:t>
      </w:r>
      <w:r w:rsidRPr="00CA47B9">
        <w:t>(201</w:t>
      </w:r>
      <w:r w:rsidR="00EA087C" w:rsidRPr="00CA47B9">
        <w:t>8</w:t>
      </w:r>
      <w:r w:rsidRPr="00CA47B9">
        <w:t>)</w:t>
      </w:r>
      <w:bookmarkEnd w:id="101"/>
      <w:r w:rsidR="004B41A2" w:rsidRPr="00CA47B9">
        <w:rPr>
          <w:rStyle w:val="FootnoteReference"/>
          <w:color w:val="auto"/>
        </w:rPr>
        <w:t xml:space="preserve"> </w:t>
      </w:r>
      <w:r w:rsidR="00BC7E1C" w:rsidRPr="00CA47B9">
        <w:rPr>
          <w:rStyle w:val="FootnoteReference"/>
          <w:color w:val="auto"/>
        </w:rPr>
        <w:footnoteReference w:id="7"/>
      </w:r>
    </w:p>
    <w:p w:rsidR="00E0078B" w:rsidRPr="00CA47B9" w:rsidRDefault="00E0078B" w:rsidP="00163B4B">
      <w:pPr>
        <w:keepNext/>
        <w:jc w:val="both"/>
        <w:rPr>
          <w:rFonts w:asciiTheme="minorHAnsi" w:hAnsiTheme="minorHAnsi" w:cstheme="minorHAnsi"/>
          <w:color w:val="auto"/>
        </w:rPr>
      </w:pPr>
      <w:r w:rsidRPr="00CA47B9">
        <w:rPr>
          <w:noProof/>
          <w:color w:val="auto"/>
          <w:lang w:eastAsia="en-GB"/>
        </w:rPr>
        <w:drawing>
          <wp:inline distT="0" distB="0" distL="0" distR="0" wp14:anchorId="06462980" wp14:editId="4CB2BB10">
            <wp:extent cx="6120000" cy="2880000"/>
            <wp:effectExtent l="0" t="0" r="14605" b="15875"/>
            <wp:docPr id="265" name="Chart 265" descr="Bar chart  comparing the employment rates, economic activity rates and unemployment rates in Chichester as compared to the county, region and country in 2018" title="Figure 26: Economic Activity Rates 20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CF3FD6-A0F1-496B-85A3-59C751F7D8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F3A14" w:rsidRPr="00B242EB" w:rsidRDefault="00B0298E" w:rsidP="00FC604D">
      <w:pPr>
        <w:spacing w:after="120" w:line="360" w:lineRule="auto"/>
        <w:jc w:val="both"/>
        <w:rPr>
          <w:rFonts w:asciiTheme="minorHAnsi" w:hAnsiTheme="minorHAnsi" w:cstheme="minorHAnsi"/>
          <w:color w:val="auto"/>
          <w:sz w:val="24"/>
          <w:szCs w:val="24"/>
        </w:rPr>
      </w:pPr>
      <w:r w:rsidRPr="00B242EB">
        <w:rPr>
          <w:rFonts w:asciiTheme="minorHAnsi" w:hAnsiTheme="minorHAnsi" w:cstheme="minorHAnsi"/>
          <w:color w:val="auto"/>
          <w:sz w:val="24"/>
          <w:szCs w:val="24"/>
        </w:rPr>
        <w:t>Source:</w:t>
      </w:r>
      <w:r w:rsidR="004B41A2" w:rsidRPr="00B242EB">
        <w:rPr>
          <w:rFonts w:asciiTheme="minorHAnsi" w:hAnsiTheme="minorHAnsi" w:cstheme="minorHAnsi"/>
          <w:color w:val="auto"/>
          <w:sz w:val="24"/>
          <w:szCs w:val="24"/>
        </w:rPr>
        <w:t xml:space="preserve"> </w:t>
      </w:r>
      <w:r w:rsidRPr="00B242EB">
        <w:rPr>
          <w:rFonts w:asciiTheme="minorHAnsi" w:hAnsiTheme="minorHAnsi" w:cstheme="minorHAnsi"/>
          <w:color w:val="auto"/>
          <w:sz w:val="24"/>
          <w:szCs w:val="24"/>
        </w:rPr>
        <w:t>Annual</w:t>
      </w:r>
      <w:r w:rsidR="004B41A2" w:rsidRPr="00B242EB">
        <w:rPr>
          <w:rFonts w:asciiTheme="minorHAnsi" w:hAnsiTheme="minorHAnsi" w:cstheme="minorHAnsi"/>
          <w:color w:val="auto"/>
          <w:sz w:val="24"/>
          <w:szCs w:val="24"/>
        </w:rPr>
        <w:t xml:space="preserve"> </w:t>
      </w:r>
      <w:r w:rsidRPr="00B242EB">
        <w:rPr>
          <w:rFonts w:asciiTheme="minorHAnsi" w:hAnsiTheme="minorHAnsi" w:cstheme="minorHAnsi"/>
          <w:color w:val="auto"/>
          <w:sz w:val="24"/>
          <w:szCs w:val="24"/>
        </w:rPr>
        <w:t>Population</w:t>
      </w:r>
      <w:r w:rsidR="004B41A2" w:rsidRPr="00B242EB">
        <w:rPr>
          <w:rFonts w:asciiTheme="minorHAnsi" w:hAnsiTheme="minorHAnsi" w:cstheme="minorHAnsi"/>
          <w:color w:val="auto"/>
          <w:sz w:val="24"/>
          <w:szCs w:val="24"/>
        </w:rPr>
        <w:t xml:space="preserve"> </w:t>
      </w:r>
      <w:r w:rsidRPr="00B242EB">
        <w:rPr>
          <w:rFonts w:asciiTheme="minorHAnsi" w:hAnsiTheme="minorHAnsi" w:cstheme="minorHAnsi"/>
          <w:color w:val="auto"/>
          <w:sz w:val="24"/>
          <w:szCs w:val="24"/>
        </w:rPr>
        <w:t>Survey</w:t>
      </w:r>
      <w:r w:rsidR="004B41A2" w:rsidRPr="00B242EB">
        <w:rPr>
          <w:rFonts w:asciiTheme="minorHAnsi" w:hAnsiTheme="minorHAnsi" w:cstheme="minorHAnsi"/>
          <w:color w:val="auto"/>
          <w:sz w:val="24"/>
          <w:szCs w:val="24"/>
        </w:rPr>
        <w:t xml:space="preserve"> </w:t>
      </w:r>
      <w:r w:rsidRPr="00B242EB">
        <w:rPr>
          <w:rFonts w:asciiTheme="minorHAnsi" w:hAnsiTheme="minorHAnsi" w:cstheme="minorHAnsi"/>
          <w:color w:val="auto"/>
          <w:sz w:val="24"/>
          <w:szCs w:val="24"/>
        </w:rPr>
        <w:t>(201</w:t>
      </w:r>
      <w:r w:rsidR="00DF3A14" w:rsidRPr="00B242EB">
        <w:rPr>
          <w:rFonts w:asciiTheme="minorHAnsi" w:hAnsiTheme="minorHAnsi" w:cstheme="minorHAnsi"/>
          <w:color w:val="auto"/>
          <w:sz w:val="24"/>
          <w:szCs w:val="24"/>
        </w:rPr>
        <w:t>8</w:t>
      </w:r>
      <w:r w:rsidRPr="00B242EB">
        <w:rPr>
          <w:rFonts w:asciiTheme="minorHAnsi" w:hAnsiTheme="minorHAnsi" w:cstheme="minorHAnsi"/>
          <w:color w:val="auto"/>
          <w:sz w:val="24"/>
          <w:szCs w:val="24"/>
        </w:rPr>
        <w:t>)</w:t>
      </w:r>
    </w:p>
    <w:p w:rsidR="009B6400" w:rsidRPr="00CA47B9" w:rsidRDefault="009B6400" w:rsidP="00020CFC">
      <w:pPr>
        <w:pStyle w:val="11Bodytext"/>
        <w:tabs>
          <w:tab w:val="clear" w:pos="2212"/>
          <w:tab w:val="num" w:pos="567"/>
        </w:tabs>
        <w:ind w:left="567" w:hanging="567"/>
        <w:rPr>
          <w:b/>
        </w:rPr>
      </w:pPr>
      <w:r w:rsidRPr="00CA47B9">
        <w:t>The</w:t>
      </w:r>
      <w:r w:rsidR="004B41A2" w:rsidRPr="00CA47B9">
        <w:t xml:space="preserve"> </w:t>
      </w:r>
      <w:r w:rsidRPr="00CA47B9">
        <w:t>Economic</w:t>
      </w:r>
      <w:r w:rsidR="004B41A2" w:rsidRPr="00CA47B9">
        <w:t xml:space="preserve"> </w:t>
      </w:r>
      <w:r w:rsidRPr="00CA47B9">
        <w:t>Activity</w:t>
      </w:r>
      <w:r w:rsidR="004B41A2" w:rsidRPr="00CA47B9">
        <w:t xml:space="preserve"> </w:t>
      </w:r>
      <w:r w:rsidRPr="00CA47B9">
        <w:t>Rate</w:t>
      </w:r>
      <w:r w:rsidR="004B41A2" w:rsidRPr="00CA47B9">
        <w:t xml:space="preserve"> </w:t>
      </w:r>
      <w:r w:rsidRPr="00CA47B9">
        <w:t>describes</w:t>
      </w:r>
      <w:r w:rsidR="004B41A2" w:rsidRPr="00CA47B9">
        <w:t xml:space="preserve"> </w:t>
      </w:r>
      <w:r w:rsidRPr="00CA47B9">
        <w:t>the</w:t>
      </w:r>
      <w:r w:rsidR="004B41A2" w:rsidRPr="00CA47B9">
        <w:t xml:space="preserve"> </w:t>
      </w:r>
      <w:r w:rsidRPr="00CA47B9">
        <w:t>percentage</w:t>
      </w:r>
      <w:r w:rsidR="004B41A2" w:rsidRPr="00CA47B9">
        <w:t xml:space="preserve"> </w:t>
      </w:r>
      <w:r w:rsidRPr="00CA47B9">
        <w:t>of</w:t>
      </w:r>
      <w:r w:rsidR="004B41A2" w:rsidRPr="00CA47B9">
        <w:t xml:space="preserve"> </w:t>
      </w:r>
      <w:r w:rsidRPr="00CA47B9">
        <w:t>working-age</w:t>
      </w:r>
      <w:r w:rsidR="004B41A2" w:rsidRPr="00CA47B9">
        <w:t xml:space="preserve"> </w:t>
      </w:r>
      <w:r w:rsidRPr="00CA47B9">
        <w:t>adults</w:t>
      </w:r>
      <w:r w:rsidR="004B41A2" w:rsidRPr="00CA47B9">
        <w:t xml:space="preserve"> </w:t>
      </w:r>
      <w:r w:rsidRPr="00CA47B9">
        <w:t>(16</w:t>
      </w:r>
      <w:r w:rsidR="00A31A85" w:rsidRPr="00CA47B9">
        <w:t>-64</w:t>
      </w:r>
      <w:r w:rsidRPr="00CA47B9">
        <w:t>)</w:t>
      </w:r>
      <w:r w:rsidR="004B41A2" w:rsidRPr="00CA47B9">
        <w:t xml:space="preserve"> </w:t>
      </w:r>
      <w:r w:rsidRPr="00CA47B9">
        <w:t>who</w:t>
      </w:r>
      <w:r w:rsidR="004B41A2" w:rsidRPr="00CA47B9">
        <w:t xml:space="preserve"> </w:t>
      </w:r>
      <w:r w:rsidRPr="00CA47B9">
        <w:t>are</w:t>
      </w:r>
      <w:r w:rsidR="004B41A2" w:rsidRPr="00CA47B9">
        <w:t xml:space="preserve"> </w:t>
      </w:r>
      <w:r w:rsidRPr="00CA47B9">
        <w:t>working</w:t>
      </w:r>
      <w:r w:rsidR="004B41A2" w:rsidRPr="00CA47B9">
        <w:t xml:space="preserve"> </w:t>
      </w:r>
      <w:r w:rsidRPr="00CA47B9">
        <w:t>or</w:t>
      </w:r>
      <w:r w:rsidR="004B41A2" w:rsidRPr="00CA47B9">
        <w:t xml:space="preserve"> </w:t>
      </w:r>
      <w:r w:rsidRPr="00CA47B9">
        <w:t>looking</w:t>
      </w:r>
      <w:r w:rsidR="004B41A2" w:rsidRPr="00CA47B9">
        <w:t xml:space="preserve"> </w:t>
      </w:r>
      <w:r w:rsidRPr="00CA47B9">
        <w:t>for</w:t>
      </w:r>
      <w:r w:rsidR="004B41A2" w:rsidRPr="00CA47B9">
        <w:t xml:space="preserve"> </w:t>
      </w:r>
      <w:r w:rsidRPr="00CA47B9">
        <w:t>work.</w:t>
      </w:r>
      <w:r w:rsidR="004B41A2" w:rsidRPr="00CA47B9">
        <w:t xml:space="preserve"> </w:t>
      </w:r>
      <w:r w:rsidRPr="00CA47B9">
        <w:t>The</w:t>
      </w:r>
      <w:r w:rsidR="004B41A2" w:rsidRPr="00CA47B9">
        <w:t xml:space="preserve"> </w:t>
      </w:r>
      <w:r w:rsidRPr="00CA47B9">
        <w:t>Economic</w:t>
      </w:r>
      <w:r w:rsidR="004B41A2" w:rsidRPr="00CA47B9">
        <w:t xml:space="preserve"> </w:t>
      </w:r>
      <w:r w:rsidRPr="00CA47B9">
        <w:t>Activity</w:t>
      </w:r>
      <w:r w:rsidR="004B41A2" w:rsidRPr="00CA47B9">
        <w:t xml:space="preserve"> </w:t>
      </w:r>
      <w:r w:rsidRPr="00CA47B9">
        <w:t>Rates</w:t>
      </w:r>
      <w:r w:rsidR="004B41A2" w:rsidRPr="00CA47B9">
        <w:t xml:space="preserve"> </w:t>
      </w:r>
      <w:r w:rsidRPr="00CA47B9">
        <w:t>in</w:t>
      </w:r>
      <w:r w:rsidR="004B41A2" w:rsidRPr="00CA47B9">
        <w:t xml:space="preserve"> </w:t>
      </w:r>
      <w:r w:rsidRPr="00CA47B9">
        <w:t>Chichester</w:t>
      </w:r>
      <w:r w:rsidR="004B41A2" w:rsidRPr="00CA47B9">
        <w:t xml:space="preserve"> </w:t>
      </w:r>
      <w:r w:rsidRPr="00CA47B9">
        <w:t>(</w:t>
      </w:r>
      <w:r w:rsidR="00A31A85" w:rsidRPr="00CA47B9">
        <w:t>88.4</w:t>
      </w:r>
      <w:r w:rsidRPr="00CA47B9">
        <w:t>%)</w:t>
      </w:r>
      <w:r w:rsidR="004B41A2" w:rsidRPr="00CA47B9">
        <w:t xml:space="preserve"> </w:t>
      </w:r>
      <w:r w:rsidR="00855CA6">
        <w:t>is</w:t>
      </w:r>
      <w:r w:rsidR="00855CA6" w:rsidRPr="00CA47B9">
        <w:t xml:space="preserve"> </w:t>
      </w:r>
      <w:r w:rsidRPr="00CA47B9">
        <w:t>much</w:t>
      </w:r>
      <w:r w:rsidR="004B41A2" w:rsidRPr="00CA47B9">
        <w:t xml:space="preserve"> </w:t>
      </w:r>
      <w:r w:rsidR="00A31A85" w:rsidRPr="00CA47B9">
        <w:t>higher</w:t>
      </w:r>
      <w:r w:rsidR="004B41A2" w:rsidRPr="00CA47B9">
        <w:t xml:space="preserve"> </w:t>
      </w:r>
      <w:r w:rsidRPr="00CA47B9">
        <w:t>than</w:t>
      </w:r>
      <w:r w:rsidR="004B41A2" w:rsidRPr="00CA47B9">
        <w:t xml:space="preserve"> </w:t>
      </w:r>
      <w:r w:rsidRPr="00CA47B9">
        <w:t>the</w:t>
      </w:r>
      <w:r w:rsidR="004B41A2" w:rsidRPr="00CA47B9">
        <w:t xml:space="preserve"> </w:t>
      </w:r>
      <w:r w:rsidRPr="00CA47B9">
        <w:t>other</w:t>
      </w:r>
      <w:r w:rsidR="004B41A2" w:rsidRPr="00CA47B9">
        <w:t xml:space="preserve"> </w:t>
      </w:r>
      <w:r w:rsidRPr="00CA47B9">
        <w:t>comparators.</w:t>
      </w:r>
    </w:p>
    <w:p w:rsidR="00B0298E" w:rsidRPr="00CA47B9" w:rsidRDefault="00A31A85" w:rsidP="00020CFC">
      <w:pPr>
        <w:pStyle w:val="11Bodytext"/>
        <w:tabs>
          <w:tab w:val="clear" w:pos="2212"/>
          <w:tab w:val="num" w:pos="567"/>
        </w:tabs>
        <w:ind w:left="567" w:hanging="567"/>
      </w:pPr>
      <w:r w:rsidRPr="00CA47B9">
        <w:t>U</w:t>
      </w:r>
      <w:r w:rsidR="00B0298E" w:rsidRPr="00CA47B9">
        <w:t>nemployment</w:t>
      </w:r>
      <w:r w:rsidR="004B41A2" w:rsidRPr="00CA47B9">
        <w:t xml:space="preserve"> </w:t>
      </w:r>
      <w:r w:rsidR="00B0298E" w:rsidRPr="00CA47B9">
        <w:t>within</w:t>
      </w:r>
      <w:r w:rsidR="004B41A2" w:rsidRPr="00CA47B9">
        <w:t xml:space="preserve"> </w:t>
      </w:r>
      <w:r w:rsidR="00B0298E" w:rsidRPr="00CA47B9">
        <w:t>Chichester</w:t>
      </w:r>
      <w:r w:rsidR="004B41A2" w:rsidRPr="00CA47B9">
        <w:t xml:space="preserve"> </w:t>
      </w:r>
      <w:r w:rsidR="002B2F41" w:rsidRPr="00CA47B9">
        <w:t>District</w:t>
      </w:r>
      <w:r w:rsidR="004B41A2" w:rsidRPr="00CA47B9">
        <w:t xml:space="preserve"> </w:t>
      </w:r>
      <w:r w:rsidR="00B0298E" w:rsidRPr="00CA47B9">
        <w:t>(</w:t>
      </w:r>
      <w:r w:rsidRPr="00CA47B9">
        <w:t>3.7</w:t>
      </w:r>
      <w:r w:rsidR="00B0298E" w:rsidRPr="00CA47B9">
        <w:t>%)</w:t>
      </w:r>
      <w:r w:rsidR="004B41A2" w:rsidRPr="00CA47B9">
        <w:t xml:space="preserve"> </w:t>
      </w:r>
      <w:r w:rsidR="00B0298E" w:rsidRPr="00CA47B9">
        <w:t>is</w:t>
      </w:r>
      <w:r w:rsidR="004B41A2" w:rsidRPr="00CA47B9">
        <w:t xml:space="preserve"> </w:t>
      </w:r>
      <w:r w:rsidRPr="00CA47B9">
        <w:t>about on par with what</w:t>
      </w:r>
      <w:r w:rsidR="004B41A2" w:rsidRPr="00CA47B9">
        <w:t xml:space="preserve"> </w:t>
      </w:r>
      <w:r w:rsidR="00B0298E" w:rsidRPr="00CA47B9">
        <w:t>seen</w:t>
      </w:r>
      <w:r w:rsidR="004B41A2" w:rsidRPr="00CA47B9">
        <w:t xml:space="preserve"> </w:t>
      </w:r>
      <w:r w:rsidR="00B0298E" w:rsidRPr="00CA47B9">
        <w:t>in</w:t>
      </w:r>
      <w:r w:rsidR="004B41A2" w:rsidRPr="00CA47B9">
        <w:t xml:space="preserve"> </w:t>
      </w:r>
      <w:r w:rsidR="00B0298E" w:rsidRPr="00CA47B9">
        <w:t>the</w:t>
      </w:r>
      <w:r w:rsidR="004B41A2" w:rsidRPr="00CA47B9">
        <w:t xml:space="preserve"> </w:t>
      </w:r>
      <w:r w:rsidR="002C4385" w:rsidRPr="00CA47B9">
        <w:t>county</w:t>
      </w:r>
      <w:r w:rsidR="004B41A2" w:rsidRPr="00CA47B9">
        <w:t xml:space="preserve"> </w:t>
      </w:r>
      <w:r w:rsidR="002C4385" w:rsidRPr="00CA47B9">
        <w:t>and</w:t>
      </w:r>
      <w:r w:rsidR="004B41A2" w:rsidRPr="00CA47B9">
        <w:t xml:space="preserve"> </w:t>
      </w:r>
      <w:r w:rsidR="002C4385" w:rsidRPr="00CA47B9">
        <w:t>South</w:t>
      </w:r>
      <w:r w:rsidR="004B41A2" w:rsidRPr="00CA47B9">
        <w:t xml:space="preserve"> </w:t>
      </w:r>
      <w:r w:rsidR="002C4385" w:rsidRPr="00CA47B9">
        <w:t>East</w:t>
      </w:r>
      <w:r w:rsidR="004B41A2" w:rsidRPr="00CA47B9">
        <w:t xml:space="preserve"> </w:t>
      </w:r>
      <w:r w:rsidR="002C4385" w:rsidRPr="00CA47B9">
        <w:t>region</w:t>
      </w:r>
      <w:r w:rsidR="004B41A2" w:rsidRPr="00CA47B9">
        <w:t xml:space="preserve"> </w:t>
      </w:r>
      <w:r w:rsidR="002C4385" w:rsidRPr="00CA47B9">
        <w:t>(</w:t>
      </w:r>
      <w:r w:rsidRPr="00CA47B9">
        <w:t>4.2% and</w:t>
      </w:r>
      <w:r w:rsidR="004B41A2" w:rsidRPr="00CA47B9">
        <w:t xml:space="preserve"> </w:t>
      </w:r>
      <w:r w:rsidRPr="00CA47B9">
        <w:t>3.4</w:t>
      </w:r>
      <w:r w:rsidR="002C4385" w:rsidRPr="00CA47B9">
        <w:t>%</w:t>
      </w:r>
      <w:r w:rsidRPr="00CA47B9">
        <w:t xml:space="preserve"> respectively</w:t>
      </w:r>
      <w:r w:rsidR="002C4385" w:rsidRPr="00CA47B9">
        <w:t>)</w:t>
      </w:r>
      <w:r w:rsidR="00B0298E" w:rsidRPr="00CA47B9">
        <w:t>.</w:t>
      </w:r>
      <w:r w:rsidR="004B41A2" w:rsidRPr="00CA47B9">
        <w:t xml:space="preserve"> </w:t>
      </w:r>
      <w:r w:rsidR="00B0298E" w:rsidRPr="00CA47B9">
        <w:t>The</w:t>
      </w:r>
      <w:r w:rsidR="004B41A2" w:rsidRPr="00CA47B9">
        <w:t xml:space="preserve"> </w:t>
      </w:r>
      <w:r w:rsidR="00B0298E" w:rsidRPr="00CA47B9">
        <w:t>level</w:t>
      </w:r>
      <w:r w:rsidR="004B41A2" w:rsidRPr="00CA47B9">
        <w:t xml:space="preserve"> </w:t>
      </w:r>
      <w:r w:rsidR="00B0298E" w:rsidRPr="00CA47B9">
        <w:t>of</w:t>
      </w:r>
      <w:r w:rsidR="004B41A2" w:rsidRPr="00CA47B9">
        <w:t xml:space="preserve"> </w:t>
      </w:r>
      <w:r w:rsidR="00B0298E" w:rsidRPr="00CA47B9">
        <w:t>self-employment</w:t>
      </w:r>
      <w:r w:rsidR="004B41A2" w:rsidRPr="00CA47B9">
        <w:t xml:space="preserve"> </w:t>
      </w:r>
      <w:r w:rsidR="00B0298E" w:rsidRPr="00CA47B9">
        <w:t>in</w:t>
      </w:r>
      <w:r w:rsidR="004B41A2" w:rsidRPr="00CA47B9">
        <w:t xml:space="preserve"> </w:t>
      </w:r>
      <w:r w:rsidR="00B0298E" w:rsidRPr="00CA47B9">
        <w:t>Chichester</w:t>
      </w:r>
      <w:r w:rsidR="004B41A2" w:rsidRPr="00CA47B9">
        <w:t xml:space="preserve"> </w:t>
      </w:r>
      <w:r w:rsidR="00B0298E" w:rsidRPr="00CA47B9">
        <w:t>(2</w:t>
      </w:r>
      <w:r w:rsidRPr="00CA47B9">
        <w:t>0</w:t>
      </w:r>
      <w:r w:rsidR="00B0298E" w:rsidRPr="00CA47B9">
        <w:t>.4%)</w:t>
      </w:r>
      <w:r w:rsidR="004B41A2" w:rsidRPr="00CA47B9">
        <w:t xml:space="preserve"> </w:t>
      </w:r>
      <w:r w:rsidR="00B0298E" w:rsidRPr="00CA47B9">
        <w:t>exceeds</w:t>
      </w:r>
      <w:r w:rsidR="004B41A2" w:rsidRPr="00CA47B9">
        <w:t xml:space="preserve"> </w:t>
      </w:r>
      <w:r w:rsidR="00B0298E" w:rsidRPr="00CA47B9">
        <w:t>that</w:t>
      </w:r>
      <w:r w:rsidR="004B41A2" w:rsidRPr="00CA47B9">
        <w:t xml:space="preserve"> </w:t>
      </w:r>
      <w:r w:rsidR="00B0298E" w:rsidRPr="00CA47B9">
        <w:t>in</w:t>
      </w:r>
      <w:r w:rsidR="004B41A2" w:rsidRPr="00CA47B9">
        <w:t xml:space="preserve"> </w:t>
      </w:r>
      <w:r w:rsidR="00B0298E" w:rsidRPr="00CA47B9">
        <w:t>compared</w:t>
      </w:r>
      <w:r w:rsidR="004B41A2" w:rsidRPr="00CA47B9">
        <w:t xml:space="preserve"> </w:t>
      </w:r>
      <w:r w:rsidR="00B0298E" w:rsidRPr="00CA47B9">
        <w:t>to</w:t>
      </w:r>
      <w:r w:rsidR="004B41A2" w:rsidRPr="00CA47B9">
        <w:t xml:space="preserve"> </w:t>
      </w:r>
      <w:r w:rsidR="00B0298E" w:rsidRPr="00CA47B9">
        <w:t>the</w:t>
      </w:r>
      <w:r w:rsidR="004B41A2" w:rsidRPr="00CA47B9">
        <w:t xml:space="preserve"> </w:t>
      </w:r>
      <w:r w:rsidR="00B0298E" w:rsidRPr="00CA47B9">
        <w:t>County</w:t>
      </w:r>
      <w:r w:rsidR="004B41A2" w:rsidRPr="00CA47B9">
        <w:t xml:space="preserve"> </w:t>
      </w:r>
      <w:r w:rsidR="00B0298E" w:rsidRPr="00CA47B9">
        <w:t>(1</w:t>
      </w:r>
      <w:r w:rsidRPr="00CA47B9">
        <w:t>2.8</w:t>
      </w:r>
      <w:r w:rsidR="00B0298E" w:rsidRPr="00CA47B9">
        <w:t>%),</w:t>
      </w:r>
      <w:r w:rsidR="004B41A2" w:rsidRPr="00CA47B9">
        <w:t xml:space="preserve"> </w:t>
      </w:r>
      <w:r w:rsidR="00B0298E" w:rsidRPr="00CA47B9">
        <w:t>regional</w:t>
      </w:r>
      <w:r w:rsidR="004B41A2" w:rsidRPr="00CA47B9">
        <w:t xml:space="preserve"> </w:t>
      </w:r>
      <w:r w:rsidR="00B0298E" w:rsidRPr="00CA47B9">
        <w:t>(1</w:t>
      </w:r>
      <w:r w:rsidRPr="00CA47B9">
        <w:t>1</w:t>
      </w:r>
      <w:r w:rsidR="00B0298E" w:rsidRPr="00CA47B9">
        <w:t>.</w:t>
      </w:r>
      <w:r w:rsidRPr="00CA47B9">
        <w:t>9</w:t>
      </w:r>
      <w:r w:rsidR="00B0298E" w:rsidRPr="00CA47B9">
        <w:t>%)</w:t>
      </w:r>
      <w:r w:rsidR="004B41A2" w:rsidRPr="00CA47B9">
        <w:t xml:space="preserve"> </w:t>
      </w:r>
      <w:r w:rsidR="00B0298E" w:rsidRPr="00CA47B9">
        <w:t>and</w:t>
      </w:r>
      <w:r w:rsidR="004B41A2" w:rsidRPr="00CA47B9">
        <w:t xml:space="preserve"> </w:t>
      </w:r>
      <w:r w:rsidR="00B0298E" w:rsidRPr="00CA47B9">
        <w:t>national</w:t>
      </w:r>
      <w:r w:rsidR="004B41A2" w:rsidRPr="00CA47B9">
        <w:t xml:space="preserve"> </w:t>
      </w:r>
      <w:r w:rsidR="00B0298E" w:rsidRPr="00CA47B9">
        <w:t>trends</w:t>
      </w:r>
      <w:r w:rsidR="004B41A2" w:rsidRPr="00CA47B9">
        <w:t xml:space="preserve"> </w:t>
      </w:r>
      <w:r w:rsidR="00B0298E" w:rsidRPr="00CA47B9">
        <w:t>(</w:t>
      </w:r>
      <w:r w:rsidRPr="00CA47B9">
        <w:t>10.9</w:t>
      </w:r>
      <w:r w:rsidR="00B0298E" w:rsidRPr="00CA47B9">
        <w:t>%).</w:t>
      </w:r>
      <w:r w:rsidR="004B41A2" w:rsidRPr="00CA47B9">
        <w:t xml:space="preserve"> </w:t>
      </w:r>
      <w:r w:rsidR="00B0298E" w:rsidRPr="00CA47B9">
        <w:t>This</w:t>
      </w:r>
      <w:r w:rsidR="004B41A2" w:rsidRPr="00CA47B9">
        <w:t xml:space="preserve"> </w:t>
      </w:r>
      <w:r w:rsidR="00B0298E" w:rsidRPr="00CA47B9">
        <w:t>is</w:t>
      </w:r>
      <w:r w:rsidR="004B41A2" w:rsidRPr="00CA47B9">
        <w:t xml:space="preserve"> </w:t>
      </w:r>
      <w:r w:rsidR="00B0298E" w:rsidRPr="00CA47B9">
        <w:t>driven</w:t>
      </w:r>
      <w:r w:rsidR="004B41A2" w:rsidRPr="00CA47B9">
        <w:t xml:space="preserve"> </w:t>
      </w:r>
      <w:r w:rsidR="00B0298E" w:rsidRPr="00CA47B9">
        <w:t>by</w:t>
      </w:r>
      <w:r w:rsidR="004B41A2" w:rsidRPr="00CA47B9">
        <w:t xml:space="preserve"> </w:t>
      </w:r>
      <w:r w:rsidR="00B0298E" w:rsidRPr="00CA47B9">
        <w:t>a</w:t>
      </w:r>
      <w:r w:rsidR="004B41A2" w:rsidRPr="00CA47B9">
        <w:t xml:space="preserve"> </w:t>
      </w:r>
      <w:r w:rsidR="00B0298E" w:rsidRPr="00CA47B9">
        <w:t>particularly</w:t>
      </w:r>
      <w:r w:rsidR="004B41A2" w:rsidRPr="00CA47B9">
        <w:t xml:space="preserve"> </w:t>
      </w:r>
      <w:r w:rsidR="00B0298E" w:rsidRPr="00CA47B9">
        <w:t>high</w:t>
      </w:r>
      <w:r w:rsidR="004B41A2" w:rsidRPr="00CA47B9">
        <w:t xml:space="preserve"> </w:t>
      </w:r>
      <w:r w:rsidR="00B0298E" w:rsidRPr="00CA47B9">
        <w:t>level</w:t>
      </w:r>
      <w:r w:rsidR="004B41A2" w:rsidRPr="00CA47B9">
        <w:t xml:space="preserve"> </w:t>
      </w:r>
      <w:r w:rsidR="00B0298E" w:rsidRPr="00CA47B9">
        <w:t>of</w:t>
      </w:r>
      <w:r w:rsidR="004B41A2" w:rsidRPr="00CA47B9">
        <w:t xml:space="preserve"> </w:t>
      </w:r>
      <w:r w:rsidR="00B0298E" w:rsidRPr="00CA47B9">
        <w:t>self-employed</w:t>
      </w:r>
      <w:r w:rsidR="004B41A2" w:rsidRPr="00CA47B9">
        <w:t xml:space="preserve"> </w:t>
      </w:r>
      <w:r w:rsidR="00B0298E" w:rsidRPr="00CA47B9">
        <w:t>females.</w:t>
      </w:r>
    </w:p>
    <w:p w:rsidR="00112176" w:rsidRPr="00CA47B9" w:rsidRDefault="00B0298E" w:rsidP="00FC604D">
      <w:pPr>
        <w:pStyle w:val="FigureHeading"/>
        <w:tabs>
          <w:tab w:val="clear" w:pos="794"/>
          <w:tab w:val="clear" w:pos="1843"/>
          <w:tab w:val="left" w:pos="0"/>
        </w:tabs>
        <w:ind w:left="0" w:firstLine="0"/>
      </w:pPr>
      <w:bookmarkStart w:id="102" w:name="_Toc481156659"/>
      <w:r w:rsidRPr="00CA47B9">
        <w:lastRenderedPageBreak/>
        <w:t>Employment</w:t>
      </w:r>
      <w:r w:rsidR="004B41A2" w:rsidRPr="00CA47B9">
        <w:t xml:space="preserve"> </w:t>
      </w:r>
      <w:r w:rsidRPr="00CA47B9">
        <w:t>by</w:t>
      </w:r>
      <w:r w:rsidR="004B41A2" w:rsidRPr="00CA47B9">
        <w:t xml:space="preserve"> </w:t>
      </w:r>
      <w:r w:rsidRPr="00CA47B9">
        <w:t>Type</w:t>
      </w:r>
      <w:r w:rsidR="004B41A2" w:rsidRPr="00CA47B9">
        <w:t xml:space="preserve"> </w:t>
      </w:r>
      <w:r w:rsidRPr="00CA47B9">
        <w:t>(201</w:t>
      </w:r>
      <w:r w:rsidR="00DF3A14" w:rsidRPr="00CA47B9">
        <w:t>8</w:t>
      </w:r>
      <w:r w:rsidRPr="00CA47B9">
        <w:t>)</w:t>
      </w:r>
      <w:bookmarkEnd w:id="102"/>
    </w:p>
    <w:p w:rsidR="00E0078B" w:rsidRPr="00CA47B9" w:rsidRDefault="00E0078B" w:rsidP="00163B4B">
      <w:pPr>
        <w:pStyle w:val="ListParagraph"/>
        <w:numPr>
          <w:ilvl w:val="0"/>
          <w:numId w:val="0"/>
        </w:numPr>
        <w:rPr>
          <w:rFonts w:asciiTheme="minorHAnsi" w:hAnsiTheme="minorHAnsi" w:cstheme="minorHAnsi"/>
        </w:rPr>
      </w:pPr>
      <w:r w:rsidRPr="00CA47B9">
        <w:rPr>
          <w:noProof/>
          <w:lang w:eastAsia="en-GB"/>
        </w:rPr>
        <w:drawing>
          <wp:inline distT="0" distB="0" distL="0" distR="0" wp14:anchorId="7FBF2B0D" wp14:editId="63E3948C">
            <wp:extent cx="6120000" cy="3078000"/>
            <wp:effectExtent l="0" t="0" r="14605" b="27305"/>
            <wp:docPr id="349" name="Chart 349" descr="Bar chart compares the % of the eligible workforce  as employees or self employed, and again according to gender" title="Figure 27: Employment by Type 20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00C1FE-D829-4D14-9C31-05F081EA1F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0298E" w:rsidRPr="00CA47B9" w:rsidRDefault="00B0298E" w:rsidP="00FC604D">
      <w:pPr>
        <w:pStyle w:val="ListParagraph"/>
        <w:numPr>
          <w:ilvl w:val="0"/>
          <w:numId w:val="0"/>
        </w:numPr>
      </w:pPr>
      <w:r w:rsidRPr="00CA47B9">
        <w:t>Source:</w:t>
      </w:r>
      <w:r w:rsidR="004B41A2" w:rsidRPr="00CA47B9">
        <w:t xml:space="preserve"> </w:t>
      </w:r>
      <w:r w:rsidRPr="00CA47B9">
        <w:t>Annual</w:t>
      </w:r>
      <w:r w:rsidR="004B41A2" w:rsidRPr="00CA47B9">
        <w:t xml:space="preserve"> </w:t>
      </w:r>
      <w:r w:rsidRPr="00CA47B9">
        <w:t>Population</w:t>
      </w:r>
      <w:r w:rsidR="004B41A2" w:rsidRPr="00CA47B9">
        <w:t xml:space="preserve"> </w:t>
      </w:r>
      <w:r w:rsidRPr="00CA47B9">
        <w:t>Survey</w:t>
      </w:r>
      <w:r w:rsidR="004B41A2" w:rsidRPr="00CA47B9">
        <w:t xml:space="preserve"> </w:t>
      </w:r>
      <w:r w:rsidRPr="00CA47B9">
        <w:t>(201</w:t>
      </w:r>
      <w:r w:rsidR="00DF3A14" w:rsidRPr="00CA47B9">
        <w:t>8</w:t>
      </w:r>
      <w:r w:rsidRPr="00CA47B9">
        <w:t>)</w:t>
      </w:r>
    </w:p>
    <w:p w:rsidR="00B0298E" w:rsidRPr="00CA47B9" w:rsidRDefault="00B0298E" w:rsidP="00BD6C75">
      <w:pPr>
        <w:pStyle w:val="Addressline1"/>
        <w:ind w:left="567" w:firstLine="0"/>
      </w:pPr>
      <w:r w:rsidRPr="00CA47B9">
        <w:t>Earnings</w:t>
      </w:r>
    </w:p>
    <w:p w:rsidR="001B468C" w:rsidRPr="00CA47B9" w:rsidRDefault="00E460EA" w:rsidP="00020CFC">
      <w:pPr>
        <w:pStyle w:val="11Bodytext"/>
        <w:tabs>
          <w:tab w:val="clear" w:pos="2212"/>
          <w:tab w:val="num" w:pos="567"/>
        </w:tabs>
        <w:ind w:left="567" w:hanging="567"/>
        <w:rPr>
          <w:b/>
        </w:rPr>
      </w:pPr>
      <w:r>
        <w:t xml:space="preserve">In 2018 </w:t>
      </w:r>
      <w:r w:rsidR="007F7FD3">
        <w:t xml:space="preserve">those working in </w:t>
      </w:r>
      <w:r w:rsidR="00B0298E" w:rsidRPr="00CA47B9">
        <w:t>Chichester</w:t>
      </w:r>
      <w:r w:rsidR="004B41A2" w:rsidRPr="00CA47B9">
        <w:t xml:space="preserve"> </w:t>
      </w:r>
      <w:r w:rsidR="002B2F41" w:rsidRPr="00CA47B9">
        <w:t>District</w:t>
      </w:r>
      <w:r w:rsidR="004B41A2" w:rsidRPr="00CA47B9">
        <w:t xml:space="preserve"> </w:t>
      </w:r>
      <w:r w:rsidR="00B0298E" w:rsidRPr="00CA47B9">
        <w:t>in</w:t>
      </w:r>
      <w:r w:rsidR="004B41A2" w:rsidRPr="00CA47B9">
        <w:t xml:space="preserve"> </w:t>
      </w:r>
      <w:r w:rsidR="00B0298E" w:rsidRPr="00CA47B9">
        <w:t>full-time</w:t>
      </w:r>
      <w:r w:rsidR="004B41A2" w:rsidRPr="00CA47B9">
        <w:t xml:space="preserve"> </w:t>
      </w:r>
      <w:r w:rsidR="00B0298E" w:rsidRPr="00CA47B9">
        <w:t>employment</w:t>
      </w:r>
      <w:r w:rsidR="004B41A2" w:rsidRPr="00CA47B9">
        <w:t xml:space="preserve"> </w:t>
      </w:r>
      <w:r w:rsidR="00B0298E" w:rsidRPr="00CA47B9">
        <w:t>earn</w:t>
      </w:r>
      <w:r>
        <w:t>ed</w:t>
      </w:r>
      <w:r w:rsidR="004B41A2" w:rsidRPr="00CA47B9">
        <w:t xml:space="preserve"> </w:t>
      </w:r>
      <w:r w:rsidR="00B0298E" w:rsidRPr="00CA47B9">
        <w:t>a</w:t>
      </w:r>
      <w:r w:rsidR="004B41A2" w:rsidRPr="00CA47B9">
        <w:t xml:space="preserve"> </w:t>
      </w:r>
      <w:r w:rsidR="00B0298E" w:rsidRPr="00CA47B9">
        <w:t>median</w:t>
      </w:r>
      <w:r w:rsidR="004B41A2" w:rsidRPr="00CA47B9">
        <w:t xml:space="preserve"> </w:t>
      </w:r>
      <w:r w:rsidR="00B0298E" w:rsidRPr="00CA47B9">
        <w:t>gross</w:t>
      </w:r>
      <w:r w:rsidR="004B41A2" w:rsidRPr="00CA47B9">
        <w:t xml:space="preserve"> </w:t>
      </w:r>
      <w:r w:rsidR="00B0298E" w:rsidRPr="00CA47B9">
        <w:t>annual</w:t>
      </w:r>
      <w:r w:rsidR="004B41A2" w:rsidRPr="00CA47B9">
        <w:t xml:space="preserve"> </w:t>
      </w:r>
      <w:r w:rsidR="00B0298E" w:rsidRPr="00CA47B9">
        <w:t>pay</w:t>
      </w:r>
      <w:r w:rsidR="004B41A2" w:rsidRPr="00CA47B9">
        <w:t xml:space="preserve"> </w:t>
      </w:r>
      <w:r w:rsidR="00B0298E" w:rsidRPr="00CA47B9">
        <w:t>of</w:t>
      </w:r>
      <w:r w:rsidR="004B41A2" w:rsidRPr="00CA47B9">
        <w:t xml:space="preserve"> </w:t>
      </w:r>
      <w:r w:rsidR="00B0298E" w:rsidRPr="00CA47B9">
        <w:t>just</w:t>
      </w:r>
      <w:r w:rsidR="004B41A2" w:rsidRPr="00CA47B9">
        <w:t xml:space="preserve"> </w:t>
      </w:r>
      <w:r w:rsidR="00B0298E" w:rsidRPr="00CA47B9">
        <w:t>over</w:t>
      </w:r>
      <w:r w:rsidR="004B41A2" w:rsidRPr="00CA47B9">
        <w:t xml:space="preserve"> </w:t>
      </w:r>
      <w:r w:rsidR="00B0298E" w:rsidRPr="00CA47B9">
        <w:t>£</w:t>
      </w:r>
      <w:r w:rsidR="00E14DCF" w:rsidRPr="00CA47B9">
        <w:t>28</w:t>
      </w:r>
      <w:r w:rsidR="00B0298E" w:rsidRPr="00CA47B9">
        <w:t>,000.</w:t>
      </w:r>
      <w:r w:rsidR="004B41A2" w:rsidRPr="00CA47B9">
        <w:t xml:space="preserve"> </w:t>
      </w:r>
      <w:r w:rsidR="00B0298E" w:rsidRPr="00CA47B9">
        <w:t>This</w:t>
      </w:r>
      <w:r w:rsidR="004B41A2" w:rsidRPr="00CA47B9">
        <w:t xml:space="preserve"> </w:t>
      </w:r>
      <w:r>
        <w:t>wa</w:t>
      </w:r>
      <w:r w:rsidR="00B0298E" w:rsidRPr="00CA47B9">
        <w:t>s</w:t>
      </w:r>
      <w:r w:rsidR="004B41A2" w:rsidRPr="00CA47B9">
        <w:t xml:space="preserve"> </w:t>
      </w:r>
      <w:r w:rsidR="004F418A" w:rsidRPr="00CA47B9">
        <w:t>lower</w:t>
      </w:r>
      <w:r w:rsidR="004B41A2" w:rsidRPr="00CA47B9">
        <w:t xml:space="preserve"> </w:t>
      </w:r>
      <w:r w:rsidR="00B0298E" w:rsidRPr="00CA47B9">
        <w:t>than</w:t>
      </w:r>
      <w:r w:rsidR="004B41A2" w:rsidRPr="00CA47B9">
        <w:t xml:space="preserve"> </w:t>
      </w:r>
      <w:r w:rsidR="00B0298E" w:rsidRPr="00CA47B9">
        <w:t>the</w:t>
      </w:r>
      <w:r w:rsidR="004B41A2" w:rsidRPr="00CA47B9">
        <w:t xml:space="preserve"> </w:t>
      </w:r>
      <w:r w:rsidR="0031654A" w:rsidRPr="00CA47B9">
        <w:t>median</w:t>
      </w:r>
      <w:r w:rsidR="004B41A2" w:rsidRPr="00CA47B9">
        <w:t xml:space="preserve"> </w:t>
      </w:r>
      <w:r w:rsidR="00257CE5" w:rsidRPr="00CA47B9">
        <w:t>for</w:t>
      </w:r>
      <w:r w:rsidR="004B41A2" w:rsidRPr="00CA47B9">
        <w:t xml:space="preserve"> </w:t>
      </w:r>
      <w:r w:rsidR="00257CE5" w:rsidRPr="00CA47B9">
        <w:t>West</w:t>
      </w:r>
      <w:r w:rsidR="004B41A2" w:rsidRPr="00CA47B9">
        <w:t xml:space="preserve"> </w:t>
      </w:r>
      <w:r w:rsidR="00257CE5" w:rsidRPr="00CA47B9">
        <w:t>Sussex</w:t>
      </w:r>
      <w:r w:rsidR="004B41A2" w:rsidRPr="00CA47B9">
        <w:t xml:space="preserve"> </w:t>
      </w:r>
      <w:r w:rsidR="00B0298E" w:rsidRPr="00CA47B9">
        <w:t>(£2</w:t>
      </w:r>
      <w:r w:rsidR="004F418A" w:rsidRPr="00CA47B9">
        <w:t>8</w:t>
      </w:r>
      <w:r w:rsidR="00B0298E" w:rsidRPr="00CA47B9">
        <w:t>,</w:t>
      </w:r>
      <w:r w:rsidR="004F418A" w:rsidRPr="00CA47B9">
        <w:t>5</w:t>
      </w:r>
      <w:r w:rsidR="00B0298E" w:rsidRPr="00CA47B9">
        <w:t>00)</w:t>
      </w:r>
      <w:r w:rsidR="004F418A" w:rsidRPr="00CA47B9">
        <w:t xml:space="preserve">, </w:t>
      </w:r>
      <w:r w:rsidR="0014701B" w:rsidRPr="00CA47B9">
        <w:t>England</w:t>
      </w:r>
      <w:r w:rsidR="004B41A2" w:rsidRPr="00CA47B9">
        <w:t xml:space="preserve"> </w:t>
      </w:r>
      <w:r w:rsidR="00257CE5" w:rsidRPr="00CA47B9">
        <w:t>as</w:t>
      </w:r>
      <w:r w:rsidR="004B41A2" w:rsidRPr="00CA47B9">
        <w:t xml:space="preserve"> </w:t>
      </w:r>
      <w:r w:rsidR="00257CE5" w:rsidRPr="00CA47B9">
        <w:t>a</w:t>
      </w:r>
      <w:r w:rsidR="004B41A2" w:rsidRPr="00CA47B9">
        <w:t xml:space="preserve"> </w:t>
      </w:r>
      <w:r w:rsidR="00257CE5" w:rsidRPr="00CA47B9">
        <w:t>whole</w:t>
      </w:r>
      <w:r w:rsidR="004B41A2" w:rsidRPr="00CA47B9">
        <w:t xml:space="preserve"> </w:t>
      </w:r>
      <w:r w:rsidR="00257CE5" w:rsidRPr="00CA47B9">
        <w:t>(£</w:t>
      </w:r>
      <w:r w:rsidR="004F418A" w:rsidRPr="00CA47B9">
        <w:t>30,000</w:t>
      </w:r>
      <w:r w:rsidR="004B41A2" w:rsidRPr="00CA47B9">
        <w:t xml:space="preserve"> </w:t>
      </w:r>
      <w:r w:rsidR="00257CE5" w:rsidRPr="00CA47B9">
        <w:t>per</w:t>
      </w:r>
      <w:r w:rsidR="004B41A2" w:rsidRPr="00CA47B9">
        <w:t xml:space="preserve"> </w:t>
      </w:r>
      <w:r w:rsidR="00257CE5" w:rsidRPr="00CA47B9">
        <w:t>annum)</w:t>
      </w:r>
      <w:r w:rsidR="0014701B" w:rsidRPr="00CA47B9">
        <w:t>,</w:t>
      </w:r>
      <w:r w:rsidR="004B41A2" w:rsidRPr="00CA47B9">
        <w:t xml:space="preserve"> </w:t>
      </w:r>
      <w:r w:rsidR="004F418A" w:rsidRPr="00CA47B9">
        <w:t>and</w:t>
      </w:r>
      <w:r w:rsidR="004B41A2" w:rsidRPr="00CA47B9">
        <w:t xml:space="preserve"> </w:t>
      </w:r>
      <w:r w:rsidR="00B0298E" w:rsidRPr="00CA47B9">
        <w:t>the</w:t>
      </w:r>
      <w:r w:rsidR="004B41A2" w:rsidRPr="00CA47B9">
        <w:t xml:space="preserve"> </w:t>
      </w:r>
      <w:r w:rsidR="0014701B" w:rsidRPr="00CA47B9">
        <w:t>South</w:t>
      </w:r>
      <w:r w:rsidR="004B41A2" w:rsidRPr="00CA47B9">
        <w:t xml:space="preserve"> </w:t>
      </w:r>
      <w:r w:rsidR="0014701B" w:rsidRPr="00CA47B9">
        <w:t>East</w:t>
      </w:r>
      <w:r w:rsidR="004B41A2" w:rsidRPr="00CA47B9">
        <w:t xml:space="preserve"> </w:t>
      </w:r>
      <w:r w:rsidR="00B0298E" w:rsidRPr="00CA47B9">
        <w:t>region</w:t>
      </w:r>
      <w:r w:rsidR="004B41A2" w:rsidRPr="00CA47B9">
        <w:t xml:space="preserve"> </w:t>
      </w:r>
      <w:r w:rsidR="00B0298E" w:rsidRPr="00CA47B9">
        <w:t>(£</w:t>
      </w:r>
      <w:r w:rsidR="004F418A" w:rsidRPr="00CA47B9">
        <w:t>31,000</w:t>
      </w:r>
      <w:r w:rsidR="004B41A2" w:rsidRPr="00CA47B9">
        <w:t xml:space="preserve"> </w:t>
      </w:r>
      <w:r w:rsidR="00B0298E" w:rsidRPr="00CA47B9">
        <w:t>per</w:t>
      </w:r>
      <w:r w:rsidR="004B41A2" w:rsidRPr="00CA47B9">
        <w:t xml:space="preserve"> </w:t>
      </w:r>
      <w:r w:rsidR="00B0298E" w:rsidRPr="00CA47B9">
        <w:t>annum).</w:t>
      </w:r>
      <w:r w:rsidR="004B41A2" w:rsidRPr="00CA47B9">
        <w:t xml:space="preserve"> </w:t>
      </w:r>
    </w:p>
    <w:p w:rsidR="00B0298E" w:rsidRPr="00CA47B9" w:rsidRDefault="001B468C" w:rsidP="00020CFC">
      <w:pPr>
        <w:pStyle w:val="11Bodytext"/>
        <w:tabs>
          <w:tab w:val="clear" w:pos="2212"/>
          <w:tab w:val="num" w:pos="567"/>
        </w:tabs>
        <w:ind w:left="567" w:hanging="567"/>
      </w:pPr>
      <w:r w:rsidRPr="00CA47B9">
        <w:t>GL</w:t>
      </w:r>
      <w:r w:rsidR="004B41A2" w:rsidRPr="00CA47B9">
        <w:t xml:space="preserve"> </w:t>
      </w:r>
      <w:r w:rsidRPr="00CA47B9">
        <w:t>Hearn</w:t>
      </w:r>
      <w:r w:rsidR="004B41A2" w:rsidRPr="00CA47B9">
        <w:t xml:space="preserve"> </w:t>
      </w:r>
      <w:r w:rsidR="00807117" w:rsidRPr="00CA47B9">
        <w:t>use</w:t>
      </w:r>
      <w:r w:rsidR="00855CA6">
        <w:t>s</w:t>
      </w:r>
      <w:r w:rsidR="004B41A2" w:rsidRPr="00CA47B9">
        <w:t xml:space="preserve"> </w:t>
      </w:r>
      <w:r w:rsidRPr="00CA47B9">
        <w:t>median</w:t>
      </w:r>
      <w:r w:rsidR="004B41A2" w:rsidRPr="00CA47B9">
        <w:t xml:space="preserve"> </w:t>
      </w:r>
      <w:r w:rsidRPr="00CA47B9">
        <w:t>values</w:t>
      </w:r>
      <w:r w:rsidR="004B41A2" w:rsidRPr="00CA47B9">
        <w:t xml:space="preserve"> </w:t>
      </w:r>
      <w:r w:rsidR="00807117" w:rsidRPr="00CA47B9">
        <w:t>in</w:t>
      </w:r>
      <w:r w:rsidR="004B41A2" w:rsidRPr="00CA47B9">
        <w:t xml:space="preserve"> </w:t>
      </w:r>
      <w:r w:rsidR="00807117" w:rsidRPr="00CA47B9">
        <w:t>preference</w:t>
      </w:r>
      <w:r w:rsidR="004B41A2" w:rsidRPr="00CA47B9">
        <w:t xml:space="preserve"> </w:t>
      </w:r>
      <w:r w:rsidR="00807117" w:rsidRPr="00CA47B9">
        <w:t>to</w:t>
      </w:r>
      <w:r w:rsidR="004B41A2" w:rsidRPr="00CA47B9">
        <w:t xml:space="preserve"> </w:t>
      </w:r>
      <w:r w:rsidRPr="00CA47B9">
        <w:t>mean</w:t>
      </w:r>
      <w:r w:rsidR="004B41A2" w:rsidRPr="00CA47B9">
        <w:t xml:space="preserve"> </w:t>
      </w:r>
      <w:r w:rsidR="00807117" w:rsidRPr="00CA47B9">
        <w:t>values</w:t>
      </w:r>
      <w:r w:rsidR="004B41A2" w:rsidRPr="00CA47B9">
        <w:t xml:space="preserve"> </w:t>
      </w:r>
      <w:r w:rsidRPr="00CA47B9">
        <w:t>for</w:t>
      </w:r>
      <w:r w:rsidR="004B41A2" w:rsidRPr="00CA47B9">
        <w:t xml:space="preserve"> </w:t>
      </w:r>
      <w:r w:rsidRPr="00CA47B9">
        <w:t>earnings</w:t>
      </w:r>
      <w:r w:rsidR="004B41A2" w:rsidRPr="00CA47B9">
        <w:t xml:space="preserve"> </w:t>
      </w:r>
      <w:r w:rsidRPr="00CA47B9">
        <w:t>data</w:t>
      </w:r>
      <w:r w:rsidR="00807117" w:rsidRPr="00CA47B9">
        <w:t>.</w:t>
      </w:r>
      <w:r w:rsidR="004B41A2" w:rsidRPr="00CA47B9">
        <w:t xml:space="preserve"> </w:t>
      </w:r>
      <w:r w:rsidR="00807117" w:rsidRPr="00CA47B9">
        <w:t>This</w:t>
      </w:r>
      <w:r w:rsidR="004B41A2" w:rsidRPr="00CA47B9">
        <w:t xml:space="preserve"> </w:t>
      </w:r>
      <w:r w:rsidR="00807117" w:rsidRPr="00CA47B9">
        <w:t>is</w:t>
      </w:r>
      <w:r w:rsidR="004B41A2" w:rsidRPr="00CA47B9">
        <w:t xml:space="preserve"> </w:t>
      </w:r>
      <w:r w:rsidR="00807117" w:rsidRPr="00CA47B9">
        <w:t>because</w:t>
      </w:r>
      <w:r w:rsidR="004B41A2" w:rsidRPr="00CA47B9">
        <w:t xml:space="preserve"> </w:t>
      </w:r>
      <w:r w:rsidR="00807117" w:rsidRPr="00CA47B9">
        <w:t>median</w:t>
      </w:r>
      <w:r w:rsidR="004B41A2" w:rsidRPr="00CA47B9">
        <w:t xml:space="preserve"> </w:t>
      </w:r>
      <w:r w:rsidR="00807117" w:rsidRPr="00CA47B9">
        <w:t>values</w:t>
      </w:r>
      <w:r w:rsidR="004B41A2" w:rsidRPr="00CA47B9">
        <w:t xml:space="preserve"> </w:t>
      </w:r>
      <w:r w:rsidR="00807117" w:rsidRPr="00CA47B9">
        <w:t>are</w:t>
      </w:r>
      <w:r w:rsidR="004B41A2" w:rsidRPr="00CA47B9">
        <w:t xml:space="preserve"> </w:t>
      </w:r>
      <w:r w:rsidR="00807117" w:rsidRPr="00CA47B9">
        <w:t>less</w:t>
      </w:r>
      <w:r w:rsidR="004B41A2" w:rsidRPr="00CA47B9">
        <w:t xml:space="preserve"> </w:t>
      </w:r>
      <w:r w:rsidRPr="00CA47B9">
        <w:t>influenced</w:t>
      </w:r>
      <w:r w:rsidR="004B41A2" w:rsidRPr="00CA47B9">
        <w:t xml:space="preserve"> </w:t>
      </w:r>
      <w:r w:rsidRPr="00CA47B9">
        <w:t>by</w:t>
      </w:r>
      <w:r w:rsidR="004B41A2" w:rsidRPr="00CA47B9">
        <w:t xml:space="preserve"> </w:t>
      </w:r>
      <w:r w:rsidRPr="00CA47B9">
        <w:t>extreme</w:t>
      </w:r>
      <w:r w:rsidR="004B41A2" w:rsidRPr="00CA47B9">
        <w:t xml:space="preserve"> </w:t>
      </w:r>
      <w:r w:rsidRPr="00CA47B9">
        <w:t>values</w:t>
      </w:r>
      <w:r w:rsidR="004B41A2" w:rsidRPr="00CA47B9">
        <w:t xml:space="preserve"> </w:t>
      </w:r>
      <w:r w:rsidRPr="00CA47B9">
        <w:t>and</w:t>
      </w:r>
      <w:r w:rsidR="004B41A2" w:rsidRPr="00CA47B9">
        <w:t xml:space="preserve"> </w:t>
      </w:r>
      <w:r w:rsidRPr="00CA47B9">
        <w:t>because</w:t>
      </w:r>
      <w:r w:rsidR="004B41A2" w:rsidRPr="00CA47B9">
        <w:t xml:space="preserve"> </w:t>
      </w:r>
      <w:r w:rsidRPr="00CA47B9">
        <w:t>of</w:t>
      </w:r>
      <w:r w:rsidR="004B41A2" w:rsidRPr="00CA47B9">
        <w:t xml:space="preserve"> </w:t>
      </w:r>
      <w:r w:rsidRPr="00CA47B9">
        <w:t>the</w:t>
      </w:r>
      <w:r w:rsidR="004B41A2" w:rsidRPr="00CA47B9">
        <w:t xml:space="preserve"> </w:t>
      </w:r>
      <w:r w:rsidRPr="00CA47B9">
        <w:t>skewed</w:t>
      </w:r>
      <w:r w:rsidR="004B41A2" w:rsidRPr="00CA47B9">
        <w:t xml:space="preserve"> </w:t>
      </w:r>
      <w:r w:rsidRPr="00CA47B9">
        <w:t>distribution</w:t>
      </w:r>
      <w:r w:rsidR="004B41A2" w:rsidRPr="00CA47B9">
        <w:t xml:space="preserve"> </w:t>
      </w:r>
      <w:r w:rsidRPr="00CA47B9">
        <w:t>of</w:t>
      </w:r>
      <w:r w:rsidR="004B41A2" w:rsidRPr="00CA47B9">
        <w:t xml:space="preserve"> </w:t>
      </w:r>
      <w:r w:rsidRPr="00CA47B9">
        <w:t>earnings</w:t>
      </w:r>
      <w:r w:rsidR="004B41A2" w:rsidRPr="00CA47B9">
        <w:t xml:space="preserve"> </w:t>
      </w:r>
      <w:r w:rsidRPr="00CA47B9">
        <w:t>data</w:t>
      </w:r>
      <w:r w:rsidR="00B0298E" w:rsidRPr="00CA47B9">
        <w:t>.</w:t>
      </w:r>
      <w:r w:rsidR="004B41A2" w:rsidRPr="00CA47B9">
        <w:t xml:space="preserve"> </w:t>
      </w:r>
    </w:p>
    <w:p w:rsidR="004310D1" w:rsidRPr="00CA47B9" w:rsidRDefault="00CC237F" w:rsidP="00020CFC">
      <w:pPr>
        <w:pStyle w:val="11Bodytext"/>
        <w:tabs>
          <w:tab w:val="clear" w:pos="2212"/>
          <w:tab w:val="num" w:pos="567"/>
        </w:tabs>
        <w:ind w:left="567" w:hanging="567"/>
        <w:rPr>
          <w:b/>
        </w:rPr>
      </w:pPr>
      <w:r w:rsidRPr="00CA47B9">
        <w:t>The</w:t>
      </w:r>
      <w:r w:rsidR="004B41A2" w:rsidRPr="00CA47B9">
        <w:t xml:space="preserve"> </w:t>
      </w:r>
      <w:r w:rsidRPr="00CA47B9">
        <w:t>median</w:t>
      </w:r>
      <w:r w:rsidR="004B41A2" w:rsidRPr="00CA47B9">
        <w:t xml:space="preserve"> </w:t>
      </w:r>
      <w:r w:rsidRPr="00CA47B9">
        <w:t>gross</w:t>
      </w:r>
      <w:r w:rsidR="004B41A2" w:rsidRPr="00CA47B9">
        <w:t xml:space="preserve"> </w:t>
      </w:r>
      <w:r w:rsidRPr="00CA47B9">
        <w:t>annual</w:t>
      </w:r>
      <w:r w:rsidR="004B41A2" w:rsidRPr="00CA47B9">
        <w:t xml:space="preserve"> </w:t>
      </w:r>
      <w:r w:rsidRPr="00CA47B9">
        <w:t>pay</w:t>
      </w:r>
      <w:r w:rsidR="004B41A2" w:rsidRPr="00CA47B9">
        <w:t xml:space="preserve"> </w:t>
      </w:r>
      <w:r w:rsidRPr="00CA47B9">
        <w:t>of</w:t>
      </w:r>
      <w:r w:rsidR="004B41A2" w:rsidRPr="00CA47B9">
        <w:t xml:space="preserve"> </w:t>
      </w:r>
      <w:r w:rsidR="004F418A" w:rsidRPr="00CA47B9">
        <w:t>residents in</w:t>
      </w:r>
      <w:r w:rsidR="004B41A2" w:rsidRPr="00CA47B9">
        <w:t xml:space="preserve"> </w:t>
      </w:r>
      <w:r w:rsidRPr="00CA47B9">
        <w:t>Chichester</w:t>
      </w:r>
      <w:r w:rsidR="004B41A2" w:rsidRPr="00CA47B9">
        <w:t xml:space="preserve"> </w:t>
      </w:r>
      <w:r w:rsidRPr="00CA47B9">
        <w:t>District</w:t>
      </w:r>
      <w:r w:rsidR="004B41A2" w:rsidRPr="00CA47B9">
        <w:t xml:space="preserve"> </w:t>
      </w:r>
      <w:r w:rsidRPr="00CA47B9">
        <w:t>is</w:t>
      </w:r>
      <w:r w:rsidR="004B41A2" w:rsidRPr="00CA47B9">
        <w:t xml:space="preserve"> </w:t>
      </w:r>
      <w:r w:rsidR="004F418A" w:rsidRPr="00CA47B9">
        <w:t>higher at £31,000</w:t>
      </w:r>
      <w:r w:rsidRPr="00CA47B9">
        <w:t>.</w:t>
      </w:r>
      <w:r w:rsidR="004B41A2" w:rsidRPr="00CA47B9">
        <w:t xml:space="preserve"> </w:t>
      </w:r>
      <w:r w:rsidRPr="00CA47B9">
        <w:t>This</w:t>
      </w:r>
      <w:r w:rsidR="004B41A2" w:rsidRPr="00CA47B9">
        <w:t xml:space="preserve"> </w:t>
      </w:r>
      <w:r w:rsidRPr="00CA47B9">
        <w:t>is</w:t>
      </w:r>
      <w:r w:rsidR="004B41A2" w:rsidRPr="00CA47B9">
        <w:t xml:space="preserve"> </w:t>
      </w:r>
      <w:r w:rsidR="004F418A" w:rsidRPr="00CA47B9">
        <w:t>greater</w:t>
      </w:r>
      <w:r w:rsidR="004B41A2" w:rsidRPr="00CA47B9">
        <w:t xml:space="preserve"> </w:t>
      </w:r>
      <w:r w:rsidRPr="00CA47B9">
        <w:t>than</w:t>
      </w:r>
      <w:r w:rsidR="004B41A2" w:rsidRPr="00CA47B9">
        <w:t xml:space="preserve"> </w:t>
      </w:r>
      <w:r w:rsidRPr="00CA47B9">
        <w:t>all</w:t>
      </w:r>
      <w:r w:rsidR="004B41A2" w:rsidRPr="00CA47B9">
        <w:t xml:space="preserve"> </w:t>
      </w:r>
      <w:r w:rsidRPr="00CA47B9">
        <w:t>of</w:t>
      </w:r>
      <w:r w:rsidR="004B41A2" w:rsidRPr="00CA47B9">
        <w:t xml:space="preserve"> </w:t>
      </w:r>
      <w:r w:rsidRPr="00CA47B9">
        <w:t>the</w:t>
      </w:r>
      <w:r w:rsidR="004B41A2" w:rsidRPr="00CA47B9">
        <w:t xml:space="preserve"> </w:t>
      </w:r>
      <w:r w:rsidRPr="00CA47B9">
        <w:t>other</w:t>
      </w:r>
      <w:r w:rsidR="004B41A2" w:rsidRPr="00CA47B9">
        <w:t xml:space="preserve"> </w:t>
      </w:r>
      <w:r w:rsidRPr="00CA47B9">
        <w:t>comparators</w:t>
      </w:r>
      <w:r w:rsidR="004B41A2" w:rsidRPr="00CA47B9">
        <w:t xml:space="preserve"> </w:t>
      </w:r>
      <w:r w:rsidRPr="00CA47B9">
        <w:t>but</w:t>
      </w:r>
      <w:r w:rsidR="004B41A2" w:rsidRPr="00CA47B9">
        <w:t xml:space="preserve"> </w:t>
      </w:r>
      <w:r w:rsidR="00C6093F">
        <w:t>lower than</w:t>
      </w:r>
      <w:r w:rsidR="004B41A2" w:rsidRPr="00CA47B9">
        <w:t xml:space="preserve"> </w:t>
      </w:r>
      <w:r w:rsidRPr="00CA47B9">
        <w:t>the</w:t>
      </w:r>
      <w:r w:rsidR="004B41A2" w:rsidRPr="00CA47B9">
        <w:t xml:space="preserve"> </w:t>
      </w:r>
      <w:r w:rsidRPr="00CA47B9">
        <w:t>wider</w:t>
      </w:r>
      <w:r w:rsidR="004B41A2" w:rsidRPr="00CA47B9">
        <w:t xml:space="preserve"> </w:t>
      </w:r>
      <w:r w:rsidRPr="00CA47B9">
        <w:t>South</w:t>
      </w:r>
      <w:r w:rsidR="004B41A2" w:rsidRPr="00CA47B9">
        <w:t xml:space="preserve"> </w:t>
      </w:r>
      <w:r w:rsidRPr="00CA47B9">
        <w:t>East</w:t>
      </w:r>
      <w:r w:rsidR="004B41A2" w:rsidRPr="00CA47B9">
        <w:t xml:space="preserve"> </w:t>
      </w:r>
      <w:r w:rsidRPr="00CA47B9">
        <w:t>(£</w:t>
      </w:r>
      <w:r w:rsidR="004F418A" w:rsidRPr="00CA47B9">
        <w:t>32,000</w:t>
      </w:r>
      <w:r w:rsidRPr="00CA47B9">
        <w:t>).</w:t>
      </w:r>
      <w:bookmarkStart w:id="103" w:name="_Toc417284301"/>
      <w:bookmarkStart w:id="104" w:name="_Toc481156660"/>
    </w:p>
    <w:p w:rsidR="00B0298E" w:rsidRPr="00CA47B9" w:rsidRDefault="00B0298E" w:rsidP="00FC604D">
      <w:pPr>
        <w:pStyle w:val="FigureHeading"/>
        <w:tabs>
          <w:tab w:val="clear" w:pos="794"/>
          <w:tab w:val="clear" w:pos="1843"/>
          <w:tab w:val="left" w:pos="0"/>
        </w:tabs>
        <w:ind w:left="0" w:firstLine="0"/>
      </w:pPr>
      <w:r w:rsidRPr="00CA47B9">
        <w:lastRenderedPageBreak/>
        <w:t>Earnings</w:t>
      </w:r>
      <w:r w:rsidR="004B41A2" w:rsidRPr="00CA47B9">
        <w:t xml:space="preserve"> </w:t>
      </w:r>
      <w:r w:rsidRPr="00CA47B9">
        <w:t>–</w:t>
      </w:r>
      <w:r w:rsidR="004B41A2" w:rsidRPr="00CA47B9">
        <w:t xml:space="preserve"> </w:t>
      </w:r>
      <w:r w:rsidRPr="00CA47B9">
        <w:t>Annual</w:t>
      </w:r>
      <w:r w:rsidR="004B41A2" w:rsidRPr="00CA47B9">
        <w:t xml:space="preserve"> </w:t>
      </w:r>
      <w:r w:rsidRPr="00CA47B9">
        <w:t>Median</w:t>
      </w:r>
      <w:r w:rsidR="004B41A2" w:rsidRPr="00CA47B9">
        <w:t xml:space="preserve"> </w:t>
      </w:r>
      <w:r w:rsidRPr="00CA47B9">
        <w:t>Pay</w:t>
      </w:r>
      <w:r w:rsidR="004B41A2" w:rsidRPr="00CA47B9">
        <w:t xml:space="preserve"> </w:t>
      </w:r>
      <w:r w:rsidRPr="00CA47B9">
        <w:t>of</w:t>
      </w:r>
      <w:r w:rsidR="004B41A2" w:rsidRPr="00CA47B9">
        <w:t xml:space="preserve"> </w:t>
      </w:r>
      <w:r w:rsidRPr="00CA47B9">
        <w:t>Full-Time</w:t>
      </w:r>
      <w:r w:rsidR="004B41A2" w:rsidRPr="00CA47B9">
        <w:t xml:space="preserve"> </w:t>
      </w:r>
      <w:r w:rsidRPr="00CA47B9">
        <w:t>Workers</w:t>
      </w:r>
      <w:r w:rsidR="004B41A2" w:rsidRPr="00CA47B9">
        <w:t xml:space="preserve"> </w:t>
      </w:r>
      <w:r w:rsidRPr="00CA47B9">
        <w:t>(201</w:t>
      </w:r>
      <w:r w:rsidR="00AE16C5" w:rsidRPr="00CA47B9">
        <w:t>8</w:t>
      </w:r>
      <w:r w:rsidRPr="00CA47B9">
        <w:t>)</w:t>
      </w:r>
      <w:bookmarkEnd w:id="103"/>
      <w:bookmarkEnd w:id="104"/>
    </w:p>
    <w:p w:rsidR="007B2F11" w:rsidRPr="00CA47B9" w:rsidRDefault="007B2F11" w:rsidP="00163B4B">
      <w:pPr>
        <w:keepNext/>
        <w:contextualSpacing/>
        <w:jc w:val="both"/>
        <w:rPr>
          <w:rFonts w:asciiTheme="minorHAnsi" w:hAnsiTheme="minorHAnsi" w:cstheme="minorHAnsi"/>
          <w:color w:val="auto"/>
        </w:rPr>
      </w:pPr>
      <w:r w:rsidRPr="006C4C8F">
        <w:rPr>
          <w:noProof/>
          <w:color w:val="FFFFFF" w:themeColor="background1"/>
          <w:lang w:eastAsia="en-GB"/>
        </w:rPr>
        <w:drawing>
          <wp:inline distT="0" distB="0" distL="0" distR="0" wp14:anchorId="2CC69E3F" wp14:editId="5AB19321">
            <wp:extent cx="6120000" cy="2458800"/>
            <wp:effectExtent l="0" t="0" r="14605" b="17780"/>
            <wp:docPr id="350" name="Chart 350" descr="Bar chart comparing the median income of worker vs resident in the district, county, region and country in 2018, according to gender" title="Figure 28: Earnings - Annual Median Pay of Full-Time Workers 20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9847173-0AE8-40A3-B44F-4D151D6073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0298E" w:rsidRPr="00CA47B9" w:rsidRDefault="00B0298E" w:rsidP="00FC604D">
      <w:pPr>
        <w:spacing w:after="120" w:line="360" w:lineRule="auto"/>
        <w:contextualSpacing/>
        <w:jc w:val="both"/>
        <w:rPr>
          <w:rFonts w:asciiTheme="minorHAnsi" w:hAnsiTheme="minorHAnsi" w:cstheme="minorHAnsi"/>
          <w:color w:val="auto"/>
        </w:rPr>
      </w:pPr>
      <w:r w:rsidRPr="00CA47B9">
        <w:rPr>
          <w:rFonts w:asciiTheme="minorHAnsi" w:hAnsiTheme="minorHAnsi" w:cstheme="minorHAnsi"/>
          <w:color w:val="auto"/>
        </w:rPr>
        <w:t>Source:</w:t>
      </w:r>
      <w:r w:rsidR="004B41A2" w:rsidRPr="00CA47B9">
        <w:rPr>
          <w:rFonts w:asciiTheme="minorHAnsi" w:hAnsiTheme="minorHAnsi" w:cstheme="minorHAnsi"/>
          <w:color w:val="auto"/>
        </w:rPr>
        <w:t xml:space="preserve"> </w:t>
      </w:r>
      <w:r w:rsidRPr="00CA47B9">
        <w:rPr>
          <w:rFonts w:asciiTheme="minorHAnsi" w:hAnsiTheme="minorHAnsi" w:cstheme="minorHAnsi"/>
          <w:color w:val="auto"/>
        </w:rPr>
        <w:t>ONS</w:t>
      </w:r>
      <w:r w:rsidR="004B41A2" w:rsidRPr="00CA47B9">
        <w:rPr>
          <w:rFonts w:asciiTheme="minorHAnsi" w:hAnsiTheme="minorHAnsi" w:cstheme="minorHAnsi"/>
          <w:color w:val="auto"/>
        </w:rPr>
        <w:t xml:space="preserve"> </w:t>
      </w:r>
      <w:r w:rsidRPr="00CA47B9">
        <w:rPr>
          <w:rFonts w:asciiTheme="minorHAnsi" w:hAnsiTheme="minorHAnsi" w:cstheme="minorHAnsi"/>
          <w:color w:val="auto"/>
        </w:rPr>
        <w:t>Annual</w:t>
      </w:r>
      <w:r w:rsidR="004B41A2" w:rsidRPr="00CA47B9">
        <w:rPr>
          <w:rFonts w:asciiTheme="minorHAnsi" w:hAnsiTheme="minorHAnsi" w:cstheme="minorHAnsi"/>
          <w:color w:val="auto"/>
        </w:rPr>
        <w:t xml:space="preserve"> </w:t>
      </w:r>
      <w:r w:rsidRPr="00CA47B9">
        <w:rPr>
          <w:rFonts w:asciiTheme="minorHAnsi" w:hAnsiTheme="minorHAnsi" w:cstheme="minorHAnsi"/>
          <w:color w:val="auto"/>
        </w:rPr>
        <w:t>Survey</w:t>
      </w:r>
      <w:r w:rsidR="004B41A2" w:rsidRPr="00CA47B9">
        <w:rPr>
          <w:rFonts w:asciiTheme="minorHAnsi" w:hAnsiTheme="minorHAnsi" w:cstheme="minorHAnsi"/>
          <w:color w:val="auto"/>
        </w:rPr>
        <w:t xml:space="preserve"> </w:t>
      </w:r>
      <w:r w:rsidRPr="00CA47B9">
        <w:rPr>
          <w:rFonts w:asciiTheme="minorHAnsi" w:hAnsiTheme="minorHAnsi" w:cstheme="minorHAnsi"/>
          <w:color w:val="auto"/>
        </w:rPr>
        <w:t>of</w:t>
      </w:r>
      <w:r w:rsidR="004B41A2" w:rsidRPr="00CA47B9">
        <w:rPr>
          <w:rFonts w:asciiTheme="minorHAnsi" w:hAnsiTheme="minorHAnsi" w:cstheme="minorHAnsi"/>
          <w:color w:val="auto"/>
        </w:rPr>
        <w:t xml:space="preserve"> </w:t>
      </w:r>
      <w:r w:rsidRPr="00CA47B9">
        <w:rPr>
          <w:rFonts w:asciiTheme="minorHAnsi" w:hAnsiTheme="minorHAnsi" w:cstheme="minorHAnsi"/>
          <w:color w:val="auto"/>
        </w:rPr>
        <w:t>Hours</w:t>
      </w:r>
      <w:r w:rsidR="004B41A2" w:rsidRPr="00CA47B9">
        <w:rPr>
          <w:rFonts w:asciiTheme="minorHAnsi" w:hAnsiTheme="minorHAnsi" w:cstheme="minorHAnsi"/>
          <w:color w:val="auto"/>
        </w:rPr>
        <w:t xml:space="preserve"> </w:t>
      </w:r>
      <w:r w:rsidRPr="00CA47B9">
        <w:rPr>
          <w:rFonts w:asciiTheme="minorHAnsi" w:hAnsiTheme="minorHAnsi" w:cstheme="minorHAnsi"/>
          <w:color w:val="auto"/>
        </w:rPr>
        <w:t>and</w:t>
      </w:r>
      <w:r w:rsidR="004B41A2" w:rsidRPr="00CA47B9">
        <w:rPr>
          <w:rFonts w:asciiTheme="minorHAnsi" w:hAnsiTheme="minorHAnsi" w:cstheme="minorHAnsi"/>
          <w:color w:val="auto"/>
        </w:rPr>
        <w:t xml:space="preserve"> </w:t>
      </w:r>
      <w:r w:rsidRPr="00CA47B9">
        <w:rPr>
          <w:rFonts w:asciiTheme="minorHAnsi" w:hAnsiTheme="minorHAnsi" w:cstheme="minorHAnsi"/>
          <w:color w:val="auto"/>
        </w:rPr>
        <w:t>Earnings,</w:t>
      </w:r>
      <w:r w:rsidR="004B41A2" w:rsidRPr="00CA47B9">
        <w:rPr>
          <w:rFonts w:asciiTheme="minorHAnsi" w:hAnsiTheme="minorHAnsi" w:cstheme="minorHAnsi"/>
          <w:color w:val="auto"/>
        </w:rPr>
        <w:t xml:space="preserve"> </w:t>
      </w:r>
      <w:r w:rsidRPr="00CA47B9">
        <w:rPr>
          <w:rFonts w:asciiTheme="minorHAnsi" w:hAnsiTheme="minorHAnsi" w:cstheme="minorHAnsi"/>
          <w:color w:val="auto"/>
        </w:rPr>
        <w:t>201</w:t>
      </w:r>
      <w:r w:rsidR="00AE16C5" w:rsidRPr="00CA47B9">
        <w:rPr>
          <w:rFonts w:asciiTheme="minorHAnsi" w:hAnsiTheme="minorHAnsi" w:cstheme="minorHAnsi"/>
          <w:color w:val="auto"/>
        </w:rPr>
        <w:t>8</w:t>
      </w:r>
    </w:p>
    <w:p w:rsidR="00D86785" w:rsidRDefault="00B0298E" w:rsidP="00020CFC">
      <w:pPr>
        <w:pStyle w:val="11Bodytext"/>
        <w:tabs>
          <w:tab w:val="clear" w:pos="2212"/>
          <w:tab w:val="num" w:pos="567"/>
        </w:tabs>
        <w:ind w:left="567" w:hanging="567"/>
      </w:pPr>
      <w:r w:rsidRPr="00CA47B9">
        <w:t>Those</w:t>
      </w:r>
      <w:r w:rsidR="004B41A2" w:rsidRPr="00CA47B9">
        <w:t xml:space="preserve"> </w:t>
      </w:r>
      <w:r w:rsidRPr="00CA47B9">
        <w:t>working</w:t>
      </w:r>
      <w:r w:rsidR="004B41A2" w:rsidRPr="00CA47B9">
        <w:t xml:space="preserve"> </w:t>
      </w:r>
      <w:r w:rsidRPr="00CA47B9">
        <w:t>full-time</w:t>
      </w:r>
      <w:r w:rsidR="004B41A2" w:rsidRPr="00CA47B9">
        <w:t xml:space="preserve"> </w:t>
      </w:r>
      <w:r w:rsidRPr="00CA47B9">
        <w:t>in</w:t>
      </w:r>
      <w:r w:rsidR="004B41A2" w:rsidRPr="00CA47B9">
        <w:t xml:space="preserve"> </w:t>
      </w:r>
      <w:r w:rsidRPr="00CA47B9">
        <w:t>the</w:t>
      </w:r>
      <w:r w:rsidR="004B41A2" w:rsidRPr="00CA47B9">
        <w:t xml:space="preserve"> </w:t>
      </w:r>
      <w:r w:rsidRPr="00CA47B9">
        <w:t>district</w:t>
      </w:r>
      <w:r w:rsidR="004B41A2" w:rsidRPr="00CA47B9">
        <w:t xml:space="preserve"> </w:t>
      </w:r>
      <w:r w:rsidRPr="00CA47B9">
        <w:t>typically</w:t>
      </w:r>
      <w:r w:rsidR="004B41A2" w:rsidRPr="00CA47B9">
        <w:t xml:space="preserve"> </w:t>
      </w:r>
      <w:r w:rsidRPr="00CA47B9">
        <w:t>earn</w:t>
      </w:r>
      <w:r w:rsidR="004B41A2" w:rsidRPr="00CA47B9">
        <w:t xml:space="preserve"> </w:t>
      </w:r>
      <w:r w:rsidRPr="00CA47B9">
        <w:t>around</w:t>
      </w:r>
      <w:r w:rsidR="004B41A2" w:rsidRPr="00CA47B9">
        <w:t xml:space="preserve"> </w:t>
      </w:r>
      <w:r w:rsidR="004B120D" w:rsidRPr="00CA47B9">
        <w:t>£</w:t>
      </w:r>
      <w:r w:rsidR="004F418A" w:rsidRPr="00CA47B9">
        <w:t>2,800</w:t>
      </w:r>
      <w:r w:rsidR="004B41A2" w:rsidRPr="00CA47B9">
        <w:t xml:space="preserve"> </w:t>
      </w:r>
      <w:r w:rsidR="00904BE2" w:rsidRPr="00CA47B9">
        <w:t>less</w:t>
      </w:r>
      <w:r w:rsidR="004B41A2" w:rsidRPr="00CA47B9">
        <w:t xml:space="preserve"> </w:t>
      </w:r>
      <w:r w:rsidR="00904BE2" w:rsidRPr="00CA47B9">
        <w:t>than</w:t>
      </w:r>
      <w:r w:rsidR="004B41A2" w:rsidRPr="00CA47B9">
        <w:t xml:space="preserve"> </w:t>
      </w:r>
      <w:r w:rsidR="00904BE2" w:rsidRPr="00CA47B9">
        <w:t>those</w:t>
      </w:r>
      <w:r w:rsidR="004B41A2" w:rsidRPr="00CA47B9">
        <w:t xml:space="preserve"> </w:t>
      </w:r>
      <w:r w:rsidR="009B6FCB" w:rsidRPr="00CA47B9">
        <w:t>who</w:t>
      </w:r>
      <w:r w:rsidR="004B41A2" w:rsidRPr="00CA47B9">
        <w:t xml:space="preserve"> </w:t>
      </w:r>
      <w:r w:rsidR="009B6FCB" w:rsidRPr="00CA47B9">
        <w:t>reside</w:t>
      </w:r>
      <w:r w:rsidR="004B41A2" w:rsidRPr="00CA47B9">
        <w:t xml:space="preserve"> </w:t>
      </w:r>
      <w:r w:rsidRPr="00CA47B9">
        <w:t>in</w:t>
      </w:r>
      <w:r w:rsidR="004B41A2" w:rsidRPr="00CA47B9">
        <w:t xml:space="preserve"> </w:t>
      </w:r>
      <w:r w:rsidRPr="00CA47B9">
        <w:t>the</w:t>
      </w:r>
      <w:r w:rsidR="004B41A2" w:rsidRPr="00CA47B9">
        <w:t xml:space="preserve"> </w:t>
      </w:r>
      <w:r w:rsidRPr="00CA47B9">
        <w:t>district</w:t>
      </w:r>
      <w:r w:rsidR="004B41A2" w:rsidRPr="00CA47B9">
        <w:t xml:space="preserve"> </w:t>
      </w:r>
      <w:r w:rsidRPr="00CA47B9">
        <w:t>suggesting,</w:t>
      </w:r>
      <w:r w:rsidR="004B41A2" w:rsidRPr="00CA47B9">
        <w:t xml:space="preserve"> </w:t>
      </w:r>
      <w:r w:rsidRPr="00CA47B9">
        <w:t>as</w:t>
      </w:r>
      <w:r w:rsidR="004B41A2" w:rsidRPr="00CA47B9">
        <w:t xml:space="preserve"> </w:t>
      </w:r>
      <w:r w:rsidRPr="00CA47B9">
        <w:t>we</w:t>
      </w:r>
      <w:r w:rsidR="004B41A2" w:rsidRPr="00CA47B9">
        <w:t xml:space="preserve"> </w:t>
      </w:r>
      <w:r w:rsidRPr="00CA47B9">
        <w:t>might</w:t>
      </w:r>
      <w:r w:rsidR="004B41A2" w:rsidRPr="00CA47B9">
        <w:t xml:space="preserve"> </w:t>
      </w:r>
      <w:r w:rsidRPr="00CA47B9">
        <w:t>expect,</w:t>
      </w:r>
      <w:r w:rsidR="004B41A2" w:rsidRPr="00CA47B9">
        <w:t xml:space="preserve"> </w:t>
      </w:r>
      <w:r w:rsidRPr="00CA47B9">
        <w:t>that</w:t>
      </w:r>
      <w:r w:rsidR="004B41A2" w:rsidRPr="00CA47B9">
        <w:t xml:space="preserve"> </w:t>
      </w:r>
      <w:r w:rsidR="00855CA6">
        <w:t>many</w:t>
      </w:r>
      <w:r w:rsidR="004B41A2" w:rsidRPr="00CA47B9">
        <w:t xml:space="preserve"> </w:t>
      </w:r>
      <w:r w:rsidRPr="00CA47B9">
        <w:t>higher-earning</w:t>
      </w:r>
      <w:r w:rsidR="004B41A2" w:rsidRPr="00CA47B9">
        <w:t xml:space="preserve"> </w:t>
      </w:r>
      <w:r w:rsidRPr="00CA47B9">
        <w:t>residents</w:t>
      </w:r>
      <w:r w:rsidR="004B41A2" w:rsidRPr="00CA47B9">
        <w:t xml:space="preserve"> </w:t>
      </w:r>
      <w:r w:rsidRPr="00CA47B9">
        <w:t>commute</w:t>
      </w:r>
      <w:r w:rsidR="004B41A2" w:rsidRPr="00CA47B9">
        <w:t xml:space="preserve"> </w:t>
      </w:r>
      <w:r w:rsidRPr="00CA47B9">
        <w:t>out</w:t>
      </w:r>
      <w:r w:rsidR="004B41A2" w:rsidRPr="00CA47B9">
        <w:t xml:space="preserve"> </w:t>
      </w:r>
      <w:r w:rsidRPr="00CA47B9">
        <w:t>of</w:t>
      </w:r>
      <w:r w:rsidR="004B41A2" w:rsidRPr="00CA47B9">
        <w:t xml:space="preserve"> </w:t>
      </w:r>
      <w:r w:rsidRPr="00CA47B9">
        <w:t>the</w:t>
      </w:r>
      <w:r w:rsidR="004B41A2" w:rsidRPr="00CA47B9">
        <w:t xml:space="preserve"> </w:t>
      </w:r>
      <w:r w:rsidRPr="00CA47B9">
        <w:t>area</w:t>
      </w:r>
      <w:r w:rsidR="004B41A2" w:rsidRPr="00CA47B9">
        <w:t xml:space="preserve"> </w:t>
      </w:r>
      <w:r w:rsidRPr="00CA47B9">
        <w:t>to</w:t>
      </w:r>
      <w:r w:rsidR="004B41A2" w:rsidRPr="00CA47B9">
        <w:t xml:space="preserve"> </w:t>
      </w:r>
      <w:r w:rsidRPr="00CA47B9">
        <w:t>higher</w:t>
      </w:r>
      <w:r w:rsidR="004B41A2" w:rsidRPr="00CA47B9">
        <w:t xml:space="preserve"> </w:t>
      </w:r>
      <w:r w:rsidRPr="00CA47B9">
        <w:t>paid</w:t>
      </w:r>
      <w:r w:rsidR="004B41A2" w:rsidRPr="00CA47B9">
        <w:t xml:space="preserve"> </w:t>
      </w:r>
      <w:r w:rsidRPr="00CA47B9">
        <w:t>jobs</w:t>
      </w:r>
      <w:r w:rsidR="004B41A2" w:rsidRPr="00CA47B9">
        <w:t xml:space="preserve"> </w:t>
      </w:r>
      <w:r w:rsidRPr="00CA47B9">
        <w:t>in</w:t>
      </w:r>
      <w:r w:rsidR="004B41A2" w:rsidRPr="00CA47B9">
        <w:t xml:space="preserve"> </w:t>
      </w:r>
      <w:r w:rsidRPr="00CA47B9">
        <w:t>surrounding</w:t>
      </w:r>
      <w:r w:rsidR="004B41A2" w:rsidRPr="00CA47B9">
        <w:t xml:space="preserve"> </w:t>
      </w:r>
      <w:r w:rsidRPr="00CA47B9">
        <w:t>areas</w:t>
      </w:r>
      <w:r w:rsidR="004B41A2" w:rsidRPr="00CA47B9">
        <w:t xml:space="preserve"> </w:t>
      </w:r>
      <w:r w:rsidRPr="00CA47B9">
        <w:t>such</w:t>
      </w:r>
      <w:r w:rsidR="004B41A2" w:rsidRPr="00CA47B9">
        <w:t xml:space="preserve"> </w:t>
      </w:r>
      <w:r w:rsidRPr="00CA47B9">
        <w:t>as</w:t>
      </w:r>
      <w:r w:rsidR="004B41A2" w:rsidRPr="00CA47B9">
        <w:t xml:space="preserve"> </w:t>
      </w:r>
      <w:r w:rsidRPr="00CA47B9">
        <w:t>Brighton</w:t>
      </w:r>
      <w:r w:rsidR="004B41A2" w:rsidRPr="00CA47B9">
        <w:t xml:space="preserve"> </w:t>
      </w:r>
      <w:r w:rsidRPr="00CA47B9">
        <w:t>and</w:t>
      </w:r>
      <w:r w:rsidR="004B41A2" w:rsidRPr="00CA47B9">
        <w:t xml:space="preserve"> </w:t>
      </w:r>
      <w:r w:rsidRPr="00CA47B9">
        <w:t>Greater</w:t>
      </w:r>
      <w:r w:rsidR="004B41A2" w:rsidRPr="00CA47B9">
        <w:t xml:space="preserve"> </w:t>
      </w:r>
      <w:r w:rsidRPr="00CA47B9">
        <w:t>London.</w:t>
      </w:r>
      <w:r w:rsidR="004B41A2" w:rsidRPr="00CA47B9">
        <w:t xml:space="preserve"> </w:t>
      </w:r>
    </w:p>
    <w:p w:rsidR="00B0298E" w:rsidRPr="00CA47B9" w:rsidRDefault="007F3221" w:rsidP="00020CFC">
      <w:pPr>
        <w:pStyle w:val="11Bodytext"/>
        <w:tabs>
          <w:tab w:val="clear" w:pos="2212"/>
          <w:tab w:val="num" w:pos="567"/>
        </w:tabs>
        <w:ind w:left="567" w:hanging="567"/>
      </w:pPr>
      <w:r w:rsidRPr="00CA47B9">
        <w:t>This</w:t>
      </w:r>
      <w:r w:rsidR="004B41A2" w:rsidRPr="00CA47B9">
        <w:t xml:space="preserve"> </w:t>
      </w:r>
      <w:r w:rsidRPr="00CA47B9">
        <w:t>is</w:t>
      </w:r>
      <w:r w:rsidR="004B41A2" w:rsidRPr="00CA47B9">
        <w:t xml:space="preserve"> </w:t>
      </w:r>
      <w:r w:rsidRPr="00CA47B9">
        <w:t>supported</w:t>
      </w:r>
      <w:r w:rsidR="004B41A2" w:rsidRPr="00CA47B9">
        <w:t xml:space="preserve"> </w:t>
      </w:r>
      <w:r w:rsidRPr="00CA47B9">
        <w:t>by</w:t>
      </w:r>
      <w:r w:rsidR="004B41A2" w:rsidRPr="00CA47B9">
        <w:t xml:space="preserve"> </w:t>
      </w:r>
      <w:r w:rsidRPr="00CA47B9">
        <w:t>Census</w:t>
      </w:r>
      <w:r w:rsidR="004B41A2" w:rsidRPr="00CA47B9">
        <w:t xml:space="preserve"> </w:t>
      </w:r>
      <w:r w:rsidRPr="00CA47B9">
        <w:t>data</w:t>
      </w:r>
      <w:r w:rsidR="004B41A2" w:rsidRPr="00CA47B9">
        <w:t xml:space="preserve"> </w:t>
      </w:r>
      <w:r w:rsidRPr="00CA47B9">
        <w:t>showing</w:t>
      </w:r>
      <w:r w:rsidR="004B41A2" w:rsidRPr="00CA47B9">
        <w:t xml:space="preserve"> </w:t>
      </w:r>
      <w:r w:rsidRPr="00CA47B9">
        <w:t>distance</w:t>
      </w:r>
      <w:r w:rsidR="004B41A2" w:rsidRPr="00CA47B9">
        <w:t xml:space="preserve"> </w:t>
      </w:r>
      <w:r w:rsidRPr="00CA47B9">
        <w:t>travelled</w:t>
      </w:r>
      <w:r w:rsidR="004B41A2" w:rsidRPr="00CA47B9">
        <w:t xml:space="preserve"> </w:t>
      </w:r>
      <w:r w:rsidRPr="00CA47B9">
        <w:t>to</w:t>
      </w:r>
      <w:r w:rsidR="004B41A2" w:rsidRPr="00CA47B9">
        <w:t xml:space="preserve"> </w:t>
      </w:r>
      <w:r w:rsidRPr="00CA47B9">
        <w:t>work</w:t>
      </w:r>
      <w:r w:rsidR="004B41A2" w:rsidRPr="00CA47B9">
        <w:t xml:space="preserve"> </w:t>
      </w:r>
      <w:r w:rsidRPr="00CA47B9">
        <w:t>by</w:t>
      </w:r>
      <w:r w:rsidR="004B41A2" w:rsidRPr="00CA47B9">
        <w:t xml:space="preserve"> </w:t>
      </w:r>
      <w:r w:rsidRPr="00CA47B9">
        <w:t>occupation</w:t>
      </w:r>
      <w:r w:rsidR="004B41A2" w:rsidRPr="00CA47B9">
        <w:t xml:space="preserve"> </w:t>
      </w:r>
      <w:r w:rsidR="004C50F1" w:rsidRPr="00CA47B9">
        <w:t>which</w:t>
      </w:r>
      <w:r w:rsidR="004B41A2" w:rsidRPr="00CA47B9">
        <w:t xml:space="preserve"> </w:t>
      </w:r>
      <w:r w:rsidR="004C50F1" w:rsidRPr="00CA47B9">
        <w:t>shows</w:t>
      </w:r>
      <w:r w:rsidR="004B41A2" w:rsidRPr="00CA47B9">
        <w:t xml:space="preserve"> </w:t>
      </w:r>
      <w:r w:rsidR="004C50F1" w:rsidRPr="00CA47B9">
        <w:t>a</w:t>
      </w:r>
      <w:r w:rsidR="004B41A2" w:rsidRPr="00CA47B9">
        <w:t xml:space="preserve"> </w:t>
      </w:r>
      <w:r w:rsidR="004C50F1" w:rsidRPr="00CA47B9">
        <w:t>larger</w:t>
      </w:r>
      <w:r w:rsidR="004B41A2" w:rsidRPr="00CA47B9">
        <w:t xml:space="preserve"> </w:t>
      </w:r>
      <w:r w:rsidR="004C50F1" w:rsidRPr="00CA47B9">
        <w:t>proportion</w:t>
      </w:r>
      <w:r w:rsidR="004B41A2" w:rsidRPr="00CA47B9">
        <w:t xml:space="preserve"> </w:t>
      </w:r>
      <w:r w:rsidR="004C50F1" w:rsidRPr="00CA47B9">
        <w:t>of</w:t>
      </w:r>
      <w:r w:rsidR="004B41A2" w:rsidRPr="00CA47B9">
        <w:t xml:space="preserve"> </w:t>
      </w:r>
      <w:r w:rsidR="004C50F1" w:rsidRPr="00CA47B9">
        <w:t>workers</w:t>
      </w:r>
      <w:r w:rsidR="004B41A2" w:rsidRPr="00CA47B9">
        <w:t xml:space="preserve"> </w:t>
      </w:r>
      <w:r w:rsidR="004C50F1" w:rsidRPr="00CA47B9">
        <w:t>in</w:t>
      </w:r>
      <w:r w:rsidR="004B41A2" w:rsidRPr="00CA47B9">
        <w:t xml:space="preserve"> </w:t>
      </w:r>
      <w:r w:rsidR="004C50F1" w:rsidRPr="00CA47B9">
        <w:t>the</w:t>
      </w:r>
      <w:r w:rsidR="004B41A2" w:rsidRPr="00CA47B9">
        <w:t xml:space="preserve"> </w:t>
      </w:r>
      <w:r w:rsidR="004C50F1" w:rsidRPr="00CA47B9">
        <w:t>managerial,</w:t>
      </w:r>
      <w:r w:rsidR="004B41A2" w:rsidRPr="00CA47B9">
        <w:t xml:space="preserve"> </w:t>
      </w:r>
      <w:r w:rsidR="004C50F1" w:rsidRPr="00CA47B9">
        <w:t>professional,</w:t>
      </w:r>
      <w:r w:rsidR="004B41A2" w:rsidRPr="00CA47B9">
        <w:t xml:space="preserve"> </w:t>
      </w:r>
      <w:r w:rsidR="004C50F1" w:rsidRPr="00CA47B9">
        <w:t>and</w:t>
      </w:r>
      <w:r w:rsidR="004B41A2" w:rsidRPr="00CA47B9">
        <w:t xml:space="preserve"> </w:t>
      </w:r>
      <w:r w:rsidR="004C50F1" w:rsidRPr="00CA47B9">
        <w:t>technical</w:t>
      </w:r>
      <w:r w:rsidR="004B41A2" w:rsidRPr="00CA47B9">
        <w:t xml:space="preserve"> </w:t>
      </w:r>
      <w:r w:rsidR="004C50F1" w:rsidRPr="00CA47B9">
        <w:t>occupations</w:t>
      </w:r>
      <w:r w:rsidR="004B41A2" w:rsidRPr="00CA47B9">
        <w:t xml:space="preserve"> </w:t>
      </w:r>
      <w:r w:rsidR="004C50F1" w:rsidRPr="00CA47B9">
        <w:t>commute</w:t>
      </w:r>
      <w:r w:rsidR="004B41A2" w:rsidRPr="00CA47B9">
        <w:t xml:space="preserve"> </w:t>
      </w:r>
      <w:r w:rsidR="004C50F1" w:rsidRPr="00CA47B9">
        <w:t>over</w:t>
      </w:r>
      <w:r w:rsidR="004B41A2" w:rsidRPr="00CA47B9">
        <w:t xml:space="preserve"> </w:t>
      </w:r>
      <w:r w:rsidR="004C50F1" w:rsidRPr="00CA47B9">
        <w:t>10km</w:t>
      </w:r>
      <w:r w:rsidR="004B41A2" w:rsidRPr="00CA47B9">
        <w:t xml:space="preserve"> </w:t>
      </w:r>
      <w:r w:rsidR="004C50F1" w:rsidRPr="00CA47B9">
        <w:t>to</w:t>
      </w:r>
      <w:r w:rsidR="004B41A2" w:rsidRPr="00CA47B9">
        <w:t xml:space="preserve"> </w:t>
      </w:r>
      <w:r w:rsidR="004C50F1" w:rsidRPr="00CA47B9">
        <w:t>work,</w:t>
      </w:r>
      <w:r w:rsidR="004B41A2" w:rsidRPr="00CA47B9">
        <w:t xml:space="preserve"> </w:t>
      </w:r>
      <w:r w:rsidR="004C50F1" w:rsidRPr="00CA47B9">
        <w:t>and</w:t>
      </w:r>
      <w:r w:rsidR="004B41A2" w:rsidRPr="00CA47B9">
        <w:t xml:space="preserve"> </w:t>
      </w:r>
      <w:r w:rsidR="004C50F1" w:rsidRPr="00CA47B9">
        <w:t>a</w:t>
      </w:r>
      <w:r w:rsidR="004B41A2" w:rsidRPr="00CA47B9">
        <w:t xml:space="preserve"> </w:t>
      </w:r>
      <w:r w:rsidR="004C50F1" w:rsidRPr="00CA47B9">
        <w:t>smaller</w:t>
      </w:r>
      <w:r w:rsidR="004B41A2" w:rsidRPr="00CA47B9">
        <w:t xml:space="preserve"> </w:t>
      </w:r>
      <w:r w:rsidR="004C50F1" w:rsidRPr="00CA47B9">
        <w:t>proportion</w:t>
      </w:r>
      <w:r w:rsidR="004B41A2" w:rsidRPr="00CA47B9">
        <w:t xml:space="preserve"> </w:t>
      </w:r>
      <w:r w:rsidR="004C50F1" w:rsidRPr="00CA47B9">
        <w:t>of</w:t>
      </w:r>
      <w:r w:rsidR="004B41A2" w:rsidRPr="00CA47B9">
        <w:t xml:space="preserve"> </w:t>
      </w:r>
      <w:r w:rsidR="003A32C6" w:rsidRPr="00CA47B9">
        <w:t>workers</w:t>
      </w:r>
      <w:r w:rsidR="004B41A2" w:rsidRPr="00CA47B9">
        <w:t xml:space="preserve"> </w:t>
      </w:r>
      <w:r w:rsidR="003A32C6" w:rsidRPr="00CA47B9">
        <w:t>in</w:t>
      </w:r>
      <w:r w:rsidR="004B41A2" w:rsidRPr="00CA47B9">
        <w:t xml:space="preserve"> </w:t>
      </w:r>
      <w:r w:rsidR="004C50F1" w:rsidRPr="00CA47B9">
        <w:t>these</w:t>
      </w:r>
      <w:r w:rsidR="004B41A2" w:rsidRPr="00CA47B9">
        <w:t xml:space="preserve"> </w:t>
      </w:r>
      <w:r w:rsidR="004C50F1" w:rsidRPr="00CA47B9">
        <w:t>occupations</w:t>
      </w:r>
      <w:r w:rsidR="004B41A2" w:rsidRPr="00CA47B9">
        <w:t xml:space="preserve"> </w:t>
      </w:r>
      <w:r w:rsidR="004C50F1" w:rsidRPr="00CA47B9">
        <w:t>commuting</w:t>
      </w:r>
      <w:r w:rsidR="004B41A2" w:rsidRPr="00CA47B9">
        <w:t xml:space="preserve"> </w:t>
      </w:r>
      <w:r w:rsidR="004C50F1" w:rsidRPr="00CA47B9">
        <w:t>shorter</w:t>
      </w:r>
      <w:r w:rsidR="004B41A2" w:rsidRPr="00CA47B9">
        <w:t xml:space="preserve"> </w:t>
      </w:r>
      <w:r w:rsidR="004C50F1" w:rsidRPr="00CA47B9">
        <w:t>distances</w:t>
      </w:r>
      <w:r w:rsidR="004B41A2" w:rsidRPr="00CA47B9">
        <w:t xml:space="preserve"> </w:t>
      </w:r>
      <w:r w:rsidR="003A32C6" w:rsidRPr="00CA47B9">
        <w:t>when</w:t>
      </w:r>
      <w:r w:rsidR="004B41A2" w:rsidRPr="00CA47B9">
        <w:t xml:space="preserve"> </w:t>
      </w:r>
      <w:r w:rsidR="003A32C6" w:rsidRPr="00CA47B9">
        <w:t>compared</w:t>
      </w:r>
      <w:r w:rsidR="004B41A2" w:rsidRPr="00CA47B9">
        <w:t xml:space="preserve"> </w:t>
      </w:r>
      <w:r w:rsidR="003A32C6" w:rsidRPr="00CA47B9">
        <w:t>to</w:t>
      </w:r>
      <w:r w:rsidR="004B41A2" w:rsidRPr="00CA47B9">
        <w:t xml:space="preserve"> </w:t>
      </w:r>
      <w:r w:rsidR="003A32C6" w:rsidRPr="00CA47B9">
        <w:t>other</w:t>
      </w:r>
      <w:r w:rsidR="004B41A2" w:rsidRPr="00CA47B9">
        <w:t xml:space="preserve"> </w:t>
      </w:r>
      <w:r w:rsidR="003A32C6" w:rsidRPr="00CA47B9">
        <w:t>occupations</w:t>
      </w:r>
      <w:r w:rsidR="004C50F1" w:rsidRPr="00CA47B9">
        <w:t>.</w:t>
      </w:r>
    </w:p>
    <w:p w:rsidR="007F3221" w:rsidRPr="00CA47B9" w:rsidRDefault="007F3221" w:rsidP="003C7491">
      <w:pPr>
        <w:pStyle w:val="Tableheading"/>
        <w:tabs>
          <w:tab w:val="clear" w:pos="794"/>
          <w:tab w:val="clear" w:pos="1843"/>
          <w:tab w:val="left" w:pos="0"/>
        </w:tabs>
        <w:spacing w:line="240" w:lineRule="auto"/>
        <w:ind w:left="0" w:firstLine="0"/>
      </w:pPr>
      <w:r w:rsidRPr="00CA47B9">
        <w:t>Distance</w:t>
      </w:r>
      <w:r w:rsidR="004B41A2" w:rsidRPr="00CA47B9">
        <w:t xml:space="preserve"> </w:t>
      </w:r>
      <w:r w:rsidRPr="00CA47B9">
        <w:t>Travelled</w:t>
      </w:r>
      <w:r w:rsidR="004B41A2" w:rsidRPr="00CA47B9">
        <w:t xml:space="preserve"> </w:t>
      </w:r>
      <w:r w:rsidRPr="00CA47B9">
        <w:t>to</w:t>
      </w:r>
      <w:r w:rsidR="004B41A2" w:rsidRPr="00CA47B9">
        <w:t xml:space="preserve"> </w:t>
      </w:r>
      <w:r w:rsidRPr="00CA47B9">
        <w:t>Work</w:t>
      </w:r>
      <w:r w:rsidR="004B41A2" w:rsidRPr="00CA47B9">
        <w:t xml:space="preserve"> </w:t>
      </w:r>
      <w:r w:rsidRPr="00CA47B9">
        <w:t>by</w:t>
      </w:r>
      <w:r w:rsidR="004B41A2" w:rsidRPr="00CA47B9">
        <w:t xml:space="preserve"> </w:t>
      </w:r>
      <w:r w:rsidRPr="00CA47B9">
        <w:t>Occupation</w:t>
      </w:r>
      <w:r w:rsidR="004C50F1" w:rsidRPr="00CA47B9">
        <w:t>,</w:t>
      </w:r>
      <w:r w:rsidR="004B41A2" w:rsidRPr="00CA47B9">
        <w:t xml:space="preserve"> </w:t>
      </w:r>
      <w:r w:rsidR="004C50F1" w:rsidRPr="00CA47B9">
        <w:t>Chichester</w:t>
      </w:r>
      <w:r w:rsidR="004B41A2" w:rsidRPr="00CA47B9">
        <w:t xml:space="preserve"> </w:t>
      </w:r>
      <w:r w:rsidR="004C50F1" w:rsidRPr="00CA47B9">
        <w:t>Residents</w:t>
      </w:r>
      <w:r w:rsidR="004B41A2" w:rsidRPr="00CA47B9">
        <w:t xml:space="preserve"> </w:t>
      </w:r>
      <w:r w:rsidRPr="00CA47B9">
        <w:t>(2011)</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16: Distance Travelled to Work by Occupation, Chichester Residents 2011"/>
      </w:tblPr>
      <w:tblGrid>
        <w:gridCol w:w="4395"/>
        <w:gridCol w:w="1417"/>
        <w:gridCol w:w="1276"/>
        <w:gridCol w:w="1702"/>
        <w:gridCol w:w="848"/>
      </w:tblGrid>
      <w:tr w:rsidR="00F74225" w:rsidRPr="006C4C8F" w:rsidTr="00FC604D">
        <w:trPr>
          <w:trHeight w:val="300"/>
          <w:tblHeader/>
        </w:trPr>
        <w:tc>
          <w:tcPr>
            <w:tcW w:w="2280" w:type="pct"/>
            <w:shd w:val="clear" w:color="auto" w:fill="0093D5"/>
            <w:noWrap/>
            <w:vAlign w:val="center"/>
            <w:hideMark/>
          </w:tcPr>
          <w:p w:rsidR="007F3221" w:rsidRPr="006C4C8F" w:rsidRDefault="007F3221" w:rsidP="006C4C8F">
            <w:pPr>
              <w:keepNext/>
              <w:rPr>
                <w:rFonts w:ascii="Arial Narrow" w:eastAsia="Times New Roman" w:hAnsi="Arial Narrow"/>
                <w:bCs/>
                <w:color w:val="FFFFFF" w:themeColor="background1"/>
                <w:sz w:val="24"/>
                <w:szCs w:val="24"/>
                <w:lang w:eastAsia="en-GB"/>
              </w:rPr>
            </w:pPr>
            <w:r w:rsidRPr="006C4C8F">
              <w:rPr>
                <w:rFonts w:ascii="Arial Narrow" w:eastAsia="Times New Roman" w:hAnsi="Arial Narrow"/>
                <w:bCs/>
                <w:color w:val="FFFFFF" w:themeColor="background1"/>
                <w:sz w:val="24"/>
                <w:szCs w:val="24"/>
                <w:lang w:eastAsia="en-GB"/>
              </w:rPr>
              <w:t>Occupation</w:t>
            </w:r>
          </w:p>
        </w:tc>
        <w:tc>
          <w:tcPr>
            <w:tcW w:w="735" w:type="pct"/>
            <w:shd w:val="clear" w:color="auto" w:fill="0093D5"/>
            <w:noWrap/>
            <w:vAlign w:val="center"/>
            <w:hideMark/>
          </w:tcPr>
          <w:p w:rsidR="007F3221" w:rsidRPr="006C4C8F" w:rsidRDefault="007F3221" w:rsidP="006C4C8F">
            <w:pPr>
              <w:keepNext/>
              <w:jc w:val="center"/>
              <w:rPr>
                <w:rFonts w:ascii="Arial Narrow" w:eastAsia="Times New Roman" w:hAnsi="Arial Narrow"/>
                <w:bCs/>
                <w:color w:val="FFFFFF" w:themeColor="background1"/>
                <w:sz w:val="24"/>
                <w:szCs w:val="24"/>
                <w:lang w:eastAsia="en-GB"/>
              </w:rPr>
            </w:pPr>
            <w:r w:rsidRPr="006C4C8F">
              <w:rPr>
                <w:rFonts w:ascii="Arial Narrow" w:eastAsia="Times New Roman" w:hAnsi="Arial Narrow"/>
                <w:bCs/>
                <w:color w:val="FFFFFF" w:themeColor="background1"/>
                <w:sz w:val="24"/>
                <w:szCs w:val="24"/>
                <w:lang w:eastAsia="en-GB"/>
              </w:rPr>
              <w:t>Less</w:t>
            </w:r>
            <w:r w:rsidR="004B41A2" w:rsidRPr="006C4C8F">
              <w:rPr>
                <w:rFonts w:ascii="Arial Narrow" w:eastAsia="Times New Roman" w:hAnsi="Arial Narrow"/>
                <w:bCs/>
                <w:color w:val="FFFFFF" w:themeColor="background1"/>
                <w:sz w:val="24"/>
                <w:szCs w:val="24"/>
                <w:lang w:eastAsia="en-GB"/>
              </w:rPr>
              <w:t xml:space="preserve"> </w:t>
            </w:r>
            <w:r w:rsidRPr="006C4C8F">
              <w:rPr>
                <w:rFonts w:ascii="Arial Narrow" w:eastAsia="Times New Roman" w:hAnsi="Arial Narrow"/>
                <w:bCs/>
                <w:color w:val="FFFFFF" w:themeColor="background1"/>
                <w:sz w:val="24"/>
                <w:szCs w:val="24"/>
                <w:lang w:eastAsia="en-GB"/>
              </w:rPr>
              <w:t>than</w:t>
            </w:r>
            <w:r w:rsidR="004B41A2" w:rsidRPr="006C4C8F">
              <w:rPr>
                <w:rFonts w:ascii="Arial Narrow" w:eastAsia="Times New Roman" w:hAnsi="Arial Narrow"/>
                <w:bCs/>
                <w:color w:val="FFFFFF" w:themeColor="background1"/>
                <w:sz w:val="24"/>
                <w:szCs w:val="24"/>
                <w:lang w:eastAsia="en-GB"/>
              </w:rPr>
              <w:t xml:space="preserve"> </w:t>
            </w:r>
            <w:r w:rsidRPr="006C4C8F">
              <w:rPr>
                <w:rFonts w:ascii="Arial Narrow" w:eastAsia="Times New Roman" w:hAnsi="Arial Narrow"/>
                <w:bCs/>
                <w:color w:val="FFFFFF" w:themeColor="background1"/>
                <w:sz w:val="24"/>
                <w:szCs w:val="24"/>
                <w:lang w:eastAsia="en-GB"/>
              </w:rPr>
              <w:t>10km</w:t>
            </w:r>
          </w:p>
        </w:tc>
        <w:tc>
          <w:tcPr>
            <w:tcW w:w="662" w:type="pct"/>
            <w:shd w:val="clear" w:color="auto" w:fill="0093D5"/>
            <w:noWrap/>
            <w:vAlign w:val="center"/>
            <w:hideMark/>
          </w:tcPr>
          <w:p w:rsidR="007F3221" w:rsidRPr="006C4C8F" w:rsidRDefault="007F3221" w:rsidP="006C4C8F">
            <w:pPr>
              <w:keepNext/>
              <w:jc w:val="center"/>
              <w:rPr>
                <w:rFonts w:ascii="Arial Narrow" w:eastAsia="Times New Roman" w:hAnsi="Arial Narrow"/>
                <w:bCs/>
                <w:color w:val="FFFFFF" w:themeColor="background1"/>
                <w:sz w:val="24"/>
                <w:szCs w:val="24"/>
                <w:lang w:eastAsia="en-GB"/>
              </w:rPr>
            </w:pPr>
            <w:r w:rsidRPr="006C4C8F">
              <w:rPr>
                <w:rFonts w:ascii="Arial Narrow" w:eastAsia="Times New Roman" w:hAnsi="Arial Narrow"/>
                <w:bCs/>
                <w:color w:val="FFFFFF" w:themeColor="background1"/>
                <w:sz w:val="24"/>
                <w:szCs w:val="24"/>
                <w:lang w:eastAsia="en-GB"/>
              </w:rPr>
              <w:t>10km</w:t>
            </w:r>
            <w:r w:rsidR="004B41A2" w:rsidRPr="006C4C8F">
              <w:rPr>
                <w:rFonts w:ascii="Arial Narrow" w:eastAsia="Times New Roman" w:hAnsi="Arial Narrow"/>
                <w:bCs/>
                <w:color w:val="FFFFFF" w:themeColor="background1"/>
                <w:sz w:val="24"/>
                <w:szCs w:val="24"/>
                <w:lang w:eastAsia="en-GB"/>
              </w:rPr>
              <w:t xml:space="preserve"> </w:t>
            </w:r>
            <w:r w:rsidRPr="006C4C8F">
              <w:rPr>
                <w:rFonts w:ascii="Arial Narrow" w:eastAsia="Times New Roman" w:hAnsi="Arial Narrow"/>
                <w:bCs/>
                <w:color w:val="FFFFFF" w:themeColor="background1"/>
                <w:sz w:val="24"/>
                <w:szCs w:val="24"/>
                <w:lang w:eastAsia="en-GB"/>
              </w:rPr>
              <w:t>and</w:t>
            </w:r>
            <w:r w:rsidR="004B41A2" w:rsidRPr="006C4C8F">
              <w:rPr>
                <w:rFonts w:ascii="Arial Narrow" w:eastAsia="Times New Roman" w:hAnsi="Arial Narrow"/>
                <w:bCs/>
                <w:color w:val="FFFFFF" w:themeColor="background1"/>
                <w:sz w:val="24"/>
                <w:szCs w:val="24"/>
                <w:lang w:eastAsia="en-GB"/>
              </w:rPr>
              <w:t xml:space="preserve"> </w:t>
            </w:r>
            <w:r w:rsidRPr="006C4C8F">
              <w:rPr>
                <w:rFonts w:ascii="Arial Narrow" w:eastAsia="Times New Roman" w:hAnsi="Arial Narrow"/>
                <w:bCs/>
                <w:color w:val="FFFFFF" w:themeColor="background1"/>
                <w:sz w:val="24"/>
                <w:szCs w:val="24"/>
                <w:lang w:eastAsia="en-GB"/>
              </w:rPr>
              <w:t>over</w:t>
            </w:r>
          </w:p>
        </w:tc>
        <w:tc>
          <w:tcPr>
            <w:tcW w:w="883" w:type="pct"/>
            <w:shd w:val="clear" w:color="auto" w:fill="0093D5"/>
            <w:noWrap/>
            <w:vAlign w:val="center"/>
            <w:hideMark/>
          </w:tcPr>
          <w:p w:rsidR="007F3221" w:rsidRPr="006C4C8F" w:rsidRDefault="007F3221" w:rsidP="006C4C8F">
            <w:pPr>
              <w:keepNext/>
              <w:jc w:val="center"/>
              <w:rPr>
                <w:rFonts w:ascii="Arial Narrow" w:eastAsia="Times New Roman" w:hAnsi="Arial Narrow"/>
                <w:bCs/>
                <w:color w:val="FFFFFF" w:themeColor="background1"/>
                <w:sz w:val="24"/>
                <w:szCs w:val="24"/>
                <w:lang w:eastAsia="en-GB"/>
              </w:rPr>
            </w:pPr>
            <w:r w:rsidRPr="006C4C8F">
              <w:rPr>
                <w:rFonts w:ascii="Arial Narrow" w:eastAsia="Times New Roman" w:hAnsi="Arial Narrow"/>
                <w:bCs/>
                <w:color w:val="FFFFFF" w:themeColor="background1"/>
                <w:sz w:val="24"/>
                <w:szCs w:val="24"/>
                <w:lang w:eastAsia="en-GB"/>
              </w:rPr>
              <w:t>Work</w:t>
            </w:r>
            <w:r w:rsidR="004B41A2" w:rsidRPr="006C4C8F">
              <w:rPr>
                <w:rFonts w:ascii="Arial Narrow" w:eastAsia="Times New Roman" w:hAnsi="Arial Narrow"/>
                <w:bCs/>
                <w:color w:val="FFFFFF" w:themeColor="background1"/>
                <w:sz w:val="24"/>
                <w:szCs w:val="24"/>
                <w:lang w:eastAsia="en-GB"/>
              </w:rPr>
              <w:t xml:space="preserve"> </w:t>
            </w:r>
            <w:r w:rsidRPr="006C4C8F">
              <w:rPr>
                <w:rFonts w:ascii="Arial Narrow" w:eastAsia="Times New Roman" w:hAnsi="Arial Narrow"/>
                <w:bCs/>
                <w:color w:val="FFFFFF" w:themeColor="background1"/>
                <w:sz w:val="24"/>
                <w:szCs w:val="24"/>
                <w:lang w:eastAsia="en-GB"/>
              </w:rPr>
              <w:t>mainly</w:t>
            </w:r>
            <w:r w:rsidR="004B41A2" w:rsidRPr="006C4C8F">
              <w:rPr>
                <w:rFonts w:ascii="Arial Narrow" w:eastAsia="Times New Roman" w:hAnsi="Arial Narrow"/>
                <w:bCs/>
                <w:color w:val="FFFFFF" w:themeColor="background1"/>
                <w:sz w:val="24"/>
                <w:szCs w:val="24"/>
                <w:lang w:eastAsia="en-GB"/>
              </w:rPr>
              <w:t xml:space="preserve"> </w:t>
            </w:r>
            <w:r w:rsidRPr="006C4C8F">
              <w:rPr>
                <w:rFonts w:ascii="Arial Narrow" w:eastAsia="Times New Roman" w:hAnsi="Arial Narrow"/>
                <w:bCs/>
                <w:color w:val="FFFFFF" w:themeColor="background1"/>
                <w:sz w:val="24"/>
                <w:szCs w:val="24"/>
                <w:lang w:eastAsia="en-GB"/>
              </w:rPr>
              <w:t>at</w:t>
            </w:r>
            <w:r w:rsidR="004B41A2" w:rsidRPr="006C4C8F">
              <w:rPr>
                <w:rFonts w:ascii="Arial Narrow" w:eastAsia="Times New Roman" w:hAnsi="Arial Narrow"/>
                <w:bCs/>
                <w:color w:val="FFFFFF" w:themeColor="background1"/>
                <w:sz w:val="24"/>
                <w:szCs w:val="24"/>
                <w:lang w:eastAsia="en-GB"/>
              </w:rPr>
              <w:t xml:space="preserve"> </w:t>
            </w:r>
            <w:r w:rsidRPr="006C4C8F">
              <w:rPr>
                <w:rFonts w:ascii="Arial Narrow" w:eastAsia="Times New Roman" w:hAnsi="Arial Narrow"/>
                <w:bCs/>
                <w:color w:val="FFFFFF" w:themeColor="background1"/>
                <w:sz w:val="24"/>
                <w:szCs w:val="24"/>
                <w:lang w:eastAsia="en-GB"/>
              </w:rPr>
              <w:t>or</w:t>
            </w:r>
            <w:r w:rsidR="004B41A2" w:rsidRPr="006C4C8F">
              <w:rPr>
                <w:rFonts w:ascii="Arial Narrow" w:eastAsia="Times New Roman" w:hAnsi="Arial Narrow"/>
                <w:bCs/>
                <w:color w:val="FFFFFF" w:themeColor="background1"/>
                <w:sz w:val="24"/>
                <w:szCs w:val="24"/>
                <w:lang w:eastAsia="en-GB"/>
              </w:rPr>
              <w:t xml:space="preserve"> </w:t>
            </w:r>
            <w:r w:rsidRPr="006C4C8F">
              <w:rPr>
                <w:rFonts w:ascii="Arial Narrow" w:eastAsia="Times New Roman" w:hAnsi="Arial Narrow"/>
                <w:bCs/>
                <w:color w:val="FFFFFF" w:themeColor="background1"/>
                <w:sz w:val="24"/>
                <w:szCs w:val="24"/>
                <w:lang w:eastAsia="en-GB"/>
              </w:rPr>
              <w:t>from</w:t>
            </w:r>
            <w:r w:rsidR="004B41A2" w:rsidRPr="006C4C8F">
              <w:rPr>
                <w:rFonts w:ascii="Arial Narrow" w:eastAsia="Times New Roman" w:hAnsi="Arial Narrow"/>
                <w:bCs/>
                <w:color w:val="FFFFFF" w:themeColor="background1"/>
                <w:sz w:val="24"/>
                <w:szCs w:val="24"/>
                <w:lang w:eastAsia="en-GB"/>
              </w:rPr>
              <w:t xml:space="preserve"> </w:t>
            </w:r>
            <w:r w:rsidRPr="006C4C8F">
              <w:rPr>
                <w:rFonts w:ascii="Arial Narrow" w:eastAsia="Times New Roman" w:hAnsi="Arial Narrow"/>
                <w:bCs/>
                <w:color w:val="FFFFFF" w:themeColor="background1"/>
                <w:sz w:val="24"/>
                <w:szCs w:val="24"/>
                <w:lang w:eastAsia="en-GB"/>
              </w:rPr>
              <w:t>home</w:t>
            </w:r>
          </w:p>
        </w:tc>
        <w:tc>
          <w:tcPr>
            <w:tcW w:w="440" w:type="pct"/>
            <w:shd w:val="clear" w:color="auto" w:fill="0093D5"/>
            <w:noWrap/>
            <w:vAlign w:val="center"/>
            <w:hideMark/>
          </w:tcPr>
          <w:p w:rsidR="007F3221" w:rsidRPr="006C4C8F" w:rsidRDefault="007F3221" w:rsidP="006C4C8F">
            <w:pPr>
              <w:keepNext/>
              <w:jc w:val="center"/>
              <w:rPr>
                <w:rFonts w:ascii="Arial Narrow" w:eastAsia="Times New Roman" w:hAnsi="Arial Narrow"/>
                <w:bCs/>
                <w:color w:val="FFFFFF" w:themeColor="background1"/>
                <w:sz w:val="24"/>
                <w:szCs w:val="24"/>
                <w:lang w:eastAsia="en-GB"/>
              </w:rPr>
            </w:pPr>
            <w:r w:rsidRPr="006C4C8F">
              <w:rPr>
                <w:rFonts w:ascii="Arial Narrow" w:eastAsia="Times New Roman" w:hAnsi="Arial Narrow"/>
                <w:bCs/>
                <w:color w:val="FFFFFF" w:themeColor="background1"/>
                <w:sz w:val="24"/>
                <w:szCs w:val="24"/>
                <w:lang w:eastAsia="en-GB"/>
              </w:rPr>
              <w:t>Other</w:t>
            </w:r>
          </w:p>
        </w:tc>
      </w:tr>
      <w:tr w:rsidR="00F74225" w:rsidRPr="006C4C8F" w:rsidTr="00FC604D">
        <w:trPr>
          <w:trHeight w:val="300"/>
        </w:trPr>
        <w:tc>
          <w:tcPr>
            <w:tcW w:w="2280" w:type="pct"/>
            <w:shd w:val="clear" w:color="auto" w:fill="auto"/>
            <w:noWrap/>
            <w:vAlign w:val="center"/>
            <w:hideMark/>
          </w:tcPr>
          <w:p w:rsidR="007F3221" w:rsidRPr="006C4C8F" w:rsidRDefault="007F3221" w:rsidP="006C4C8F">
            <w:pPr>
              <w:keepNext/>
              <w:rPr>
                <w:rFonts w:ascii="Arial Narrow" w:eastAsia="Times New Roman" w:hAnsi="Arial Narrow"/>
                <w:bCs/>
                <w:color w:val="auto"/>
                <w:sz w:val="24"/>
                <w:szCs w:val="24"/>
                <w:lang w:eastAsia="en-GB"/>
              </w:rPr>
            </w:pPr>
            <w:r w:rsidRPr="006C4C8F">
              <w:rPr>
                <w:rFonts w:ascii="Arial Narrow" w:eastAsia="Times New Roman" w:hAnsi="Arial Narrow"/>
                <w:bCs/>
                <w:color w:val="auto"/>
                <w:sz w:val="24"/>
                <w:szCs w:val="24"/>
                <w:lang w:eastAsia="en-GB"/>
              </w:rPr>
              <w:t>1.</w:t>
            </w:r>
            <w:r w:rsidR="004B41A2" w:rsidRPr="006C4C8F">
              <w:rPr>
                <w:rFonts w:ascii="Arial Narrow" w:eastAsia="Times New Roman" w:hAnsi="Arial Narrow"/>
                <w:bCs/>
                <w:color w:val="auto"/>
                <w:sz w:val="24"/>
                <w:szCs w:val="24"/>
                <w:lang w:eastAsia="en-GB"/>
              </w:rPr>
              <w:t xml:space="preserve"> </w:t>
            </w:r>
            <w:r w:rsidRPr="006C4C8F">
              <w:rPr>
                <w:rFonts w:ascii="Arial Narrow" w:eastAsia="Times New Roman" w:hAnsi="Arial Narrow"/>
                <w:bCs/>
                <w:color w:val="auto"/>
                <w:sz w:val="24"/>
                <w:szCs w:val="24"/>
                <w:lang w:eastAsia="en-GB"/>
              </w:rPr>
              <w:t>Managers,</w:t>
            </w:r>
            <w:r w:rsidR="004B41A2" w:rsidRPr="006C4C8F">
              <w:rPr>
                <w:rFonts w:ascii="Arial Narrow" w:eastAsia="Times New Roman" w:hAnsi="Arial Narrow"/>
                <w:bCs/>
                <w:color w:val="auto"/>
                <w:sz w:val="24"/>
                <w:szCs w:val="24"/>
                <w:lang w:eastAsia="en-GB"/>
              </w:rPr>
              <w:t xml:space="preserve"> </w:t>
            </w:r>
            <w:r w:rsidRPr="006C4C8F">
              <w:rPr>
                <w:rFonts w:ascii="Arial Narrow" w:eastAsia="Times New Roman" w:hAnsi="Arial Narrow"/>
                <w:bCs/>
                <w:color w:val="auto"/>
                <w:sz w:val="24"/>
                <w:szCs w:val="24"/>
                <w:lang w:eastAsia="en-GB"/>
              </w:rPr>
              <w:t>directors</w:t>
            </w:r>
            <w:r w:rsidR="004B41A2" w:rsidRPr="006C4C8F">
              <w:rPr>
                <w:rFonts w:ascii="Arial Narrow" w:eastAsia="Times New Roman" w:hAnsi="Arial Narrow"/>
                <w:bCs/>
                <w:color w:val="auto"/>
                <w:sz w:val="24"/>
                <w:szCs w:val="24"/>
                <w:lang w:eastAsia="en-GB"/>
              </w:rPr>
              <w:t xml:space="preserve"> </w:t>
            </w:r>
            <w:r w:rsidRPr="006C4C8F">
              <w:rPr>
                <w:rFonts w:ascii="Arial Narrow" w:eastAsia="Times New Roman" w:hAnsi="Arial Narrow"/>
                <w:bCs/>
                <w:color w:val="auto"/>
                <w:sz w:val="24"/>
                <w:szCs w:val="24"/>
                <w:lang w:eastAsia="en-GB"/>
              </w:rPr>
              <w:t>and</w:t>
            </w:r>
            <w:r w:rsidR="004B41A2" w:rsidRPr="006C4C8F">
              <w:rPr>
                <w:rFonts w:ascii="Arial Narrow" w:eastAsia="Times New Roman" w:hAnsi="Arial Narrow"/>
                <w:bCs/>
                <w:color w:val="auto"/>
                <w:sz w:val="24"/>
                <w:szCs w:val="24"/>
                <w:lang w:eastAsia="en-GB"/>
              </w:rPr>
              <w:t xml:space="preserve"> </w:t>
            </w:r>
            <w:r w:rsidRPr="006C4C8F">
              <w:rPr>
                <w:rFonts w:ascii="Arial Narrow" w:eastAsia="Times New Roman" w:hAnsi="Arial Narrow"/>
                <w:bCs/>
                <w:color w:val="auto"/>
                <w:sz w:val="24"/>
                <w:szCs w:val="24"/>
                <w:lang w:eastAsia="en-GB"/>
              </w:rPr>
              <w:t>senior</w:t>
            </w:r>
            <w:r w:rsidR="004B41A2" w:rsidRPr="006C4C8F">
              <w:rPr>
                <w:rFonts w:ascii="Arial Narrow" w:eastAsia="Times New Roman" w:hAnsi="Arial Narrow"/>
                <w:bCs/>
                <w:color w:val="auto"/>
                <w:sz w:val="24"/>
                <w:szCs w:val="24"/>
                <w:lang w:eastAsia="en-GB"/>
              </w:rPr>
              <w:t xml:space="preserve"> </w:t>
            </w:r>
            <w:r w:rsidRPr="006C4C8F">
              <w:rPr>
                <w:rFonts w:ascii="Arial Narrow" w:eastAsia="Times New Roman" w:hAnsi="Arial Narrow"/>
                <w:bCs/>
                <w:color w:val="auto"/>
                <w:sz w:val="24"/>
                <w:szCs w:val="24"/>
                <w:lang w:eastAsia="en-GB"/>
              </w:rPr>
              <w:t>officials</w:t>
            </w:r>
          </w:p>
        </w:tc>
        <w:tc>
          <w:tcPr>
            <w:tcW w:w="735" w:type="pct"/>
            <w:shd w:val="clear" w:color="000000" w:fill="B6E0C2"/>
            <w:noWrap/>
            <w:vAlign w:val="center"/>
            <w:hideMark/>
          </w:tcPr>
          <w:p w:rsidR="007F3221" w:rsidRPr="006C4C8F" w:rsidRDefault="007F3221" w:rsidP="006C4C8F">
            <w:pPr>
              <w:keepNext/>
              <w:jc w:val="center"/>
              <w:rPr>
                <w:rFonts w:ascii="Arial Narrow" w:eastAsia="Times New Roman" w:hAnsi="Arial Narrow"/>
                <w:bCs/>
                <w:color w:val="auto"/>
                <w:sz w:val="24"/>
                <w:szCs w:val="24"/>
                <w:lang w:eastAsia="en-GB"/>
              </w:rPr>
            </w:pPr>
            <w:r w:rsidRPr="006C4C8F">
              <w:rPr>
                <w:rFonts w:ascii="Arial Narrow" w:eastAsia="Times New Roman" w:hAnsi="Arial Narrow"/>
                <w:bCs/>
                <w:color w:val="auto"/>
                <w:sz w:val="24"/>
                <w:szCs w:val="24"/>
                <w:lang w:eastAsia="en-GB"/>
              </w:rPr>
              <w:t>31%</w:t>
            </w:r>
          </w:p>
        </w:tc>
        <w:tc>
          <w:tcPr>
            <w:tcW w:w="662" w:type="pct"/>
            <w:shd w:val="clear" w:color="000000" w:fill="A4D9B3"/>
            <w:noWrap/>
            <w:vAlign w:val="center"/>
            <w:hideMark/>
          </w:tcPr>
          <w:p w:rsidR="007F3221" w:rsidRPr="006C4C8F" w:rsidRDefault="007F3221" w:rsidP="006C4C8F">
            <w:pPr>
              <w:keepNext/>
              <w:jc w:val="center"/>
              <w:rPr>
                <w:rFonts w:ascii="Arial Narrow" w:eastAsia="Times New Roman" w:hAnsi="Arial Narrow"/>
                <w:bCs/>
                <w:color w:val="auto"/>
                <w:sz w:val="24"/>
                <w:szCs w:val="24"/>
                <w:lang w:eastAsia="en-GB"/>
              </w:rPr>
            </w:pPr>
            <w:r w:rsidRPr="006C4C8F">
              <w:rPr>
                <w:rFonts w:ascii="Arial Narrow" w:eastAsia="Times New Roman" w:hAnsi="Arial Narrow"/>
                <w:bCs/>
                <w:color w:val="auto"/>
                <w:sz w:val="24"/>
                <w:szCs w:val="24"/>
                <w:lang w:eastAsia="en-GB"/>
              </w:rPr>
              <w:t>39%</w:t>
            </w:r>
          </w:p>
        </w:tc>
        <w:tc>
          <w:tcPr>
            <w:tcW w:w="883" w:type="pct"/>
            <w:shd w:val="clear" w:color="000000" w:fill="C2E5CD"/>
            <w:noWrap/>
            <w:vAlign w:val="center"/>
            <w:hideMark/>
          </w:tcPr>
          <w:p w:rsidR="007F3221" w:rsidRPr="006C4C8F" w:rsidRDefault="007F3221" w:rsidP="006C4C8F">
            <w:pPr>
              <w:keepNext/>
              <w:jc w:val="center"/>
              <w:rPr>
                <w:rFonts w:ascii="Arial Narrow" w:eastAsia="Times New Roman" w:hAnsi="Arial Narrow"/>
                <w:bCs/>
                <w:color w:val="auto"/>
                <w:sz w:val="24"/>
                <w:szCs w:val="24"/>
                <w:lang w:eastAsia="en-GB"/>
              </w:rPr>
            </w:pPr>
            <w:r w:rsidRPr="006C4C8F">
              <w:rPr>
                <w:rFonts w:ascii="Arial Narrow" w:eastAsia="Times New Roman" w:hAnsi="Arial Narrow"/>
                <w:bCs/>
                <w:color w:val="auto"/>
                <w:sz w:val="24"/>
                <w:szCs w:val="24"/>
                <w:lang w:eastAsia="en-GB"/>
              </w:rPr>
              <w:t>26%</w:t>
            </w:r>
          </w:p>
        </w:tc>
        <w:tc>
          <w:tcPr>
            <w:tcW w:w="440" w:type="pct"/>
            <w:shd w:val="clear" w:color="000000" w:fill="F7FAFB"/>
            <w:noWrap/>
            <w:vAlign w:val="center"/>
            <w:hideMark/>
          </w:tcPr>
          <w:p w:rsidR="007F3221" w:rsidRPr="006C4C8F" w:rsidRDefault="007F3221" w:rsidP="006C4C8F">
            <w:pPr>
              <w:keepNext/>
              <w:jc w:val="center"/>
              <w:rPr>
                <w:rFonts w:ascii="Arial Narrow" w:eastAsia="Times New Roman" w:hAnsi="Arial Narrow"/>
                <w:bCs/>
                <w:color w:val="auto"/>
                <w:sz w:val="24"/>
                <w:szCs w:val="24"/>
                <w:lang w:eastAsia="en-GB"/>
              </w:rPr>
            </w:pPr>
            <w:r w:rsidRPr="006C4C8F">
              <w:rPr>
                <w:rFonts w:ascii="Arial Narrow" w:eastAsia="Times New Roman" w:hAnsi="Arial Narrow"/>
                <w:bCs/>
                <w:color w:val="auto"/>
                <w:sz w:val="24"/>
                <w:szCs w:val="24"/>
                <w:lang w:eastAsia="en-GB"/>
              </w:rPr>
              <w:t>4%</w:t>
            </w:r>
          </w:p>
        </w:tc>
      </w:tr>
      <w:tr w:rsidR="00F74225" w:rsidRPr="006C4C8F" w:rsidTr="00FC604D">
        <w:trPr>
          <w:trHeight w:val="300"/>
        </w:trPr>
        <w:tc>
          <w:tcPr>
            <w:tcW w:w="2280" w:type="pct"/>
            <w:shd w:val="clear" w:color="auto" w:fill="auto"/>
            <w:noWrap/>
            <w:vAlign w:val="center"/>
            <w:hideMark/>
          </w:tcPr>
          <w:p w:rsidR="007F3221" w:rsidRPr="006C4C8F" w:rsidRDefault="007F3221" w:rsidP="006C4C8F">
            <w:pPr>
              <w:keepNext/>
              <w:rPr>
                <w:rFonts w:ascii="Arial Narrow" w:eastAsia="Times New Roman" w:hAnsi="Arial Narrow"/>
                <w:bCs/>
                <w:color w:val="auto"/>
                <w:sz w:val="24"/>
                <w:szCs w:val="24"/>
                <w:lang w:eastAsia="en-GB"/>
              </w:rPr>
            </w:pPr>
            <w:r w:rsidRPr="006C4C8F">
              <w:rPr>
                <w:rFonts w:ascii="Arial Narrow" w:eastAsia="Times New Roman" w:hAnsi="Arial Narrow"/>
                <w:bCs/>
                <w:color w:val="auto"/>
                <w:sz w:val="24"/>
                <w:szCs w:val="24"/>
                <w:lang w:eastAsia="en-GB"/>
              </w:rPr>
              <w:t>2.</w:t>
            </w:r>
            <w:r w:rsidR="004B41A2" w:rsidRPr="006C4C8F">
              <w:rPr>
                <w:rFonts w:ascii="Arial Narrow" w:eastAsia="Times New Roman" w:hAnsi="Arial Narrow"/>
                <w:bCs/>
                <w:color w:val="auto"/>
                <w:sz w:val="24"/>
                <w:szCs w:val="24"/>
                <w:lang w:eastAsia="en-GB"/>
              </w:rPr>
              <w:t xml:space="preserve"> </w:t>
            </w:r>
            <w:r w:rsidRPr="006C4C8F">
              <w:rPr>
                <w:rFonts w:ascii="Arial Narrow" w:eastAsia="Times New Roman" w:hAnsi="Arial Narrow"/>
                <w:bCs/>
                <w:color w:val="auto"/>
                <w:sz w:val="24"/>
                <w:szCs w:val="24"/>
                <w:lang w:eastAsia="en-GB"/>
              </w:rPr>
              <w:t>Professional</w:t>
            </w:r>
            <w:r w:rsidR="004B41A2" w:rsidRPr="006C4C8F">
              <w:rPr>
                <w:rFonts w:ascii="Arial Narrow" w:eastAsia="Times New Roman" w:hAnsi="Arial Narrow"/>
                <w:bCs/>
                <w:color w:val="auto"/>
                <w:sz w:val="24"/>
                <w:szCs w:val="24"/>
                <w:lang w:eastAsia="en-GB"/>
              </w:rPr>
              <w:t xml:space="preserve"> </w:t>
            </w:r>
            <w:r w:rsidRPr="006C4C8F">
              <w:rPr>
                <w:rFonts w:ascii="Arial Narrow" w:eastAsia="Times New Roman" w:hAnsi="Arial Narrow"/>
                <w:bCs/>
                <w:color w:val="auto"/>
                <w:sz w:val="24"/>
                <w:szCs w:val="24"/>
                <w:lang w:eastAsia="en-GB"/>
              </w:rPr>
              <w:t>occupations</w:t>
            </w:r>
          </w:p>
        </w:tc>
        <w:tc>
          <w:tcPr>
            <w:tcW w:w="735" w:type="pct"/>
            <w:shd w:val="clear" w:color="000000" w:fill="B0DDBD"/>
            <w:noWrap/>
            <w:vAlign w:val="center"/>
            <w:hideMark/>
          </w:tcPr>
          <w:p w:rsidR="007F3221" w:rsidRPr="006C4C8F" w:rsidRDefault="007F3221" w:rsidP="006C4C8F">
            <w:pPr>
              <w:keepNext/>
              <w:jc w:val="center"/>
              <w:rPr>
                <w:rFonts w:ascii="Arial Narrow" w:eastAsia="Times New Roman" w:hAnsi="Arial Narrow"/>
                <w:bCs/>
                <w:color w:val="auto"/>
                <w:sz w:val="24"/>
                <w:szCs w:val="24"/>
                <w:lang w:eastAsia="en-GB"/>
              </w:rPr>
            </w:pPr>
            <w:r w:rsidRPr="006C4C8F">
              <w:rPr>
                <w:rFonts w:ascii="Arial Narrow" w:eastAsia="Times New Roman" w:hAnsi="Arial Narrow"/>
                <w:bCs/>
                <w:color w:val="auto"/>
                <w:sz w:val="24"/>
                <w:szCs w:val="24"/>
                <w:lang w:eastAsia="en-GB"/>
              </w:rPr>
              <w:t>34%</w:t>
            </w:r>
          </w:p>
        </w:tc>
        <w:tc>
          <w:tcPr>
            <w:tcW w:w="662" w:type="pct"/>
            <w:shd w:val="clear" w:color="000000" w:fill="94D2A6"/>
            <w:noWrap/>
            <w:vAlign w:val="center"/>
            <w:hideMark/>
          </w:tcPr>
          <w:p w:rsidR="007F3221" w:rsidRPr="006C4C8F" w:rsidRDefault="007F3221" w:rsidP="006C4C8F">
            <w:pPr>
              <w:keepNext/>
              <w:jc w:val="center"/>
              <w:rPr>
                <w:rFonts w:ascii="Arial Narrow" w:eastAsia="Times New Roman" w:hAnsi="Arial Narrow"/>
                <w:bCs/>
                <w:color w:val="auto"/>
                <w:sz w:val="24"/>
                <w:szCs w:val="24"/>
                <w:lang w:eastAsia="en-GB"/>
              </w:rPr>
            </w:pPr>
            <w:r w:rsidRPr="006C4C8F">
              <w:rPr>
                <w:rFonts w:ascii="Arial Narrow" w:eastAsia="Times New Roman" w:hAnsi="Arial Narrow"/>
                <w:bCs/>
                <w:color w:val="auto"/>
                <w:sz w:val="24"/>
                <w:szCs w:val="24"/>
                <w:lang w:eastAsia="en-GB"/>
              </w:rPr>
              <w:t>45%</w:t>
            </w:r>
          </w:p>
        </w:tc>
        <w:tc>
          <w:tcPr>
            <w:tcW w:w="883" w:type="pct"/>
            <w:shd w:val="clear" w:color="000000" w:fill="DBEFE3"/>
            <w:noWrap/>
            <w:vAlign w:val="center"/>
            <w:hideMark/>
          </w:tcPr>
          <w:p w:rsidR="007F3221" w:rsidRPr="006C4C8F" w:rsidRDefault="007F3221" w:rsidP="006C4C8F">
            <w:pPr>
              <w:keepNext/>
              <w:jc w:val="center"/>
              <w:rPr>
                <w:rFonts w:ascii="Arial Narrow" w:eastAsia="Times New Roman" w:hAnsi="Arial Narrow"/>
                <w:bCs/>
                <w:color w:val="auto"/>
                <w:sz w:val="24"/>
                <w:szCs w:val="24"/>
                <w:lang w:eastAsia="en-GB"/>
              </w:rPr>
            </w:pPr>
            <w:r w:rsidRPr="006C4C8F">
              <w:rPr>
                <w:rFonts w:ascii="Arial Narrow" w:eastAsia="Times New Roman" w:hAnsi="Arial Narrow"/>
                <w:bCs/>
                <w:color w:val="auto"/>
                <w:sz w:val="24"/>
                <w:szCs w:val="24"/>
                <w:lang w:eastAsia="en-GB"/>
              </w:rPr>
              <w:t>16%</w:t>
            </w:r>
          </w:p>
        </w:tc>
        <w:tc>
          <w:tcPr>
            <w:tcW w:w="440" w:type="pct"/>
            <w:shd w:val="clear" w:color="000000" w:fill="F4F9F8"/>
            <w:noWrap/>
            <w:vAlign w:val="center"/>
            <w:hideMark/>
          </w:tcPr>
          <w:p w:rsidR="007F3221" w:rsidRPr="006C4C8F" w:rsidRDefault="007F3221" w:rsidP="006C4C8F">
            <w:pPr>
              <w:keepNext/>
              <w:jc w:val="center"/>
              <w:rPr>
                <w:rFonts w:ascii="Arial Narrow" w:eastAsia="Times New Roman" w:hAnsi="Arial Narrow"/>
                <w:bCs/>
                <w:color w:val="auto"/>
                <w:sz w:val="24"/>
                <w:szCs w:val="24"/>
                <w:lang w:eastAsia="en-GB"/>
              </w:rPr>
            </w:pPr>
            <w:r w:rsidRPr="006C4C8F">
              <w:rPr>
                <w:rFonts w:ascii="Arial Narrow" w:eastAsia="Times New Roman" w:hAnsi="Arial Narrow"/>
                <w:bCs/>
                <w:color w:val="auto"/>
                <w:sz w:val="24"/>
                <w:szCs w:val="24"/>
                <w:lang w:eastAsia="en-GB"/>
              </w:rPr>
              <w:t>5%</w:t>
            </w:r>
          </w:p>
        </w:tc>
      </w:tr>
      <w:tr w:rsidR="00F74225" w:rsidRPr="006C4C8F" w:rsidTr="00FC604D">
        <w:trPr>
          <w:trHeight w:val="300"/>
        </w:trPr>
        <w:tc>
          <w:tcPr>
            <w:tcW w:w="2280" w:type="pct"/>
            <w:shd w:val="clear" w:color="auto" w:fill="auto"/>
            <w:noWrap/>
            <w:vAlign w:val="center"/>
            <w:hideMark/>
          </w:tcPr>
          <w:p w:rsidR="007F3221" w:rsidRPr="006C4C8F" w:rsidRDefault="007F3221" w:rsidP="006C4C8F">
            <w:pPr>
              <w:keepNext/>
              <w:rPr>
                <w:rFonts w:ascii="Arial Narrow" w:eastAsia="Times New Roman" w:hAnsi="Arial Narrow"/>
                <w:bCs/>
                <w:color w:val="auto"/>
                <w:sz w:val="24"/>
                <w:szCs w:val="24"/>
                <w:lang w:eastAsia="en-GB"/>
              </w:rPr>
            </w:pPr>
            <w:r w:rsidRPr="006C4C8F">
              <w:rPr>
                <w:rFonts w:ascii="Arial Narrow" w:eastAsia="Times New Roman" w:hAnsi="Arial Narrow"/>
                <w:bCs/>
                <w:color w:val="auto"/>
                <w:sz w:val="24"/>
                <w:szCs w:val="24"/>
                <w:lang w:eastAsia="en-GB"/>
              </w:rPr>
              <w:t>3.</w:t>
            </w:r>
            <w:r w:rsidR="004B41A2" w:rsidRPr="006C4C8F">
              <w:rPr>
                <w:rFonts w:ascii="Arial Narrow" w:eastAsia="Times New Roman" w:hAnsi="Arial Narrow"/>
                <w:bCs/>
                <w:color w:val="auto"/>
                <w:sz w:val="24"/>
                <w:szCs w:val="24"/>
                <w:lang w:eastAsia="en-GB"/>
              </w:rPr>
              <w:t xml:space="preserve"> </w:t>
            </w:r>
            <w:r w:rsidRPr="006C4C8F">
              <w:rPr>
                <w:rFonts w:ascii="Arial Narrow" w:eastAsia="Times New Roman" w:hAnsi="Arial Narrow"/>
                <w:bCs/>
                <w:color w:val="auto"/>
                <w:sz w:val="24"/>
                <w:szCs w:val="24"/>
                <w:lang w:eastAsia="en-GB"/>
              </w:rPr>
              <w:t>Associate</w:t>
            </w:r>
            <w:r w:rsidR="004B41A2" w:rsidRPr="006C4C8F">
              <w:rPr>
                <w:rFonts w:ascii="Arial Narrow" w:eastAsia="Times New Roman" w:hAnsi="Arial Narrow"/>
                <w:bCs/>
                <w:color w:val="auto"/>
                <w:sz w:val="24"/>
                <w:szCs w:val="24"/>
                <w:lang w:eastAsia="en-GB"/>
              </w:rPr>
              <w:t xml:space="preserve"> </w:t>
            </w:r>
            <w:r w:rsidRPr="006C4C8F">
              <w:rPr>
                <w:rFonts w:ascii="Arial Narrow" w:eastAsia="Times New Roman" w:hAnsi="Arial Narrow"/>
                <w:bCs/>
                <w:color w:val="auto"/>
                <w:sz w:val="24"/>
                <w:szCs w:val="24"/>
                <w:lang w:eastAsia="en-GB"/>
              </w:rPr>
              <w:t>professional</w:t>
            </w:r>
            <w:r w:rsidR="004B41A2" w:rsidRPr="006C4C8F">
              <w:rPr>
                <w:rFonts w:ascii="Arial Narrow" w:eastAsia="Times New Roman" w:hAnsi="Arial Narrow"/>
                <w:bCs/>
                <w:color w:val="auto"/>
                <w:sz w:val="24"/>
                <w:szCs w:val="24"/>
                <w:lang w:eastAsia="en-GB"/>
              </w:rPr>
              <w:t xml:space="preserve"> </w:t>
            </w:r>
            <w:r w:rsidRPr="006C4C8F">
              <w:rPr>
                <w:rFonts w:ascii="Arial Narrow" w:eastAsia="Times New Roman" w:hAnsi="Arial Narrow"/>
                <w:bCs/>
                <w:color w:val="auto"/>
                <w:sz w:val="24"/>
                <w:szCs w:val="24"/>
                <w:lang w:eastAsia="en-GB"/>
              </w:rPr>
              <w:t>and</w:t>
            </w:r>
            <w:r w:rsidR="004B41A2" w:rsidRPr="006C4C8F">
              <w:rPr>
                <w:rFonts w:ascii="Arial Narrow" w:eastAsia="Times New Roman" w:hAnsi="Arial Narrow"/>
                <w:bCs/>
                <w:color w:val="auto"/>
                <w:sz w:val="24"/>
                <w:szCs w:val="24"/>
                <w:lang w:eastAsia="en-GB"/>
              </w:rPr>
              <w:t xml:space="preserve"> </w:t>
            </w:r>
            <w:r w:rsidRPr="006C4C8F">
              <w:rPr>
                <w:rFonts w:ascii="Arial Narrow" w:eastAsia="Times New Roman" w:hAnsi="Arial Narrow"/>
                <w:bCs/>
                <w:color w:val="auto"/>
                <w:sz w:val="24"/>
                <w:szCs w:val="24"/>
                <w:lang w:eastAsia="en-GB"/>
              </w:rPr>
              <w:t>technical</w:t>
            </w:r>
            <w:r w:rsidR="004B41A2" w:rsidRPr="006C4C8F">
              <w:rPr>
                <w:rFonts w:ascii="Arial Narrow" w:eastAsia="Times New Roman" w:hAnsi="Arial Narrow"/>
                <w:bCs/>
                <w:color w:val="auto"/>
                <w:sz w:val="24"/>
                <w:szCs w:val="24"/>
                <w:lang w:eastAsia="en-GB"/>
              </w:rPr>
              <w:t xml:space="preserve"> </w:t>
            </w:r>
            <w:r w:rsidRPr="006C4C8F">
              <w:rPr>
                <w:rFonts w:ascii="Arial Narrow" w:eastAsia="Times New Roman" w:hAnsi="Arial Narrow"/>
                <w:bCs/>
                <w:color w:val="auto"/>
                <w:sz w:val="24"/>
                <w:szCs w:val="24"/>
                <w:lang w:eastAsia="en-GB"/>
              </w:rPr>
              <w:t>occupations</w:t>
            </w:r>
          </w:p>
        </w:tc>
        <w:tc>
          <w:tcPr>
            <w:tcW w:w="735" w:type="pct"/>
            <w:shd w:val="clear" w:color="000000" w:fill="B7E0C4"/>
            <w:noWrap/>
            <w:vAlign w:val="center"/>
            <w:hideMark/>
          </w:tcPr>
          <w:p w:rsidR="007F3221" w:rsidRPr="006C4C8F" w:rsidRDefault="007F3221" w:rsidP="006C4C8F">
            <w:pPr>
              <w:keepNext/>
              <w:jc w:val="center"/>
              <w:rPr>
                <w:rFonts w:ascii="Arial Narrow" w:eastAsia="Times New Roman" w:hAnsi="Arial Narrow"/>
                <w:bCs/>
                <w:color w:val="auto"/>
                <w:sz w:val="24"/>
                <w:szCs w:val="24"/>
                <w:lang w:eastAsia="en-GB"/>
              </w:rPr>
            </w:pPr>
            <w:r w:rsidRPr="006C4C8F">
              <w:rPr>
                <w:rFonts w:ascii="Arial Narrow" w:eastAsia="Times New Roman" w:hAnsi="Arial Narrow"/>
                <w:bCs/>
                <w:color w:val="auto"/>
                <w:sz w:val="24"/>
                <w:szCs w:val="24"/>
                <w:lang w:eastAsia="en-GB"/>
              </w:rPr>
              <w:t>31%</w:t>
            </w:r>
          </w:p>
        </w:tc>
        <w:tc>
          <w:tcPr>
            <w:tcW w:w="662" w:type="pct"/>
            <w:shd w:val="clear" w:color="000000" w:fill="A6D9B5"/>
            <w:noWrap/>
            <w:vAlign w:val="center"/>
            <w:hideMark/>
          </w:tcPr>
          <w:p w:rsidR="007F3221" w:rsidRPr="006C4C8F" w:rsidRDefault="007F3221" w:rsidP="006C4C8F">
            <w:pPr>
              <w:keepNext/>
              <w:jc w:val="center"/>
              <w:rPr>
                <w:rFonts w:ascii="Arial Narrow" w:eastAsia="Times New Roman" w:hAnsi="Arial Narrow"/>
                <w:bCs/>
                <w:color w:val="auto"/>
                <w:sz w:val="24"/>
                <w:szCs w:val="24"/>
                <w:lang w:eastAsia="en-GB"/>
              </w:rPr>
            </w:pPr>
            <w:r w:rsidRPr="006C4C8F">
              <w:rPr>
                <w:rFonts w:ascii="Arial Narrow" w:eastAsia="Times New Roman" w:hAnsi="Arial Narrow"/>
                <w:bCs/>
                <w:color w:val="auto"/>
                <w:sz w:val="24"/>
                <w:szCs w:val="24"/>
                <w:lang w:eastAsia="en-GB"/>
              </w:rPr>
              <w:t>38%</w:t>
            </w:r>
          </w:p>
        </w:tc>
        <w:tc>
          <w:tcPr>
            <w:tcW w:w="883" w:type="pct"/>
            <w:shd w:val="clear" w:color="000000" w:fill="C9E8D3"/>
            <w:noWrap/>
            <w:vAlign w:val="center"/>
            <w:hideMark/>
          </w:tcPr>
          <w:p w:rsidR="007F3221" w:rsidRPr="006C4C8F" w:rsidRDefault="007F3221" w:rsidP="006C4C8F">
            <w:pPr>
              <w:keepNext/>
              <w:jc w:val="center"/>
              <w:rPr>
                <w:rFonts w:ascii="Arial Narrow" w:eastAsia="Times New Roman" w:hAnsi="Arial Narrow"/>
                <w:bCs/>
                <w:color w:val="auto"/>
                <w:sz w:val="24"/>
                <w:szCs w:val="24"/>
                <w:lang w:eastAsia="en-GB"/>
              </w:rPr>
            </w:pPr>
            <w:r w:rsidRPr="006C4C8F">
              <w:rPr>
                <w:rFonts w:ascii="Arial Narrow" w:eastAsia="Times New Roman" w:hAnsi="Arial Narrow"/>
                <w:bCs/>
                <w:color w:val="auto"/>
                <w:sz w:val="24"/>
                <w:szCs w:val="24"/>
                <w:lang w:eastAsia="en-GB"/>
              </w:rPr>
              <w:t>23%</w:t>
            </w:r>
          </w:p>
        </w:tc>
        <w:tc>
          <w:tcPr>
            <w:tcW w:w="440" w:type="pct"/>
            <w:shd w:val="clear" w:color="000000" w:fill="EDF6F2"/>
            <w:noWrap/>
            <w:vAlign w:val="center"/>
            <w:hideMark/>
          </w:tcPr>
          <w:p w:rsidR="007F3221" w:rsidRPr="006C4C8F" w:rsidRDefault="007F3221" w:rsidP="006C4C8F">
            <w:pPr>
              <w:keepNext/>
              <w:jc w:val="center"/>
              <w:rPr>
                <w:rFonts w:ascii="Arial Narrow" w:eastAsia="Times New Roman" w:hAnsi="Arial Narrow"/>
                <w:bCs/>
                <w:color w:val="auto"/>
                <w:sz w:val="24"/>
                <w:szCs w:val="24"/>
                <w:lang w:eastAsia="en-GB"/>
              </w:rPr>
            </w:pPr>
            <w:r w:rsidRPr="006C4C8F">
              <w:rPr>
                <w:rFonts w:ascii="Arial Narrow" w:eastAsia="Times New Roman" w:hAnsi="Arial Narrow"/>
                <w:bCs/>
                <w:color w:val="auto"/>
                <w:sz w:val="24"/>
                <w:szCs w:val="24"/>
                <w:lang w:eastAsia="en-GB"/>
              </w:rPr>
              <w:t>8%</w:t>
            </w:r>
          </w:p>
        </w:tc>
      </w:tr>
      <w:tr w:rsidR="00F74225" w:rsidRPr="006C4C8F" w:rsidTr="00FC604D">
        <w:trPr>
          <w:trHeight w:val="300"/>
        </w:trPr>
        <w:tc>
          <w:tcPr>
            <w:tcW w:w="2280" w:type="pct"/>
            <w:shd w:val="clear" w:color="auto" w:fill="auto"/>
            <w:noWrap/>
            <w:vAlign w:val="center"/>
            <w:hideMark/>
          </w:tcPr>
          <w:p w:rsidR="007F3221" w:rsidRPr="006C4C8F" w:rsidRDefault="007F3221" w:rsidP="006C4C8F">
            <w:pPr>
              <w:keepNext/>
              <w:rPr>
                <w:rFonts w:ascii="Arial Narrow" w:eastAsia="Times New Roman" w:hAnsi="Arial Narrow"/>
                <w:bCs/>
                <w:color w:val="auto"/>
                <w:sz w:val="24"/>
                <w:szCs w:val="24"/>
                <w:lang w:eastAsia="en-GB"/>
              </w:rPr>
            </w:pPr>
            <w:r w:rsidRPr="006C4C8F">
              <w:rPr>
                <w:rFonts w:ascii="Arial Narrow" w:eastAsia="Times New Roman" w:hAnsi="Arial Narrow"/>
                <w:bCs/>
                <w:color w:val="auto"/>
                <w:sz w:val="24"/>
                <w:szCs w:val="24"/>
                <w:lang w:eastAsia="en-GB"/>
              </w:rPr>
              <w:t>4.</w:t>
            </w:r>
            <w:r w:rsidR="004B41A2" w:rsidRPr="006C4C8F">
              <w:rPr>
                <w:rFonts w:ascii="Arial Narrow" w:eastAsia="Times New Roman" w:hAnsi="Arial Narrow"/>
                <w:bCs/>
                <w:color w:val="auto"/>
                <w:sz w:val="24"/>
                <w:szCs w:val="24"/>
                <w:lang w:eastAsia="en-GB"/>
              </w:rPr>
              <w:t xml:space="preserve"> </w:t>
            </w:r>
            <w:r w:rsidRPr="006C4C8F">
              <w:rPr>
                <w:rFonts w:ascii="Arial Narrow" w:eastAsia="Times New Roman" w:hAnsi="Arial Narrow"/>
                <w:bCs/>
                <w:color w:val="auto"/>
                <w:sz w:val="24"/>
                <w:szCs w:val="24"/>
                <w:lang w:eastAsia="en-GB"/>
              </w:rPr>
              <w:t>Administrative</w:t>
            </w:r>
            <w:r w:rsidR="004B41A2" w:rsidRPr="006C4C8F">
              <w:rPr>
                <w:rFonts w:ascii="Arial Narrow" w:eastAsia="Times New Roman" w:hAnsi="Arial Narrow"/>
                <w:bCs/>
                <w:color w:val="auto"/>
                <w:sz w:val="24"/>
                <w:szCs w:val="24"/>
                <w:lang w:eastAsia="en-GB"/>
              </w:rPr>
              <w:t xml:space="preserve"> </w:t>
            </w:r>
            <w:r w:rsidRPr="006C4C8F">
              <w:rPr>
                <w:rFonts w:ascii="Arial Narrow" w:eastAsia="Times New Roman" w:hAnsi="Arial Narrow"/>
                <w:bCs/>
                <w:color w:val="auto"/>
                <w:sz w:val="24"/>
                <w:szCs w:val="24"/>
                <w:lang w:eastAsia="en-GB"/>
              </w:rPr>
              <w:t>and</w:t>
            </w:r>
            <w:r w:rsidR="004B41A2" w:rsidRPr="006C4C8F">
              <w:rPr>
                <w:rFonts w:ascii="Arial Narrow" w:eastAsia="Times New Roman" w:hAnsi="Arial Narrow"/>
                <w:bCs/>
                <w:color w:val="auto"/>
                <w:sz w:val="24"/>
                <w:szCs w:val="24"/>
                <w:lang w:eastAsia="en-GB"/>
              </w:rPr>
              <w:t xml:space="preserve"> </w:t>
            </w:r>
            <w:r w:rsidRPr="006C4C8F">
              <w:rPr>
                <w:rFonts w:ascii="Arial Narrow" w:eastAsia="Times New Roman" w:hAnsi="Arial Narrow"/>
                <w:bCs/>
                <w:color w:val="auto"/>
                <w:sz w:val="24"/>
                <w:szCs w:val="24"/>
                <w:lang w:eastAsia="en-GB"/>
              </w:rPr>
              <w:t>secretarial</w:t>
            </w:r>
            <w:r w:rsidR="004B41A2" w:rsidRPr="006C4C8F">
              <w:rPr>
                <w:rFonts w:ascii="Arial Narrow" w:eastAsia="Times New Roman" w:hAnsi="Arial Narrow"/>
                <w:bCs/>
                <w:color w:val="auto"/>
                <w:sz w:val="24"/>
                <w:szCs w:val="24"/>
                <w:lang w:eastAsia="en-GB"/>
              </w:rPr>
              <w:t xml:space="preserve"> </w:t>
            </w:r>
            <w:r w:rsidRPr="006C4C8F">
              <w:rPr>
                <w:rFonts w:ascii="Arial Narrow" w:eastAsia="Times New Roman" w:hAnsi="Arial Narrow"/>
                <w:bCs/>
                <w:color w:val="auto"/>
                <w:sz w:val="24"/>
                <w:szCs w:val="24"/>
                <w:lang w:eastAsia="en-GB"/>
              </w:rPr>
              <w:t>occupations</w:t>
            </w:r>
          </w:p>
        </w:tc>
        <w:tc>
          <w:tcPr>
            <w:tcW w:w="735" w:type="pct"/>
            <w:shd w:val="clear" w:color="000000" w:fill="8CCF9E"/>
            <w:noWrap/>
            <w:vAlign w:val="center"/>
            <w:hideMark/>
          </w:tcPr>
          <w:p w:rsidR="007F3221" w:rsidRPr="006C4C8F" w:rsidRDefault="007F3221" w:rsidP="006C4C8F">
            <w:pPr>
              <w:keepNext/>
              <w:jc w:val="center"/>
              <w:rPr>
                <w:rFonts w:ascii="Arial Narrow" w:eastAsia="Times New Roman" w:hAnsi="Arial Narrow"/>
                <w:bCs/>
                <w:color w:val="auto"/>
                <w:sz w:val="24"/>
                <w:szCs w:val="24"/>
                <w:lang w:eastAsia="en-GB"/>
              </w:rPr>
            </w:pPr>
            <w:r w:rsidRPr="006C4C8F">
              <w:rPr>
                <w:rFonts w:ascii="Arial Narrow" w:eastAsia="Times New Roman" w:hAnsi="Arial Narrow"/>
                <w:bCs/>
                <w:color w:val="auto"/>
                <w:sz w:val="24"/>
                <w:szCs w:val="24"/>
                <w:lang w:eastAsia="en-GB"/>
              </w:rPr>
              <w:t>49%</w:t>
            </w:r>
          </w:p>
        </w:tc>
        <w:tc>
          <w:tcPr>
            <w:tcW w:w="662" w:type="pct"/>
            <w:shd w:val="clear" w:color="000000" w:fill="B0DDBD"/>
            <w:noWrap/>
            <w:vAlign w:val="center"/>
            <w:hideMark/>
          </w:tcPr>
          <w:p w:rsidR="007F3221" w:rsidRPr="006C4C8F" w:rsidRDefault="007F3221" w:rsidP="006C4C8F">
            <w:pPr>
              <w:keepNext/>
              <w:jc w:val="center"/>
              <w:rPr>
                <w:rFonts w:ascii="Arial Narrow" w:eastAsia="Times New Roman" w:hAnsi="Arial Narrow"/>
                <w:bCs/>
                <w:color w:val="auto"/>
                <w:sz w:val="24"/>
                <w:szCs w:val="24"/>
                <w:lang w:eastAsia="en-GB"/>
              </w:rPr>
            </w:pPr>
            <w:r w:rsidRPr="006C4C8F">
              <w:rPr>
                <w:rFonts w:ascii="Arial Narrow" w:eastAsia="Times New Roman" w:hAnsi="Arial Narrow"/>
                <w:bCs/>
                <w:color w:val="auto"/>
                <w:sz w:val="24"/>
                <w:szCs w:val="24"/>
                <w:lang w:eastAsia="en-GB"/>
              </w:rPr>
              <w:t>34%</w:t>
            </w:r>
          </w:p>
        </w:tc>
        <w:tc>
          <w:tcPr>
            <w:tcW w:w="883" w:type="pct"/>
            <w:shd w:val="clear" w:color="000000" w:fill="DBEFE3"/>
            <w:noWrap/>
            <w:vAlign w:val="center"/>
            <w:hideMark/>
          </w:tcPr>
          <w:p w:rsidR="007F3221" w:rsidRPr="006C4C8F" w:rsidRDefault="007F3221" w:rsidP="006C4C8F">
            <w:pPr>
              <w:keepNext/>
              <w:jc w:val="center"/>
              <w:rPr>
                <w:rFonts w:ascii="Arial Narrow" w:eastAsia="Times New Roman" w:hAnsi="Arial Narrow"/>
                <w:bCs/>
                <w:color w:val="auto"/>
                <w:sz w:val="24"/>
                <w:szCs w:val="24"/>
                <w:lang w:eastAsia="en-GB"/>
              </w:rPr>
            </w:pPr>
            <w:r w:rsidRPr="006C4C8F">
              <w:rPr>
                <w:rFonts w:ascii="Arial Narrow" w:eastAsia="Times New Roman" w:hAnsi="Arial Narrow"/>
                <w:bCs/>
                <w:color w:val="auto"/>
                <w:sz w:val="24"/>
                <w:szCs w:val="24"/>
                <w:lang w:eastAsia="en-GB"/>
              </w:rPr>
              <w:t>16%</w:t>
            </w:r>
          </w:p>
        </w:tc>
        <w:tc>
          <w:tcPr>
            <w:tcW w:w="440" w:type="pct"/>
            <w:shd w:val="clear" w:color="000000" w:fill="FCFCFF"/>
            <w:noWrap/>
            <w:vAlign w:val="center"/>
            <w:hideMark/>
          </w:tcPr>
          <w:p w:rsidR="007F3221" w:rsidRPr="006C4C8F" w:rsidRDefault="007F3221" w:rsidP="006C4C8F">
            <w:pPr>
              <w:keepNext/>
              <w:jc w:val="center"/>
              <w:rPr>
                <w:rFonts w:ascii="Arial Narrow" w:eastAsia="Times New Roman" w:hAnsi="Arial Narrow"/>
                <w:bCs/>
                <w:color w:val="auto"/>
                <w:sz w:val="24"/>
                <w:szCs w:val="24"/>
                <w:lang w:eastAsia="en-GB"/>
              </w:rPr>
            </w:pPr>
            <w:r w:rsidRPr="006C4C8F">
              <w:rPr>
                <w:rFonts w:ascii="Arial Narrow" w:eastAsia="Times New Roman" w:hAnsi="Arial Narrow"/>
                <w:bCs/>
                <w:color w:val="auto"/>
                <w:sz w:val="24"/>
                <w:szCs w:val="24"/>
                <w:lang w:eastAsia="en-GB"/>
              </w:rPr>
              <w:t>2%</w:t>
            </w:r>
          </w:p>
        </w:tc>
      </w:tr>
      <w:tr w:rsidR="00F74225" w:rsidRPr="006C4C8F" w:rsidTr="00FC604D">
        <w:trPr>
          <w:trHeight w:val="300"/>
        </w:trPr>
        <w:tc>
          <w:tcPr>
            <w:tcW w:w="2280" w:type="pct"/>
            <w:shd w:val="clear" w:color="auto" w:fill="auto"/>
            <w:noWrap/>
            <w:vAlign w:val="center"/>
            <w:hideMark/>
          </w:tcPr>
          <w:p w:rsidR="007F3221" w:rsidRPr="006C4C8F" w:rsidRDefault="007F3221" w:rsidP="006C4C8F">
            <w:pPr>
              <w:keepNext/>
              <w:rPr>
                <w:rFonts w:ascii="Arial Narrow" w:eastAsia="Times New Roman" w:hAnsi="Arial Narrow"/>
                <w:bCs/>
                <w:color w:val="auto"/>
                <w:sz w:val="24"/>
                <w:szCs w:val="24"/>
                <w:lang w:eastAsia="en-GB"/>
              </w:rPr>
            </w:pPr>
            <w:r w:rsidRPr="006C4C8F">
              <w:rPr>
                <w:rFonts w:ascii="Arial Narrow" w:eastAsia="Times New Roman" w:hAnsi="Arial Narrow"/>
                <w:bCs/>
                <w:color w:val="auto"/>
                <w:sz w:val="24"/>
                <w:szCs w:val="24"/>
                <w:lang w:eastAsia="en-GB"/>
              </w:rPr>
              <w:t>5.</w:t>
            </w:r>
            <w:r w:rsidR="004B41A2" w:rsidRPr="006C4C8F">
              <w:rPr>
                <w:rFonts w:ascii="Arial Narrow" w:eastAsia="Times New Roman" w:hAnsi="Arial Narrow"/>
                <w:bCs/>
                <w:color w:val="auto"/>
                <w:sz w:val="24"/>
                <w:szCs w:val="24"/>
                <w:lang w:eastAsia="en-GB"/>
              </w:rPr>
              <w:t xml:space="preserve"> </w:t>
            </w:r>
            <w:r w:rsidRPr="006C4C8F">
              <w:rPr>
                <w:rFonts w:ascii="Arial Narrow" w:eastAsia="Times New Roman" w:hAnsi="Arial Narrow"/>
                <w:bCs/>
                <w:color w:val="auto"/>
                <w:sz w:val="24"/>
                <w:szCs w:val="24"/>
                <w:lang w:eastAsia="en-GB"/>
              </w:rPr>
              <w:t>Skilled</w:t>
            </w:r>
            <w:r w:rsidR="004B41A2" w:rsidRPr="006C4C8F">
              <w:rPr>
                <w:rFonts w:ascii="Arial Narrow" w:eastAsia="Times New Roman" w:hAnsi="Arial Narrow"/>
                <w:bCs/>
                <w:color w:val="auto"/>
                <w:sz w:val="24"/>
                <w:szCs w:val="24"/>
                <w:lang w:eastAsia="en-GB"/>
              </w:rPr>
              <w:t xml:space="preserve"> </w:t>
            </w:r>
            <w:r w:rsidRPr="006C4C8F">
              <w:rPr>
                <w:rFonts w:ascii="Arial Narrow" w:eastAsia="Times New Roman" w:hAnsi="Arial Narrow"/>
                <w:bCs/>
                <w:color w:val="auto"/>
                <w:sz w:val="24"/>
                <w:szCs w:val="24"/>
                <w:lang w:eastAsia="en-GB"/>
              </w:rPr>
              <w:t>trades</w:t>
            </w:r>
            <w:r w:rsidR="004B41A2" w:rsidRPr="006C4C8F">
              <w:rPr>
                <w:rFonts w:ascii="Arial Narrow" w:eastAsia="Times New Roman" w:hAnsi="Arial Narrow"/>
                <w:bCs/>
                <w:color w:val="auto"/>
                <w:sz w:val="24"/>
                <w:szCs w:val="24"/>
                <w:lang w:eastAsia="en-GB"/>
              </w:rPr>
              <w:t xml:space="preserve"> </w:t>
            </w:r>
            <w:r w:rsidRPr="006C4C8F">
              <w:rPr>
                <w:rFonts w:ascii="Arial Narrow" w:eastAsia="Times New Roman" w:hAnsi="Arial Narrow"/>
                <w:bCs/>
                <w:color w:val="auto"/>
                <w:sz w:val="24"/>
                <w:szCs w:val="24"/>
                <w:lang w:eastAsia="en-GB"/>
              </w:rPr>
              <w:t>occupations</w:t>
            </w:r>
          </w:p>
        </w:tc>
        <w:tc>
          <w:tcPr>
            <w:tcW w:w="735" w:type="pct"/>
            <w:shd w:val="clear" w:color="000000" w:fill="BDE3C9"/>
            <w:noWrap/>
            <w:vAlign w:val="center"/>
            <w:hideMark/>
          </w:tcPr>
          <w:p w:rsidR="007F3221" w:rsidRPr="006C4C8F" w:rsidRDefault="007F3221" w:rsidP="006C4C8F">
            <w:pPr>
              <w:keepNext/>
              <w:jc w:val="center"/>
              <w:rPr>
                <w:rFonts w:ascii="Arial Narrow" w:eastAsia="Times New Roman" w:hAnsi="Arial Narrow"/>
                <w:bCs/>
                <w:color w:val="auto"/>
                <w:sz w:val="24"/>
                <w:szCs w:val="24"/>
                <w:lang w:eastAsia="en-GB"/>
              </w:rPr>
            </w:pPr>
            <w:r w:rsidRPr="006C4C8F">
              <w:rPr>
                <w:rFonts w:ascii="Arial Narrow" w:eastAsia="Times New Roman" w:hAnsi="Arial Narrow"/>
                <w:bCs/>
                <w:color w:val="auto"/>
                <w:sz w:val="24"/>
                <w:szCs w:val="24"/>
                <w:lang w:eastAsia="en-GB"/>
              </w:rPr>
              <w:t>28%</w:t>
            </w:r>
          </w:p>
        </w:tc>
        <w:tc>
          <w:tcPr>
            <w:tcW w:w="662" w:type="pct"/>
            <w:shd w:val="clear" w:color="000000" w:fill="D3ECDC"/>
            <w:noWrap/>
            <w:vAlign w:val="center"/>
            <w:hideMark/>
          </w:tcPr>
          <w:p w:rsidR="007F3221" w:rsidRPr="006C4C8F" w:rsidRDefault="007F3221" w:rsidP="006C4C8F">
            <w:pPr>
              <w:keepNext/>
              <w:jc w:val="center"/>
              <w:rPr>
                <w:rFonts w:ascii="Arial Narrow" w:eastAsia="Times New Roman" w:hAnsi="Arial Narrow"/>
                <w:bCs/>
                <w:color w:val="auto"/>
                <w:sz w:val="24"/>
                <w:szCs w:val="24"/>
                <w:lang w:eastAsia="en-GB"/>
              </w:rPr>
            </w:pPr>
            <w:r w:rsidRPr="006C4C8F">
              <w:rPr>
                <w:rFonts w:ascii="Arial Narrow" w:eastAsia="Times New Roman" w:hAnsi="Arial Narrow"/>
                <w:bCs/>
                <w:color w:val="auto"/>
                <w:sz w:val="24"/>
                <w:szCs w:val="24"/>
                <w:lang w:eastAsia="en-GB"/>
              </w:rPr>
              <w:t>19%</w:t>
            </w:r>
          </w:p>
        </w:tc>
        <w:tc>
          <w:tcPr>
            <w:tcW w:w="883" w:type="pct"/>
            <w:shd w:val="clear" w:color="000000" w:fill="CFEAD9"/>
            <w:noWrap/>
            <w:vAlign w:val="center"/>
            <w:hideMark/>
          </w:tcPr>
          <w:p w:rsidR="007F3221" w:rsidRPr="006C4C8F" w:rsidRDefault="007F3221" w:rsidP="006C4C8F">
            <w:pPr>
              <w:keepNext/>
              <w:jc w:val="center"/>
              <w:rPr>
                <w:rFonts w:ascii="Arial Narrow" w:eastAsia="Times New Roman" w:hAnsi="Arial Narrow"/>
                <w:bCs/>
                <w:color w:val="auto"/>
                <w:sz w:val="24"/>
                <w:szCs w:val="24"/>
                <w:lang w:eastAsia="en-GB"/>
              </w:rPr>
            </w:pPr>
            <w:r w:rsidRPr="006C4C8F">
              <w:rPr>
                <w:rFonts w:ascii="Arial Narrow" w:eastAsia="Times New Roman" w:hAnsi="Arial Narrow"/>
                <w:bCs/>
                <w:color w:val="auto"/>
                <w:sz w:val="24"/>
                <w:szCs w:val="24"/>
                <w:lang w:eastAsia="en-GB"/>
              </w:rPr>
              <w:t>21%</w:t>
            </w:r>
          </w:p>
        </w:tc>
        <w:tc>
          <w:tcPr>
            <w:tcW w:w="440" w:type="pct"/>
            <w:shd w:val="clear" w:color="000000" w:fill="B4DFC1"/>
            <w:noWrap/>
            <w:vAlign w:val="center"/>
            <w:hideMark/>
          </w:tcPr>
          <w:p w:rsidR="007F3221" w:rsidRPr="006C4C8F" w:rsidRDefault="007F3221" w:rsidP="006C4C8F">
            <w:pPr>
              <w:keepNext/>
              <w:jc w:val="center"/>
              <w:rPr>
                <w:rFonts w:ascii="Arial Narrow" w:eastAsia="Times New Roman" w:hAnsi="Arial Narrow"/>
                <w:bCs/>
                <w:color w:val="auto"/>
                <w:sz w:val="24"/>
                <w:szCs w:val="24"/>
                <w:lang w:eastAsia="en-GB"/>
              </w:rPr>
            </w:pPr>
            <w:r w:rsidRPr="006C4C8F">
              <w:rPr>
                <w:rFonts w:ascii="Arial Narrow" w:eastAsia="Times New Roman" w:hAnsi="Arial Narrow"/>
                <w:bCs/>
                <w:color w:val="auto"/>
                <w:sz w:val="24"/>
                <w:szCs w:val="24"/>
                <w:lang w:eastAsia="en-GB"/>
              </w:rPr>
              <w:t>32%</w:t>
            </w:r>
          </w:p>
        </w:tc>
      </w:tr>
      <w:tr w:rsidR="00F74225" w:rsidRPr="006C4C8F" w:rsidTr="00FC604D">
        <w:trPr>
          <w:trHeight w:val="300"/>
        </w:trPr>
        <w:tc>
          <w:tcPr>
            <w:tcW w:w="2280" w:type="pct"/>
            <w:shd w:val="clear" w:color="auto" w:fill="auto"/>
            <w:noWrap/>
            <w:vAlign w:val="center"/>
            <w:hideMark/>
          </w:tcPr>
          <w:p w:rsidR="007F3221" w:rsidRPr="006C4C8F" w:rsidRDefault="007F3221" w:rsidP="006C4C8F">
            <w:pPr>
              <w:keepNext/>
              <w:rPr>
                <w:rFonts w:ascii="Arial Narrow" w:eastAsia="Times New Roman" w:hAnsi="Arial Narrow"/>
                <w:bCs/>
                <w:color w:val="auto"/>
                <w:sz w:val="24"/>
                <w:szCs w:val="24"/>
                <w:lang w:eastAsia="en-GB"/>
              </w:rPr>
            </w:pPr>
            <w:r w:rsidRPr="006C4C8F">
              <w:rPr>
                <w:rFonts w:ascii="Arial Narrow" w:eastAsia="Times New Roman" w:hAnsi="Arial Narrow"/>
                <w:bCs/>
                <w:color w:val="auto"/>
                <w:sz w:val="24"/>
                <w:szCs w:val="24"/>
                <w:lang w:eastAsia="en-GB"/>
              </w:rPr>
              <w:t>6.</w:t>
            </w:r>
            <w:r w:rsidR="004B41A2" w:rsidRPr="006C4C8F">
              <w:rPr>
                <w:rFonts w:ascii="Arial Narrow" w:eastAsia="Times New Roman" w:hAnsi="Arial Narrow"/>
                <w:bCs/>
                <w:color w:val="auto"/>
                <w:sz w:val="24"/>
                <w:szCs w:val="24"/>
                <w:lang w:eastAsia="en-GB"/>
              </w:rPr>
              <w:t xml:space="preserve"> </w:t>
            </w:r>
            <w:r w:rsidRPr="006C4C8F">
              <w:rPr>
                <w:rFonts w:ascii="Arial Narrow" w:eastAsia="Times New Roman" w:hAnsi="Arial Narrow"/>
                <w:bCs/>
                <w:color w:val="auto"/>
                <w:sz w:val="24"/>
                <w:szCs w:val="24"/>
                <w:lang w:eastAsia="en-GB"/>
              </w:rPr>
              <w:t>Caring,</w:t>
            </w:r>
            <w:r w:rsidR="004B41A2" w:rsidRPr="006C4C8F">
              <w:rPr>
                <w:rFonts w:ascii="Arial Narrow" w:eastAsia="Times New Roman" w:hAnsi="Arial Narrow"/>
                <w:bCs/>
                <w:color w:val="auto"/>
                <w:sz w:val="24"/>
                <w:szCs w:val="24"/>
                <w:lang w:eastAsia="en-GB"/>
              </w:rPr>
              <w:t xml:space="preserve"> </w:t>
            </w:r>
            <w:r w:rsidRPr="006C4C8F">
              <w:rPr>
                <w:rFonts w:ascii="Arial Narrow" w:eastAsia="Times New Roman" w:hAnsi="Arial Narrow"/>
                <w:bCs/>
                <w:color w:val="auto"/>
                <w:sz w:val="24"/>
                <w:szCs w:val="24"/>
                <w:lang w:eastAsia="en-GB"/>
              </w:rPr>
              <w:t>leisure</w:t>
            </w:r>
            <w:r w:rsidR="004B41A2" w:rsidRPr="006C4C8F">
              <w:rPr>
                <w:rFonts w:ascii="Arial Narrow" w:eastAsia="Times New Roman" w:hAnsi="Arial Narrow"/>
                <w:bCs/>
                <w:color w:val="auto"/>
                <w:sz w:val="24"/>
                <w:szCs w:val="24"/>
                <w:lang w:eastAsia="en-GB"/>
              </w:rPr>
              <w:t xml:space="preserve"> </w:t>
            </w:r>
            <w:r w:rsidRPr="006C4C8F">
              <w:rPr>
                <w:rFonts w:ascii="Arial Narrow" w:eastAsia="Times New Roman" w:hAnsi="Arial Narrow"/>
                <w:bCs/>
                <w:color w:val="auto"/>
                <w:sz w:val="24"/>
                <w:szCs w:val="24"/>
                <w:lang w:eastAsia="en-GB"/>
              </w:rPr>
              <w:t>and</w:t>
            </w:r>
            <w:r w:rsidR="004B41A2" w:rsidRPr="006C4C8F">
              <w:rPr>
                <w:rFonts w:ascii="Arial Narrow" w:eastAsia="Times New Roman" w:hAnsi="Arial Narrow"/>
                <w:bCs/>
                <w:color w:val="auto"/>
                <w:sz w:val="24"/>
                <w:szCs w:val="24"/>
                <w:lang w:eastAsia="en-GB"/>
              </w:rPr>
              <w:t xml:space="preserve"> </w:t>
            </w:r>
            <w:r w:rsidRPr="006C4C8F">
              <w:rPr>
                <w:rFonts w:ascii="Arial Narrow" w:eastAsia="Times New Roman" w:hAnsi="Arial Narrow"/>
                <w:bCs/>
                <w:color w:val="auto"/>
                <w:sz w:val="24"/>
                <w:szCs w:val="24"/>
                <w:lang w:eastAsia="en-GB"/>
              </w:rPr>
              <w:t>other</w:t>
            </w:r>
            <w:r w:rsidR="004B41A2" w:rsidRPr="006C4C8F">
              <w:rPr>
                <w:rFonts w:ascii="Arial Narrow" w:eastAsia="Times New Roman" w:hAnsi="Arial Narrow"/>
                <w:bCs/>
                <w:color w:val="auto"/>
                <w:sz w:val="24"/>
                <w:szCs w:val="24"/>
                <w:lang w:eastAsia="en-GB"/>
              </w:rPr>
              <w:t xml:space="preserve"> </w:t>
            </w:r>
            <w:r w:rsidRPr="006C4C8F">
              <w:rPr>
                <w:rFonts w:ascii="Arial Narrow" w:eastAsia="Times New Roman" w:hAnsi="Arial Narrow"/>
                <w:bCs/>
                <w:color w:val="auto"/>
                <w:sz w:val="24"/>
                <w:szCs w:val="24"/>
                <w:lang w:eastAsia="en-GB"/>
              </w:rPr>
              <w:t>service</w:t>
            </w:r>
            <w:r w:rsidR="004B41A2" w:rsidRPr="006C4C8F">
              <w:rPr>
                <w:rFonts w:ascii="Arial Narrow" w:eastAsia="Times New Roman" w:hAnsi="Arial Narrow"/>
                <w:bCs/>
                <w:color w:val="auto"/>
                <w:sz w:val="24"/>
                <w:szCs w:val="24"/>
                <w:lang w:eastAsia="en-GB"/>
              </w:rPr>
              <w:t xml:space="preserve"> </w:t>
            </w:r>
            <w:r w:rsidRPr="006C4C8F">
              <w:rPr>
                <w:rFonts w:ascii="Arial Narrow" w:eastAsia="Times New Roman" w:hAnsi="Arial Narrow"/>
                <w:bCs/>
                <w:color w:val="auto"/>
                <w:sz w:val="24"/>
                <w:szCs w:val="24"/>
                <w:lang w:eastAsia="en-GB"/>
              </w:rPr>
              <w:t>occupations</w:t>
            </w:r>
          </w:p>
        </w:tc>
        <w:tc>
          <w:tcPr>
            <w:tcW w:w="735" w:type="pct"/>
            <w:shd w:val="clear" w:color="000000" w:fill="7CC890"/>
            <w:noWrap/>
            <w:vAlign w:val="center"/>
            <w:hideMark/>
          </w:tcPr>
          <w:p w:rsidR="007F3221" w:rsidRPr="006C4C8F" w:rsidRDefault="007F3221" w:rsidP="006C4C8F">
            <w:pPr>
              <w:keepNext/>
              <w:jc w:val="center"/>
              <w:rPr>
                <w:rFonts w:ascii="Arial Narrow" w:eastAsia="Times New Roman" w:hAnsi="Arial Narrow"/>
                <w:bCs/>
                <w:color w:val="auto"/>
                <w:sz w:val="24"/>
                <w:szCs w:val="24"/>
                <w:lang w:eastAsia="en-GB"/>
              </w:rPr>
            </w:pPr>
            <w:r w:rsidRPr="006C4C8F">
              <w:rPr>
                <w:rFonts w:ascii="Arial Narrow" w:eastAsia="Times New Roman" w:hAnsi="Arial Narrow"/>
                <w:bCs/>
                <w:color w:val="auto"/>
                <w:sz w:val="24"/>
                <w:szCs w:val="24"/>
                <w:lang w:eastAsia="en-GB"/>
              </w:rPr>
              <w:t>55%</w:t>
            </w:r>
          </w:p>
        </w:tc>
        <w:tc>
          <w:tcPr>
            <w:tcW w:w="662" w:type="pct"/>
            <w:shd w:val="clear" w:color="000000" w:fill="C5E6D0"/>
            <w:noWrap/>
            <w:vAlign w:val="center"/>
            <w:hideMark/>
          </w:tcPr>
          <w:p w:rsidR="007F3221" w:rsidRPr="006C4C8F" w:rsidRDefault="007F3221" w:rsidP="006C4C8F">
            <w:pPr>
              <w:keepNext/>
              <w:jc w:val="center"/>
              <w:rPr>
                <w:rFonts w:ascii="Arial Narrow" w:eastAsia="Times New Roman" w:hAnsi="Arial Narrow"/>
                <w:bCs/>
                <w:color w:val="auto"/>
                <w:sz w:val="24"/>
                <w:szCs w:val="24"/>
                <w:lang w:eastAsia="en-GB"/>
              </w:rPr>
            </w:pPr>
            <w:r w:rsidRPr="006C4C8F">
              <w:rPr>
                <w:rFonts w:ascii="Arial Narrow" w:eastAsia="Times New Roman" w:hAnsi="Arial Narrow"/>
                <w:bCs/>
                <w:color w:val="auto"/>
                <w:sz w:val="24"/>
                <w:szCs w:val="24"/>
                <w:lang w:eastAsia="en-GB"/>
              </w:rPr>
              <w:t>25%</w:t>
            </w:r>
          </w:p>
        </w:tc>
        <w:tc>
          <w:tcPr>
            <w:tcW w:w="883" w:type="pct"/>
            <w:shd w:val="clear" w:color="000000" w:fill="E3F2EA"/>
            <w:noWrap/>
            <w:vAlign w:val="center"/>
            <w:hideMark/>
          </w:tcPr>
          <w:p w:rsidR="007F3221" w:rsidRPr="006C4C8F" w:rsidRDefault="007F3221" w:rsidP="006C4C8F">
            <w:pPr>
              <w:keepNext/>
              <w:jc w:val="center"/>
              <w:rPr>
                <w:rFonts w:ascii="Arial Narrow" w:eastAsia="Times New Roman" w:hAnsi="Arial Narrow"/>
                <w:bCs/>
                <w:color w:val="auto"/>
                <w:sz w:val="24"/>
                <w:szCs w:val="24"/>
                <w:lang w:eastAsia="en-GB"/>
              </w:rPr>
            </w:pPr>
            <w:r w:rsidRPr="006C4C8F">
              <w:rPr>
                <w:rFonts w:ascii="Arial Narrow" w:eastAsia="Times New Roman" w:hAnsi="Arial Narrow"/>
                <w:bCs/>
                <w:color w:val="auto"/>
                <w:sz w:val="24"/>
                <w:szCs w:val="24"/>
                <w:lang w:eastAsia="en-GB"/>
              </w:rPr>
              <w:t>12%</w:t>
            </w:r>
          </w:p>
        </w:tc>
        <w:tc>
          <w:tcPr>
            <w:tcW w:w="440" w:type="pct"/>
            <w:shd w:val="clear" w:color="000000" w:fill="EFF7F4"/>
            <w:noWrap/>
            <w:vAlign w:val="center"/>
            <w:hideMark/>
          </w:tcPr>
          <w:p w:rsidR="007F3221" w:rsidRPr="006C4C8F" w:rsidRDefault="007F3221" w:rsidP="006C4C8F">
            <w:pPr>
              <w:keepNext/>
              <w:jc w:val="center"/>
              <w:rPr>
                <w:rFonts w:ascii="Arial Narrow" w:eastAsia="Times New Roman" w:hAnsi="Arial Narrow"/>
                <w:bCs/>
                <w:color w:val="auto"/>
                <w:sz w:val="24"/>
                <w:szCs w:val="24"/>
                <w:lang w:eastAsia="en-GB"/>
              </w:rPr>
            </w:pPr>
            <w:r w:rsidRPr="006C4C8F">
              <w:rPr>
                <w:rFonts w:ascii="Arial Narrow" w:eastAsia="Times New Roman" w:hAnsi="Arial Narrow"/>
                <w:bCs/>
                <w:color w:val="auto"/>
                <w:sz w:val="24"/>
                <w:szCs w:val="24"/>
                <w:lang w:eastAsia="en-GB"/>
              </w:rPr>
              <w:t>7%</w:t>
            </w:r>
          </w:p>
        </w:tc>
      </w:tr>
      <w:tr w:rsidR="00F74225" w:rsidRPr="006C4C8F" w:rsidTr="00FC604D">
        <w:trPr>
          <w:trHeight w:val="300"/>
        </w:trPr>
        <w:tc>
          <w:tcPr>
            <w:tcW w:w="2280" w:type="pct"/>
            <w:shd w:val="clear" w:color="auto" w:fill="auto"/>
            <w:noWrap/>
            <w:vAlign w:val="center"/>
            <w:hideMark/>
          </w:tcPr>
          <w:p w:rsidR="007F3221" w:rsidRPr="006C4C8F" w:rsidRDefault="007F3221" w:rsidP="006C4C8F">
            <w:pPr>
              <w:keepNext/>
              <w:rPr>
                <w:rFonts w:ascii="Arial Narrow" w:eastAsia="Times New Roman" w:hAnsi="Arial Narrow"/>
                <w:bCs/>
                <w:color w:val="auto"/>
                <w:sz w:val="24"/>
                <w:szCs w:val="24"/>
                <w:lang w:eastAsia="en-GB"/>
              </w:rPr>
            </w:pPr>
            <w:r w:rsidRPr="006C4C8F">
              <w:rPr>
                <w:rFonts w:ascii="Arial Narrow" w:eastAsia="Times New Roman" w:hAnsi="Arial Narrow"/>
                <w:bCs/>
                <w:color w:val="auto"/>
                <w:sz w:val="24"/>
                <w:szCs w:val="24"/>
                <w:lang w:eastAsia="en-GB"/>
              </w:rPr>
              <w:t>7.</w:t>
            </w:r>
            <w:r w:rsidR="004B41A2" w:rsidRPr="006C4C8F">
              <w:rPr>
                <w:rFonts w:ascii="Arial Narrow" w:eastAsia="Times New Roman" w:hAnsi="Arial Narrow"/>
                <w:bCs/>
                <w:color w:val="auto"/>
                <w:sz w:val="24"/>
                <w:szCs w:val="24"/>
                <w:lang w:eastAsia="en-GB"/>
              </w:rPr>
              <w:t xml:space="preserve"> </w:t>
            </w:r>
            <w:r w:rsidRPr="006C4C8F">
              <w:rPr>
                <w:rFonts w:ascii="Arial Narrow" w:eastAsia="Times New Roman" w:hAnsi="Arial Narrow"/>
                <w:bCs/>
                <w:color w:val="auto"/>
                <w:sz w:val="24"/>
                <w:szCs w:val="24"/>
                <w:lang w:eastAsia="en-GB"/>
              </w:rPr>
              <w:t>Sales</w:t>
            </w:r>
            <w:r w:rsidR="004B41A2" w:rsidRPr="006C4C8F">
              <w:rPr>
                <w:rFonts w:ascii="Arial Narrow" w:eastAsia="Times New Roman" w:hAnsi="Arial Narrow"/>
                <w:bCs/>
                <w:color w:val="auto"/>
                <w:sz w:val="24"/>
                <w:szCs w:val="24"/>
                <w:lang w:eastAsia="en-GB"/>
              </w:rPr>
              <w:t xml:space="preserve"> </w:t>
            </w:r>
            <w:r w:rsidRPr="006C4C8F">
              <w:rPr>
                <w:rFonts w:ascii="Arial Narrow" w:eastAsia="Times New Roman" w:hAnsi="Arial Narrow"/>
                <w:bCs/>
                <w:color w:val="auto"/>
                <w:sz w:val="24"/>
                <w:szCs w:val="24"/>
                <w:lang w:eastAsia="en-GB"/>
              </w:rPr>
              <w:t>and</w:t>
            </w:r>
            <w:r w:rsidR="004B41A2" w:rsidRPr="006C4C8F">
              <w:rPr>
                <w:rFonts w:ascii="Arial Narrow" w:eastAsia="Times New Roman" w:hAnsi="Arial Narrow"/>
                <w:bCs/>
                <w:color w:val="auto"/>
                <w:sz w:val="24"/>
                <w:szCs w:val="24"/>
                <w:lang w:eastAsia="en-GB"/>
              </w:rPr>
              <w:t xml:space="preserve"> </w:t>
            </w:r>
            <w:r w:rsidRPr="006C4C8F">
              <w:rPr>
                <w:rFonts w:ascii="Arial Narrow" w:eastAsia="Times New Roman" w:hAnsi="Arial Narrow"/>
                <w:bCs/>
                <w:color w:val="auto"/>
                <w:sz w:val="24"/>
                <w:szCs w:val="24"/>
                <w:lang w:eastAsia="en-GB"/>
              </w:rPr>
              <w:t>customer</w:t>
            </w:r>
            <w:r w:rsidR="004B41A2" w:rsidRPr="006C4C8F">
              <w:rPr>
                <w:rFonts w:ascii="Arial Narrow" w:eastAsia="Times New Roman" w:hAnsi="Arial Narrow"/>
                <w:bCs/>
                <w:color w:val="auto"/>
                <w:sz w:val="24"/>
                <w:szCs w:val="24"/>
                <w:lang w:eastAsia="en-GB"/>
              </w:rPr>
              <w:t xml:space="preserve"> </w:t>
            </w:r>
            <w:r w:rsidRPr="006C4C8F">
              <w:rPr>
                <w:rFonts w:ascii="Arial Narrow" w:eastAsia="Times New Roman" w:hAnsi="Arial Narrow"/>
                <w:bCs/>
                <w:color w:val="auto"/>
                <w:sz w:val="24"/>
                <w:szCs w:val="24"/>
                <w:lang w:eastAsia="en-GB"/>
              </w:rPr>
              <w:t>service</w:t>
            </w:r>
            <w:r w:rsidR="004B41A2" w:rsidRPr="006C4C8F">
              <w:rPr>
                <w:rFonts w:ascii="Arial Narrow" w:eastAsia="Times New Roman" w:hAnsi="Arial Narrow"/>
                <w:bCs/>
                <w:color w:val="auto"/>
                <w:sz w:val="24"/>
                <w:szCs w:val="24"/>
                <w:lang w:eastAsia="en-GB"/>
              </w:rPr>
              <w:t xml:space="preserve"> </w:t>
            </w:r>
            <w:r w:rsidRPr="006C4C8F">
              <w:rPr>
                <w:rFonts w:ascii="Arial Narrow" w:eastAsia="Times New Roman" w:hAnsi="Arial Narrow"/>
                <w:bCs/>
                <w:color w:val="auto"/>
                <w:sz w:val="24"/>
                <w:szCs w:val="24"/>
                <w:lang w:eastAsia="en-GB"/>
              </w:rPr>
              <w:t>occupations</w:t>
            </w:r>
          </w:p>
        </w:tc>
        <w:tc>
          <w:tcPr>
            <w:tcW w:w="735" w:type="pct"/>
            <w:shd w:val="clear" w:color="000000" w:fill="63BE7B"/>
            <w:noWrap/>
            <w:vAlign w:val="center"/>
            <w:hideMark/>
          </w:tcPr>
          <w:p w:rsidR="007F3221" w:rsidRPr="006C4C8F" w:rsidRDefault="007F3221" w:rsidP="006C4C8F">
            <w:pPr>
              <w:keepNext/>
              <w:jc w:val="center"/>
              <w:rPr>
                <w:rFonts w:ascii="Arial Narrow" w:eastAsia="Times New Roman" w:hAnsi="Arial Narrow"/>
                <w:bCs/>
                <w:color w:val="auto"/>
                <w:sz w:val="24"/>
                <w:szCs w:val="24"/>
                <w:lang w:eastAsia="en-GB"/>
              </w:rPr>
            </w:pPr>
            <w:r w:rsidRPr="006C4C8F">
              <w:rPr>
                <w:rFonts w:ascii="Arial Narrow" w:eastAsia="Times New Roman" w:hAnsi="Arial Narrow"/>
                <w:bCs/>
                <w:color w:val="auto"/>
                <w:sz w:val="24"/>
                <w:szCs w:val="24"/>
                <w:lang w:eastAsia="en-GB"/>
              </w:rPr>
              <w:t>65%</w:t>
            </w:r>
          </w:p>
        </w:tc>
        <w:tc>
          <w:tcPr>
            <w:tcW w:w="662" w:type="pct"/>
            <w:shd w:val="clear" w:color="000000" w:fill="BEE3CA"/>
            <w:noWrap/>
            <w:vAlign w:val="center"/>
            <w:hideMark/>
          </w:tcPr>
          <w:p w:rsidR="007F3221" w:rsidRPr="006C4C8F" w:rsidRDefault="007F3221" w:rsidP="006C4C8F">
            <w:pPr>
              <w:keepNext/>
              <w:jc w:val="center"/>
              <w:rPr>
                <w:rFonts w:ascii="Arial Narrow" w:eastAsia="Times New Roman" w:hAnsi="Arial Narrow"/>
                <w:bCs/>
                <w:color w:val="auto"/>
                <w:sz w:val="24"/>
                <w:szCs w:val="24"/>
                <w:lang w:eastAsia="en-GB"/>
              </w:rPr>
            </w:pPr>
            <w:r w:rsidRPr="006C4C8F">
              <w:rPr>
                <w:rFonts w:ascii="Arial Narrow" w:eastAsia="Times New Roman" w:hAnsi="Arial Narrow"/>
                <w:bCs/>
                <w:color w:val="auto"/>
                <w:sz w:val="24"/>
                <w:szCs w:val="24"/>
                <w:lang w:eastAsia="en-GB"/>
              </w:rPr>
              <w:t>28%</w:t>
            </w:r>
          </w:p>
        </w:tc>
        <w:tc>
          <w:tcPr>
            <w:tcW w:w="883" w:type="pct"/>
            <w:shd w:val="clear" w:color="000000" w:fill="F6FAFA"/>
            <w:noWrap/>
            <w:vAlign w:val="center"/>
            <w:hideMark/>
          </w:tcPr>
          <w:p w:rsidR="007F3221" w:rsidRPr="006C4C8F" w:rsidRDefault="007F3221" w:rsidP="006C4C8F">
            <w:pPr>
              <w:keepNext/>
              <w:jc w:val="center"/>
              <w:rPr>
                <w:rFonts w:ascii="Arial Narrow" w:eastAsia="Times New Roman" w:hAnsi="Arial Narrow"/>
                <w:bCs/>
                <w:color w:val="auto"/>
                <w:sz w:val="24"/>
                <w:szCs w:val="24"/>
                <w:lang w:eastAsia="en-GB"/>
              </w:rPr>
            </w:pPr>
            <w:r w:rsidRPr="006C4C8F">
              <w:rPr>
                <w:rFonts w:ascii="Arial Narrow" w:eastAsia="Times New Roman" w:hAnsi="Arial Narrow"/>
                <w:bCs/>
                <w:color w:val="auto"/>
                <w:sz w:val="24"/>
                <w:szCs w:val="24"/>
                <w:lang w:eastAsia="en-GB"/>
              </w:rPr>
              <w:t>5%</w:t>
            </w:r>
          </w:p>
        </w:tc>
        <w:tc>
          <w:tcPr>
            <w:tcW w:w="440" w:type="pct"/>
            <w:shd w:val="clear" w:color="000000" w:fill="FCFCFF"/>
            <w:noWrap/>
            <w:vAlign w:val="center"/>
            <w:hideMark/>
          </w:tcPr>
          <w:p w:rsidR="007F3221" w:rsidRPr="006C4C8F" w:rsidRDefault="007F3221" w:rsidP="006C4C8F">
            <w:pPr>
              <w:keepNext/>
              <w:jc w:val="center"/>
              <w:rPr>
                <w:rFonts w:ascii="Arial Narrow" w:eastAsia="Times New Roman" w:hAnsi="Arial Narrow"/>
                <w:bCs/>
                <w:color w:val="auto"/>
                <w:sz w:val="24"/>
                <w:szCs w:val="24"/>
                <w:lang w:eastAsia="en-GB"/>
              </w:rPr>
            </w:pPr>
            <w:r w:rsidRPr="006C4C8F">
              <w:rPr>
                <w:rFonts w:ascii="Arial Narrow" w:eastAsia="Times New Roman" w:hAnsi="Arial Narrow"/>
                <w:bCs/>
                <w:color w:val="auto"/>
                <w:sz w:val="24"/>
                <w:szCs w:val="24"/>
                <w:lang w:eastAsia="en-GB"/>
              </w:rPr>
              <w:t>2%</w:t>
            </w:r>
          </w:p>
        </w:tc>
      </w:tr>
      <w:tr w:rsidR="00F74225" w:rsidRPr="006C4C8F" w:rsidTr="00FC604D">
        <w:trPr>
          <w:trHeight w:val="300"/>
        </w:trPr>
        <w:tc>
          <w:tcPr>
            <w:tcW w:w="2280" w:type="pct"/>
            <w:shd w:val="clear" w:color="auto" w:fill="auto"/>
            <w:noWrap/>
            <w:vAlign w:val="center"/>
            <w:hideMark/>
          </w:tcPr>
          <w:p w:rsidR="007F3221" w:rsidRPr="006C4C8F" w:rsidRDefault="007F3221" w:rsidP="006C4C8F">
            <w:pPr>
              <w:keepNext/>
              <w:rPr>
                <w:rFonts w:ascii="Arial Narrow" w:eastAsia="Times New Roman" w:hAnsi="Arial Narrow"/>
                <w:bCs/>
                <w:color w:val="auto"/>
                <w:sz w:val="24"/>
                <w:szCs w:val="24"/>
                <w:lang w:eastAsia="en-GB"/>
              </w:rPr>
            </w:pPr>
            <w:r w:rsidRPr="006C4C8F">
              <w:rPr>
                <w:rFonts w:ascii="Arial Narrow" w:eastAsia="Times New Roman" w:hAnsi="Arial Narrow"/>
                <w:bCs/>
                <w:color w:val="auto"/>
                <w:sz w:val="24"/>
                <w:szCs w:val="24"/>
                <w:lang w:eastAsia="en-GB"/>
              </w:rPr>
              <w:t>8.</w:t>
            </w:r>
            <w:r w:rsidR="004B41A2" w:rsidRPr="006C4C8F">
              <w:rPr>
                <w:rFonts w:ascii="Arial Narrow" w:eastAsia="Times New Roman" w:hAnsi="Arial Narrow"/>
                <w:bCs/>
                <w:color w:val="auto"/>
                <w:sz w:val="24"/>
                <w:szCs w:val="24"/>
                <w:lang w:eastAsia="en-GB"/>
              </w:rPr>
              <w:t xml:space="preserve"> </w:t>
            </w:r>
            <w:r w:rsidRPr="006C4C8F">
              <w:rPr>
                <w:rFonts w:ascii="Arial Narrow" w:eastAsia="Times New Roman" w:hAnsi="Arial Narrow"/>
                <w:bCs/>
                <w:color w:val="auto"/>
                <w:sz w:val="24"/>
                <w:szCs w:val="24"/>
                <w:lang w:eastAsia="en-GB"/>
              </w:rPr>
              <w:t>Process,</w:t>
            </w:r>
            <w:r w:rsidR="004B41A2" w:rsidRPr="006C4C8F">
              <w:rPr>
                <w:rFonts w:ascii="Arial Narrow" w:eastAsia="Times New Roman" w:hAnsi="Arial Narrow"/>
                <w:bCs/>
                <w:color w:val="auto"/>
                <w:sz w:val="24"/>
                <w:szCs w:val="24"/>
                <w:lang w:eastAsia="en-GB"/>
              </w:rPr>
              <w:t xml:space="preserve"> </w:t>
            </w:r>
            <w:r w:rsidRPr="006C4C8F">
              <w:rPr>
                <w:rFonts w:ascii="Arial Narrow" w:eastAsia="Times New Roman" w:hAnsi="Arial Narrow"/>
                <w:bCs/>
                <w:color w:val="auto"/>
                <w:sz w:val="24"/>
                <w:szCs w:val="24"/>
                <w:lang w:eastAsia="en-GB"/>
              </w:rPr>
              <w:t>plant</w:t>
            </w:r>
            <w:r w:rsidR="004B41A2" w:rsidRPr="006C4C8F">
              <w:rPr>
                <w:rFonts w:ascii="Arial Narrow" w:eastAsia="Times New Roman" w:hAnsi="Arial Narrow"/>
                <w:bCs/>
                <w:color w:val="auto"/>
                <w:sz w:val="24"/>
                <w:szCs w:val="24"/>
                <w:lang w:eastAsia="en-GB"/>
              </w:rPr>
              <w:t xml:space="preserve"> </w:t>
            </w:r>
            <w:r w:rsidRPr="006C4C8F">
              <w:rPr>
                <w:rFonts w:ascii="Arial Narrow" w:eastAsia="Times New Roman" w:hAnsi="Arial Narrow"/>
                <w:bCs/>
                <w:color w:val="auto"/>
                <w:sz w:val="24"/>
                <w:szCs w:val="24"/>
                <w:lang w:eastAsia="en-GB"/>
              </w:rPr>
              <w:t>and</w:t>
            </w:r>
            <w:r w:rsidR="004B41A2" w:rsidRPr="006C4C8F">
              <w:rPr>
                <w:rFonts w:ascii="Arial Narrow" w:eastAsia="Times New Roman" w:hAnsi="Arial Narrow"/>
                <w:bCs/>
                <w:color w:val="auto"/>
                <w:sz w:val="24"/>
                <w:szCs w:val="24"/>
                <w:lang w:eastAsia="en-GB"/>
              </w:rPr>
              <w:t xml:space="preserve"> </w:t>
            </w:r>
            <w:r w:rsidRPr="006C4C8F">
              <w:rPr>
                <w:rFonts w:ascii="Arial Narrow" w:eastAsia="Times New Roman" w:hAnsi="Arial Narrow"/>
                <w:bCs/>
                <w:color w:val="auto"/>
                <w:sz w:val="24"/>
                <w:szCs w:val="24"/>
                <w:lang w:eastAsia="en-GB"/>
              </w:rPr>
              <w:t>machine</w:t>
            </w:r>
            <w:r w:rsidR="004B41A2" w:rsidRPr="006C4C8F">
              <w:rPr>
                <w:rFonts w:ascii="Arial Narrow" w:eastAsia="Times New Roman" w:hAnsi="Arial Narrow"/>
                <w:bCs/>
                <w:color w:val="auto"/>
                <w:sz w:val="24"/>
                <w:szCs w:val="24"/>
                <w:lang w:eastAsia="en-GB"/>
              </w:rPr>
              <w:t xml:space="preserve"> </w:t>
            </w:r>
            <w:r w:rsidRPr="006C4C8F">
              <w:rPr>
                <w:rFonts w:ascii="Arial Narrow" w:eastAsia="Times New Roman" w:hAnsi="Arial Narrow"/>
                <w:bCs/>
                <w:color w:val="auto"/>
                <w:sz w:val="24"/>
                <w:szCs w:val="24"/>
                <w:lang w:eastAsia="en-GB"/>
              </w:rPr>
              <w:t>operatives</w:t>
            </w:r>
          </w:p>
        </w:tc>
        <w:tc>
          <w:tcPr>
            <w:tcW w:w="735" w:type="pct"/>
            <w:shd w:val="clear" w:color="000000" w:fill="99D4A9"/>
            <w:noWrap/>
            <w:vAlign w:val="center"/>
            <w:hideMark/>
          </w:tcPr>
          <w:p w:rsidR="007F3221" w:rsidRPr="006C4C8F" w:rsidRDefault="007F3221" w:rsidP="006C4C8F">
            <w:pPr>
              <w:keepNext/>
              <w:jc w:val="center"/>
              <w:rPr>
                <w:rFonts w:ascii="Arial Narrow" w:eastAsia="Times New Roman" w:hAnsi="Arial Narrow"/>
                <w:bCs/>
                <w:color w:val="auto"/>
                <w:sz w:val="24"/>
                <w:szCs w:val="24"/>
                <w:lang w:eastAsia="en-GB"/>
              </w:rPr>
            </w:pPr>
            <w:r w:rsidRPr="006C4C8F">
              <w:rPr>
                <w:rFonts w:ascii="Arial Narrow" w:eastAsia="Times New Roman" w:hAnsi="Arial Narrow"/>
                <w:bCs/>
                <w:color w:val="auto"/>
                <w:sz w:val="24"/>
                <w:szCs w:val="24"/>
                <w:lang w:eastAsia="en-GB"/>
              </w:rPr>
              <w:t>43%</w:t>
            </w:r>
          </w:p>
        </w:tc>
        <w:tc>
          <w:tcPr>
            <w:tcW w:w="662" w:type="pct"/>
            <w:shd w:val="clear" w:color="000000" w:fill="B2DEC0"/>
            <w:noWrap/>
            <w:vAlign w:val="center"/>
            <w:hideMark/>
          </w:tcPr>
          <w:p w:rsidR="007F3221" w:rsidRPr="006C4C8F" w:rsidRDefault="007F3221" w:rsidP="006C4C8F">
            <w:pPr>
              <w:keepNext/>
              <w:jc w:val="center"/>
              <w:rPr>
                <w:rFonts w:ascii="Arial Narrow" w:eastAsia="Times New Roman" w:hAnsi="Arial Narrow"/>
                <w:bCs/>
                <w:color w:val="auto"/>
                <w:sz w:val="24"/>
                <w:szCs w:val="24"/>
                <w:lang w:eastAsia="en-GB"/>
              </w:rPr>
            </w:pPr>
            <w:r w:rsidRPr="006C4C8F">
              <w:rPr>
                <w:rFonts w:ascii="Arial Narrow" w:eastAsia="Times New Roman" w:hAnsi="Arial Narrow"/>
                <w:bCs/>
                <w:color w:val="auto"/>
                <w:sz w:val="24"/>
                <w:szCs w:val="24"/>
                <w:lang w:eastAsia="en-GB"/>
              </w:rPr>
              <w:t>33%</w:t>
            </w:r>
          </w:p>
        </w:tc>
        <w:tc>
          <w:tcPr>
            <w:tcW w:w="883" w:type="pct"/>
            <w:shd w:val="clear" w:color="000000" w:fill="E7F4ED"/>
            <w:noWrap/>
            <w:vAlign w:val="center"/>
            <w:hideMark/>
          </w:tcPr>
          <w:p w:rsidR="007F3221" w:rsidRPr="006C4C8F" w:rsidRDefault="007F3221" w:rsidP="006C4C8F">
            <w:pPr>
              <w:keepNext/>
              <w:jc w:val="center"/>
              <w:rPr>
                <w:rFonts w:ascii="Arial Narrow" w:eastAsia="Times New Roman" w:hAnsi="Arial Narrow"/>
                <w:bCs/>
                <w:color w:val="auto"/>
                <w:sz w:val="24"/>
                <w:szCs w:val="24"/>
                <w:lang w:eastAsia="en-GB"/>
              </w:rPr>
            </w:pPr>
            <w:r w:rsidRPr="006C4C8F">
              <w:rPr>
                <w:rFonts w:ascii="Arial Narrow" w:eastAsia="Times New Roman" w:hAnsi="Arial Narrow"/>
                <w:bCs/>
                <w:color w:val="auto"/>
                <w:sz w:val="24"/>
                <w:szCs w:val="24"/>
                <w:lang w:eastAsia="en-GB"/>
              </w:rPr>
              <w:t>11%</w:t>
            </w:r>
          </w:p>
        </w:tc>
        <w:tc>
          <w:tcPr>
            <w:tcW w:w="440" w:type="pct"/>
            <w:shd w:val="clear" w:color="000000" w:fill="E1F1E8"/>
            <w:noWrap/>
            <w:vAlign w:val="center"/>
            <w:hideMark/>
          </w:tcPr>
          <w:p w:rsidR="007F3221" w:rsidRPr="006C4C8F" w:rsidRDefault="007F3221" w:rsidP="006C4C8F">
            <w:pPr>
              <w:keepNext/>
              <w:jc w:val="center"/>
              <w:rPr>
                <w:rFonts w:ascii="Arial Narrow" w:eastAsia="Times New Roman" w:hAnsi="Arial Narrow"/>
                <w:bCs/>
                <w:color w:val="auto"/>
                <w:sz w:val="24"/>
                <w:szCs w:val="24"/>
                <w:lang w:eastAsia="en-GB"/>
              </w:rPr>
            </w:pPr>
            <w:r w:rsidRPr="006C4C8F">
              <w:rPr>
                <w:rFonts w:ascii="Arial Narrow" w:eastAsia="Times New Roman" w:hAnsi="Arial Narrow"/>
                <w:bCs/>
                <w:color w:val="auto"/>
                <w:sz w:val="24"/>
                <w:szCs w:val="24"/>
                <w:lang w:eastAsia="en-GB"/>
              </w:rPr>
              <w:t>13%</w:t>
            </w:r>
          </w:p>
        </w:tc>
      </w:tr>
      <w:tr w:rsidR="00F74225" w:rsidRPr="006C4C8F" w:rsidTr="00FC604D">
        <w:trPr>
          <w:trHeight w:val="300"/>
        </w:trPr>
        <w:tc>
          <w:tcPr>
            <w:tcW w:w="2280" w:type="pct"/>
            <w:shd w:val="clear" w:color="auto" w:fill="auto"/>
            <w:noWrap/>
            <w:vAlign w:val="center"/>
            <w:hideMark/>
          </w:tcPr>
          <w:p w:rsidR="007F3221" w:rsidRPr="006C4C8F" w:rsidRDefault="007F3221" w:rsidP="006C4C8F">
            <w:pPr>
              <w:keepNext/>
              <w:rPr>
                <w:rFonts w:ascii="Arial Narrow" w:eastAsia="Times New Roman" w:hAnsi="Arial Narrow"/>
                <w:bCs/>
                <w:color w:val="auto"/>
                <w:sz w:val="24"/>
                <w:szCs w:val="24"/>
                <w:lang w:eastAsia="en-GB"/>
              </w:rPr>
            </w:pPr>
            <w:r w:rsidRPr="006C4C8F">
              <w:rPr>
                <w:rFonts w:ascii="Arial Narrow" w:eastAsia="Times New Roman" w:hAnsi="Arial Narrow"/>
                <w:bCs/>
                <w:color w:val="auto"/>
                <w:sz w:val="24"/>
                <w:szCs w:val="24"/>
                <w:lang w:eastAsia="en-GB"/>
              </w:rPr>
              <w:t>9.</w:t>
            </w:r>
            <w:r w:rsidR="004B41A2" w:rsidRPr="006C4C8F">
              <w:rPr>
                <w:rFonts w:ascii="Arial Narrow" w:eastAsia="Times New Roman" w:hAnsi="Arial Narrow"/>
                <w:bCs/>
                <w:color w:val="auto"/>
                <w:sz w:val="24"/>
                <w:szCs w:val="24"/>
                <w:lang w:eastAsia="en-GB"/>
              </w:rPr>
              <w:t xml:space="preserve"> </w:t>
            </w:r>
            <w:r w:rsidRPr="006C4C8F">
              <w:rPr>
                <w:rFonts w:ascii="Arial Narrow" w:eastAsia="Times New Roman" w:hAnsi="Arial Narrow"/>
                <w:bCs/>
                <w:color w:val="auto"/>
                <w:sz w:val="24"/>
                <w:szCs w:val="24"/>
                <w:lang w:eastAsia="en-GB"/>
              </w:rPr>
              <w:t>Elementary</w:t>
            </w:r>
            <w:r w:rsidR="004B41A2" w:rsidRPr="006C4C8F">
              <w:rPr>
                <w:rFonts w:ascii="Arial Narrow" w:eastAsia="Times New Roman" w:hAnsi="Arial Narrow"/>
                <w:bCs/>
                <w:color w:val="auto"/>
                <w:sz w:val="24"/>
                <w:szCs w:val="24"/>
                <w:lang w:eastAsia="en-GB"/>
              </w:rPr>
              <w:t xml:space="preserve"> </w:t>
            </w:r>
            <w:r w:rsidRPr="006C4C8F">
              <w:rPr>
                <w:rFonts w:ascii="Arial Narrow" w:eastAsia="Times New Roman" w:hAnsi="Arial Narrow"/>
                <w:bCs/>
                <w:color w:val="auto"/>
                <w:sz w:val="24"/>
                <w:szCs w:val="24"/>
                <w:lang w:eastAsia="en-GB"/>
              </w:rPr>
              <w:t>occupations</w:t>
            </w:r>
          </w:p>
        </w:tc>
        <w:tc>
          <w:tcPr>
            <w:tcW w:w="735" w:type="pct"/>
            <w:shd w:val="clear" w:color="000000" w:fill="74C589"/>
            <w:noWrap/>
            <w:vAlign w:val="center"/>
            <w:hideMark/>
          </w:tcPr>
          <w:p w:rsidR="007F3221" w:rsidRPr="006C4C8F" w:rsidRDefault="007F3221" w:rsidP="006C4C8F">
            <w:pPr>
              <w:keepNext/>
              <w:jc w:val="center"/>
              <w:rPr>
                <w:rFonts w:ascii="Arial Narrow" w:eastAsia="Times New Roman" w:hAnsi="Arial Narrow"/>
                <w:bCs/>
                <w:color w:val="auto"/>
                <w:sz w:val="24"/>
                <w:szCs w:val="24"/>
                <w:lang w:eastAsia="en-GB"/>
              </w:rPr>
            </w:pPr>
            <w:r w:rsidRPr="006C4C8F">
              <w:rPr>
                <w:rFonts w:ascii="Arial Narrow" w:eastAsia="Times New Roman" w:hAnsi="Arial Narrow"/>
                <w:bCs/>
                <w:color w:val="auto"/>
                <w:sz w:val="24"/>
                <w:szCs w:val="24"/>
                <w:lang w:eastAsia="en-GB"/>
              </w:rPr>
              <w:t>59%</w:t>
            </w:r>
          </w:p>
        </w:tc>
        <w:tc>
          <w:tcPr>
            <w:tcW w:w="662" w:type="pct"/>
            <w:shd w:val="clear" w:color="000000" w:fill="CFEAD8"/>
            <w:noWrap/>
            <w:vAlign w:val="center"/>
            <w:hideMark/>
          </w:tcPr>
          <w:p w:rsidR="007F3221" w:rsidRPr="006C4C8F" w:rsidRDefault="007F3221" w:rsidP="006C4C8F">
            <w:pPr>
              <w:keepNext/>
              <w:jc w:val="center"/>
              <w:rPr>
                <w:rFonts w:ascii="Arial Narrow" w:eastAsia="Times New Roman" w:hAnsi="Arial Narrow"/>
                <w:bCs/>
                <w:color w:val="auto"/>
                <w:sz w:val="24"/>
                <w:szCs w:val="24"/>
                <w:lang w:eastAsia="en-GB"/>
              </w:rPr>
            </w:pPr>
            <w:r w:rsidRPr="006C4C8F">
              <w:rPr>
                <w:rFonts w:ascii="Arial Narrow" w:eastAsia="Times New Roman" w:hAnsi="Arial Narrow"/>
                <w:bCs/>
                <w:color w:val="auto"/>
                <w:sz w:val="24"/>
                <w:szCs w:val="24"/>
                <w:lang w:eastAsia="en-GB"/>
              </w:rPr>
              <w:t>21%</w:t>
            </w:r>
          </w:p>
        </w:tc>
        <w:tc>
          <w:tcPr>
            <w:tcW w:w="883" w:type="pct"/>
            <w:shd w:val="clear" w:color="000000" w:fill="EEF7F3"/>
            <w:noWrap/>
            <w:vAlign w:val="center"/>
            <w:hideMark/>
          </w:tcPr>
          <w:p w:rsidR="007F3221" w:rsidRPr="006C4C8F" w:rsidRDefault="007F3221" w:rsidP="006C4C8F">
            <w:pPr>
              <w:keepNext/>
              <w:jc w:val="center"/>
              <w:rPr>
                <w:rFonts w:ascii="Arial Narrow" w:eastAsia="Times New Roman" w:hAnsi="Arial Narrow"/>
                <w:bCs/>
                <w:color w:val="auto"/>
                <w:sz w:val="24"/>
                <w:szCs w:val="24"/>
                <w:lang w:eastAsia="en-GB"/>
              </w:rPr>
            </w:pPr>
            <w:r w:rsidRPr="006C4C8F">
              <w:rPr>
                <w:rFonts w:ascii="Arial Narrow" w:eastAsia="Times New Roman" w:hAnsi="Arial Narrow"/>
                <w:bCs/>
                <w:color w:val="auto"/>
                <w:sz w:val="24"/>
                <w:szCs w:val="24"/>
                <w:lang w:eastAsia="en-GB"/>
              </w:rPr>
              <w:t>8%</w:t>
            </w:r>
          </w:p>
        </w:tc>
        <w:tc>
          <w:tcPr>
            <w:tcW w:w="440" w:type="pct"/>
            <w:shd w:val="clear" w:color="000000" w:fill="E3F2EA"/>
            <w:noWrap/>
            <w:vAlign w:val="center"/>
            <w:hideMark/>
          </w:tcPr>
          <w:p w:rsidR="007F3221" w:rsidRPr="006C4C8F" w:rsidRDefault="007F3221" w:rsidP="006C4C8F">
            <w:pPr>
              <w:keepNext/>
              <w:jc w:val="center"/>
              <w:rPr>
                <w:rFonts w:ascii="Arial Narrow" w:eastAsia="Times New Roman" w:hAnsi="Arial Narrow"/>
                <w:bCs/>
                <w:color w:val="auto"/>
                <w:sz w:val="24"/>
                <w:szCs w:val="24"/>
                <w:lang w:eastAsia="en-GB"/>
              </w:rPr>
            </w:pPr>
            <w:r w:rsidRPr="006C4C8F">
              <w:rPr>
                <w:rFonts w:ascii="Arial Narrow" w:eastAsia="Times New Roman" w:hAnsi="Arial Narrow"/>
                <w:bCs/>
                <w:color w:val="auto"/>
                <w:sz w:val="24"/>
                <w:szCs w:val="24"/>
                <w:lang w:eastAsia="en-GB"/>
              </w:rPr>
              <w:t>12%</w:t>
            </w:r>
          </w:p>
        </w:tc>
      </w:tr>
    </w:tbl>
    <w:p w:rsidR="007F3221" w:rsidRPr="00CA47B9" w:rsidRDefault="007F3221" w:rsidP="00FC604D">
      <w:pPr>
        <w:pStyle w:val="11Bodytext"/>
        <w:numPr>
          <w:ilvl w:val="0"/>
          <w:numId w:val="0"/>
        </w:numPr>
        <w:spacing w:before="0" w:after="0" w:line="240" w:lineRule="auto"/>
      </w:pPr>
      <w:r w:rsidRPr="00CA47B9">
        <w:t>Source:</w:t>
      </w:r>
      <w:r w:rsidR="004B41A2" w:rsidRPr="00CA47B9">
        <w:t xml:space="preserve"> </w:t>
      </w:r>
      <w:r w:rsidRPr="00CA47B9">
        <w:t>Census</w:t>
      </w:r>
      <w:r w:rsidR="004B41A2" w:rsidRPr="00CA47B9">
        <w:t xml:space="preserve"> </w:t>
      </w:r>
      <w:r w:rsidRPr="00CA47B9">
        <w:t>2011</w:t>
      </w:r>
    </w:p>
    <w:p w:rsidR="00B0298E" w:rsidRPr="00CA47B9" w:rsidRDefault="00B0298E" w:rsidP="00020CFC">
      <w:pPr>
        <w:pStyle w:val="11Bodytext"/>
        <w:tabs>
          <w:tab w:val="clear" w:pos="2212"/>
          <w:tab w:val="num" w:pos="567"/>
        </w:tabs>
        <w:ind w:left="567" w:hanging="567"/>
      </w:pPr>
      <w:r w:rsidRPr="00CA47B9">
        <w:lastRenderedPageBreak/>
        <w:t>Also</w:t>
      </w:r>
      <w:r w:rsidR="004B41A2" w:rsidRPr="00CA47B9">
        <w:t xml:space="preserve"> </w:t>
      </w:r>
      <w:r w:rsidRPr="00CA47B9">
        <w:t>notable</w:t>
      </w:r>
      <w:r w:rsidR="004B41A2" w:rsidRPr="00CA47B9">
        <w:t xml:space="preserve"> </w:t>
      </w:r>
      <w:r w:rsidRPr="00CA47B9">
        <w:t>is</w:t>
      </w:r>
      <w:r w:rsidR="004B41A2" w:rsidRPr="00CA47B9">
        <w:t xml:space="preserve"> </w:t>
      </w:r>
      <w:r w:rsidRPr="00CA47B9">
        <w:t>the</w:t>
      </w:r>
      <w:r w:rsidR="004B41A2" w:rsidRPr="00CA47B9">
        <w:t xml:space="preserve"> </w:t>
      </w:r>
      <w:r w:rsidRPr="00CA47B9">
        <w:t>fact</w:t>
      </w:r>
      <w:r w:rsidR="004B41A2" w:rsidRPr="00CA47B9">
        <w:t xml:space="preserve"> </w:t>
      </w:r>
      <w:r w:rsidRPr="00CA47B9">
        <w:t>that</w:t>
      </w:r>
      <w:r w:rsidR="004B41A2" w:rsidRPr="00CA47B9">
        <w:t xml:space="preserve"> </w:t>
      </w:r>
      <w:r w:rsidRPr="00CA47B9">
        <w:t>the</w:t>
      </w:r>
      <w:r w:rsidR="004B41A2" w:rsidRPr="00CA47B9">
        <w:t xml:space="preserve"> </w:t>
      </w:r>
      <w:r w:rsidRPr="00CA47B9">
        <w:t>earnings</w:t>
      </w:r>
      <w:r w:rsidR="004B41A2" w:rsidRPr="00CA47B9">
        <w:t xml:space="preserve"> </w:t>
      </w:r>
      <w:r w:rsidRPr="00CA47B9">
        <w:t>of</w:t>
      </w:r>
      <w:r w:rsidR="004B41A2" w:rsidRPr="00CA47B9">
        <w:t xml:space="preserve"> </w:t>
      </w:r>
      <w:r w:rsidRPr="00CA47B9">
        <w:t>both</w:t>
      </w:r>
      <w:r w:rsidR="004B41A2" w:rsidRPr="00CA47B9">
        <w:t xml:space="preserve"> </w:t>
      </w:r>
      <w:r w:rsidR="002B2F41" w:rsidRPr="00CA47B9">
        <w:t>m</w:t>
      </w:r>
      <w:r w:rsidRPr="00CA47B9">
        <w:t>ale</w:t>
      </w:r>
      <w:r w:rsidR="004B41A2" w:rsidRPr="00CA47B9">
        <w:t xml:space="preserve"> </w:t>
      </w:r>
      <w:r w:rsidRPr="00CA47B9">
        <w:t>residents</w:t>
      </w:r>
      <w:r w:rsidR="004B41A2" w:rsidRPr="00CA47B9">
        <w:t xml:space="preserve"> </w:t>
      </w:r>
      <w:r w:rsidRPr="00CA47B9">
        <w:t>and</w:t>
      </w:r>
      <w:r w:rsidR="004B41A2" w:rsidRPr="00CA47B9">
        <w:t xml:space="preserve"> </w:t>
      </w:r>
      <w:r w:rsidR="0014701B" w:rsidRPr="00CA47B9">
        <w:t>male</w:t>
      </w:r>
      <w:r w:rsidR="004B41A2" w:rsidRPr="00CA47B9">
        <w:t xml:space="preserve"> </w:t>
      </w:r>
      <w:r w:rsidRPr="00CA47B9">
        <w:t>workers</w:t>
      </w:r>
      <w:r w:rsidR="004B41A2" w:rsidRPr="00CA47B9">
        <w:t xml:space="preserve"> </w:t>
      </w:r>
      <w:r w:rsidR="005E3B42" w:rsidRPr="00CA47B9">
        <w:t>are</w:t>
      </w:r>
      <w:r w:rsidR="004B41A2" w:rsidRPr="00CA47B9">
        <w:t xml:space="preserve"> </w:t>
      </w:r>
      <w:r w:rsidR="00AE0222" w:rsidRPr="00CA47B9">
        <w:t>less</w:t>
      </w:r>
      <w:r w:rsidR="004B41A2" w:rsidRPr="00CA47B9">
        <w:t xml:space="preserve"> </w:t>
      </w:r>
      <w:r w:rsidR="00AE0222" w:rsidRPr="00CA47B9">
        <w:t>than</w:t>
      </w:r>
      <w:r w:rsidR="004B41A2" w:rsidRPr="00CA47B9">
        <w:t xml:space="preserve"> </w:t>
      </w:r>
      <w:r w:rsidRPr="00CA47B9">
        <w:t>the</w:t>
      </w:r>
      <w:r w:rsidR="004B41A2" w:rsidRPr="00CA47B9">
        <w:t xml:space="preserve"> </w:t>
      </w:r>
      <w:r w:rsidRPr="00CA47B9">
        <w:t>wider</w:t>
      </w:r>
      <w:r w:rsidR="004B41A2" w:rsidRPr="00CA47B9">
        <w:t xml:space="preserve"> </w:t>
      </w:r>
      <w:r w:rsidR="005E3B42" w:rsidRPr="00CA47B9">
        <w:t>county</w:t>
      </w:r>
      <w:r w:rsidR="004B41A2" w:rsidRPr="00CA47B9">
        <w:t xml:space="preserve"> </w:t>
      </w:r>
      <w:r w:rsidR="005E3B42" w:rsidRPr="00CA47B9">
        <w:t>and</w:t>
      </w:r>
      <w:r w:rsidR="004B41A2" w:rsidRPr="00CA47B9">
        <w:t xml:space="preserve"> </w:t>
      </w:r>
      <w:r w:rsidR="005E3B42" w:rsidRPr="00CA47B9">
        <w:t>regional</w:t>
      </w:r>
      <w:r w:rsidR="004B41A2" w:rsidRPr="00CA47B9">
        <w:t xml:space="preserve"> </w:t>
      </w:r>
      <w:r w:rsidR="005E3B42" w:rsidRPr="00CA47B9">
        <w:t>and</w:t>
      </w:r>
      <w:r w:rsidR="004B41A2" w:rsidRPr="00CA47B9">
        <w:t xml:space="preserve"> </w:t>
      </w:r>
      <w:r w:rsidR="005E3B42" w:rsidRPr="00CA47B9">
        <w:t>national</w:t>
      </w:r>
      <w:r w:rsidR="004B41A2" w:rsidRPr="00CA47B9">
        <w:t xml:space="preserve"> </w:t>
      </w:r>
      <w:r w:rsidR="005E3B42" w:rsidRPr="00CA47B9">
        <w:t>equivalent</w:t>
      </w:r>
      <w:r w:rsidR="004B41A2" w:rsidRPr="00CA47B9">
        <w:t xml:space="preserve"> </w:t>
      </w:r>
      <w:r w:rsidRPr="00CA47B9">
        <w:t>whereas</w:t>
      </w:r>
      <w:r w:rsidR="004B41A2" w:rsidRPr="00CA47B9">
        <w:t xml:space="preserve"> </w:t>
      </w:r>
      <w:r w:rsidRPr="00CA47B9">
        <w:t>female</w:t>
      </w:r>
      <w:r w:rsidR="004B41A2" w:rsidRPr="00CA47B9">
        <w:t xml:space="preserve"> </w:t>
      </w:r>
      <w:r w:rsidRPr="00CA47B9">
        <w:t>residents</w:t>
      </w:r>
      <w:r w:rsidR="004B41A2" w:rsidRPr="00CA47B9">
        <w:t xml:space="preserve"> </w:t>
      </w:r>
      <w:r w:rsidR="0014701B" w:rsidRPr="00CA47B9">
        <w:t>and</w:t>
      </w:r>
      <w:r w:rsidR="004B41A2" w:rsidRPr="00CA47B9">
        <w:t xml:space="preserve"> </w:t>
      </w:r>
      <w:r w:rsidR="0014701B" w:rsidRPr="00CA47B9">
        <w:t>to</w:t>
      </w:r>
      <w:r w:rsidR="004B41A2" w:rsidRPr="00CA47B9">
        <w:t xml:space="preserve"> </w:t>
      </w:r>
      <w:r w:rsidR="0014701B" w:rsidRPr="00CA47B9">
        <w:t>a</w:t>
      </w:r>
      <w:r w:rsidR="004B41A2" w:rsidRPr="00CA47B9">
        <w:t xml:space="preserve"> </w:t>
      </w:r>
      <w:r w:rsidR="0014701B" w:rsidRPr="00CA47B9">
        <w:t>lesser</w:t>
      </w:r>
      <w:r w:rsidR="004B41A2" w:rsidRPr="00CA47B9">
        <w:t xml:space="preserve"> </w:t>
      </w:r>
      <w:r w:rsidR="0014701B" w:rsidRPr="00CA47B9">
        <w:t>degree</w:t>
      </w:r>
      <w:r w:rsidR="004B41A2" w:rsidRPr="00CA47B9">
        <w:t xml:space="preserve"> </w:t>
      </w:r>
      <w:r w:rsidR="0014701B" w:rsidRPr="00CA47B9">
        <w:t>female</w:t>
      </w:r>
      <w:r w:rsidR="004B41A2" w:rsidRPr="00CA47B9">
        <w:t xml:space="preserve"> </w:t>
      </w:r>
      <w:r w:rsidR="0014701B" w:rsidRPr="00CA47B9">
        <w:t>workers</w:t>
      </w:r>
      <w:r w:rsidR="004B41A2" w:rsidRPr="00CA47B9">
        <w:t xml:space="preserve"> </w:t>
      </w:r>
      <w:r w:rsidRPr="00CA47B9">
        <w:t>earn</w:t>
      </w:r>
      <w:r w:rsidR="004B41A2" w:rsidRPr="00CA47B9">
        <w:t xml:space="preserve"> </w:t>
      </w:r>
      <w:r w:rsidRPr="00CA47B9">
        <w:t>more</w:t>
      </w:r>
      <w:r w:rsidR="004B41A2" w:rsidRPr="00CA47B9">
        <w:t xml:space="preserve"> </w:t>
      </w:r>
      <w:r w:rsidRPr="00CA47B9">
        <w:t>than</w:t>
      </w:r>
      <w:r w:rsidR="004B41A2" w:rsidRPr="00CA47B9">
        <w:t xml:space="preserve"> </w:t>
      </w:r>
      <w:r w:rsidR="0014701B" w:rsidRPr="00CA47B9">
        <w:t>the</w:t>
      </w:r>
      <w:r w:rsidR="004B41A2" w:rsidRPr="00CA47B9">
        <w:t xml:space="preserve"> </w:t>
      </w:r>
      <w:r w:rsidR="0014701B" w:rsidRPr="00CA47B9">
        <w:t>county,</w:t>
      </w:r>
      <w:r w:rsidR="004B41A2" w:rsidRPr="00CA47B9">
        <w:t xml:space="preserve"> </w:t>
      </w:r>
      <w:r w:rsidR="0014701B" w:rsidRPr="00CA47B9">
        <w:t>region</w:t>
      </w:r>
      <w:r w:rsidR="004B41A2" w:rsidRPr="00CA47B9">
        <w:t xml:space="preserve"> </w:t>
      </w:r>
      <w:r w:rsidR="0014701B" w:rsidRPr="00CA47B9">
        <w:t>and</w:t>
      </w:r>
      <w:r w:rsidR="004B41A2" w:rsidRPr="00CA47B9">
        <w:t xml:space="preserve"> </w:t>
      </w:r>
      <w:r w:rsidR="0014701B" w:rsidRPr="00CA47B9">
        <w:t>national</w:t>
      </w:r>
      <w:r w:rsidR="004B41A2" w:rsidRPr="00CA47B9">
        <w:t xml:space="preserve"> </w:t>
      </w:r>
      <w:r w:rsidR="0014701B" w:rsidRPr="00CA47B9">
        <w:t>figures.</w:t>
      </w:r>
      <w:r w:rsidR="004B41A2" w:rsidRPr="00CA47B9">
        <w:t xml:space="preserve"> </w:t>
      </w:r>
      <w:r w:rsidR="005E3B42" w:rsidRPr="00CA47B9">
        <w:t>Although</w:t>
      </w:r>
      <w:r w:rsidR="004B41A2" w:rsidRPr="00CA47B9">
        <w:t xml:space="preserve"> </w:t>
      </w:r>
      <w:r w:rsidR="005E3B42" w:rsidRPr="00CA47B9">
        <w:t>male</w:t>
      </w:r>
      <w:r w:rsidR="004B41A2" w:rsidRPr="00CA47B9">
        <w:t xml:space="preserve"> </w:t>
      </w:r>
      <w:r w:rsidR="005E3B42" w:rsidRPr="00CA47B9">
        <w:t>earnings</w:t>
      </w:r>
      <w:r w:rsidR="004B41A2" w:rsidRPr="00CA47B9">
        <w:t xml:space="preserve"> </w:t>
      </w:r>
      <w:r w:rsidR="005E3B42" w:rsidRPr="00CA47B9">
        <w:t>are</w:t>
      </w:r>
      <w:r w:rsidR="004B41A2" w:rsidRPr="00CA47B9">
        <w:t xml:space="preserve"> </w:t>
      </w:r>
      <w:r w:rsidR="005E3B42" w:rsidRPr="00CA47B9">
        <w:t>still</w:t>
      </w:r>
      <w:r w:rsidR="004B41A2" w:rsidRPr="00CA47B9">
        <w:t xml:space="preserve"> </w:t>
      </w:r>
      <w:r w:rsidR="005E3B42" w:rsidRPr="00CA47B9">
        <w:t>above</w:t>
      </w:r>
      <w:r w:rsidR="004B41A2" w:rsidRPr="00CA47B9">
        <w:t xml:space="preserve"> </w:t>
      </w:r>
      <w:r w:rsidR="005E3B42" w:rsidRPr="00CA47B9">
        <w:t>those</w:t>
      </w:r>
      <w:r w:rsidR="004B41A2" w:rsidRPr="00CA47B9">
        <w:t xml:space="preserve"> </w:t>
      </w:r>
      <w:r w:rsidR="005E3B42" w:rsidRPr="00CA47B9">
        <w:t>for</w:t>
      </w:r>
      <w:r w:rsidR="004B41A2" w:rsidRPr="00CA47B9">
        <w:t xml:space="preserve"> </w:t>
      </w:r>
      <w:r w:rsidR="005E3B42" w:rsidRPr="00CA47B9">
        <w:t>women.</w:t>
      </w:r>
      <w:r w:rsidR="004B41A2" w:rsidRPr="00CA47B9">
        <w:t xml:space="preserve"> </w:t>
      </w:r>
    </w:p>
    <w:p w:rsidR="00681EBB" w:rsidRDefault="005E3B42" w:rsidP="00020CFC">
      <w:pPr>
        <w:pStyle w:val="11Bodytext"/>
        <w:tabs>
          <w:tab w:val="clear" w:pos="2212"/>
          <w:tab w:val="num" w:pos="567"/>
        </w:tabs>
        <w:ind w:left="567" w:hanging="567"/>
      </w:pPr>
      <w:r w:rsidRPr="00CA47B9">
        <w:t>Potentially</w:t>
      </w:r>
      <w:r w:rsidR="004B41A2" w:rsidRPr="00CA47B9">
        <w:t xml:space="preserve"> </w:t>
      </w:r>
      <w:r w:rsidRPr="00CA47B9">
        <w:t>this</w:t>
      </w:r>
      <w:r w:rsidR="004B41A2" w:rsidRPr="00CA47B9">
        <w:t xml:space="preserve"> </w:t>
      </w:r>
      <w:r w:rsidRPr="00CA47B9">
        <w:t>is</w:t>
      </w:r>
      <w:r w:rsidR="004B41A2" w:rsidRPr="00CA47B9">
        <w:t xml:space="preserve"> </w:t>
      </w:r>
      <w:r w:rsidRPr="00CA47B9">
        <w:t>due</w:t>
      </w:r>
      <w:r w:rsidR="004B41A2" w:rsidRPr="00CA47B9">
        <w:t xml:space="preserve"> </w:t>
      </w:r>
      <w:r w:rsidRPr="00CA47B9">
        <w:t>to</w:t>
      </w:r>
      <w:r w:rsidR="004B41A2" w:rsidRPr="00CA47B9">
        <w:t xml:space="preserve"> </w:t>
      </w:r>
      <w:r w:rsidRPr="00CA47B9">
        <w:t>the</w:t>
      </w:r>
      <w:r w:rsidR="004B41A2" w:rsidRPr="00CA47B9">
        <w:t xml:space="preserve"> </w:t>
      </w:r>
      <w:r w:rsidRPr="00CA47B9">
        <w:t>high</w:t>
      </w:r>
      <w:r w:rsidR="004B41A2" w:rsidRPr="00CA47B9">
        <w:t xml:space="preserve"> </w:t>
      </w:r>
      <w:r w:rsidRPr="00CA47B9">
        <w:t>number</w:t>
      </w:r>
      <w:r w:rsidR="004B41A2" w:rsidRPr="00CA47B9">
        <w:t xml:space="preserve"> </w:t>
      </w:r>
      <w:r w:rsidRPr="00CA47B9">
        <w:t>of</w:t>
      </w:r>
      <w:r w:rsidR="004B41A2" w:rsidRPr="00CA47B9">
        <w:t xml:space="preserve"> </w:t>
      </w:r>
      <w:r w:rsidRPr="00CA47B9">
        <w:t>low</w:t>
      </w:r>
      <w:r w:rsidR="004B41A2" w:rsidRPr="00CA47B9">
        <w:t xml:space="preserve"> </w:t>
      </w:r>
      <w:r w:rsidRPr="00CA47B9">
        <w:t>paid</w:t>
      </w:r>
      <w:r w:rsidR="004B41A2" w:rsidRPr="00CA47B9">
        <w:t xml:space="preserve"> </w:t>
      </w:r>
      <w:r w:rsidRPr="00CA47B9">
        <w:t>manual</w:t>
      </w:r>
      <w:r w:rsidR="004B41A2" w:rsidRPr="00CA47B9">
        <w:t xml:space="preserve"> </w:t>
      </w:r>
      <w:r w:rsidRPr="00CA47B9">
        <w:t>roles</w:t>
      </w:r>
      <w:r w:rsidR="004B41A2" w:rsidRPr="00CA47B9">
        <w:t xml:space="preserve"> </w:t>
      </w:r>
      <w:r w:rsidRPr="00CA47B9">
        <w:t>such</w:t>
      </w:r>
      <w:r w:rsidR="004B41A2" w:rsidRPr="00CA47B9">
        <w:t xml:space="preserve"> </w:t>
      </w:r>
      <w:r w:rsidRPr="00CA47B9">
        <w:t>as</w:t>
      </w:r>
      <w:r w:rsidR="004B41A2" w:rsidRPr="00CA47B9">
        <w:t xml:space="preserve"> </w:t>
      </w:r>
      <w:r w:rsidRPr="00CA47B9">
        <w:t>agricultural</w:t>
      </w:r>
      <w:r w:rsidR="004B41A2" w:rsidRPr="00CA47B9">
        <w:t xml:space="preserve"> </w:t>
      </w:r>
      <w:r w:rsidRPr="00CA47B9">
        <w:t>employment</w:t>
      </w:r>
      <w:r w:rsidR="004B41A2" w:rsidRPr="00CA47B9">
        <w:t xml:space="preserve"> </w:t>
      </w:r>
      <w:r w:rsidRPr="00CA47B9">
        <w:t>which</w:t>
      </w:r>
      <w:r w:rsidR="004B41A2" w:rsidRPr="00CA47B9">
        <w:t xml:space="preserve"> </w:t>
      </w:r>
      <w:r w:rsidRPr="00CA47B9">
        <w:t>are</w:t>
      </w:r>
      <w:r w:rsidR="004B41A2" w:rsidRPr="00CA47B9">
        <w:t xml:space="preserve"> </w:t>
      </w:r>
      <w:r w:rsidRPr="00CA47B9">
        <w:t>typically</w:t>
      </w:r>
      <w:r w:rsidR="004B41A2" w:rsidRPr="00CA47B9">
        <w:t xml:space="preserve"> </w:t>
      </w:r>
      <w:r w:rsidRPr="00CA47B9">
        <w:t>filled</w:t>
      </w:r>
      <w:r w:rsidR="004B41A2" w:rsidRPr="00CA47B9">
        <w:t xml:space="preserve"> </w:t>
      </w:r>
      <w:r w:rsidRPr="00CA47B9">
        <w:t>by</w:t>
      </w:r>
      <w:r w:rsidR="004B41A2" w:rsidRPr="00CA47B9">
        <w:t xml:space="preserve"> </w:t>
      </w:r>
      <w:r w:rsidRPr="00CA47B9">
        <w:t>men.</w:t>
      </w:r>
      <w:r w:rsidR="004B41A2" w:rsidRPr="00CA47B9">
        <w:t xml:space="preserve"> </w:t>
      </w:r>
      <w:r w:rsidR="00CA47B9" w:rsidRPr="00CA47B9">
        <w:t>Thus,</w:t>
      </w:r>
      <w:r w:rsidR="004B41A2" w:rsidRPr="00CA47B9">
        <w:t xml:space="preserve"> </w:t>
      </w:r>
      <w:r w:rsidRPr="00CA47B9">
        <w:t>the</w:t>
      </w:r>
      <w:r w:rsidR="004B41A2" w:rsidRPr="00CA47B9">
        <w:t xml:space="preserve"> </w:t>
      </w:r>
      <w:r w:rsidRPr="00CA47B9">
        <w:t>male</w:t>
      </w:r>
      <w:r w:rsidR="004B41A2" w:rsidRPr="00CA47B9">
        <w:t xml:space="preserve"> </w:t>
      </w:r>
      <w:r w:rsidRPr="00CA47B9">
        <w:t>average</w:t>
      </w:r>
      <w:r w:rsidR="004B41A2" w:rsidRPr="00CA47B9">
        <w:t xml:space="preserve"> </w:t>
      </w:r>
      <w:r w:rsidRPr="00CA47B9">
        <w:t>is</w:t>
      </w:r>
      <w:r w:rsidR="004B41A2" w:rsidRPr="00CA47B9">
        <w:t xml:space="preserve"> </w:t>
      </w:r>
      <w:r w:rsidRPr="00CA47B9">
        <w:t>reduced</w:t>
      </w:r>
      <w:r w:rsidR="004B41A2" w:rsidRPr="00CA47B9">
        <w:t xml:space="preserve"> </w:t>
      </w:r>
      <w:r w:rsidRPr="00CA47B9">
        <w:t>by</w:t>
      </w:r>
      <w:r w:rsidR="004B41A2" w:rsidRPr="00CA47B9">
        <w:t xml:space="preserve"> </w:t>
      </w:r>
      <w:r w:rsidRPr="00CA47B9">
        <w:t>this</w:t>
      </w:r>
      <w:r w:rsidR="004B41A2" w:rsidRPr="00CA47B9">
        <w:t xml:space="preserve"> </w:t>
      </w:r>
      <w:r w:rsidRPr="00CA47B9">
        <w:t>but</w:t>
      </w:r>
      <w:r w:rsidR="004B41A2" w:rsidRPr="00CA47B9">
        <w:t xml:space="preserve"> </w:t>
      </w:r>
      <w:r w:rsidRPr="00CA47B9">
        <w:t>the</w:t>
      </w:r>
      <w:r w:rsidR="004B41A2" w:rsidRPr="00CA47B9">
        <w:t xml:space="preserve"> </w:t>
      </w:r>
      <w:r w:rsidRPr="00CA47B9">
        <w:t>female</w:t>
      </w:r>
      <w:r w:rsidR="004B41A2" w:rsidRPr="00CA47B9">
        <w:t xml:space="preserve"> </w:t>
      </w:r>
      <w:r w:rsidRPr="00CA47B9">
        <w:t>earnings</w:t>
      </w:r>
      <w:r w:rsidR="004B41A2" w:rsidRPr="00CA47B9">
        <w:t xml:space="preserve"> </w:t>
      </w:r>
      <w:r w:rsidRPr="00CA47B9">
        <w:t>are</w:t>
      </w:r>
      <w:r w:rsidR="004B41A2" w:rsidRPr="00CA47B9">
        <w:t xml:space="preserve"> </w:t>
      </w:r>
      <w:r w:rsidRPr="00CA47B9">
        <w:t>less</w:t>
      </w:r>
      <w:r w:rsidR="004B41A2" w:rsidRPr="00CA47B9">
        <w:t xml:space="preserve"> </w:t>
      </w:r>
      <w:r w:rsidR="003A32C6" w:rsidRPr="00CA47B9">
        <w:t>affected</w:t>
      </w:r>
      <w:r w:rsidRPr="00CA47B9">
        <w:t>.</w:t>
      </w:r>
    </w:p>
    <w:tbl>
      <w:tblPr>
        <w:tblStyle w:val="TableGrid"/>
        <w:tblW w:w="5000" w:type="pct"/>
        <w:tblBorders>
          <w:top w:val="single" w:sz="18" w:space="0" w:color="0093D5" w:themeColor="accent2"/>
          <w:left w:val="single" w:sz="18" w:space="0" w:color="0093D5" w:themeColor="accent2"/>
          <w:bottom w:val="single" w:sz="18" w:space="0" w:color="0093D5" w:themeColor="accent2"/>
          <w:right w:val="single" w:sz="18" w:space="0" w:color="0093D5" w:themeColor="accent2"/>
          <w:insideH w:val="single" w:sz="18" w:space="0" w:color="0093D5" w:themeColor="accent2"/>
          <w:insideV w:val="single" w:sz="18" w:space="0" w:color="0093D5" w:themeColor="accent2"/>
        </w:tblBorders>
        <w:tblLook w:val="04A0" w:firstRow="1" w:lastRow="0" w:firstColumn="1" w:lastColumn="0" w:noHBand="0" w:noVBand="1"/>
        <w:tblCaption w:val="Economy and Labour Market: Key Points"/>
      </w:tblPr>
      <w:tblGrid>
        <w:gridCol w:w="9847"/>
      </w:tblGrid>
      <w:tr w:rsidR="00F9748F" w:rsidRPr="00CA47B9" w:rsidTr="00D30252">
        <w:trPr>
          <w:tblHeader/>
        </w:trPr>
        <w:tc>
          <w:tcPr>
            <w:tcW w:w="5000" w:type="pct"/>
          </w:tcPr>
          <w:p w:rsidR="00174FB2" w:rsidRPr="00CA47B9" w:rsidRDefault="00174FB2" w:rsidP="00174FB2">
            <w:pPr>
              <w:rPr>
                <w:b/>
                <w:color w:val="auto"/>
              </w:rPr>
            </w:pPr>
          </w:p>
          <w:p w:rsidR="00174FB2" w:rsidRPr="006C4C8F" w:rsidRDefault="002C72FE" w:rsidP="00174FB2">
            <w:pPr>
              <w:rPr>
                <w:b/>
                <w:color w:val="auto"/>
                <w:sz w:val="24"/>
                <w:szCs w:val="24"/>
              </w:rPr>
            </w:pPr>
            <w:r w:rsidRPr="006C4C8F">
              <w:rPr>
                <w:b/>
                <w:color w:val="auto"/>
                <w:sz w:val="24"/>
                <w:szCs w:val="24"/>
              </w:rPr>
              <w:t xml:space="preserve">Economy and Labour Market: </w:t>
            </w:r>
            <w:r w:rsidR="00174FB2" w:rsidRPr="006C4C8F">
              <w:rPr>
                <w:b/>
                <w:color w:val="auto"/>
                <w:sz w:val="24"/>
                <w:szCs w:val="24"/>
              </w:rPr>
              <w:t>Key</w:t>
            </w:r>
            <w:r w:rsidR="004B41A2" w:rsidRPr="006C4C8F">
              <w:rPr>
                <w:b/>
                <w:color w:val="auto"/>
                <w:sz w:val="24"/>
                <w:szCs w:val="24"/>
              </w:rPr>
              <w:t xml:space="preserve"> </w:t>
            </w:r>
            <w:r w:rsidR="00174FB2" w:rsidRPr="006C4C8F">
              <w:rPr>
                <w:b/>
                <w:color w:val="auto"/>
                <w:sz w:val="24"/>
                <w:szCs w:val="24"/>
              </w:rPr>
              <w:t>Points</w:t>
            </w:r>
            <w:r w:rsidR="004B41A2" w:rsidRPr="006C4C8F">
              <w:rPr>
                <w:b/>
                <w:color w:val="auto"/>
                <w:sz w:val="24"/>
                <w:szCs w:val="24"/>
              </w:rPr>
              <w:t xml:space="preserve"> </w:t>
            </w:r>
          </w:p>
          <w:p w:rsidR="00174FB2" w:rsidRPr="00CA47B9" w:rsidRDefault="00174FB2" w:rsidP="00174FB2">
            <w:pPr>
              <w:rPr>
                <w:b/>
                <w:color w:val="auto"/>
              </w:rPr>
            </w:pPr>
          </w:p>
          <w:p w:rsidR="00174FB2" w:rsidRPr="00CA47B9" w:rsidRDefault="00174FB2" w:rsidP="00A54ECA">
            <w:pPr>
              <w:pStyle w:val="ListParagraph"/>
            </w:pPr>
            <w:r w:rsidRPr="00CA47B9">
              <w:t>Chichester</w:t>
            </w:r>
            <w:r w:rsidR="004B41A2" w:rsidRPr="00CA47B9">
              <w:t xml:space="preserve"> </w:t>
            </w:r>
            <w:r w:rsidRPr="00CA47B9">
              <w:t>District’s</w:t>
            </w:r>
            <w:r w:rsidR="004B41A2" w:rsidRPr="00CA47B9">
              <w:t xml:space="preserve"> </w:t>
            </w:r>
            <w:r w:rsidRPr="00CA47B9">
              <w:t>economy</w:t>
            </w:r>
            <w:r w:rsidR="004B41A2" w:rsidRPr="00CA47B9">
              <w:t xml:space="preserve"> </w:t>
            </w:r>
            <w:r w:rsidRPr="00CA47B9">
              <w:t>produces</w:t>
            </w:r>
            <w:r w:rsidR="004B41A2" w:rsidRPr="00CA47B9">
              <w:t xml:space="preserve"> </w:t>
            </w:r>
            <w:r w:rsidRPr="00CA47B9">
              <w:t>goods</w:t>
            </w:r>
            <w:r w:rsidR="004B41A2" w:rsidRPr="00CA47B9">
              <w:t xml:space="preserve"> </w:t>
            </w:r>
            <w:r w:rsidRPr="00CA47B9">
              <w:t>and</w:t>
            </w:r>
            <w:r w:rsidR="004B41A2" w:rsidRPr="00CA47B9">
              <w:t xml:space="preserve"> </w:t>
            </w:r>
            <w:r w:rsidRPr="00CA47B9">
              <w:t>services</w:t>
            </w:r>
            <w:r w:rsidR="004B41A2" w:rsidRPr="00CA47B9">
              <w:t xml:space="preserve"> </w:t>
            </w:r>
            <w:r w:rsidRPr="00CA47B9">
              <w:t>valued</w:t>
            </w:r>
            <w:r w:rsidR="004B41A2" w:rsidRPr="00CA47B9">
              <w:t xml:space="preserve"> </w:t>
            </w:r>
            <w:r w:rsidRPr="00CA47B9">
              <w:t>at</w:t>
            </w:r>
            <w:r w:rsidR="004B41A2" w:rsidRPr="00CA47B9">
              <w:t xml:space="preserve"> </w:t>
            </w:r>
            <w:r w:rsidRPr="00CA47B9">
              <w:t>£3.</w:t>
            </w:r>
            <w:r w:rsidR="00EF7EC7" w:rsidRPr="00CA47B9">
              <w:t>3</w:t>
            </w:r>
            <w:r w:rsidR="004B41A2" w:rsidRPr="00CA47B9">
              <w:t xml:space="preserve"> </w:t>
            </w:r>
            <w:r w:rsidRPr="00CA47B9">
              <w:t>billion</w:t>
            </w:r>
            <w:r w:rsidR="004B41A2" w:rsidRPr="00CA47B9">
              <w:t xml:space="preserve"> </w:t>
            </w:r>
            <w:r w:rsidRPr="00CA47B9">
              <w:t>per</w:t>
            </w:r>
            <w:r w:rsidR="004B41A2" w:rsidRPr="00CA47B9">
              <w:t xml:space="preserve"> </w:t>
            </w:r>
            <w:r w:rsidRPr="00CA47B9">
              <w:t>annum</w:t>
            </w:r>
            <w:r w:rsidR="004B41A2" w:rsidRPr="00CA47B9">
              <w:t xml:space="preserve"> </w:t>
            </w:r>
            <w:r w:rsidRPr="00CA47B9">
              <w:t>(GVA)</w:t>
            </w:r>
            <w:r w:rsidR="004B41A2" w:rsidRPr="00CA47B9">
              <w:t xml:space="preserve"> </w:t>
            </w:r>
            <w:r w:rsidRPr="00CA47B9">
              <w:t>and</w:t>
            </w:r>
            <w:r w:rsidR="004B41A2" w:rsidRPr="00CA47B9">
              <w:t xml:space="preserve"> </w:t>
            </w:r>
            <w:r w:rsidRPr="00CA47B9">
              <w:t>supports</w:t>
            </w:r>
            <w:r w:rsidR="004B41A2" w:rsidRPr="00CA47B9">
              <w:t xml:space="preserve"> </w:t>
            </w:r>
            <w:r w:rsidRPr="00CA47B9">
              <w:t>around</w:t>
            </w:r>
            <w:r w:rsidR="004B41A2" w:rsidRPr="00CA47B9">
              <w:t xml:space="preserve"> </w:t>
            </w:r>
            <w:r w:rsidRPr="00CA47B9">
              <w:t>7</w:t>
            </w:r>
            <w:r w:rsidR="00EF7EC7" w:rsidRPr="00CA47B9">
              <w:t>1,380</w:t>
            </w:r>
            <w:r w:rsidR="004B41A2" w:rsidRPr="00CA47B9">
              <w:t xml:space="preserve"> </w:t>
            </w:r>
            <w:r w:rsidRPr="00CA47B9">
              <w:t>jobs.</w:t>
            </w:r>
            <w:r w:rsidR="004B41A2" w:rsidRPr="00CA47B9">
              <w:t xml:space="preserve"> </w:t>
            </w:r>
            <w:r w:rsidRPr="00CA47B9">
              <w:t>The</w:t>
            </w:r>
            <w:r w:rsidR="004B41A2" w:rsidRPr="00CA47B9">
              <w:t xml:space="preserve"> </w:t>
            </w:r>
            <w:r w:rsidRPr="00CA47B9">
              <w:t>strongest</w:t>
            </w:r>
            <w:r w:rsidR="004B41A2" w:rsidRPr="00CA47B9">
              <w:t xml:space="preserve"> </w:t>
            </w:r>
            <w:r w:rsidRPr="00CA47B9">
              <w:t>contributor</w:t>
            </w:r>
            <w:r w:rsidR="004B41A2" w:rsidRPr="00CA47B9">
              <w:t xml:space="preserve"> </w:t>
            </w:r>
            <w:r w:rsidRPr="00CA47B9">
              <w:t>to</w:t>
            </w:r>
            <w:r w:rsidR="004B41A2" w:rsidRPr="00CA47B9">
              <w:t xml:space="preserve"> </w:t>
            </w:r>
            <w:r w:rsidRPr="00CA47B9">
              <w:t>GVA</w:t>
            </w:r>
            <w:r w:rsidR="004B41A2" w:rsidRPr="00CA47B9">
              <w:t xml:space="preserve"> </w:t>
            </w:r>
            <w:r w:rsidRPr="00CA47B9">
              <w:t>in</w:t>
            </w:r>
            <w:r w:rsidR="004B41A2" w:rsidRPr="00CA47B9">
              <w:t xml:space="preserve"> </w:t>
            </w:r>
            <w:r w:rsidRPr="00CA47B9">
              <w:t>Chichester</w:t>
            </w:r>
            <w:r w:rsidR="004B41A2" w:rsidRPr="00CA47B9">
              <w:t xml:space="preserve"> </w:t>
            </w:r>
            <w:r w:rsidRPr="00CA47B9">
              <w:t>is</w:t>
            </w:r>
            <w:r w:rsidR="004B41A2" w:rsidRPr="00CA47B9">
              <w:t xml:space="preserve"> </w:t>
            </w:r>
            <w:r w:rsidRPr="00CA47B9">
              <w:t>the</w:t>
            </w:r>
            <w:r w:rsidR="004B41A2" w:rsidRPr="00CA47B9">
              <w:t xml:space="preserve"> </w:t>
            </w:r>
            <w:r w:rsidRPr="00CA47B9">
              <w:t>real</w:t>
            </w:r>
            <w:r w:rsidR="004B41A2" w:rsidRPr="00CA47B9">
              <w:t xml:space="preserve"> </w:t>
            </w:r>
            <w:r w:rsidRPr="00CA47B9">
              <w:t>estate</w:t>
            </w:r>
            <w:r w:rsidR="004B41A2" w:rsidRPr="00CA47B9">
              <w:t xml:space="preserve"> </w:t>
            </w:r>
            <w:r w:rsidRPr="00CA47B9">
              <w:t>sector.</w:t>
            </w:r>
            <w:r w:rsidR="004B41A2" w:rsidRPr="00CA47B9">
              <w:t xml:space="preserve"> </w:t>
            </w:r>
          </w:p>
          <w:p w:rsidR="00174FB2" w:rsidRPr="00CA47B9" w:rsidRDefault="00174FB2" w:rsidP="00174FB2">
            <w:pPr>
              <w:rPr>
                <w:color w:val="auto"/>
              </w:rPr>
            </w:pPr>
          </w:p>
          <w:p w:rsidR="00174FB2" w:rsidRPr="00CA47B9" w:rsidRDefault="00174FB2" w:rsidP="00A54ECA">
            <w:pPr>
              <w:pStyle w:val="ListParagraph"/>
            </w:pPr>
            <w:r w:rsidRPr="00CA47B9">
              <w:t>The</w:t>
            </w:r>
            <w:r w:rsidR="004B41A2" w:rsidRPr="00CA47B9">
              <w:t xml:space="preserve"> </w:t>
            </w:r>
            <w:r w:rsidRPr="00CA47B9">
              <w:t>District’s</w:t>
            </w:r>
            <w:r w:rsidR="004B41A2" w:rsidRPr="00CA47B9">
              <w:t xml:space="preserve"> </w:t>
            </w:r>
            <w:r w:rsidRPr="00CA47B9">
              <w:t>largest</w:t>
            </w:r>
            <w:r w:rsidR="004B41A2" w:rsidRPr="00CA47B9">
              <w:t xml:space="preserve"> </w:t>
            </w:r>
            <w:r w:rsidRPr="00CA47B9">
              <w:t>sector</w:t>
            </w:r>
            <w:r w:rsidR="004B41A2" w:rsidRPr="00CA47B9">
              <w:t xml:space="preserve"> </w:t>
            </w:r>
            <w:r w:rsidRPr="00CA47B9">
              <w:t>in</w:t>
            </w:r>
            <w:r w:rsidR="004B41A2" w:rsidRPr="00CA47B9">
              <w:t xml:space="preserve"> </w:t>
            </w:r>
            <w:r w:rsidRPr="00CA47B9">
              <w:t>terms</w:t>
            </w:r>
            <w:r w:rsidR="004B41A2" w:rsidRPr="00CA47B9">
              <w:t xml:space="preserve"> </w:t>
            </w:r>
            <w:r w:rsidRPr="00CA47B9">
              <w:t>of</w:t>
            </w:r>
            <w:r w:rsidR="004B41A2" w:rsidRPr="00CA47B9">
              <w:t xml:space="preserve"> </w:t>
            </w:r>
            <w:r w:rsidRPr="00CA47B9">
              <w:t>total</w:t>
            </w:r>
            <w:r w:rsidR="004B41A2" w:rsidRPr="00CA47B9">
              <w:t xml:space="preserve"> </w:t>
            </w:r>
            <w:r w:rsidRPr="00CA47B9">
              <w:t>employment</w:t>
            </w:r>
            <w:r w:rsidR="004B41A2" w:rsidRPr="00CA47B9">
              <w:t xml:space="preserve"> </w:t>
            </w:r>
            <w:r w:rsidRPr="00CA47B9">
              <w:t>numbers</w:t>
            </w:r>
            <w:r w:rsidR="004B41A2" w:rsidRPr="00CA47B9">
              <w:t xml:space="preserve"> </w:t>
            </w:r>
            <w:r w:rsidR="00855CA6">
              <w:t>are the</w:t>
            </w:r>
            <w:r w:rsidR="00855CA6" w:rsidRPr="00CA47B9">
              <w:t xml:space="preserve"> </w:t>
            </w:r>
            <w:r w:rsidR="00EF7EC7" w:rsidRPr="00CA47B9">
              <w:t>Human Health and Social Services along with</w:t>
            </w:r>
            <w:r w:rsidR="004B41A2" w:rsidRPr="00CA47B9">
              <w:t xml:space="preserve"> </w:t>
            </w:r>
            <w:r w:rsidRPr="00CA47B9">
              <w:t>the</w:t>
            </w:r>
            <w:r w:rsidR="004B41A2" w:rsidRPr="00CA47B9">
              <w:t xml:space="preserve"> </w:t>
            </w:r>
            <w:r w:rsidR="00EF7EC7" w:rsidRPr="00CA47B9">
              <w:t>W</w:t>
            </w:r>
            <w:r w:rsidRPr="00CA47B9">
              <w:t>holesale</w:t>
            </w:r>
            <w:r w:rsidR="004B41A2" w:rsidRPr="00CA47B9">
              <w:t xml:space="preserve"> </w:t>
            </w:r>
            <w:r w:rsidRPr="00CA47B9">
              <w:t>and</w:t>
            </w:r>
            <w:r w:rsidR="004B41A2" w:rsidRPr="00CA47B9">
              <w:t xml:space="preserve"> </w:t>
            </w:r>
            <w:r w:rsidR="00EF7EC7" w:rsidRPr="00CA47B9">
              <w:t>R</w:t>
            </w:r>
            <w:r w:rsidRPr="00CA47B9">
              <w:t>etail</w:t>
            </w:r>
            <w:r w:rsidR="004B41A2" w:rsidRPr="00CA47B9">
              <w:t xml:space="preserve"> </w:t>
            </w:r>
            <w:r w:rsidRPr="00CA47B9">
              <w:t>sector</w:t>
            </w:r>
            <w:r w:rsidR="00EF7EC7" w:rsidRPr="00CA47B9">
              <w:t>s</w:t>
            </w:r>
            <w:r w:rsidRPr="00CA47B9">
              <w:t>.</w:t>
            </w:r>
            <w:r w:rsidR="004B41A2" w:rsidRPr="00CA47B9">
              <w:t xml:space="preserve"> </w:t>
            </w:r>
            <w:r w:rsidRPr="00CA47B9">
              <w:t>In</w:t>
            </w:r>
            <w:r w:rsidR="004B41A2" w:rsidRPr="00CA47B9">
              <w:t xml:space="preserve"> </w:t>
            </w:r>
            <w:r w:rsidRPr="00CA47B9">
              <w:t>relative</w:t>
            </w:r>
            <w:r w:rsidR="004B41A2" w:rsidRPr="00CA47B9">
              <w:t xml:space="preserve"> </w:t>
            </w:r>
            <w:r w:rsidRPr="00CA47B9">
              <w:t>terms,</w:t>
            </w:r>
            <w:r w:rsidR="004B41A2" w:rsidRPr="00CA47B9">
              <w:t xml:space="preserve"> </w:t>
            </w:r>
            <w:r w:rsidRPr="00CA47B9">
              <w:t>key</w:t>
            </w:r>
            <w:r w:rsidR="004B41A2" w:rsidRPr="00CA47B9">
              <w:t xml:space="preserve"> </w:t>
            </w:r>
            <w:r w:rsidRPr="00CA47B9">
              <w:t>sectors</w:t>
            </w:r>
            <w:r w:rsidR="004B41A2" w:rsidRPr="00CA47B9">
              <w:t xml:space="preserve"> </w:t>
            </w:r>
            <w:r w:rsidRPr="00CA47B9">
              <w:t>of</w:t>
            </w:r>
            <w:r w:rsidR="004B41A2" w:rsidRPr="00CA47B9">
              <w:t xml:space="preserve"> </w:t>
            </w:r>
            <w:r w:rsidRPr="00CA47B9">
              <w:t>strength</w:t>
            </w:r>
            <w:r w:rsidR="004B41A2" w:rsidRPr="00CA47B9">
              <w:t xml:space="preserve"> </w:t>
            </w:r>
            <w:r w:rsidRPr="00CA47B9">
              <w:t>in</w:t>
            </w:r>
            <w:r w:rsidR="004B41A2" w:rsidRPr="00CA47B9">
              <w:t xml:space="preserve"> </w:t>
            </w:r>
            <w:r w:rsidRPr="00CA47B9">
              <w:t>Chichester</w:t>
            </w:r>
            <w:r w:rsidR="004B41A2" w:rsidRPr="00CA47B9">
              <w:t xml:space="preserve"> </w:t>
            </w:r>
            <w:r w:rsidRPr="00CA47B9">
              <w:t>are</w:t>
            </w:r>
            <w:r w:rsidR="004B41A2" w:rsidRPr="00CA47B9">
              <w:t xml:space="preserve"> </w:t>
            </w:r>
            <w:r w:rsidRPr="00CA47B9">
              <w:t>the</w:t>
            </w:r>
            <w:r w:rsidR="004B41A2" w:rsidRPr="00CA47B9">
              <w:t xml:space="preserve"> </w:t>
            </w:r>
            <w:r w:rsidRPr="00CA47B9">
              <w:t>agriculture,</w:t>
            </w:r>
            <w:r w:rsidR="004B41A2" w:rsidRPr="00CA47B9">
              <w:t xml:space="preserve"> </w:t>
            </w:r>
            <w:r w:rsidRPr="00CA47B9">
              <w:t>forestry</w:t>
            </w:r>
            <w:r w:rsidR="004B41A2" w:rsidRPr="00CA47B9">
              <w:t xml:space="preserve"> </w:t>
            </w:r>
            <w:r w:rsidRPr="00CA47B9">
              <w:t>&amp;</w:t>
            </w:r>
            <w:r w:rsidR="004B41A2" w:rsidRPr="00CA47B9">
              <w:t xml:space="preserve"> </w:t>
            </w:r>
            <w:r w:rsidRPr="00CA47B9">
              <w:t>fishing</w:t>
            </w:r>
            <w:r w:rsidR="004B41A2" w:rsidRPr="00CA47B9">
              <w:t xml:space="preserve"> </w:t>
            </w:r>
            <w:r w:rsidRPr="00CA47B9">
              <w:t>sector,</w:t>
            </w:r>
            <w:r w:rsidR="004B41A2" w:rsidRPr="00CA47B9">
              <w:t xml:space="preserve"> </w:t>
            </w:r>
            <w:r w:rsidRPr="00CA47B9">
              <w:t>accommodation</w:t>
            </w:r>
            <w:r w:rsidR="004B41A2" w:rsidRPr="00CA47B9">
              <w:t xml:space="preserve"> </w:t>
            </w:r>
            <w:r w:rsidRPr="00CA47B9">
              <w:t>and</w:t>
            </w:r>
            <w:r w:rsidR="004B41A2" w:rsidRPr="00CA47B9">
              <w:t xml:space="preserve"> </w:t>
            </w:r>
            <w:r w:rsidRPr="00CA47B9">
              <w:t>food</w:t>
            </w:r>
            <w:r w:rsidR="004B41A2" w:rsidRPr="00CA47B9">
              <w:t xml:space="preserve"> </w:t>
            </w:r>
            <w:r w:rsidRPr="00CA47B9">
              <w:t>service</w:t>
            </w:r>
            <w:r w:rsidR="004B41A2" w:rsidRPr="00CA47B9">
              <w:t xml:space="preserve"> </w:t>
            </w:r>
            <w:r w:rsidRPr="00CA47B9">
              <w:t>and</w:t>
            </w:r>
            <w:r w:rsidR="004B41A2" w:rsidRPr="00CA47B9">
              <w:t xml:space="preserve"> </w:t>
            </w:r>
            <w:r w:rsidRPr="00CA47B9">
              <w:t>real</w:t>
            </w:r>
            <w:r w:rsidR="004B41A2" w:rsidRPr="00CA47B9">
              <w:t xml:space="preserve"> </w:t>
            </w:r>
            <w:r w:rsidRPr="00CA47B9">
              <w:t>estate</w:t>
            </w:r>
            <w:r w:rsidR="004B41A2" w:rsidRPr="00CA47B9">
              <w:t xml:space="preserve"> </w:t>
            </w:r>
            <w:r w:rsidRPr="00CA47B9">
              <w:t>activities</w:t>
            </w:r>
            <w:r w:rsidR="004B41A2" w:rsidRPr="00CA47B9">
              <w:t xml:space="preserve"> </w:t>
            </w:r>
            <w:r w:rsidRPr="00CA47B9">
              <w:t>sectors.</w:t>
            </w:r>
          </w:p>
          <w:p w:rsidR="00174FB2" w:rsidRPr="00CA47B9" w:rsidRDefault="00174FB2" w:rsidP="00F9748F">
            <w:pPr>
              <w:rPr>
                <w:color w:val="auto"/>
              </w:rPr>
            </w:pPr>
          </w:p>
          <w:p w:rsidR="00174FB2" w:rsidRPr="00CA47B9" w:rsidRDefault="00174FB2" w:rsidP="00A54ECA">
            <w:pPr>
              <w:pStyle w:val="ListParagraph"/>
            </w:pPr>
            <w:r w:rsidRPr="00CA47B9">
              <w:t>The</w:t>
            </w:r>
            <w:r w:rsidR="004B41A2" w:rsidRPr="00CA47B9">
              <w:t xml:space="preserve"> </w:t>
            </w:r>
            <w:r w:rsidRPr="00CA47B9">
              <w:t>vast</w:t>
            </w:r>
            <w:r w:rsidR="004B41A2" w:rsidRPr="00CA47B9">
              <w:t xml:space="preserve"> </w:t>
            </w:r>
            <w:r w:rsidRPr="00CA47B9">
              <w:t>majority</w:t>
            </w:r>
            <w:r w:rsidR="004B41A2" w:rsidRPr="00CA47B9">
              <w:t xml:space="preserve"> </w:t>
            </w:r>
            <w:r w:rsidRPr="00CA47B9">
              <w:t>of</w:t>
            </w:r>
            <w:r w:rsidR="004B41A2" w:rsidRPr="00CA47B9">
              <w:t xml:space="preserve"> </w:t>
            </w:r>
            <w:r w:rsidRPr="00CA47B9">
              <w:t>the</w:t>
            </w:r>
            <w:r w:rsidR="004B41A2" w:rsidRPr="00CA47B9">
              <w:t xml:space="preserve"> </w:t>
            </w:r>
            <w:r w:rsidRPr="00CA47B9">
              <w:t>enterprises</w:t>
            </w:r>
            <w:r w:rsidR="004B41A2" w:rsidRPr="00CA47B9">
              <w:t xml:space="preserve"> </w:t>
            </w:r>
            <w:r w:rsidRPr="00CA47B9">
              <w:t>based</w:t>
            </w:r>
            <w:r w:rsidR="004B41A2" w:rsidRPr="00CA47B9">
              <w:t xml:space="preserve"> </w:t>
            </w:r>
            <w:r w:rsidRPr="00CA47B9">
              <w:t>in</w:t>
            </w:r>
            <w:r w:rsidR="004B41A2" w:rsidRPr="00CA47B9">
              <w:t xml:space="preserve"> </w:t>
            </w:r>
            <w:r w:rsidRPr="00CA47B9">
              <w:t>the</w:t>
            </w:r>
            <w:r w:rsidR="004B41A2" w:rsidRPr="00CA47B9">
              <w:t xml:space="preserve"> </w:t>
            </w:r>
            <w:r w:rsidRPr="00CA47B9">
              <w:t>district</w:t>
            </w:r>
            <w:r w:rsidR="004B41A2" w:rsidRPr="00CA47B9">
              <w:t xml:space="preserve"> </w:t>
            </w:r>
            <w:r w:rsidRPr="00CA47B9">
              <w:t>are</w:t>
            </w:r>
            <w:r w:rsidR="004B41A2" w:rsidRPr="00CA47B9">
              <w:t xml:space="preserve"> </w:t>
            </w:r>
            <w:r w:rsidR="00855CA6" w:rsidRPr="00CA47B9">
              <w:t>micro</w:t>
            </w:r>
            <w:r w:rsidR="00855CA6">
              <w:t>-</w:t>
            </w:r>
            <w:r w:rsidRPr="00CA47B9">
              <w:t>businesses:</w:t>
            </w:r>
            <w:r w:rsidR="004B41A2" w:rsidRPr="00CA47B9">
              <w:t xml:space="preserve"> </w:t>
            </w:r>
            <w:r w:rsidRPr="00CA47B9">
              <w:t>that</w:t>
            </w:r>
            <w:r w:rsidR="004B41A2" w:rsidRPr="00CA47B9">
              <w:t xml:space="preserve"> </w:t>
            </w:r>
            <w:r w:rsidRPr="00CA47B9">
              <w:t>is</w:t>
            </w:r>
            <w:r w:rsidR="004B41A2" w:rsidRPr="00CA47B9">
              <w:t xml:space="preserve"> </w:t>
            </w:r>
            <w:r w:rsidRPr="00CA47B9">
              <w:t>they</w:t>
            </w:r>
            <w:r w:rsidR="004B41A2" w:rsidRPr="00CA47B9">
              <w:t xml:space="preserve"> </w:t>
            </w:r>
            <w:r w:rsidRPr="00CA47B9">
              <w:t>employ</w:t>
            </w:r>
            <w:r w:rsidR="004B41A2" w:rsidRPr="00CA47B9">
              <w:t xml:space="preserve"> </w:t>
            </w:r>
            <w:r w:rsidRPr="00CA47B9">
              <w:t>fewer</w:t>
            </w:r>
            <w:r w:rsidR="004B41A2" w:rsidRPr="00CA47B9">
              <w:t xml:space="preserve"> </w:t>
            </w:r>
            <w:r w:rsidRPr="00CA47B9">
              <w:t>than</w:t>
            </w:r>
            <w:r w:rsidR="004B41A2" w:rsidRPr="00CA47B9">
              <w:t xml:space="preserve"> </w:t>
            </w:r>
            <w:r w:rsidRPr="00CA47B9">
              <w:t>10</w:t>
            </w:r>
            <w:r w:rsidR="004B41A2" w:rsidRPr="00CA47B9">
              <w:t xml:space="preserve"> </w:t>
            </w:r>
            <w:r w:rsidRPr="00CA47B9">
              <w:t>people.</w:t>
            </w:r>
            <w:r w:rsidR="004B41A2" w:rsidRPr="00CA47B9">
              <w:t xml:space="preserve"> </w:t>
            </w:r>
            <w:r w:rsidRPr="00CA47B9">
              <w:t>This</w:t>
            </w:r>
            <w:r w:rsidR="004B41A2" w:rsidRPr="00CA47B9">
              <w:t xml:space="preserve"> </w:t>
            </w:r>
            <w:r w:rsidRPr="00CA47B9">
              <w:t>group</w:t>
            </w:r>
            <w:r w:rsidR="004B41A2" w:rsidRPr="00CA47B9">
              <w:t xml:space="preserve"> </w:t>
            </w:r>
            <w:r w:rsidRPr="00CA47B9">
              <w:t>includes</w:t>
            </w:r>
            <w:r w:rsidR="004B41A2" w:rsidRPr="00CA47B9">
              <w:t xml:space="preserve"> </w:t>
            </w:r>
            <w:r w:rsidRPr="00CA47B9">
              <w:t>a</w:t>
            </w:r>
            <w:r w:rsidR="004B41A2" w:rsidRPr="00CA47B9">
              <w:t xml:space="preserve"> </w:t>
            </w:r>
            <w:r w:rsidRPr="00CA47B9">
              <w:t>high</w:t>
            </w:r>
            <w:r w:rsidR="004B41A2" w:rsidRPr="00CA47B9">
              <w:t xml:space="preserve"> </w:t>
            </w:r>
            <w:r w:rsidRPr="00CA47B9">
              <w:t>percentage</w:t>
            </w:r>
            <w:r w:rsidR="004B41A2" w:rsidRPr="00CA47B9">
              <w:t xml:space="preserve"> </w:t>
            </w:r>
            <w:r w:rsidRPr="00CA47B9">
              <w:t>of</w:t>
            </w:r>
            <w:r w:rsidR="004B41A2" w:rsidRPr="00CA47B9">
              <w:t xml:space="preserve"> </w:t>
            </w:r>
            <w:r w:rsidRPr="00CA47B9">
              <w:t>self-employed</w:t>
            </w:r>
            <w:r w:rsidR="004B41A2" w:rsidRPr="00CA47B9">
              <w:t xml:space="preserve"> </w:t>
            </w:r>
            <w:r w:rsidRPr="00CA47B9">
              <w:t>and</w:t>
            </w:r>
            <w:r w:rsidR="004B41A2" w:rsidRPr="00CA47B9">
              <w:t xml:space="preserve"> </w:t>
            </w:r>
            <w:r w:rsidRPr="00CA47B9">
              <w:t>sole-traders.</w:t>
            </w:r>
            <w:r w:rsidR="004B41A2" w:rsidRPr="00CA47B9">
              <w:t xml:space="preserve"> </w:t>
            </w:r>
            <w:r w:rsidR="00EF7EC7" w:rsidRPr="00CA47B9">
              <w:t>Chichester district has relatively high employment and economic activity rate compared to the region.</w:t>
            </w:r>
            <w:r w:rsidR="004B41A2" w:rsidRPr="00CA47B9">
              <w:t xml:space="preserve"> </w:t>
            </w:r>
          </w:p>
          <w:p w:rsidR="00174FB2" w:rsidRPr="00CA47B9" w:rsidRDefault="00174FB2" w:rsidP="00F9748F">
            <w:pPr>
              <w:rPr>
                <w:color w:val="auto"/>
              </w:rPr>
            </w:pPr>
          </w:p>
          <w:p w:rsidR="00174FB2" w:rsidRPr="00CA47B9" w:rsidRDefault="00174FB2" w:rsidP="00A54ECA">
            <w:pPr>
              <w:pStyle w:val="ListParagraph"/>
            </w:pPr>
            <w:r w:rsidRPr="00CA47B9">
              <w:t>Unemployment</w:t>
            </w:r>
            <w:r w:rsidR="004B41A2" w:rsidRPr="00CA47B9">
              <w:t xml:space="preserve"> </w:t>
            </w:r>
            <w:r w:rsidRPr="00CA47B9">
              <w:t>in</w:t>
            </w:r>
            <w:r w:rsidR="004B41A2" w:rsidRPr="00CA47B9">
              <w:t xml:space="preserve"> </w:t>
            </w:r>
            <w:r w:rsidRPr="00CA47B9">
              <w:t>the</w:t>
            </w:r>
            <w:r w:rsidR="004B41A2" w:rsidRPr="00CA47B9">
              <w:t xml:space="preserve"> </w:t>
            </w:r>
            <w:r w:rsidRPr="00CA47B9">
              <w:t>district,</w:t>
            </w:r>
            <w:r w:rsidR="004B41A2" w:rsidRPr="00CA47B9">
              <w:t xml:space="preserve"> </w:t>
            </w:r>
            <w:r w:rsidRPr="00CA47B9">
              <w:t>recorded</w:t>
            </w:r>
            <w:r w:rsidR="004B41A2" w:rsidRPr="00CA47B9">
              <w:t xml:space="preserve"> </w:t>
            </w:r>
            <w:r w:rsidRPr="00CA47B9">
              <w:t>at</w:t>
            </w:r>
            <w:r w:rsidR="004B41A2" w:rsidRPr="00CA47B9">
              <w:t xml:space="preserve"> </w:t>
            </w:r>
            <w:r w:rsidR="00EF7EC7" w:rsidRPr="00CA47B9">
              <w:t>3.7</w:t>
            </w:r>
            <w:r w:rsidRPr="00CA47B9">
              <w:t>%</w:t>
            </w:r>
            <w:r w:rsidR="004B41A2" w:rsidRPr="00CA47B9">
              <w:t xml:space="preserve"> </w:t>
            </w:r>
            <w:r w:rsidRPr="00CA47B9">
              <w:t>by</w:t>
            </w:r>
            <w:r w:rsidR="004B41A2" w:rsidRPr="00CA47B9">
              <w:t xml:space="preserve"> </w:t>
            </w:r>
            <w:r w:rsidRPr="00CA47B9">
              <w:t>the</w:t>
            </w:r>
            <w:r w:rsidR="004B41A2" w:rsidRPr="00CA47B9">
              <w:t xml:space="preserve"> </w:t>
            </w:r>
            <w:r w:rsidRPr="00CA47B9">
              <w:t>Annual</w:t>
            </w:r>
            <w:r w:rsidR="004B41A2" w:rsidRPr="00CA47B9">
              <w:t xml:space="preserve"> </w:t>
            </w:r>
            <w:r w:rsidRPr="00CA47B9">
              <w:t>Population</w:t>
            </w:r>
            <w:r w:rsidR="004B41A2" w:rsidRPr="00CA47B9">
              <w:t xml:space="preserve"> </w:t>
            </w:r>
            <w:r w:rsidRPr="00CA47B9">
              <w:t>Survey,</w:t>
            </w:r>
            <w:r w:rsidR="004B41A2" w:rsidRPr="00CA47B9">
              <w:t xml:space="preserve"> </w:t>
            </w:r>
            <w:r w:rsidRPr="00CA47B9">
              <w:t>is</w:t>
            </w:r>
            <w:r w:rsidR="004B41A2" w:rsidRPr="00CA47B9">
              <w:t xml:space="preserve"> </w:t>
            </w:r>
            <w:r w:rsidRPr="00CA47B9">
              <w:t>below</w:t>
            </w:r>
            <w:r w:rsidR="004B41A2" w:rsidRPr="00CA47B9">
              <w:t xml:space="preserve"> </w:t>
            </w:r>
            <w:r w:rsidRPr="00CA47B9">
              <w:t>that</w:t>
            </w:r>
            <w:r w:rsidR="004B41A2" w:rsidRPr="00CA47B9">
              <w:t xml:space="preserve"> </w:t>
            </w:r>
            <w:r w:rsidRPr="00CA47B9">
              <w:t>in</w:t>
            </w:r>
            <w:r w:rsidR="004B41A2" w:rsidRPr="00CA47B9">
              <w:t xml:space="preserve"> </w:t>
            </w:r>
            <w:r w:rsidRPr="00CA47B9">
              <w:t>most</w:t>
            </w:r>
            <w:r w:rsidR="004B41A2" w:rsidRPr="00CA47B9">
              <w:t xml:space="preserve"> </w:t>
            </w:r>
            <w:r w:rsidRPr="00CA47B9">
              <w:t>of</w:t>
            </w:r>
            <w:r w:rsidR="004B41A2" w:rsidRPr="00CA47B9">
              <w:t xml:space="preserve"> </w:t>
            </w:r>
            <w:r w:rsidRPr="00CA47B9">
              <w:t>the</w:t>
            </w:r>
            <w:r w:rsidR="004B41A2" w:rsidRPr="00CA47B9">
              <w:t xml:space="preserve"> </w:t>
            </w:r>
            <w:r w:rsidRPr="00CA47B9">
              <w:t>comparator</w:t>
            </w:r>
            <w:r w:rsidR="004B41A2" w:rsidRPr="00CA47B9">
              <w:t xml:space="preserve"> </w:t>
            </w:r>
            <w:r w:rsidRPr="00CA47B9">
              <w:t>geographies</w:t>
            </w:r>
            <w:r w:rsidR="004B41A2" w:rsidRPr="00CA47B9">
              <w:t xml:space="preserve"> </w:t>
            </w:r>
            <w:r w:rsidRPr="00CA47B9">
              <w:t>considered.</w:t>
            </w:r>
            <w:r w:rsidR="004B41A2" w:rsidRPr="00CA47B9">
              <w:t xml:space="preserve"> </w:t>
            </w:r>
            <w:r w:rsidRPr="00CA47B9">
              <w:t>The</w:t>
            </w:r>
            <w:r w:rsidR="004B41A2" w:rsidRPr="00CA47B9">
              <w:t xml:space="preserve"> </w:t>
            </w:r>
            <w:r w:rsidRPr="00CA47B9">
              <w:t>England</w:t>
            </w:r>
            <w:r w:rsidR="004B41A2" w:rsidRPr="00CA47B9">
              <w:t xml:space="preserve"> </w:t>
            </w:r>
            <w:r w:rsidRPr="00CA47B9">
              <w:t>average</w:t>
            </w:r>
            <w:r w:rsidR="004B41A2" w:rsidRPr="00CA47B9">
              <w:t xml:space="preserve"> </w:t>
            </w:r>
            <w:r w:rsidRPr="00CA47B9">
              <w:t>is</w:t>
            </w:r>
            <w:r w:rsidR="004B41A2" w:rsidRPr="00CA47B9">
              <w:t xml:space="preserve"> </w:t>
            </w:r>
            <w:r w:rsidR="00EF7EC7" w:rsidRPr="00CA47B9">
              <w:t>4.2</w:t>
            </w:r>
            <w:r w:rsidRPr="00CA47B9">
              <w:t>%.</w:t>
            </w:r>
            <w:r w:rsidR="004B41A2" w:rsidRPr="00CA47B9">
              <w:t xml:space="preserve"> </w:t>
            </w:r>
          </w:p>
          <w:p w:rsidR="00174FB2" w:rsidRPr="00CA47B9" w:rsidRDefault="00174FB2" w:rsidP="00F9748F">
            <w:pPr>
              <w:rPr>
                <w:color w:val="auto"/>
              </w:rPr>
            </w:pPr>
          </w:p>
          <w:p w:rsidR="00174FB2" w:rsidRPr="00CA47B9" w:rsidRDefault="00BF7EAD" w:rsidP="00A54ECA">
            <w:pPr>
              <w:pStyle w:val="ListParagraph"/>
            </w:pPr>
            <w:r w:rsidRPr="00CA47B9">
              <w:t>Those working full-time in the district typically earn around £2,800 less than those who reside in the district.</w:t>
            </w:r>
            <w:r w:rsidR="004B41A2" w:rsidRPr="00CA47B9">
              <w:t xml:space="preserve"> </w:t>
            </w:r>
            <w:r w:rsidR="00174FB2" w:rsidRPr="00CA47B9">
              <w:t>This</w:t>
            </w:r>
            <w:r w:rsidR="004B41A2" w:rsidRPr="00CA47B9">
              <w:t xml:space="preserve"> </w:t>
            </w:r>
            <w:r w:rsidR="00174FB2" w:rsidRPr="00CA47B9">
              <w:t>is</w:t>
            </w:r>
            <w:r w:rsidR="004B41A2" w:rsidRPr="00CA47B9">
              <w:t xml:space="preserve"> </w:t>
            </w:r>
            <w:r w:rsidR="00174FB2" w:rsidRPr="00CA47B9">
              <w:t>indicative</w:t>
            </w:r>
            <w:r w:rsidR="004B41A2" w:rsidRPr="00CA47B9">
              <w:t xml:space="preserve"> </w:t>
            </w:r>
            <w:r w:rsidR="00174FB2" w:rsidRPr="00CA47B9">
              <w:t>of</w:t>
            </w:r>
            <w:r w:rsidR="004B41A2" w:rsidRPr="00CA47B9">
              <w:t xml:space="preserve"> </w:t>
            </w:r>
            <w:r w:rsidR="00174FB2" w:rsidRPr="00CA47B9">
              <w:t>a</w:t>
            </w:r>
            <w:r w:rsidR="004B41A2" w:rsidRPr="00CA47B9">
              <w:t xml:space="preserve"> </w:t>
            </w:r>
            <w:r w:rsidR="00174FB2" w:rsidRPr="00CA47B9">
              <w:t>notable</w:t>
            </w:r>
            <w:r w:rsidR="004B41A2" w:rsidRPr="00CA47B9">
              <w:t xml:space="preserve"> </w:t>
            </w:r>
            <w:r w:rsidR="00174FB2" w:rsidRPr="00CA47B9">
              <w:t>number</w:t>
            </w:r>
            <w:r w:rsidR="004B41A2" w:rsidRPr="00CA47B9">
              <w:t xml:space="preserve"> </w:t>
            </w:r>
            <w:r w:rsidR="00174FB2" w:rsidRPr="00CA47B9">
              <w:t>of</w:t>
            </w:r>
            <w:r w:rsidR="004B41A2" w:rsidRPr="00CA47B9">
              <w:t xml:space="preserve"> </w:t>
            </w:r>
            <w:r w:rsidR="00174FB2" w:rsidRPr="00CA47B9">
              <w:t>higher-earning</w:t>
            </w:r>
            <w:r w:rsidR="004B41A2" w:rsidRPr="00CA47B9">
              <w:t xml:space="preserve"> </w:t>
            </w:r>
            <w:r w:rsidR="00174FB2" w:rsidRPr="00CA47B9">
              <w:t>residents</w:t>
            </w:r>
            <w:r w:rsidR="004B41A2" w:rsidRPr="00CA47B9">
              <w:t xml:space="preserve"> </w:t>
            </w:r>
            <w:r w:rsidR="00174FB2" w:rsidRPr="00CA47B9">
              <w:t>commuting</w:t>
            </w:r>
            <w:r w:rsidR="004B41A2" w:rsidRPr="00CA47B9">
              <w:t xml:space="preserve"> </w:t>
            </w:r>
            <w:r w:rsidR="00174FB2" w:rsidRPr="00CA47B9">
              <w:t>out</w:t>
            </w:r>
            <w:r w:rsidR="004B41A2" w:rsidRPr="00CA47B9">
              <w:t xml:space="preserve"> </w:t>
            </w:r>
            <w:r w:rsidR="00174FB2" w:rsidRPr="00CA47B9">
              <w:t>of</w:t>
            </w:r>
            <w:r w:rsidR="004B41A2" w:rsidRPr="00CA47B9">
              <w:t xml:space="preserve"> </w:t>
            </w:r>
            <w:r w:rsidR="00174FB2" w:rsidRPr="00CA47B9">
              <w:t>the</w:t>
            </w:r>
            <w:r w:rsidR="004B41A2" w:rsidRPr="00CA47B9">
              <w:t xml:space="preserve"> </w:t>
            </w:r>
            <w:r w:rsidR="00174FB2" w:rsidRPr="00CA47B9">
              <w:t>area</w:t>
            </w:r>
            <w:r w:rsidR="004B41A2" w:rsidRPr="00CA47B9">
              <w:t xml:space="preserve"> </w:t>
            </w:r>
            <w:r w:rsidR="00174FB2" w:rsidRPr="00CA47B9">
              <w:t>to</w:t>
            </w:r>
            <w:r w:rsidR="004B41A2" w:rsidRPr="00CA47B9">
              <w:t xml:space="preserve"> </w:t>
            </w:r>
            <w:r w:rsidR="00174FB2" w:rsidRPr="00CA47B9">
              <w:t>higher</w:t>
            </w:r>
            <w:r w:rsidR="004B41A2" w:rsidRPr="00CA47B9">
              <w:t xml:space="preserve"> </w:t>
            </w:r>
            <w:r w:rsidR="00174FB2" w:rsidRPr="00CA47B9">
              <w:t>paid</w:t>
            </w:r>
            <w:r w:rsidR="004B41A2" w:rsidRPr="00CA47B9">
              <w:t xml:space="preserve"> </w:t>
            </w:r>
            <w:r w:rsidR="00174FB2" w:rsidRPr="00CA47B9">
              <w:t>jobs</w:t>
            </w:r>
            <w:r w:rsidR="004B41A2" w:rsidRPr="00CA47B9">
              <w:t xml:space="preserve"> </w:t>
            </w:r>
            <w:r w:rsidR="00174FB2" w:rsidRPr="00CA47B9">
              <w:t>in</w:t>
            </w:r>
            <w:r w:rsidR="004B41A2" w:rsidRPr="00CA47B9">
              <w:t xml:space="preserve"> </w:t>
            </w:r>
            <w:r w:rsidR="00174FB2" w:rsidRPr="00CA47B9">
              <w:t>surrounding</w:t>
            </w:r>
            <w:r w:rsidR="004B41A2" w:rsidRPr="00CA47B9">
              <w:t xml:space="preserve"> </w:t>
            </w:r>
            <w:r w:rsidR="00174FB2" w:rsidRPr="00CA47B9">
              <w:t>areas.</w:t>
            </w:r>
          </w:p>
          <w:p w:rsidR="00327636" w:rsidRPr="00CA47B9" w:rsidRDefault="00327636" w:rsidP="00CF79F7">
            <w:pPr>
              <w:rPr>
                <w:rFonts w:asciiTheme="minorHAnsi" w:hAnsiTheme="minorHAnsi" w:cstheme="minorHAnsi"/>
                <w:color w:val="auto"/>
              </w:rPr>
            </w:pPr>
          </w:p>
        </w:tc>
      </w:tr>
    </w:tbl>
    <w:p w:rsidR="00B0298E" w:rsidRPr="00CA47B9" w:rsidRDefault="00B0298E" w:rsidP="00ED1C06">
      <w:pPr>
        <w:pStyle w:val="11Bodytext"/>
        <w:numPr>
          <w:ilvl w:val="0"/>
          <w:numId w:val="0"/>
        </w:numPr>
      </w:pPr>
    </w:p>
    <w:p w:rsidR="00B0298E" w:rsidRPr="00CA47B9" w:rsidRDefault="00B0298E" w:rsidP="00B0298E">
      <w:pPr>
        <w:spacing w:after="200"/>
        <w:rPr>
          <w:rFonts w:asciiTheme="minorHAnsi" w:hAnsiTheme="minorHAnsi" w:cstheme="minorHAnsi"/>
          <w:b/>
          <w:bCs/>
          <w:caps/>
          <w:color w:val="auto"/>
        </w:rPr>
      </w:pPr>
      <w:r w:rsidRPr="00CA47B9">
        <w:rPr>
          <w:rFonts w:asciiTheme="minorHAnsi" w:hAnsiTheme="minorHAnsi" w:cstheme="minorHAnsi"/>
          <w:color w:val="auto"/>
        </w:rPr>
        <w:br w:type="page"/>
      </w:r>
    </w:p>
    <w:p w:rsidR="00B0298E" w:rsidRPr="00CA47B9" w:rsidRDefault="00B0298E" w:rsidP="003C7491">
      <w:pPr>
        <w:pStyle w:val="1Bodytext"/>
        <w:tabs>
          <w:tab w:val="clear" w:pos="794"/>
          <w:tab w:val="num" w:pos="567"/>
        </w:tabs>
        <w:spacing w:after="120" w:line="360" w:lineRule="auto"/>
        <w:ind w:left="567" w:hanging="567"/>
        <w:rPr>
          <w:rFonts w:asciiTheme="minorHAnsi" w:hAnsiTheme="minorHAnsi" w:cstheme="minorHAnsi"/>
        </w:rPr>
      </w:pPr>
      <w:bookmarkStart w:id="105" w:name="_Toc472344860"/>
      <w:bookmarkStart w:id="106" w:name="_Toc485718379"/>
      <w:bookmarkStart w:id="107" w:name="_Toc51600012"/>
      <w:r w:rsidRPr="00CA47B9">
        <w:rPr>
          <w:rFonts w:asciiTheme="minorHAnsi" w:hAnsiTheme="minorHAnsi" w:cstheme="minorHAnsi"/>
        </w:rPr>
        <w:lastRenderedPageBreak/>
        <w:t>Employment</w:t>
      </w:r>
      <w:r w:rsidR="004B41A2" w:rsidRPr="00CA47B9">
        <w:rPr>
          <w:rFonts w:asciiTheme="minorHAnsi" w:hAnsiTheme="minorHAnsi" w:cstheme="minorHAnsi"/>
        </w:rPr>
        <w:t xml:space="preserve"> </w:t>
      </w:r>
      <w:r w:rsidRPr="00CA47B9">
        <w:rPr>
          <w:rFonts w:asciiTheme="minorHAnsi" w:hAnsiTheme="minorHAnsi" w:cstheme="minorHAnsi"/>
        </w:rPr>
        <w:t>Forecasts</w:t>
      </w:r>
      <w:bookmarkEnd w:id="105"/>
      <w:bookmarkEnd w:id="106"/>
      <w:bookmarkEnd w:id="107"/>
    </w:p>
    <w:p w:rsidR="00B0298E" w:rsidRPr="00CA47B9" w:rsidRDefault="00B0298E" w:rsidP="00020CFC">
      <w:pPr>
        <w:pStyle w:val="11Bodytext"/>
        <w:tabs>
          <w:tab w:val="clear" w:pos="2212"/>
          <w:tab w:val="num" w:pos="567"/>
        </w:tabs>
        <w:ind w:left="567" w:hanging="567"/>
      </w:pPr>
      <w:r w:rsidRPr="00CA47B9">
        <w:t>Oxford</w:t>
      </w:r>
      <w:r w:rsidR="004B41A2" w:rsidRPr="00CA47B9">
        <w:t xml:space="preserve"> </w:t>
      </w:r>
      <w:r w:rsidRPr="00CA47B9">
        <w:t>Economics</w:t>
      </w:r>
      <w:r w:rsidR="004B41A2" w:rsidRPr="00CA47B9">
        <w:t xml:space="preserve"> </w:t>
      </w:r>
      <w:r w:rsidRPr="00CA47B9">
        <w:t>(OE)</w:t>
      </w:r>
      <w:r w:rsidR="004B41A2" w:rsidRPr="00CA47B9">
        <w:t xml:space="preserve"> </w:t>
      </w:r>
      <w:r w:rsidRPr="00CA47B9">
        <w:t>was</w:t>
      </w:r>
      <w:r w:rsidR="004B41A2" w:rsidRPr="00CA47B9">
        <w:t xml:space="preserve"> </w:t>
      </w:r>
      <w:r w:rsidRPr="00CA47B9">
        <w:t>commissioned</w:t>
      </w:r>
      <w:r w:rsidR="004B41A2" w:rsidRPr="00CA47B9">
        <w:t xml:space="preserve"> </w:t>
      </w:r>
      <w:r w:rsidRPr="00CA47B9">
        <w:t>by</w:t>
      </w:r>
      <w:r w:rsidR="004B41A2" w:rsidRPr="00CA47B9">
        <w:t xml:space="preserve"> </w:t>
      </w:r>
      <w:r w:rsidRPr="00CA47B9">
        <w:t>GL</w:t>
      </w:r>
      <w:r w:rsidR="004B41A2" w:rsidRPr="00CA47B9">
        <w:t xml:space="preserve"> </w:t>
      </w:r>
      <w:r w:rsidRPr="00CA47B9">
        <w:t>Hearn</w:t>
      </w:r>
      <w:r w:rsidR="004B41A2" w:rsidRPr="00CA47B9">
        <w:t xml:space="preserve"> </w:t>
      </w:r>
      <w:r w:rsidRPr="00CA47B9">
        <w:t>to</w:t>
      </w:r>
      <w:r w:rsidR="004B41A2" w:rsidRPr="00CA47B9">
        <w:t xml:space="preserve"> </w:t>
      </w:r>
      <w:r w:rsidRPr="00CA47B9">
        <w:t>provide</w:t>
      </w:r>
      <w:r w:rsidR="004B41A2" w:rsidRPr="00CA47B9">
        <w:t xml:space="preserve"> </w:t>
      </w:r>
      <w:r w:rsidRPr="00CA47B9">
        <w:t>baseline</w:t>
      </w:r>
      <w:r w:rsidR="004B41A2" w:rsidRPr="00CA47B9">
        <w:t xml:space="preserve"> </w:t>
      </w:r>
      <w:r w:rsidR="00CA47B9" w:rsidRPr="00CA47B9">
        <w:t>demand-based</w:t>
      </w:r>
      <w:r w:rsidR="004B41A2" w:rsidRPr="00CA47B9">
        <w:t xml:space="preserve"> </w:t>
      </w:r>
      <w:r w:rsidRPr="00CA47B9">
        <w:t>forecasts</w:t>
      </w:r>
      <w:r w:rsidR="004B41A2" w:rsidRPr="00CA47B9">
        <w:t xml:space="preserve"> </w:t>
      </w:r>
      <w:r w:rsidRPr="00CA47B9">
        <w:t>for</w:t>
      </w:r>
      <w:r w:rsidR="004B41A2" w:rsidRPr="00CA47B9">
        <w:t xml:space="preserve"> </w:t>
      </w:r>
      <w:r w:rsidRPr="00CA47B9">
        <w:t>the</w:t>
      </w:r>
      <w:r w:rsidR="004B41A2" w:rsidRPr="00CA47B9">
        <w:t xml:space="preserve"> </w:t>
      </w:r>
      <w:r w:rsidRPr="00CA47B9">
        <w:t>HEDNA.</w:t>
      </w:r>
      <w:r w:rsidR="004B41A2" w:rsidRPr="00CA47B9">
        <w:t xml:space="preserve"> </w:t>
      </w:r>
      <w:r w:rsidRPr="00CA47B9">
        <w:t>The</w:t>
      </w:r>
      <w:r w:rsidR="004B41A2" w:rsidRPr="00CA47B9">
        <w:t xml:space="preserve"> </w:t>
      </w:r>
      <w:r w:rsidRPr="00CA47B9">
        <w:t>OE</w:t>
      </w:r>
      <w:r w:rsidR="004B41A2" w:rsidRPr="00CA47B9">
        <w:t xml:space="preserve"> </w:t>
      </w:r>
      <w:r w:rsidRPr="00CA47B9">
        <w:t>forecast</w:t>
      </w:r>
      <w:r w:rsidR="004B41A2" w:rsidRPr="00CA47B9">
        <w:t xml:space="preserve"> </w:t>
      </w:r>
      <w:r w:rsidRPr="00CA47B9">
        <w:t>is</w:t>
      </w:r>
      <w:r w:rsidR="004B41A2" w:rsidRPr="00CA47B9">
        <w:t xml:space="preserve"> </w:t>
      </w:r>
      <w:r w:rsidRPr="00CA47B9">
        <w:t>dated</w:t>
      </w:r>
      <w:r w:rsidR="004B41A2" w:rsidRPr="00CA47B9">
        <w:t xml:space="preserve"> </w:t>
      </w:r>
      <w:r w:rsidR="00B912AD" w:rsidRPr="00CA47B9">
        <w:t>August 2019</w:t>
      </w:r>
      <w:r w:rsidRPr="00CA47B9">
        <w:t>.</w:t>
      </w:r>
      <w:r w:rsidR="004B41A2" w:rsidRPr="00CA47B9">
        <w:t xml:space="preserve"> </w:t>
      </w:r>
    </w:p>
    <w:p w:rsidR="00B0298E" w:rsidRPr="00CA47B9" w:rsidRDefault="00B0298E" w:rsidP="00020CFC">
      <w:pPr>
        <w:pStyle w:val="11Bodytext"/>
        <w:tabs>
          <w:tab w:val="clear" w:pos="2212"/>
          <w:tab w:val="num" w:pos="567"/>
        </w:tabs>
        <w:ind w:left="567" w:hanging="567"/>
      </w:pPr>
      <w:r w:rsidRPr="00CA47B9">
        <w:t>The</w:t>
      </w:r>
      <w:r w:rsidR="004B41A2" w:rsidRPr="00CA47B9">
        <w:t xml:space="preserve"> </w:t>
      </w:r>
      <w:r w:rsidRPr="00CA47B9">
        <w:t>baseline</w:t>
      </w:r>
      <w:r w:rsidR="004B41A2" w:rsidRPr="00CA47B9">
        <w:t xml:space="preserve"> </w:t>
      </w:r>
      <w:r w:rsidRPr="00CA47B9">
        <w:t>model</w:t>
      </w:r>
      <w:r w:rsidR="004B41A2" w:rsidRPr="00CA47B9">
        <w:t xml:space="preserve"> </w:t>
      </w:r>
      <w:r w:rsidRPr="00CA47B9">
        <w:t>is</w:t>
      </w:r>
      <w:r w:rsidR="004B41A2" w:rsidRPr="00CA47B9">
        <w:t xml:space="preserve"> </w:t>
      </w:r>
      <w:r w:rsidRPr="00CA47B9">
        <w:t>the</w:t>
      </w:r>
      <w:r w:rsidR="004B41A2" w:rsidRPr="00CA47B9">
        <w:t xml:space="preserve"> </w:t>
      </w:r>
      <w:r w:rsidRPr="00CA47B9">
        <w:t>lowest</w:t>
      </w:r>
      <w:r w:rsidR="004B41A2" w:rsidRPr="00CA47B9">
        <w:t xml:space="preserve"> </w:t>
      </w:r>
      <w:r w:rsidRPr="00CA47B9">
        <w:t>hierarchical</w:t>
      </w:r>
      <w:r w:rsidR="004B41A2" w:rsidRPr="00CA47B9">
        <w:t xml:space="preserve"> </w:t>
      </w:r>
      <w:r w:rsidRPr="00CA47B9">
        <w:t>level</w:t>
      </w:r>
      <w:r w:rsidR="004B41A2" w:rsidRPr="00CA47B9">
        <w:t xml:space="preserve"> </w:t>
      </w:r>
      <w:r w:rsidRPr="00CA47B9">
        <w:t>of</w:t>
      </w:r>
      <w:r w:rsidR="004B41A2" w:rsidRPr="00CA47B9">
        <w:t xml:space="preserve"> </w:t>
      </w:r>
      <w:r w:rsidRPr="00CA47B9">
        <w:t>the</w:t>
      </w:r>
      <w:r w:rsidR="004B41A2" w:rsidRPr="00CA47B9">
        <w:t xml:space="preserve"> </w:t>
      </w:r>
      <w:r w:rsidRPr="00CA47B9">
        <w:t>OE</w:t>
      </w:r>
      <w:r w:rsidR="004B41A2" w:rsidRPr="00CA47B9">
        <w:t xml:space="preserve"> </w:t>
      </w:r>
      <w:r w:rsidRPr="00CA47B9">
        <w:t>framework</w:t>
      </w:r>
      <w:r w:rsidR="004B41A2" w:rsidRPr="00CA47B9">
        <w:t xml:space="preserve"> </w:t>
      </w:r>
      <w:r w:rsidRPr="00CA47B9">
        <w:t>of</w:t>
      </w:r>
      <w:r w:rsidR="004B41A2" w:rsidRPr="00CA47B9">
        <w:t xml:space="preserve"> </w:t>
      </w:r>
      <w:r w:rsidRPr="00CA47B9">
        <w:t>forecasting</w:t>
      </w:r>
      <w:r w:rsidR="004B41A2" w:rsidRPr="00CA47B9">
        <w:t xml:space="preserve"> </w:t>
      </w:r>
      <w:r w:rsidRPr="00CA47B9">
        <w:t>models.</w:t>
      </w:r>
      <w:r w:rsidR="004B41A2" w:rsidRPr="00CA47B9">
        <w:t xml:space="preserve"> </w:t>
      </w:r>
      <w:r w:rsidRPr="00CA47B9">
        <w:t>Such</w:t>
      </w:r>
      <w:r w:rsidR="004B41A2" w:rsidRPr="00CA47B9">
        <w:t xml:space="preserve"> </w:t>
      </w:r>
      <w:r w:rsidRPr="00CA47B9">
        <w:t>a</w:t>
      </w:r>
      <w:r w:rsidR="004B41A2" w:rsidRPr="00CA47B9">
        <w:t xml:space="preserve"> </w:t>
      </w:r>
      <w:r w:rsidRPr="00CA47B9">
        <w:t>modelling</w:t>
      </w:r>
      <w:r w:rsidR="004B41A2" w:rsidRPr="00CA47B9">
        <w:t xml:space="preserve"> </w:t>
      </w:r>
      <w:r w:rsidRPr="00CA47B9">
        <w:t>framework</w:t>
      </w:r>
      <w:r w:rsidR="004B41A2" w:rsidRPr="00CA47B9">
        <w:t xml:space="preserve"> </w:t>
      </w:r>
      <w:r w:rsidRPr="00CA47B9">
        <w:t>ensures</w:t>
      </w:r>
      <w:r w:rsidR="004B41A2" w:rsidRPr="00CA47B9">
        <w:t xml:space="preserve"> </w:t>
      </w:r>
      <w:r w:rsidRPr="00CA47B9">
        <w:t>that</w:t>
      </w:r>
      <w:r w:rsidR="004B41A2" w:rsidRPr="00CA47B9">
        <w:t xml:space="preserve"> </w:t>
      </w:r>
      <w:r w:rsidRPr="00CA47B9">
        <w:t>global</w:t>
      </w:r>
      <w:r w:rsidR="004B41A2" w:rsidRPr="00CA47B9">
        <w:t xml:space="preserve"> </w:t>
      </w:r>
      <w:r w:rsidRPr="00CA47B9">
        <w:t>and</w:t>
      </w:r>
      <w:r w:rsidR="004B41A2" w:rsidRPr="00CA47B9">
        <w:t xml:space="preserve"> </w:t>
      </w:r>
      <w:r w:rsidRPr="00CA47B9">
        <w:t>national</w:t>
      </w:r>
      <w:r w:rsidR="004B41A2" w:rsidRPr="00CA47B9">
        <w:t xml:space="preserve"> </w:t>
      </w:r>
      <w:r w:rsidRPr="00CA47B9">
        <w:t>factors</w:t>
      </w:r>
      <w:r w:rsidR="004B41A2" w:rsidRPr="00CA47B9">
        <w:t xml:space="preserve"> </w:t>
      </w:r>
      <w:r w:rsidRPr="00CA47B9">
        <w:t>(such</w:t>
      </w:r>
      <w:r w:rsidR="004B41A2" w:rsidRPr="00CA47B9">
        <w:t xml:space="preserve"> </w:t>
      </w:r>
      <w:r w:rsidRPr="00CA47B9">
        <w:t>as</w:t>
      </w:r>
      <w:r w:rsidR="004B41A2" w:rsidRPr="00CA47B9">
        <w:t xml:space="preserve"> </w:t>
      </w:r>
      <w:r w:rsidRPr="00CA47B9">
        <w:t>developments</w:t>
      </w:r>
      <w:r w:rsidR="004B41A2" w:rsidRPr="00CA47B9">
        <w:t xml:space="preserve"> </w:t>
      </w:r>
      <w:r w:rsidRPr="00CA47B9">
        <w:t>in</w:t>
      </w:r>
      <w:r w:rsidR="004B41A2" w:rsidRPr="00CA47B9">
        <w:t xml:space="preserve"> </w:t>
      </w:r>
      <w:r w:rsidRPr="00CA47B9">
        <w:t>the</w:t>
      </w:r>
      <w:r w:rsidR="004B41A2" w:rsidRPr="00CA47B9">
        <w:t xml:space="preserve"> </w:t>
      </w:r>
      <w:r w:rsidRPr="00CA47B9">
        <w:t>Eurozone</w:t>
      </w:r>
      <w:r w:rsidR="004B41A2" w:rsidRPr="00CA47B9">
        <w:t xml:space="preserve"> </w:t>
      </w:r>
      <w:r w:rsidRPr="00CA47B9">
        <w:t>and</w:t>
      </w:r>
      <w:r w:rsidR="004B41A2" w:rsidRPr="00CA47B9">
        <w:t xml:space="preserve"> </w:t>
      </w:r>
      <w:r w:rsidRPr="00CA47B9">
        <w:t>UK</w:t>
      </w:r>
      <w:r w:rsidR="004B41A2" w:rsidRPr="00CA47B9">
        <w:t xml:space="preserve"> </w:t>
      </w:r>
      <w:r w:rsidRPr="00CA47B9">
        <w:t>Government</w:t>
      </w:r>
      <w:r w:rsidR="004B41A2" w:rsidRPr="00CA47B9">
        <w:t xml:space="preserve"> </w:t>
      </w:r>
      <w:r w:rsidRPr="00CA47B9">
        <w:t>fiscal</w:t>
      </w:r>
      <w:r w:rsidR="004B41A2" w:rsidRPr="00CA47B9">
        <w:t xml:space="preserve"> </w:t>
      </w:r>
      <w:r w:rsidRPr="00CA47B9">
        <w:t>policy)</w:t>
      </w:r>
      <w:r w:rsidR="004B41A2" w:rsidRPr="00CA47B9">
        <w:t xml:space="preserve"> </w:t>
      </w:r>
      <w:r w:rsidRPr="00CA47B9">
        <w:t>have</w:t>
      </w:r>
      <w:r w:rsidR="004B41A2" w:rsidRPr="00CA47B9">
        <w:t xml:space="preserve"> </w:t>
      </w:r>
      <w:r w:rsidRPr="00CA47B9">
        <w:t>an</w:t>
      </w:r>
      <w:r w:rsidR="004B41A2" w:rsidRPr="00CA47B9">
        <w:t xml:space="preserve"> </w:t>
      </w:r>
      <w:r w:rsidRPr="00CA47B9">
        <w:t>appropriate</w:t>
      </w:r>
      <w:r w:rsidR="004B41A2" w:rsidRPr="00CA47B9">
        <w:t xml:space="preserve"> </w:t>
      </w:r>
      <w:r w:rsidRPr="00CA47B9">
        <w:t>impact</w:t>
      </w:r>
      <w:r w:rsidR="004B41A2" w:rsidRPr="00CA47B9">
        <w:t xml:space="preserve"> </w:t>
      </w:r>
      <w:r w:rsidRPr="00CA47B9">
        <w:t>on</w:t>
      </w:r>
      <w:r w:rsidR="004B41A2" w:rsidRPr="00CA47B9">
        <w:t xml:space="preserve"> </w:t>
      </w:r>
      <w:r w:rsidRPr="00CA47B9">
        <w:t>the</w:t>
      </w:r>
      <w:r w:rsidR="004B41A2" w:rsidRPr="00CA47B9">
        <w:t xml:space="preserve"> </w:t>
      </w:r>
      <w:r w:rsidRPr="00CA47B9">
        <w:t>forecasts</w:t>
      </w:r>
      <w:r w:rsidR="004B41A2" w:rsidRPr="00CA47B9">
        <w:t xml:space="preserve"> </w:t>
      </w:r>
      <w:r w:rsidRPr="00CA47B9">
        <w:t>at</w:t>
      </w:r>
      <w:r w:rsidR="004B41A2" w:rsidRPr="00CA47B9">
        <w:t xml:space="preserve"> </w:t>
      </w:r>
      <w:r w:rsidR="00C6093F">
        <w:t xml:space="preserve">the </w:t>
      </w:r>
      <w:r w:rsidRPr="00CA47B9">
        <w:t>local</w:t>
      </w:r>
      <w:r w:rsidR="004B41A2" w:rsidRPr="00CA47B9">
        <w:t xml:space="preserve"> </w:t>
      </w:r>
      <w:r w:rsidRPr="00CA47B9">
        <w:t>authority</w:t>
      </w:r>
      <w:r w:rsidR="004B41A2" w:rsidRPr="00CA47B9">
        <w:t xml:space="preserve"> </w:t>
      </w:r>
      <w:r w:rsidRPr="00CA47B9">
        <w:t>level.</w:t>
      </w:r>
      <w:r w:rsidR="004B41A2" w:rsidRPr="00CA47B9">
        <w:t xml:space="preserve"> </w:t>
      </w:r>
      <w:r w:rsidRPr="00CA47B9">
        <w:t>This</w:t>
      </w:r>
      <w:r w:rsidR="004B41A2" w:rsidRPr="00CA47B9">
        <w:t xml:space="preserve"> </w:t>
      </w:r>
      <w:r w:rsidRPr="00CA47B9">
        <w:t>framework</w:t>
      </w:r>
      <w:r w:rsidR="004B41A2" w:rsidRPr="00CA47B9">
        <w:t xml:space="preserve"> </w:t>
      </w:r>
      <w:r w:rsidRPr="00CA47B9">
        <w:t>ensures</w:t>
      </w:r>
      <w:r w:rsidR="004B41A2" w:rsidRPr="00CA47B9">
        <w:t xml:space="preserve"> </w:t>
      </w:r>
      <w:r w:rsidRPr="00CA47B9">
        <w:t>that</w:t>
      </w:r>
      <w:r w:rsidR="004B41A2" w:rsidRPr="00CA47B9">
        <w:t xml:space="preserve"> </w:t>
      </w:r>
      <w:r w:rsidRPr="00CA47B9">
        <w:t>the</w:t>
      </w:r>
      <w:r w:rsidR="004B41A2" w:rsidRPr="00CA47B9">
        <w:t xml:space="preserve"> </w:t>
      </w:r>
      <w:r w:rsidRPr="00CA47B9">
        <w:t>forecasts</w:t>
      </w:r>
      <w:r w:rsidR="004B41A2" w:rsidRPr="00CA47B9">
        <w:t xml:space="preserve"> </w:t>
      </w:r>
      <w:r w:rsidRPr="00CA47B9">
        <w:t>are</w:t>
      </w:r>
      <w:r w:rsidR="004B41A2" w:rsidRPr="00CA47B9">
        <w:t xml:space="preserve"> </w:t>
      </w:r>
      <w:r w:rsidRPr="00CA47B9">
        <w:t>much</w:t>
      </w:r>
      <w:r w:rsidR="004B41A2" w:rsidRPr="00CA47B9">
        <w:t xml:space="preserve"> </w:t>
      </w:r>
      <w:r w:rsidRPr="00CA47B9">
        <w:t>more</w:t>
      </w:r>
      <w:r w:rsidR="004B41A2" w:rsidRPr="00CA47B9">
        <w:t xml:space="preserve"> </w:t>
      </w:r>
      <w:r w:rsidRPr="00CA47B9">
        <w:t>than</w:t>
      </w:r>
      <w:r w:rsidR="004B41A2" w:rsidRPr="00CA47B9">
        <w:t xml:space="preserve"> </w:t>
      </w:r>
      <w:r w:rsidRPr="00CA47B9">
        <w:t>just</w:t>
      </w:r>
      <w:r w:rsidR="004B41A2" w:rsidRPr="00CA47B9">
        <w:t xml:space="preserve"> </w:t>
      </w:r>
      <w:r w:rsidRPr="00CA47B9">
        <w:t>an</w:t>
      </w:r>
      <w:r w:rsidR="004B41A2" w:rsidRPr="00CA47B9">
        <w:t xml:space="preserve"> </w:t>
      </w:r>
      <w:r w:rsidRPr="00CA47B9">
        <w:t>extrapolation</w:t>
      </w:r>
      <w:r w:rsidR="004B41A2" w:rsidRPr="00CA47B9">
        <w:t xml:space="preserve"> </w:t>
      </w:r>
      <w:r w:rsidRPr="00CA47B9">
        <w:t>of</w:t>
      </w:r>
      <w:r w:rsidR="004B41A2" w:rsidRPr="00CA47B9">
        <w:t xml:space="preserve"> </w:t>
      </w:r>
      <w:r w:rsidRPr="00CA47B9">
        <w:t>historical</w:t>
      </w:r>
      <w:r w:rsidR="004B41A2" w:rsidRPr="00CA47B9">
        <w:t xml:space="preserve"> </w:t>
      </w:r>
      <w:r w:rsidRPr="00CA47B9">
        <w:t>trends.</w:t>
      </w:r>
      <w:r w:rsidR="004B41A2" w:rsidRPr="00CA47B9">
        <w:t xml:space="preserve"> </w:t>
      </w:r>
      <w:r w:rsidRPr="00CA47B9">
        <w:t>Rather,</w:t>
      </w:r>
      <w:r w:rsidR="004B41A2" w:rsidRPr="00CA47B9">
        <w:t xml:space="preserve"> </w:t>
      </w:r>
      <w:r w:rsidRPr="00CA47B9">
        <w:t>the</w:t>
      </w:r>
      <w:r w:rsidR="004B41A2" w:rsidRPr="00CA47B9">
        <w:t xml:space="preserve"> </w:t>
      </w:r>
      <w:r w:rsidRPr="00CA47B9">
        <w:t>trends</w:t>
      </w:r>
      <w:r w:rsidR="004B41A2" w:rsidRPr="00CA47B9">
        <w:t xml:space="preserve"> </w:t>
      </w:r>
      <w:r w:rsidRPr="00CA47B9">
        <w:t>in</w:t>
      </w:r>
      <w:r w:rsidR="004B41A2" w:rsidRPr="00CA47B9">
        <w:t xml:space="preserve"> </w:t>
      </w:r>
      <w:r w:rsidRPr="00CA47B9">
        <w:t>the</w:t>
      </w:r>
      <w:r w:rsidR="004B41A2" w:rsidRPr="00CA47B9">
        <w:t xml:space="preserve"> </w:t>
      </w:r>
      <w:r w:rsidRPr="00CA47B9">
        <w:t>OE</w:t>
      </w:r>
      <w:r w:rsidR="004B41A2" w:rsidRPr="00CA47B9">
        <w:t xml:space="preserve"> </w:t>
      </w:r>
      <w:r w:rsidRPr="00CA47B9">
        <w:t>global,</w:t>
      </w:r>
      <w:r w:rsidR="004B41A2" w:rsidRPr="00CA47B9">
        <w:t xml:space="preserve"> </w:t>
      </w:r>
      <w:r w:rsidRPr="00CA47B9">
        <w:t>national</w:t>
      </w:r>
      <w:r w:rsidR="004B41A2" w:rsidRPr="00CA47B9">
        <w:t xml:space="preserve"> </w:t>
      </w:r>
      <w:r w:rsidRPr="00CA47B9">
        <w:t>and</w:t>
      </w:r>
      <w:r w:rsidR="004B41A2" w:rsidRPr="00CA47B9">
        <w:t xml:space="preserve"> </w:t>
      </w:r>
      <w:r w:rsidRPr="00CA47B9">
        <w:t>sectoral</w:t>
      </w:r>
      <w:r w:rsidR="004B41A2" w:rsidRPr="00CA47B9">
        <w:t xml:space="preserve"> </w:t>
      </w:r>
      <w:r w:rsidRPr="00CA47B9">
        <w:t>forecasts</w:t>
      </w:r>
      <w:r w:rsidR="004B41A2" w:rsidRPr="00CA47B9">
        <w:t xml:space="preserve"> </w:t>
      </w:r>
      <w:r w:rsidRPr="00CA47B9">
        <w:t>have</w:t>
      </w:r>
      <w:r w:rsidR="004B41A2" w:rsidRPr="00CA47B9">
        <w:t xml:space="preserve"> </w:t>
      </w:r>
      <w:r w:rsidRPr="00CA47B9">
        <w:t>an</w:t>
      </w:r>
      <w:r w:rsidR="004B41A2" w:rsidRPr="00CA47B9">
        <w:t xml:space="preserve"> </w:t>
      </w:r>
      <w:r w:rsidRPr="00CA47B9">
        <w:t>impact</w:t>
      </w:r>
      <w:r w:rsidR="004B41A2" w:rsidRPr="00CA47B9">
        <w:t xml:space="preserve"> </w:t>
      </w:r>
      <w:r w:rsidRPr="00CA47B9">
        <w:t>on</w:t>
      </w:r>
      <w:r w:rsidR="004B41A2" w:rsidRPr="00CA47B9">
        <w:t xml:space="preserve"> </w:t>
      </w:r>
      <w:r w:rsidRPr="00CA47B9">
        <w:t>the</w:t>
      </w:r>
      <w:r w:rsidR="004B41A2" w:rsidRPr="00CA47B9">
        <w:t xml:space="preserve"> </w:t>
      </w:r>
      <w:r w:rsidRPr="00CA47B9">
        <w:t>local</w:t>
      </w:r>
      <w:r w:rsidR="004B41A2" w:rsidRPr="00CA47B9">
        <w:t xml:space="preserve"> </w:t>
      </w:r>
      <w:r w:rsidRPr="00CA47B9">
        <w:t>area</w:t>
      </w:r>
      <w:r w:rsidR="004B41A2" w:rsidRPr="00CA47B9">
        <w:t xml:space="preserve"> </w:t>
      </w:r>
      <w:r w:rsidRPr="00CA47B9">
        <w:t>forecasts</w:t>
      </w:r>
      <w:r w:rsidR="004B41A2" w:rsidRPr="00CA47B9">
        <w:t xml:space="preserve"> </w:t>
      </w:r>
      <w:r w:rsidRPr="00CA47B9">
        <w:t>alongside</w:t>
      </w:r>
      <w:r w:rsidR="004B41A2" w:rsidRPr="00CA47B9">
        <w:t xml:space="preserve"> </w:t>
      </w:r>
      <w:r w:rsidRPr="00CA47B9">
        <w:t>the</w:t>
      </w:r>
      <w:r w:rsidR="004B41A2" w:rsidRPr="00CA47B9">
        <w:t xml:space="preserve"> </w:t>
      </w:r>
      <w:r w:rsidRPr="00CA47B9">
        <w:t>sectoral</w:t>
      </w:r>
      <w:r w:rsidR="004B41A2" w:rsidRPr="00CA47B9">
        <w:t xml:space="preserve"> </w:t>
      </w:r>
      <w:r w:rsidRPr="00CA47B9">
        <w:t>structure</w:t>
      </w:r>
      <w:r w:rsidR="004B41A2" w:rsidRPr="00CA47B9">
        <w:t xml:space="preserve"> </w:t>
      </w:r>
      <w:r w:rsidRPr="00CA47B9">
        <w:t>and</w:t>
      </w:r>
      <w:r w:rsidR="004B41A2" w:rsidRPr="00CA47B9">
        <w:t xml:space="preserve"> </w:t>
      </w:r>
      <w:r w:rsidRPr="00CA47B9">
        <w:t>past</w:t>
      </w:r>
      <w:r w:rsidR="004B41A2" w:rsidRPr="00CA47B9">
        <w:t xml:space="preserve"> </w:t>
      </w:r>
      <w:r w:rsidRPr="00CA47B9">
        <w:t>sector</w:t>
      </w:r>
      <w:r w:rsidR="004B41A2" w:rsidRPr="00CA47B9">
        <w:t xml:space="preserve"> </w:t>
      </w:r>
      <w:r w:rsidRPr="00CA47B9">
        <w:t>performance</w:t>
      </w:r>
      <w:r w:rsidR="004B41A2" w:rsidRPr="00CA47B9">
        <w:t xml:space="preserve"> </w:t>
      </w:r>
      <w:r w:rsidRPr="00CA47B9">
        <w:t>locally.</w:t>
      </w:r>
      <w:bookmarkStart w:id="108" w:name="_Toc466508494"/>
      <w:r w:rsidR="004B41A2" w:rsidRPr="00CA47B9">
        <w:t xml:space="preserve"> </w:t>
      </w:r>
    </w:p>
    <w:p w:rsidR="00B0298E" w:rsidRPr="00CA47B9" w:rsidRDefault="00B0298E" w:rsidP="00C342B8">
      <w:pPr>
        <w:pStyle w:val="FigureHeading"/>
      </w:pPr>
      <w:bookmarkStart w:id="109" w:name="_Toc471486973"/>
      <w:bookmarkStart w:id="110" w:name="_Toc481156662"/>
      <w:r w:rsidRPr="00CA47B9">
        <w:t>Hierarchal</w:t>
      </w:r>
      <w:r w:rsidR="004B41A2" w:rsidRPr="00CA47B9">
        <w:t xml:space="preserve"> </w:t>
      </w:r>
      <w:r w:rsidRPr="00CA47B9">
        <w:t>structure</w:t>
      </w:r>
      <w:r w:rsidR="004B41A2" w:rsidRPr="00CA47B9">
        <w:t xml:space="preserve"> </w:t>
      </w:r>
      <w:r w:rsidRPr="00CA47B9">
        <w:t>of</w:t>
      </w:r>
      <w:r w:rsidR="004B41A2" w:rsidRPr="00CA47B9">
        <w:t xml:space="preserve"> </w:t>
      </w:r>
      <w:r w:rsidRPr="00CA47B9">
        <w:t>Oxford</w:t>
      </w:r>
      <w:r w:rsidR="004B41A2" w:rsidRPr="00CA47B9">
        <w:t xml:space="preserve"> </w:t>
      </w:r>
      <w:r w:rsidRPr="00CA47B9">
        <w:t>Economics’</w:t>
      </w:r>
      <w:r w:rsidR="004B41A2" w:rsidRPr="00CA47B9">
        <w:t xml:space="preserve"> </w:t>
      </w:r>
      <w:r w:rsidRPr="00CA47B9">
        <w:t>suite</w:t>
      </w:r>
      <w:r w:rsidR="004B41A2" w:rsidRPr="00CA47B9">
        <w:t xml:space="preserve"> </w:t>
      </w:r>
      <w:r w:rsidRPr="00CA47B9">
        <w:t>of</w:t>
      </w:r>
      <w:r w:rsidR="004B41A2" w:rsidRPr="00CA47B9">
        <w:t xml:space="preserve"> </w:t>
      </w:r>
      <w:r w:rsidRPr="00CA47B9">
        <w:t>models</w:t>
      </w:r>
      <w:bookmarkEnd w:id="108"/>
      <w:bookmarkEnd w:id="109"/>
      <w:bookmarkEnd w:id="110"/>
    </w:p>
    <w:tbl>
      <w:tblPr>
        <w:tblStyle w:val="TableGrid"/>
        <w:tblW w:w="8845" w:type="dxa"/>
        <w:tblInd w:w="794" w:type="dxa"/>
        <w:tblLook w:val="04A0" w:firstRow="1" w:lastRow="0" w:firstColumn="1" w:lastColumn="0" w:noHBand="0" w:noVBand="1"/>
        <w:tblCaption w:val="Figure 29: Hierarchal structure of Oxford Economics suite of models"/>
      </w:tblPr>
      <w:tblGrid>
        <w:gridCol w:w="8845"/>
      </w:tblGrid>
      <w:tr w:rsidR="00F74225" w:rsidRPr="00CA47B9" w:rsidTr="00D30252">
        <w:trPr>
          <w:trHeight w:val="4536"/>
          <w:tblHeader/>
        </w:trPr>
        <w:tc>
          <w:tcPr>
            <w:tcW w:w="9621" w:type="dxa"/>
            <w:vAlign w:val="center"/>
          </w:tcPr>
          <w:p w:rsidR="009E5994" w:rsidRPr="00CA47B9" w:rsidRDefault="009E5994" w:rsidP="00F9748F">
            <w:pPr>
              <w:pStyle w:val="Bodytextwithindent"/>
              <w:keepNext/>
              <w:spacing w:before="0" w:after="0" w:line="240" w:lineRule="auto"/>
              <w:ind w:left="0"/>
              <w:jc w:val="center"/>
              <w:rPr>
                <w:color w:val="auto"/>
              </w:rPr>
            </w:pPr>
          </w:p>
          <w:p w:rsidR="009E5994" w:rsidRPr="00CA47B9" w:rsidRDefault="009E5994" w:rsidP="00F9748F">
            <w:pPr>
              <w:keepNext/>
              <w:jc w:val="center"/>
              <w:rPr>
                <w:color w:val="auto"/>
              </w:rPr>
            </w:pPr>
            <w:r w:rsidRPr="00CA47B9">
              <w:rPr>
                <w:rFonts w:asciiTheme="minorHAnsi" w:hAnsiTheme="minorHAnsi" w:cstheme="minorHAnsi"/>
                <w:noProof/>
                <w:color w:val="auto"/>
                <w:lang w:eastAsia="en-GB"/>
              </w:rPr>
              <w:drawing>
                <wp:inline distT="0" distB="0" distL="0" distR="0" wp14:anchorId="69663453" wp14:editId="10F23E1B">
                  <wp:extent cx="3809688" cy="2568919"/>
                  <wp:effectExtent l="0" t="0" r="635" b="3175"/>
                  <wp:docPr id="30" name="Picture 30" descr="Flowchart showing how the forecasts are derived at different levels of geography in a top-down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3835577" cy="2586376"/>
                          </a:xfrm>
                          <a:prstGeom prst="rect">
                            <a:avLst/>
                          </a:prstGeom>
                          <a:noFill/>
                          <a:ln>
                            <a:noFill/>
                          </a:ln>
                        </pic:spPr>
                      </pic:pic>
                    </a:graphicData>
                  </a:graphic>
                </wp:inline>
              </w:drawing>
            </w:r>
          </w:p>
          <w:p w:rsidR="009E5994" w:rsidRPr="00CA47B9" w:rsidRDefault="009E5994" w:rsidP="00F9748F">
            <w:pPr>
              <w:keepNext/>
              <w:jc w:val="center"/>
              <w:rPr>
                <w:color w:val="auto"/>
              </w:rPr>
            </w:pPr>
          </w:p>
        </w:tc>
      </w:tr>
    </w:tbl>
    <w:p w:rsidR="00B0298E" w:rsidRPr="00F276CF" w:rsidRDefault="009E5994" w:rsidP="00CF79F7">
      <w:pPr>
        <w:spacing w:after="120" w:line="360" w:lineRule="auto"/>
        <w:ind w:left="794"/>
        <w:rPr>
          <w:rFonts w:asciiTheme="minorHAnsi" w:hAnsiTheme="minorHAnsi" w:cstheme="minorHAnsi"/>
          <w:iCs/>
          <w:color w:val="auto"/>
          <w:sz w:val="24"/>
          <w:szCs w:val="24"/>
        </w:rPr>
      </w:pPr>
      <w:r w:rsidRPr="00F276CF">
        <w:rPr>
          <w:rFonts w:asciiTheme="minorHAnsi" w:hAnsiTheme="minorHAnsi" w:cstheme="minorHAnsi"/>
          <w:iCs/>
          <w:color w:val="auto"/>
          <w:sz w:val="24"/>
          <w:szCs w:val="24"/>
        </w:rPr>
        <w:t>S</w:t>
      </w:r>
      <w:r w:rsidR="00B0298E" w:rsidRPr="00F276CF">
        <w:rPr>
          <w:rFonts w:asciiTheme="minorHAnsi" w:hAnsiTheme="minorHAnsi" w:cstheme="minorHAnsi"/>
          <w:iCs/>
          <w:color w:val="auto"/>
          <w:sz w:val="24"/>
          <w:szCs w:val="24"/>
        </w:rPr>
        <w:t>ource:</w:t>
      </w:r>
      <w:r w:rsidR="004B41A2" w:rsidRPr="00F276CF">
        <w:rPr>
          <w:rFonts w:asciiTheme="minorHAnsi" w:hAnsiTheme="minorHAnsi" w:cstheme="minorHAnsi"/>
          <w:iCs/>
          <w:color w:val="auto"/>
          <w:sz w:val="24"/>
          <w:szCs w:val="24"/>
        </w:rPr>
        <w:t xml:space="preserve"> </w:t>
      </w:r>
      <w:r w:rsidR="00B0298E" w:rsidRPr="00F276CF">
        <w:rPr>
          <w:rFonts w:asciiTheme="minorHAnsi" w:hAnsiTheme="minorHAnsi" w:cstheme="minorHAnsi"/>
          <w:iCs/>
          <w:color w:val="auto"/>
          <w:sz w:val="24"/>
          <w:szCs w:val="24"/>
        </w:rPr>
        <w:t>Oxford</w:t>
      </w:r>
      <w:r w:rsidR="004B41A2" w:rsidRPr="00F276CF">
        <w:rPr>
          <w:rFonts w:asciiTheme="minorHAnsi" w:hAnsiTheme="minorHAnsi" w:cstheme="minorHAnsi"/>
          <w:iCs/>
          <w:color w:val="auto"/>
          <w:sz w:val="24"/>
          <w:szCs w:val="24"/>
        </w:rPr>
        <w:t xml:space="preserve"> </w:t>
      </w:r>
      <w:r w:rsidR="00B0298E" w:rsidRPr="00F276CF">
        <w:rPr>
          <w:rFonts w:asciiTheme="minorHAnsi" w:hAnsiTheme="minorHAnsi" w:cstheme="minorHAnsi"/>
          <w:iCs/>
          <w:color w:val="auto"/>
          <w:sz w:val="24"/>
          <w:szCs w:val="24"/>
        </w:rPr>
        <w:t>Economics,</w:t>
      </w:r>
      <w:r w:rsidR="004B41A2" w:rsidRPr="00F276CF">
        <w:rPr>
          <w:rFonts w:asciiTheme="minorHAnsi" w:hAnsiTheme="minorHAnsi" w:cstheme="minorHAnsi"/>
          <w:iCs/>
          <w:color w:val="auto"/>
          <w:sz w:val="24"/>
          <w:szCs w:val="24"/>
        </w:rPr>
        <w:t xml:space="preserve"> </w:t>
      </w:r>
      <w:r w:rsidR="00B0298E" w:rsidRPr="00F276CF">
        <w:rPr>
          <w:rFonts w:asciiTheme="minorHAnsi" w:hAnsiTheme="minorHAnsi" w:cstheme="minorHAnsi"/>
          <w:iCs/>
          <w:color w:val="auto"/>
          <w:sz w:val="24"/>
          <w:szCs w:val="24"/>
        </w:rPr>
        <w:t>201</w:t>
      </w:r>
      <w:r w:rsidR="00FC5C1B" w:rsidRPr="00F276CF">
        <w:rPr>
          <w:rFonts w:asciiTheme="minorHAnsi" w:hAnsiTheme="minorHAnsi" w:cstheme="minorHAnsi"/>
          <w:iCs/>
          <w:color w:val="auto"/>
          <w:sz w:val="24"/>
          <w:szCs w:val="24"/>
        </w:rPr>
        <w:t>9</w:t>
      </w:r>
    </w:p>
    <w:p w:rsidR="00B0298E" w:rsidRPr="00CA47B9" w:rsidRDefault="00B0298E" w:rsidP="00020CFC">
      <w:pPr>
        <w:pStyle w:val="11Bodytext"/>
        <w:tabs>
          <w:tab w:val="clear" w:pos="2212"/>
          <w:tab w:val="num" w:pos="567"/>
        </w:tabs>
        <w:ind w:left="567" w:hanging="567"/>
      </w:pPr>
      <w:r w:rsidRPr="00CA47B9">
        <w:t>The</w:t>
      </w:r>
      <w:r w:rsidR="004B41A2" w:rsidRPr="00CA47B9">
        <w:t xml:space="preserve"> </w:t>
      </w:r>
      <w:r w:rsidRPr="00CA47B9">
        <w:t>baseline</w:t>
      </w:r>
      <w:r w:rsidR="004B41A2" w:rsidRPr="00CA47B9">
        <w:t xml:space="preserve"> </w:t>
      </w:r>
      <w:r w:rsidRPr="00CA47B9">
        <w:t>forecasts</w:t>
      </w:r>
      <w:r w:rsidR="004B41A2" w:rsidRPr="00CA47B9">
        <w:t xml:space="preserve"> </w:t>
      </w:r>
      <w:r w:rsidRPr="00CA47B9">
        <w:t>for</w:t>
      </w:r>
      <w:r w:rsidR="004B41A2" w:rsidRPr="00CA47B9">
        <w:t xml:space="preserve"> </w:t>
      </w:r>
      <w:r w:rsidRPr="00CA47B9">
        <w:t>the</w:t>
      </w:r>
      <w:r w:rsidR="004B41A2" w:rsidRPr="00CA47B9">
        <w:t xml:space="preserve"> </w:t>
      </w:r>
      <w:r w:rsidRPr="00CA47B9">
        <w:t>HEDNA</w:t>
      </w:r>
      <w:r w:rsidR="004B41A2" w:rsidRPr="00CA47B9">
        <w:t xml:space="preserve"> </w:t>
      </w:r>
      <w:r w:rsidRPr="00CA47B9">
        <w:t>and</w:t>
      </w:r>
      <w:r w:rsidR="004B41A2" w:rsidRPr="00CA47B9">
        <w:t xml:space="preserve"> </w:t>
      </w:r>
      <w:r w:rsidRPr="00CA47B9">
        <w:t>its</w:t>
      </w:r>
      <w:r w:rsidR="004B41A2" w:rsidRPr="00CA47B9">
        <w:t xml:space="preserve"> </w:t>
      </w:r>
      <w:r w:rsidRPr="00CA47B9">
        <w:t>constituent</w:t>
      </w:r>
      <w:r w:rsidR="004B41A2" w:rsidRPr="00CA47B9">
        <w:t xml:space="preserve"> </w:t>
      </w:r>
      <w:r w:rsidRPr="00CA47B9">
        <w:t>authorities</w:t>
      </w:r>
      <w:r w:rsidR="004B41A2" w:rsidRPr="00CA47B9">
        <w:t xml:space="preserve"> </w:t>
      </w:r>
      <w:r w:rsidRPr="00CA47B9">
        <w:t>are</w:t>
      </w:r>
      <w:r w:rsidR="004B41A2" w:rsidRPr="00CA47B9">
        <w:t xml:space="preserve"> </w:t>
      </w:r>
      <w:r w:rsidRPr="00CA47B9">
        <w:t>essentially</w:t>
      </w:r>
      <w:r w:rsidR="004B41A2" w:rsidRPr="00CA47B9">
        <w:t xml:space="preserve"> </w:t>
      </w:r>
      <w:r w:rsidRPr="00CA47B9">
        <w:t>shaped</w:t>
      </w:r>
      <w:r w:rsidR="004B41A2" w:rsidRPr="00CA47B9">
        <w:t xml:space="preserve"> </w:t>
      </w:r>
      <w:r w:rsidRPr="00CA47B9">
        <w:t>by</w:t>
      </w:r>
      <w:r w:rsidR="004B41A2" w:rsidRPr="00CA47B9">
        <w:t xml:space="preserve"> </w:t>
      </w:r>
      <w:r w:rsidRPr="00CA47B9">
        <w:t>three</w:t>
      </w:r>
      <w:r w:rsidR="004B41A2" w:rsidRPr="00CA47B9">
        <w:t xml:space="preserve"> </w:t>
      </w:r>
      <w:r w:rsidRPr="00CA47B9">
        <w:t>factors:</w:t>
      </w:r>
    </w:p>
    <w:p w:rsidR="00B0298E" w:rsidRPr="00CA47B9" w:rsidRDefault="00B0298E" w:rsidP="00ED1C06">
      <w:pPr>
        <w:pStyle w:val="10BulletBodytext"/>
      </w:pPr>
      <w:r w:rsidRPr="00CA47B9">
        <w:t>International,</w:t>
      </w:r>
      <w:r w:rsidR="004B41A2" w:rsidRPr="00CA47B9">
        <w:t xml:space="preserve"> </w:t>
      </w:r>
      <w:r w:rsidRPr="00CA47B9">
        <w:t>national</w:t>
      </w:r>
      <w:r w:rsidR="004B41A2" w:rsidRPr="00CA47B9">
        <w:t xml:space="preserve"> </w:t>
      </w:r>
      <w:r w:rsidRPr="00CA47B9">
        <w:t>and</w:t>
      </w:r>
      <w:r w:rsidR="004B41A2" w:rsidRPr="00CA47B9">
        <w:t xml:space="preserve"> </w:t>
      </w:r>
      <w:r w:rsidRPr="00CA47B9">
        <w:t>regional</w:t>
      </w:r>
      <w:r w:rsidR="004B41A2" w:rsidRPr="00CA47B9">
        <w:t xml:space="preserve"> </w:t>
      </w:r>
      <w:r w:rsidRPr="00CA47B9">
        <w:t>outlooks</w:t>
      </w:r>
      <w:r w:rsidR="004B41A2" w:rsidRPr="00CA47B9">
        <w:t xml:space="preserve"> </w:t>
      </w:r>
      <w:r w:rsidRPr="00CA47B9">
        <w:t>-</w:t>
      </w:r>
      <w:r w:rsidR="004B41A2" w:rsidRPr="00CA47B9">
        <w:t xml:space="preserve"> </w:t>
      </w:r>
      <w:r w:rsidRPr="00CA47B9">
        <w:t>all</w:t>
      </w:r>
      <w:r w:rsidR="004B41A2" w:rsidRPr="00CA47B9">
        <w:t xml:space="preserve"> </w:t>
      </w:r>
      <w:r w:rsidRPr="00CA47B9">
        <w:t>the</w:t>
      </w:r>
      <w:r w:rsidR="004B41A2" w:rsidRPr="00CA47B9">
        <w:t xml:space="preserve"> </w:t>
      </w:r>
      <w:r w:rsidRPr="00CA47B9">
        <w:t>local</w:t>
      </w:r>
      <w:r w:rsidR="004B41A2" w:rsidRPr="00CA47B9">
        <w:t xml:space="preserve"> </w:t>
      </w:r>
      <w:r w:rsidRPr="00CA47B9">
        <w:t>area</w:t>
      </w:r>
      <w:r w:rsidR="004B41A2" w:rsidRPr="00CA47B9">
        <w:t xml:space="preserve"> </w:t>
      </w:r>
      <w:r w:rsidRPr="00CA47B9">
        <w:t>forecasts</w:t>
      </w:r>
      <w:r w:rsidR="004B41A2" w:rsidRPr="00CA47B9">
        <w:t xml:space="preserve"> </w:t>
      </w:r>
      <w:r w:rsidRPr="00CA47B9">
        <w:t>produced</w:t>
      </w:r>
      <w:r w:rsidR="004B41A2" w:rsidRPr="00CA47B9">
        <w:t xml:space="preserve"> </w:t>
      </w:r>
      <w:r w:rsidRPr="00CA47B9">
        <w:t>by</w:t>
      </w:r>
      <w:r w:rsidR="004B41A2" w:rsidRPr="00CA47B9">
        <w:t xml:space="preserve"> </w:t>
      </w:r>
      <w:r w:rsidRPr="00CA47B9">
        <w:t>OE</w:t>
      </w:r>
      <w:r w:rsidR="004B41A2" w:rsidRPr="00CA47B9">
        <w:t xml:space="preserve"> </w:t>
      </w:r>
      <w:r w:rsidRPr="00CA47B9">
        <w:t>are</w:t>
      </w:r>
      <w:r w:rsidR="004B41A2" w:rsidRPr="00CA47B9">
        <w:t xml:space="preserve"> </w:t>
      </w:r>
      <w:r w:rsidRPr="00CA47B9">
        <w:t>fully</w:t>
      </w:r>
      <w:r w:rsidR="004B41A2" w:rsidRPr="00CA47B9">
        <w:t xml:space="preserve"> </w:t>
      </w:r>
      <w:r w:rsidRPr="00CA47B9">
        <w:t>consistent</w:t>
      </w:r>
      <w:r w:rsidR="004B41A2" w:rsidRPr="00CA47B9">
        <w:t xml:space="preserve"> </w:t>
      </w:r>
      <w:r w:rsidRPr="00CA47B9">
        <w:t>with</w:t>
      </w:r>
      <w:r w:rsidR="004B41A2" w:rsidRPr="00CA47B9">
        <w:t xml:space="preserve"> </w:t>
      </w:r>
      <w:r w:rsidRPr="00CA47B9">
        <w:t>broader</w:t>
      </w:r>
      <w:r w:rsidR="004B41A2" w:rsidRPr="00CA47B9">
        <w:t xml:space="preserve"> </w:t>
      </w:r>
      <w:r w:rsidRPr="00CA47B9">
        <w:t>regional,</w:t>
      </w:r>
      <w:r w:rsidR="004B41A2" w:rsidRPr="00CA47B9">
        <w:t xml:space="preserve"> </w:t>
      </w:r>
      <w:r w:rsidRPr="00CA47B9">
        <w:t>national</w:t>
      </w:r>
      <w:r w:rsidR="004B41A2" w:rsidRPr="00CA47B9">
        <w:t xml:space="preserve"> </w:t>
      </w:r>
      <w:r w:rsidRPr="00CA47B9">
        <w:t>and</w:t>
      </w:r>
      <w:r w:rsidR="004B41A2" w:rsidRPr="00CA47B9">
        <w:t xml:space="preserve"> </w:t>
      </w:r>
      <w:r w:rsidRPr="00CA47B9">
        <w:t>international</w:t>
      </w:r>
      <w:r w:rsidR="004B41A2" w:rsidRPr="00CA47B9">
        <w:t xml:space="preserve"> </w:t>
      </w:r>
      <w:r w:rsidRPr="00CA47B9">
        <w:t>models</w:t>
      </w:r>
      <w:r w:rsidR="004B41A2" w:rsidRPr="00CA47B9">
        <w:t xml:space="preserve"> </w:t>
      </w:r>
      <w:r w:rsidRPr="00CA47B9">
        <w:t>and</w:t>
      </w:r>
      <w:r w:rsidR="004B41A2" w:rsidRPr="00CA47B9">
        <w:t xml:space="preserve"> </w:t>
      </w:r>
      <w:r w:rsidRPr="00CA47B9">
        <w:t>forecasts.</w:t>
      </w:r>
      <w:r w:rsidR="004B41A2" w:rsidRPr="00CA47B9">
        <w:t xml:space="preserve"> </w:t>
      </w:r>
      <w:r w:rsidRPr="00CA47B9">
        <w:t>This</w:t>
      </w:r>
      <w:r w:rsidR="004B41A2" w:rsidRPr="00CA47B9">
        <w:t xml:space="preserve"> </w:t>
      </w:r>
      <w:r w:rsidRPr="00CA47B9">
        <w:t>ensures</w:t>
      </w:r>
      <w:r w:rsidR="004B41A2" w:rsidRPr="00CA47B9">
        <w:t xml:space="preserve"> </w:t>
      </w:r>
      <w:r w:rsidRPr="00CA47B9">
        <w:t>global</w:t>
      </w:r>
      <w:r w:rsidR="004B41A2" w:rsidRPr="00CA47B9">
        <w:t xml:space="preserve"> </w:t>
      </w:r>
      <w:r w:rsidRPr="00CA47B9">
        <w:t>events</w:t>
      </w:r>
      <w:r w:rsidR="004B41A2" w:rsidRPr="00CA47B9">
        <w:t xml:space="preserve"> </w:t>
      </w:r>
      <w:r w:rsidRPr="00CA47B9">
        <w:t>that</w:t>
      </w:r>
      <w:r w:rsidR="004B41A2" w:rsidRPr="00CA47B9">
        <w:t xml:space="preserve"> </w:t>
      </w:r>
      <w:r w:rsidRPr="00CA47B9">
        <w:t>impact</w:t>
      </w:r>
      <w:r w:rsidR="004B41A2" w:rsidRPr="00CA47B9">
        <w:t xml:space="preserve"> </w:t>
      </w:r>
      <w:r w:rsidRPr="00CA47B9">
        <w:t>on</w:t>
      </w:r>
      <w:r w:rsidR="004B41A2" w:rsidRPr="00CA47B9">
        <w:t xml:space="preserve"> </w:t>
      </w:r>
      <w:r w:rsidRPr="00CA47B9">
        <w:t>the</w:t>
      </w:r>
      <w:r w:rsidR="004B41A2" w:rsidRPr="00CA47B9">
        <w:t xml:space="preserve"> </w:t>
      </w:r>
      <w:r w:rsidRPr="00CA47B9">
        <w:t>performance</w:t>
      </w:r>
      <w:r w:rsidR="004B41A2" w:rsidRPr="00CA47B9">
        <w:t xml:space="preserve"> </w:t>
      </w:r>
      <w:r w:rsidRPr="00CA47B9">
        <w:t>of</w:t>
      </w:r>
      <w:r w:rsidR="004B41A2" w:rsidRPr="00CA47B9">
        <w:t xml:space="preserve"> </w:t>
      </w:r>
      <w:r w:rsidRPr="00CA47B9">
        <w:t>UK</w:t>
      </w:r>
      <w:r w:rsidR="004B41A2" w:rsidRPr="00CA47B9">
        <w:t xml:space="preserve"> </w:t>
      </w:r>
      <w:r w:rsidRPr="00CA47B9">
        <w:t>local</w:t>
      </w:r>
      <w:r w:rsidR="004B41A2" w:rsidRPr="00CA47B9">
        <w:t xml:space="preserve"> </w:t>
      </w:r>
      <w:r w:rsidRPr="00CA47B9">
        <w:t>economies,</w:t>
      </w:r>
      <w:r w:rsidR="004B41A2" w:rsidRPr="00CA47B9">
        <w:t xml:space="preserve"> </w:t>
      </w:r>
      <w:r w:rsidRPr="00CA47B9">
        <w:t>such</w:t>
      </w:r>
      <w:r w:rsidR="004B41A2" w:rsidRPr="00CA47B9">
        <w:t xml:space="preserve"> </w:t>
      </w:r>
      <w:r w:rsidRPr="00CA47B9">
        <w:t>as</w:t>
      </w:r>
      <w:r w:rsidR="004B41A2" w:rsidRPr="00CA47B9">
        <w:t xml:space="preserve"> </w:t>
      </w:r>
      <w:r w:rsidRPr="00CA47B9">
        <w:t>the</w:t>
      </w:r>
      <w:r w:rsidR="004B41A2" w:rsidRPr="00CA47B9">
        <w:t xml:space="preserve"> </w:t>
      </w:r>
      <w:r w:rsidRPr="00CA47B9">
        <w:t>strength</w:t>
      </w:r>
      <w:r w:rsidR="004B41A2" w:rsidRPr="00CA47B9">
        <w:t xml:space="preserve"> </w:t>
      </w:r>
      <w:r w:rsidRPr="00CA47B9">
        <w:t>of</w:t>
      </w:r>
      <w:r w:rsidR="004B41A2" w:rsidRPr="00CA47B9">
        <w:t xml:space="preserve"> </w:t>
      </w:r>
      <w:r w:rsidRPr="00CA47B9">
        <w:t>global</w:t>
      </w:r>
      <w:r w:rsidR="004B41A2" w:rsidRPr="00CA47B9">
        <w:t xml:space="preserve"> </w:t>
      </w:r>
      <w:r w:rsidRPr="00CA47B9">
        <w:t>trade</w:t>
      </w:r>
      <w:r w:rsidR="004B41A2" w:rsidRPr="00CA47B9">
        <w:t xml:space="preserve"> </w:t>
      </w:r>
      <w:r w:rsidRPr="00CA47B9">
        <w:t>are</w:t>
      </w:r>
      <w:r w:rsidR="004B41A2" w:rsidRPr="00CA47B9">
        <w:t xml:space="preserve"> </w:t>
      </w:r>
      <w:r w:rsidRPr="00CA47B9">
        <w:t>fully</w:t>
      </w:r>
      <w:r w:rsidR="004B41A2" w:rsidRPr="00CA47B9">
        <w:t xml:space="preserve"> </w:t>
      </w:r>
      <w:r w:rsidRPr="00CA47B9">
        <w:t>captured</w:t>
      </w:r>
      <w:r w:rsidR="004B41A2" w:rsidRPr="00CA47B9">
        <w:t xml:space="preserve"> </w:t>
      </w:r>
      <w:r w:rsidRPr="00CA47B9">
        <w:t>in</w:t>
      </w:r>
      <w:r w:rsidR="004B41A2" w:rsidRPr="00CA47B9">
        <w:t xml:space="preserve"> </w:t>
      </w:r>
      <w:r w:rsidRPr="00CA47B9">
        <w:t>the</w:t>
      </w:r>
      <w:r w:rsidR="004B41A2" w:rsidRPr="00CA47B9">
        <w:t xml:space="preserve"> </w:t>
      </w:r>
      <w:r w:rsidRPr="00CA47B9">
        <w:t>forecasts</w:t>
      </w:r>
      <w:r w:rsidR="004B41A2" w:rsidRPr="00CA47B9">
        <w:t xml:space="preserve"> </w:t>
      </w:r>
      <w:r w:rsidRPr="00CA47B9">
        <w:t>for</w:t>
      </w:r>
      <w:r w:rsidR="004B41A2" w:rsidRPr="00CA47B9">
        <w:t xml:space="preserve"> </w:t>
      </w:r>
      <w:r w:rsidRPr="00CA47B9">
        <w:t>a</w:t>
      </w:r>
      <w:r w:rsidR="004B41A2" w:rsidRPr="00CA47B9">
        <w:t xml:space="preserve"> </w:t>
      </w:r>
      <w:r w:rsidRPr="00CA47B9">
        <w:t>local</w:t>
      </w:r>
      <w:r w:rsidR="004B41A2" w:rsidRPr="00CA47B9">
        <w:t xml:space="preserve"> </w:t>
      </w:r>
      <w:r w:rsidRPr="00CA47B9">
        <w:t>area.</w:t>
      </w:r>
      <w:r w:rsidR="004B41A2" w:rsidRPr="00CA47B9">
        <w:t xml:space="preserve"> </w:t>
      </w:r>
      <w:r w:rsidRPr="00CA47B9">
        <w:t>So</w:t>
      </w:r>
      <w:r w:rsidR="004B41A2" w:rsidRPr="00CA47B9">
        <w:t xml:space="preserve"> </w:t>
      </w:r>
      <w:r w:rsidRPr="00CA47B9">
        <w:t>too</w:t>
      </w:r>
      <w:r w:rsidR="004B41A2" w:rsidRPr="00CA47B9">
        <w:t xml:space="preserve"> </w:t>
      </w:r>
      <w:r w:rsidRPr="00CA47B9">
        <w:t>are</w:t>
      </w:r>
      <w:r w:rsidR="004B41A2" w:rsidRPr="00CA47B9">
        <w:t xml:space="preserve"> </w:t>
      </w:r>
      <w:r w:rsidR="00855CA6" w:rsidRPr="00CA47B9">
        <w:t>national</w:t>
      </w:r>
      <w:r w:rsidR="00855CA6">
        <w:t>-</w:t>
      </w:r>
      <w:r w:rsidRPr="00CA47B9">
        <w:t>level</w:t>
      </w:r>
      <w:r w:rsidR="004B41A2" w:rsidRPr="00CA47B9">
        <w:t xml:space="preserve"> </w:t>
      </w:r>
      <w:r w:rsidRPr="00CA47B9">
        <w:t>growth</w:t>
      </w:r>
      <w:r w:rsidR="004B41A2" w:rsidRPr="00CA47B9">
        <w:t xml:space="preserve"> </w:t>
      </w:r>
      <w:r w:rsidRPr="00CA47B9">
        <w:t>and</w:t>
      </w:r>
      <w:r w:rsidR="004B41A2" w:rsidRPr="00CA47B9">
        <w:t xml:space="preserve"> </w:t>
      </w:r>
      <w:r w:rsidRPr="00CA47B9">
        <w:t>policies,</w:t>
      </w:r>
      <w:r w:rsidR="004B41A2" w:rsidRPr="00CA47B9">
        <w:t xml:space="preserve"> </w:t>
      </w:r>
      <w:r w:rsidRPr="00CA47B9">
        <w:t>whether</w:t>
      </w:r>
      <w:r w:rsidR="004B41A2" w:rsidRPr="00CA47B9">
        <w:t xml:space="preserve"> </w:t>
      </w:r>
      <w:r w:rsidRPr="00CA47B9">
        <w:t>that</w:t>
      </w:r>
      <w:r w:rsidR="004B41A2" w:rsidRPr="00CA47B9">
        <w:t xml:space="preserve"> </w:t>
      </w:r>
      <w:r w:rsidRPr="00CA47B9">
        <w:t>be</w:t>
      </w:r>
      <w:r w:rsidR="004B41A2" w:rsidRPr="00CA47B9">
        <w:t xml:space="preserve"> </w:t>
      </w:r>
      <w:r w:rsidRPr="00CA47B9">
        <w:t>the</w:t>
      </w:r>
      <w:r w:rsidR="004B41A2" w:rsidRPr="00CA47B9">
        <w:t xml:space="preserve"> </w:t>
      </w:r>
      <w:r w:rsidRPr="00CA47B9">
        <w:t>impact</w:t>
      </w:r>
      <w:r w:rsidR="004B41A2" w:rsidRPr="00CA47B9">
        <w:t xml:space="preserve"> </w:t>
      </w:r>
      <w:r w:rsidRPr="00CA47B9">
        <w:t>of</w:t>
      </w:r>
      <w:r w:rsidR="004B41A2" w:rsidRPr="00CA47B9">
        <w:t xml:space="preserve"> </w:t>
      </w:r>
      <w:r w:rsidRPr="00CA47B9">
        <w:t>monetary</w:t>
      </w:r>
      <w:r w:rsidR="004B41A2" w:rsidRPr="00CA47B9">
        <w:t xml:space="preserve"> </w:t>
      </w:r>
      <w:r w:rsidRPr="00CA47B9">
        <w:t>policy</w:t>
      </w:r>
      <w:r w:rsidR="004B41A2" w:rsidRPr="00CA47B9">
        <w:t xml:space="preserve"> </w:t>
      </w:r>
      <w:r w:rsidRPr="00CA47B9">
        <w:t>on</w:t>
      </w:r>
      <w:r w:rsidR="004B41A2" w:rsidRPr="00CA47B9">
        <w:t xml:space="preserve"> </w:t>
      </w:r>
      <w:r w:rsidRPr="00CA47B9">
        <w:t>consumer</w:t>
      </w:r>
      <w:r w:rsidR="004B41A2" w:rsidRPr="00CA47B9">
        <w:t xml:space="preserve"> </w:t>
      </w:r>
      <w:r w:rsidRPr="00CA47B9">
        <w:t>spending</w:t>
      </w:r>
      <w:r w:rsidR="004B41A2" w:rsidRPr="00CA47B9">
        <w:t xml:space="preserve"> </w:t>
      </w:r>
      <w:r w:rsidRPr="00CA47B9">
        <w:t>or</w:t>
      </w:r>
      <w:r w:rsidR="004B41A2" w:rsidRPr="00CA47B9">
        <w:t xml:space="preserve"> </w:t>
      </w:r>
      <w:r w:rsidRPr="00CA47B9">
        <w:t>government</w:t>
      </w:r>
      <w:r w:rsidR="004B41A2" w:rsidRPr="00CA47B9">
        <w:t xml:space="preserve"> </w:t>
      </w:r>
      <w:r w:rsidRPr="00CA47B9">
        <w:t>spending</w:t>
      </w:r>
      <w:r w:rsidR="004B41A2" w:rsidRPr="00CA47B9">
        <w:t xml:space="preserve"> </w:t>
      </w:r>
      <w:r w:rsidRPr="00CA47B9">
        <w:t>on</w:t>
      </w:r>
      <w:r w:rsidR="004B41A2" w:rsidRPr="00CA47B9">
        <w:t xml:space="preserve"> </w:t>
      </w:r>
      <w:r w:rsidRPr="00CA47B9">
        <w:t>locally</w:t>
      </w:r>
      <w:r w:rsidR="004B41A2" w:rsidRPr="00CA47B9">
        <w:t xml:space="preserve"> </w:t>
      </w:r>
      <w:r w:rsidRPr="00CA47B9">
        <w:t>provided</w:t>
      </w:r>
      <w:r w:rsidR="004B41A2" w:rsidRPr="00CA47B9">
        <w:t xml:space="preserve"> </w:t>
      </w:r>
      <w:r w:rsidRPr="00CA47B9">
        <w:t>public</w:t>
      </w:r>
      <w:r w:rsidR="004B41A2" w:rsidRPr="00CA47B9">
        <w:t xml:space="preserve"> </w:t>
      </w:r>
      <w:r w:rsidRPr="00CA47B9">
        <w:t>services;</w:t>
      </w:r>
    </w:p>
    <w:p w:rsidR="00B0298E" w:rsidRPr="00CA47B9" w:rsidRDefault="00B0298E" w:rsidP="00ED1C06">
      <w:pPr>
        <w:pStyle w:val="10BulletBodytext"/>
      </w:pPr>
      <w:r w:rsidRPr="00CA47B9">
        <w:t>Historical</w:t>
      </w:r>
      <w:r w:rsidR="004B41A2" w:rsidRPr="00CA47B9">
        <w:t xml:space="preserve"> </w:t>
      </w:r>
      <w:r w:rsidRPr="00CA47B9">
        <w:t>trends</w:t>
      </w:r>
      <w:r w:rsidR="004B41A2" w:rsidRPr="00CA47B9">
        <w:t xml:space="preserve"> </w:t>
      </w:r>
      <w:r w:rsidRPr="00CA47B9">
        <w:t>in</w:t>
      </w:r>
      <w:r w:rsidR="004B41A2" w:rsidRPr="00CA47B9">
        <w:t xml:space="preserve"> </w:t>
      </w:r>
      <w:r w:rsidRPr="00CA47B9">
        <w:t>an</w:t>
      </w:r>
      <w:r w:rsidR="004B41A2" w:rsidRPr="00CA47B9">
        <w:t xml:space="preserve"> </w:t>
      </w:r>
      <w:r w:rsidRPr="00CA47B9">
        <w:t>area,</w:t>
      </w:r>
      <w:r w:rsidR="004B41A2" w:rsidRPr="00CA47B9">
        <w:t xml:space="preserve"> </w:t>
      </w:r>
      <w:r w:rsidRPr="00CA47B9">
        <w:t>which</w:t>
      </w:r>
      <w:r w:rsidR="004B41A2" w:rsidRPr="00CA47B9">
        <w:t xml:space="preserve"> </w:t>
      </w:r>
      <w:r w:rsidRPr="00CA47B9">
        <w:t>implicitly</w:t>
      </w:r>
      <w:r w:rsidR="004B41A2" w:rsidRPr="00CA47B9">
        <w:t xml:space="preserve"> </w:t>
      </w:r>
      <w:r w:rsidRPr="00CA47B9">
        <w:t>factor</w:t>
      </w:r>
      <w:r w:rsidR="004B41A2" w:rsidRPr="00CA47B9">
        <w:t xml:space="preserve"> </w:t>
      </w:r>
      <w:r w:rsidRPr="00CA47B9">
        <w:t>in</w:t>
      </w:r>
      <w:r w:rsidR="004B41A2" w:rsidRPr="00CA47B9">
        <w:t xml:space="preserve"> </w:t>
      </w:r>
      <w:r w:rsidR="00855CA6" w:rsidRPr="00CA47B9">
        <w:t>supply</w:t>
      </w:r>
      <w:r w:rsidR="00855CA6">
        <w:t>-</w:t>
      </w:r>
      <w:r w:rsidRPr="00CA47B9">
        <w:t>side</w:t>
      </w:r>
      <w:r w:rsidR="004B41A2" w:rsidRPr="00CA47B9">
        <w:t xml:space="preserve"> </w:t>
      </w:r>
      <w:r w:rsidRPr="00CA47B9">
        <w:t>factors</w:t>
      </w:r>
      <w:r w:rsidR="004B41A2" w:rsidRPr="00CA47B9">
        <w:t xml:space="preserve"> </w:t>
      </w:r>
      <w:r w:rsidRPr="00CA47B9">
        <w:t>affecting</w:t>
      </w:r>
      <w:r w:rsidR="004B41A2" w:rsidRPr="00CA47B9">
        <w:t xml:space="preserve"> </w:t>
      </w:r>
      <w:r w:rsidRPr="00CA47B9">
        <w:t>demand,</w:t>
      </w:r>
      <w:r w:rsidR="004B41A2" w:rsidRPr="00CA47B9">
        <w:t xml:space="preserve"> </w:t>
      </w:r>
      <w:r w:rsidR="00FD0E9C">
        <w:t xml:space="preserve">are </w:t>
      </w:r>
      <w:r w:rsidRPr="00CA47B9">
        <w:t>combined</w:t>
      </w:r>
      <w:r w:rsidR="004B41A2" w:rsidRPr="00CA47B9">
        <w:t xml:space="preserve"> </w:t>
      </w:r>
      <w:r w:rsidRPr="00CA47B9">
        <w:t>with</w:t>
      </w:r>
      <w:r w:rsidR="004B41A2" w:rsidRPr="00CA47B9">
        <w:t xml:space="preserve"> </w:t>
      </w:r>
      <w:r w:rsidRPr="00CA47B9">
        <w:t>the</w:t>
      </w:r>
      <w:r w:rsidR="004B41A2" w:rsidRPr="00CA47B9">
        <w:t xml:space="preserve"> </w:t>
      </w:r>
      <w:r w:rsidRPr="00CA47B9">
        <w:t>OE</w:t>
      </w:r>
      <w:r w:rsidR="004B41A2" w:rsidRPr="00CA47B9">
        <w:t xml:space="preserve"> </w:t>
      </w:r>
      <w:r w:rsidRPr="00CA47B9">
        <w:t>and</w:t>
      </w:r>
      <w:r w:rsidR="004B41A2" w:rsidRPr="00CA47B9">
        <w:t xml:space="preserve"> </w:t>
      </w:r>
      <w:r w:rsidRPr="00CA47B9">
        <w:t>GLH</w:t>
      </w:r>
      <w:r w:rsidR="004B41A2" w:rsidRPr="00CA47B9">
        <w:t xml:space="preserve"> </w:t>
      </w:r>
      <w:r w:rsidRPr="00CA47B9">
        <w:t>knowledge</w:t>
      </w:r>
      <w:r w:rsidR="004B41A2" w:rsidRPr="00CA47B9">
        <w:t xml:space="preserve"> </w:t>
      </w:r>
      <w:r w:rsidRPr="00CA47B9">
        <w:t>of</w:t>
      </w:r>
      <w:r w:rsidR="004B41A2" w:rsidRPr="00CA47B9">
        <w:t xml:space="preserve"> </w:t>
      </w:r>
      <w:r w:rsidRPr="00CA47B9">
        <w:t>local</w:t>
      </w:r>
      <w:r w:rsidR="004B41A2" w:rsidRPr="00CA47B9">
        <w:t xml:space="preserve"> </w:t>
      </w:r>
      <w:r w:rsidRPr="00CA47B9">
        <w:t>areas</w:t>
      </w:r>
      <w:r w:rsidR="004B41A2" w:rsidRPr="00CA47B9">
        <w:t xml:space="preserve"> </w:t>
      </w:r>
      <w:r w:rsidRPr="00CA47B9">
        <w:t>and</w:t>
      </w:r>
      <w:r w:rsidR="004B41A2" w:rsidRPr="00CA47B9">
        <w:t xml:space="preserve"> </w:t>
      </w:r>
      <w:r w:rsidRPr="00CA47B9">
        <w:t>the</w:t>
      </w:r>
      <w:r w:rsidR="004B41A2" w:rsidRPr="00CA47B9">
        <w:t xml:space="preserve"> </w:t>
      </w:r>
      <w:r w:rsidRPr="00CA47B9">
        <w:lastRenderedPageBreak/>
        <w:t>patterns</w:t>
      </w:r>
      <w:r w:rsidR="004B41A2" w:rsidRPr="00CA47B9">
        <w:t xml:space="preserve"> </w:t>
      </w:r>
      <w:r w:rsidRPr="00CA47B9">
        <w:t>of</w:t>
      </w:r>
      <w:r w:rsidR="004B41A2" w:rsidRPr="00CA47B9">
        <w:t xml:space="preserve"> </w:t>
      </w:r>
      <w:r w:rsidRPr="00CA47B9">
        <w:t>local</w:t>
      </w:r>
      <w:r w:rsidR="004B41A2" w:rsidRPr="00CA47B9">
        <w:t xml:space="preserve"> </w:t>
      </w:r>
      <w:r w:rsidRPr="00CA47B9">
        <w:t>economic</w:t>
      </w:r>
      <w:r w:rsidR="004B41A2" w:rsidRPr="00CA47B9">
        <w:t xml:space="preserve"> </w:t>
      </w:r>
      <w:r w:rsidRPr="00CA47B9">
        <w:t>development.</w:t>
      </w:r>
      <w:r w:rsidR="004B41A2" w:rsidRPr="00CA47B9">
        <w:t xml:space="preserve"> </w:t>
      </w:r>
      <w:r w:rsidRPr="00CA47B9">
        <w:t>This</w:t>
      </w:r>
      <w:r w:rsidR="004B41A2" w:rsidRPr="00CA47B9">
        <w:t xml:space="preserve"> </w:t>
      </w:r>
      <w:r w:rsidRPr="00CA47B9">
        <w:t>ensures</w:t>
      </w:r>
      <w:r w:rsidR="004B41A2" w:rsidRPr="00CA47B9">
        <w:t xml:space="preserve"> </w:t>
      </w:r>
      <w:r w:rsidRPr="00CA47B9">
        <w:t>for</w:t>
      </w:r>
      <w:r w:rsidR="004B41A2" w:rsidRPr="00CA47B9">
        <w:t xml:space="preserve"> </w:t>
      </w:r>
      <w:r w:rsidRPr="00CA47B9">
        <w:t>example,</w:t>
      </w:r>
      <w:r w:rsidR="004B41A2" w:rsidRPr="00CA47B9">
        <w:t xml:space="preserve"> </w:t>
      </w:r>
      <w:r w:rsidRPr="00CA47B9">
        <w:t>that</w:t>
      </w:r>
      <w:r w:rsidR="004B41A2" w:rsidRPr="00CA47B9">
        <w:t xml:space="preserve"> </w:t>
      </w:r>
      <w:r w:rsidRPr="00CA47B9">
        <w:t>we</w:t>
      </w:r>
      <w:r w:rsidR="004B41A2" w:rsidRPr="00CA47B9">
        <w:t xml:space="preserve"> </w:t>
      </w:r>
      <w:r w:rsidRPr="00CA47B9">
        <w:t>recognise</w:t>
      </w:r>
      <w:r w:rsidR="004B41A2" w:rsidRPr="00CA47B9">
        <w:t xml:space="preserve"> </w:t>
      </w:r>
      <w:r w:rsidRPr="00CA47B9">
        <w:t>and</w:t>
      </w:r>
      <w:r w:rsidR="004B41A2" w:rsidRPr="00CA47B9">
        <w:t xml:space="preserve"> </w:t>
      </w:r>
      <w:r w:rsidRPr="00CA47B9">
        <w:t>factor</w:t>
      </w:r>
      <w:r w:rsidR="004B41A2" w:rsidRPr="00CA47B9">
        <w:t xml:space="preserve"> </w:t>
      </w:r>
      <w:r w:rsidR="00CA47B9" w:rsidRPr="00CA47B9">
        <w:t>into</w:t>
      </w:r>
      <w:r w:rsidR="004B41A2" w:rsidRPr="00CA47B9">
        <w:t xml:space="preserve"> </w:t>
      </w:r>
      <w:r w:rsidRPr="00CA47B9">
        <w:t>the</w:t>
      </w:r>
      <w:r w:rsidR="004B41A2" w:rsidRPr="00CA47B9">
        <w:t xml:space="preserve"> </w:t>
      </w:r>
      <w:r w:rsidRPr="00CA47B9">
        <w:t>forecasts</w:t>
      </w:r>
      <w:r w:rsidR="004B41A2" w:rsidRPr="00CA47B9">
        <w:t xml:space="preserve"> </w:t>
      </w:r>
      <w:r w:rsidRPr="00CA47B9">
        <w:t>any</w:t>
      </w:r>
      <w:r w:rsidR="004B41A2" w:rsidRPr="00CA47B9">
        <w:t xml:space="preserve"> </w:t>
      </w:r>
      <w:r w:rsidRPr="00CA47B9">
        <w:t>evidence</w:t>
      </w:r>
      <w:r w:rsidR="004B41A2" w:rsidRPr="00CA47B9">
        <w:t xml:space="preserve"> </w:t>
      </w:r>
      <w:r w:rsidRPr="00CA47B9">
        <w:t>of</w:t>
      </w:r>
      <w:r w:rsidR="004B41A2" w:rsidRPr="00CA47B9">
        <w:t xml:space="preserve"> </w:t>
      </w:r>
      <w:r w:rsidRPr="00CA47B9">
        <w:t>particularly</w:t>
      </w:r>
      <w:r w:rsidR="004B41A2" w:rsidRPr="00CA47B9">
        <w:t xml:space="preserve"> </w:t>
      </w:r>
      <w:r w:rsidRPr="00CA47B9">
        <w:t>high/low</w:t>
      </w:r>
      <w:r w:rsidR="004B41A2" w:rsidRPr="00CA47B9">
        <w:t xml:space="preserve"> </w:t>
      </w:r>
      <w:r w:rsidRPr="00CA47B9">
        <w:t>levels</w:t>
      </w:r>
      <w:r w:rsidR="004B41A2" w:rsidRPr="00CA47B9">
        <w:t xml:space="preserve"> </w:t>
      </w:r>
      <w:r w:rsidRPr="00CA47B9">
        <w:t>of</w:t>
      </w:r>
      <w:r w:rsidR="004B41A2" w:rsidRPr="00CA47B9">
        <w:t xml:space="preserve"> </w:t>
      </w:r>
      <w:r w:rsidRPr="00CA47B9">
        <w:t>competitiveness</w:t>
      </w:r>
      <w:r w:rsidR="004B41A2" w:rsidRPr="00CA47B9">
        <w:t xml:space="preserve"> </w:t>
      </w:r>
      <w:r w:rsidRPr="00CA47B9">
        <w:t>that</w:t>
      </w:r>
      <w:r w:rsidR="004B41A2" w:rsidRPr="00CA47B9">
        <w:t xml:space="preserve"> </w:t>
      </w:r>
      <w:r w:rsidRPr="00CA47B9">
        <w:t>local</w:t>
      </w:r>
      <w:r w:rsidR="004B41A2" w:rsidRPr="00CA47B9">
        <w:t xml:space="preserve"> </w:t>
      </w:r>
      <w:r w:rsidRPr="00CA47B9">
        <w:t>economies</w:t>
      </w:r>
      <w:r w:rsidR="004B41A2" w:rsidRPr="00CA47B9">
        <w:t xml:space="preserve"> </w:t>
      </w:r>
      <w:r w:rsidRPr="00CA47B9">
        <w:t>have</w:t>
      </w:r>
      <w:r w:rsidR="004B41A2" w:rsidRPr="00CA47B9">
        <w:t xml:space="preserve"> </w:t>
      </w:r>
      <w:r w:rsidRPr="00CA47B9">
        <w:t>in</w:t>
      </w:r>
      <w:r w:rsidR="004B41A2" w:rsidRPr="00CA47B9">
        <w:t xml:space="preserve"> </w:t>
      </w:r>
      <w:r w:rsidRPr="00CA47B9">
        <w:t>particular</w:t>
      </w:r>
      <w:r w:rsidR="004B41A2" w:rsidRPr="00CA47B9">
        <w:t xml:space="preserve"> </w:t>
      </w:r>
      <w:r w:rsidRPr="00CA47B9">
        <w:t>activities.</w:t>
      </w:r>
      <w:r w:rsidR="004B41A2" w:rsidRPr="00CA47B9">
        <w:t xml:space="preserve"> </w:t>
      </w:r>
      <w:r w:rsidRPr="00CA47B9">
        <w:t>It</w:t>
      </w:r>
      <w:r w:rsidR="004B41A2" w:rsidRPr="00CA47B9">
        <w:t xml:space="preserve"> </w:t>
      </w:r>
      <w:r w:rsidRPr="00CA47B9">
        <w:t>also</w:t>
      </w:r>
      <w:r w:rsidR="004B41A2" w:rsidRPr="00CA47B9">
        <w:t xml:space="preserve"> </w:t>
      </w:r>
      <w:r w:rsidR="00FD0E9C">
        <w:t>includes</w:t>
      </w:r>
      <w:r w:rsidR="004B41A2" w:rsidRPr="00CA47B9">
        <w:t xml:space="preserve"> </w:t>
      </w:r>
      <w:r w:rsidRPr="00CA47B9">
        <w:t>national</w:t>
      </w:r>
      <w:r w:rsidR="004B41A2" w:rsidRPr="00CA47B9">
        <w:t xml:space="preserve"> </w:t>
      </w:r>
      <w:r w:rsidRPr="00CA47B9">
        <w:t>policy</w:t>
      </w:r>
      <w:r w:rsidR="004B41A2" w:rsidRPr="00CA47B9">
        <w:t xml:space="preserve"> </w:t>
      </w:r>
      <w:r w:rsidRPr="00CA47B9">
        <w:t>programmes</w:t>
      </w:r>
      <w:r w:rsidR="004B41A2" w:rsidRPr="00CA47B9">
        <w:t xml:space="preserve"> </w:t>
      </w:r>
      <w:r w:rsidRPr="00CA47B9">
        <w:t>that</w:t>
      </w:r>
      <w:r w:rsidR="004B41A2" w:rsidRPr="00CA47B9">
        <w:t xml:space="preserve"> </w:t>
      </w:r>
      <w:r w:rsidRPr="00CA47B9">
        <w:t>have</w:t>
      </w:r>
      <w:r w:rsidR="004B41A2" w:rsidRPr="00CA47B9">
        <w:t xml:space="preserve"> </w:t>
      </w:r>
      <w:r w:rsidRPr="00CA47B9">
        <w:t>a</w:t>
      </w:r>
      <w:r w:rsidR="004B41A2" w:rsidRPr="00CA47B9">
        <w:t xml:space="preserve"> </w:t>
      </w:r>
      <w:r w:rsidRPr="00CA47B9">
        <w:t>particular</w:t>
      </w:r>
      <w:r w:rsidR="004B41A2" w:rsidRPr="00CA47B9">
        <w:t xml:space="preserve"> </w:t>
      </w:r>
      <w:r w:rsidRPr="00CA47B9">
        <w:t>local</w:t>
      </w:r>
      <w:r w:rsidR="004B41A2" w:rsidRPr="00CA47B9">
        <w:t xml:space="preserve"> </w:t>
      </w:r>
      <w:r w:rsidRPr="00CA47B9">
        <w:t>impact</w:t>
      </w:r>
      <w:r w:rsidR="004B41A2" w:rsidRPr="00CA47B9">
        <w:t xml:space="preserve"> </w:t>
      </w:r>
      <w:r w:rsidRPr="00CA47B9">
        <w:t>and</w:t>
      </w:r>
      <w:r w:rsidR="004B41A2" w:rsidRPr="00CA47B9">
        <w:t xml:space="preserve"> </w:t>
      </w:r>
      <w:r w:rsidRPr="00CA47B9">
        <w:t>that</w:t>
      </w:r>
      <w:r w:rsidR="004B41A2" w:rsidRPr="00CA47B9">
        <w:t xml:space="preserve"> </w:t>
      </w:r>
      <w:r w:rsidRPr="00CA47B9">
        <w:t>are</w:t>
      </w:r>
      <w:r w:rsidR="004B41A2" w:rsidRPr="00CA47B9">
        <w:t xml:space="preserve"> </w:t>
      </w:r>
      <w:r w:rsidRPr="00CA47B9">
        <w:t>very</w:t>
      </w:r>
      <w:r w:rsidR="004B41A2" w:rsidRPr="00CA47B9">
        <w:t xml:space="preserve"> </w:t>
      </w:r>
      <w:r w:rsidRPr="00CA47B9">
        <w:t>likely</w:t>
      </w:r>
      <w:r w:rsidR="004B41A2" w:rsidRPr="00CA47B9">
        <w:t xml:space="preserve"> </w:t>
      </w:r>
      <w:r w:rsidRPr="00CA47B9">
        <w:t>to</w:t>
      </w:r>
      <w:r w:rsidR="004B41A2" w:rsidRPr="00CA47B9">
        <w:t xml:space="preserve"> </w:t>
      </w:r>
      <w:r w:rsidRPr="00CA47B9">
        <w:t>happen;</w:t>
      </w:r>
      <w:r w:rsidR="004B41A2" w:rsidRPr="00CA47B9">
        <w:t xml:space="preserve"> </w:t>
      </w:r>
      <w:r w:rsidRPr="00CA47B9">
        <w:t>and</w:t>
      </w:r>
    </w:p>
    <w:p w:rsidR="00B0298E" w:rsidRPr="00CA47B9" w:rsidRDefault="00B0298E" w:rsidP="00ED1C06">
      <w:pPr>
        <w:pStyle w:val="10BulletBodytext"/>
      </w:pPr>
      <w:r w:rsidRPr="00CA47B9">
        <w:t>Fundamental</w:t>
      </w:r>
      <w:r w:rsidR="004B41A2" w:rsidRPr="00CA47B9">
        <w:t xml:space="preserve"> </w:t>
      </w:r>
      <w:r w:rsidRPr="00CA47B9">
        <w:t>economic</w:t>
      </w:r>
      <w:r w:rsidR="004B41A2" w:rsidRPr="00CA47B9">
        <w:t xml:space="preserve"> </w:t>
      </w:r>
      <w:r w:rsidRPr="00CA47B9">
        <w:t>relationships</w:t>
      </w:r>
      <w:r w:rsidR="004B41A2" w:rsidRPr="00CA47B9">
        <w:t xml:space="preserve"> </w:t>
      </w:r>
      <w:r w:rsidRPr="00CA47B9">
        <w:t>which</w:t>
      </w:r>
      <w:r w:rsidR="004B41A2" w:rsidRPr="00CA47B9">
        <w:t xml:space="preserve"> </w:t>
      </w:r>
      <w:r w:rsidRPr="00CA47B9">
        <w:t>interlink</w:t>
      </w:r>
      <w:r w:rsidR="004B41A2" w:rsidRPr="00CA47B9">
        <w:t xml:space="preserve"> </w:t>
      </w:r>
      <w:r w:rsidRPr="00CA47B9">
        <w:t>the</w:t>
      </w:r>
      <w:r w:rsidR="004B41A2" w:rsidRPr="00CA47B9">
        <w:t xml:space="preserve"> </w:t>
      </w:r>
      <w:r w:rsidRPr="00CA47B9">
        <w:t>various</w:t>
      </w:r>
      <w:r w:rsidR="004B41A2" w:rsidRPr="00CA47B9">
        <w:t xml:space="preserve"> </w:t>
      </w:r>
      <w:r w:rsidRPr="00CA47B9">
        <w:t>elements</w:t>
      </w:r>
      <w:r w:rsidR="004B41A2" w:rsidRPr="00CA47B9">
        <w:t xml:space="preserve"> </w:t>
      </w:r>
      <w:r w:rsidRPr="00CA47B9">
        <w:t>of</w:t>
      </w:r>
      <w:r w:rsidR="004B41A2" w:rsidRPr="00CA47B9">
        <w:t xml:space="preserve"> </w:t>
      </w:r>
      <w:r w:rsidRPr="00CA47B9">
        <w:t>the</w:t>
      </w:r>
      <w:r w:rsidR="004B41A2" w:rsidRPr="00CA47B9">
        <w:t xml:space="preserve"> </w:t>
      </w:r>
      <w:r w:rsidRPr="00CA47B9">
        <w:t>outlook.</w:t>
      </w:r>
      <w:r w:rsidR="004B41A2" w:rsidRPr="00CA47B9">
        <w:t xml:space="preserve"> </w:t>
      </w:r>
      <w:r w:rsidRPr="00CA47B9">
        <w:t>OE’s</w:t>
      </w:r>
      <w:r w:rsidR="004B41A2" w:rsidRPr="00CA47B9">
        <w:t xml:space="preserve"> </w:t>
      </w:r>
      <w:r w:rsidRPr="00CA47B9">
        <w:t>models</w:t>
      </w:r>
      <w:r w:rsidR="004B41A2" w:rsidRPr="00CA47B9">
        <w:t xml:space="preserve"> </w:t>
      </w:r>
      <w:r w:rsidRPr="00CA47B9">
        <w:t>ensure</w:t>
      </w:r>
      <w:r w:rsidR="004B41A2" w:rsidRPr="00CA47B9">
        <w:t xml:space="preserve"> </w:t>
      </w:r>
      <w:r w:rsidRPr="00CA47B9">
        <w:t>full</w:t>
      </w:r>
      <w:r w:rsidR="004B41A2" w:rsidRPr="00CA47B9">
        <w:t xml:space="preserve"> </w:t>
      </w:r>
      <w:r w:rsidRPr="00CA47B9">
        <w:t>consistency</w:t>
      </w:r>
      <w:r w:rsidR="004B41A2" w:rsidRPr="00CA47B9">
        <w:t xml:space="preserve"> </w:t>
      </w:r>
      <w:r w:rsidRPr="00CA47B9">
        <w:t>between</w:t>
      </w:r>
      <w:r w:rsidR="004B41A2" w:rsidRPr="00CA47B9">
        <w:t xml:space="preserve"> </w:t>
      </w:r>
      <w:r w:rsidRPr="00CA47B9">
        <w:t>variables</w:t>
      </w:r>
      <w:r w:rsidR="004B41A2" w:rsidRPr="00CA47B9">
        <w:t xml:space="preserve"> </w:t>
      </w:r>
      <w:r w:rsidRPr="00CA47B9">
        <w:t>in</w:t>
      </w:r>
      <w:r w:rsidR="004B41A2" w:rsidRPr="00CA47B9">
        <w:t xml:space="preserve"> </w:t>
      </w:r>
      <w:r w:rsidRPr="00CA47B9">
        <w:t>a</w:t>
      </w:r>
      <w:r w:rsidR="004B41A2" w:rsidRPr="00CA47B9">
        <w:t xml:space="preserve"> </w:t>
      </w:r>
      <w:r w:rsidRPr="00CA47B9">
        <w:t>local</w:t>
      </w:r>
      <w:r w:rsidR="004B41A2" w:rsidRPr="00CA47B9">
        <w:t xml:space="preserve"> </w:t>
      </w:r>
      <w:r w:rsidRPr="00CA47B9">
        <w:t>area.</w:t>
      </w:r>
      <w:r w:rsidR="004B41A2" w:rsidRPr="00CA47B9">
        <w:t xml:space="preserve"> </w:t>
      </w:r>
      <w:r w:rsidRPr="00CA47B9">
        <w:t>For</w:t>
      </w:r>
      <w:r w:rsidR="004B41A2" w:rsidRPr="00CA47B9">
        <w:t xml:space="preserve"> </w:t>
      </w:r>
      <w:r w:rsidRPr="00CA47B9">
        <w:t>example,</w:t>
      </w:r>
      <w:r w:rsidR="004B41A2" w:rsidRPr="00CA47B9">
        <w:t xml:space="preserve"> </w:t>
      </w:r>
      <w:r w:rsidRPr="00CA47B9">
        <w:t>employment,</w:t>
      </w:r>
      <w:r w:rsidR="004B41A2" w:rsidRPr="00CA47B9">
        <w:t xml:space="preserve"> </w:t>
      </w:r>
      <w:r w:rsidRPr="00CA47B9">
        <w:t>commuting,</w:t>
      </w:r>
      <w:r w:rsidR="004B41A2" w:rsidRPr="00CA47B9">
        <w:t xml:space="preserve"> </w:t>
      </w:r>
      <w:r w:rsidRPr="00CA47B9">
        <w:t>migration</w:t>
      </w:r>
      <w:r w:rsidR="004B41A2" w:rsidRPr="00CA47B9">
        <w:t xml:space="preserve"> </w:t>
      </w:r>
      <w:r w:rsidRPr="00CA47B9">
        <w:t>and</w:t>
      </w:r>
      <w:r w:rsidR="004B41A2" w:rsidRPr="00CA47B9">
        <w:t xml:space="preserve"> </w:t>
      </w:r>
      <w:r w:rsidRPr="00CA47B9">
        <w:t>population</w:t>
      </w:r>
      <w:r w:rsidR="004B41A2" w:rsidRPr="00CA47B9">
        <w:t xml:space="preserve"> </w:t>
      </w:r>
      <w:r w:rsidRPr="00CA47B9">
        <w:t>are</w:t>
      </w:r>
      <w:r w:rsidR="004B41A2" w:rsidRPr="00CA47B9">
        <w:t xml:space="preserve"> </w:t>
      </w:r>
      <w:r w:rsidRPr="00CA47B9">
        <w:t>all</w:t>
      </w:r>
      <w:r w:rsidR="004B41A2" w:rsidRPr="00CA47B9">
        <w:t xml:space="preserve"> </w:t>
      </w:r>
      <w:r w:rsidRPr="00CA47B9">
        <w:t>affected</w:t>
      </w:r>
      <w:r w:rsidR="004B41A2" w:rsidRPr="00CA47B9">
        <w:t xml:space="preserve"> </w:t>
      </w:r>
      <w:r w:rsidRPr="00CA47B9">
        <w:t>by</w:t>
      </w:r>
      <w:r w:rsidR="004B41A2" w:rsidRPr="00CA47B9">
        <w:t xml:space="preserve"> </w:t>
      </w:r>
      <w:r w:rsidRPr="00CA47B9">
        <w:t>one</w:t>
      </w:r>
      <w:r w:rsidR="004B41A2" w:rsidRPr="00CA47B9">
        <w:t xml:space="preserve"> </w:t>
      </w:r>
      <w:r w:rsidRPr="00CA47B9">
        <w:t>another.</w:t>
      </w:r>
    </w:p>
    <w:p w:rsidR="00B0298E" w:rsidRPr="00CA47B9" w:rsidRDefault="00B0298E" w:rsidP="00020CFC">
      <w:pPr>
        <w:pStyle w:val="11Bodytext"/>
        <w:tabs>
          <w:tab w:val="clear" w:pos="2212"/>
          <w:tab w:val="num" w:pos="567"/>
        </w:tabs>
        <w:ind w:left="567" w:hanging="567"/>
      </w:pPr>
      <w:r w:rsidRPr="00CA47B9">
        <w:t>The</w:t>
      </w:r>
      <w:r w:rsidR="004B41A2" w:rsidRPr="00CA47B9">
        <w:t xml:space="preserve"> </w:t>
      </w:r>
      <w:r w:rsidRPr="00CA47B9">
        <w:t>forecasts</w:t>
      </w:r>
      <w:r w:rsidR="004B41A2" w:rsidRPr="00CA47B9">
        <w:t xml:space="preserve"> </w:t>
      </w:r>
      <w:r w:rsidRPr="00CA47B9">
        <w:t>are</w:t>
      </w:r>
      <w:r w:rsidR="004B41A2" w:rsidRPr="00CA47B9">
        <w:t xml:space="preserve"> </w:t>
      </w:r>
      <w:r w:rsidRPr="00CA47B9">
        <w:t>produced</w:t>
      </w:r>
      <w:r w:rsidR="004B41A2" w:rsidRPr="00CA47B9">
        <w:t xml:space="preserve"> </w:t>
      </w:r>
      <w:r w:rsidRPr="00CA47B9">
        <w:t>within</w:t>
      </w:r>
      <w:r w:rsidR="004B41A2" w:rsidRPr="00CA47B9">
        <w:t xml:space="preserve"> </w:t>
      </w:r>
      <w:r w:rsidRPr="00CA47B9">
        <w:t>a</w:t>
      </w:r>
      <w:r w:rsidR="004B41A2" w:rsidRPr="00CA47B9">
        <w:t xml:space="preserve"> </w:t>
      </w:r>
      <w:r w:rsidR="00CA47B9" w:rsidRPr="00CA47B9">
        <w:t>fully integrated</w:t>
      </w:r>
      <w:r w:rsidR="004B41A2" w:rsidRPr="00CA47B9">
        <w:t xml:space="preserve"> </w:t>
      </w:r>
      <w:r w:rsidRPr="00CA47B9">
        <w:t>system,</w:t>
      </w:r>
      <w:r w:rsidR="004B41A2" w:rsidRPr="00CA47B9">
        <w:t xml:space="preserve"> </w:t>
      </w:r>
      <w:r w:rsidRPr="00CA47B9">
        <w:t>which</w:t>
      </w:r>
      <w:r w:rsidR="004B41A2" w:rsidRPr="00CA47B9">
        <w:t xml:space="preserve"> </w:t>
      </w:r>
      <w:r w:rsidRPr="00CA47B9">
        <w:t>makes</w:t>
      </w:r>
      <w:r w:rsidR="004B41A2" w:rsidRPr="00CA47B9">
        <w:t xml:space="preserve"> </w:t>
      </w:r>
      <w:r w:rsidRPr="00CA47B9">
        <w:t>assumptions</w:t>
      </w:r>
      <w:r w:rsidR="004B41A2" w:rsidRPr="00CA47B9">
        <w:t xml:space="preserve"> </w:t>
      </w:r>
      <w:r w:rsidRPr="00CA47B9">
        <w:t>about</w:t>
      </w:r>
      <w:r w:rsidR="004B41A2" w:rsidRPr="00CA47B9">
        <w:t xml:space="preserve"> </w:t>
      </w:r>
      <w:r w:rsidRPr="00CA47B9">
        <w:t>migration,</w:t>
      </w:r>
      <w:r w:rsidR="004B41A2" w:rsidRPr="00CA47B9">
        <w:t xml:space="preserve"> </w:t>
      </w:r>
      <w:r w:rsidRPr="00CA47B9">
        <w:t>commuting</w:t>
      </w:r>
      <w:r w:rsidR="004B41A2" w:rsidRPr="00CA47B9">
        <w:t xml:space="preserve"> </w:t>
      </w:r>
      <w:r w:rsidRPr="00CA47B9">
        <w:t>and</w:t>
      </w:r>
      <w:r w:rsidR="004B41A2" w:rsidRPr="00CA47B9">
        <w:t xml:space="preserve"> </w:t>
      </w:r>
      <w:r w:rsidRPr="00CA47B9">
        <w:t>activity</w:t>
      </w:r>
      <w:r w:rsidR="004B41A2" w:rsidRPr="00CA47B9">
        <w:t xml:space="preserve"> </w:t>
      </w:r>
      <w:r w:rsidRPr="00CA47B9">
        <w:t>rates</w:t>
      </w:r>
      <w:r w:rsidR="004B41A2" w:rsidRPr="00CA47B9">
        <w:t xml:space="preserve"> </w:t>
      </w:r>
      <w:r w:rsidRPr="00CA47B9">
        <w:t>when</w:t>
      </w:r>
      <w:r w:rsidR="004B41A2" w:rsidRPr="00CA47B9">
        <w:t xml:space="preserve"> </w:t>
      </w:r>
      <w:r w:rsidRPr="00CA47B9">
        <w:t>producing</w:t>
      </w:r>
      <w:r w:rsidR="004B41A2" w:rsidRPr="00CA47B9">
        <w:t xml:space="preserve"> </w:t>
      </w:r>
      <w:r w:rsidRPr="00CA47B9">
        <w:t>employment</w:t>
      </w:r>
      <w:r w:rsidR="004B41A2" w:rsidRPr="00CA47B9">
        <w:t xml:space="preserve"> </w:t>
      </w:r>
      <w:r w:rsidRPr="00CA47B9">
        <w:t>and</w:t>
      </w:r>
      <w:r w:rsidR="004B41A2" w:rsidRPr="00CA47B9">
        <w:t xml:space="preserve"> </w:t>
      </w:r>
      <w:r w:rsidRPr="00CA47B9">
        <w:t>population</w:t>
      </w:r>
      <w:r w:rsidR="004B41A2" w:rsidRPr="00CA47B9">
        <w:t xml:space="preserve"> </w:t>
      </w:r>
      <w:r w:rsidRPr="00CA47B9">
        <w:t>forecasts.</w:t>
      </w:r>
      <w:r w:rsidR="004B41A2" w:rsidRPr="00CA47B9">
        <w:t xml:space="preserve"> </w:t>
      </w:r>
      <w:r w:rsidRPr="00CA47B9">
        <w:t>Note</w:t>
      </w:r>
      <w:r w:rsidR="004B41A2" w:rsidRPr="00CA47B9">
        <w:t xml:space="preserve"> </w:t>
      </w:r>
      <w:r w:rsidRPr="00CA47B9">
        <w:t>that</w:t>
      </w:r>
      <w:r w:rsidR="004B41A2" w:rsidRPr="00CA47B9">
        <w:t xml:space="preserve"> </w:t>
      </w:r>
      <w:r w:rsidRPr="00CA47B9">
        <w:t>these</w:t>
      </w:r>
      <w:r w:rsidR="004B41A2" w:rsidRPr="00CA47B9">
        <w:t xml:space="preserve"> </w:t>
      </w:r>
      <w:r w:rsidRPr="00CA47B9">
        <w:t>are</w:t>
      </w:r>
      <w:r w:rsidR="004B41A2" w:rsidRPr="00CA47B9">
        <w:t xml:space="preserve"> </w:t>
      </w:r>
      <w:r w:rsidRPr="00CA47B9">
        <w:t>different</w:t>
      </w:r>
      <w:r w:rsidR="00FD0E9C">
        <w:t xml:space="preserve"> to</w:t>
      </w:r>
      <w:r w:rsidR="004B41A2" w:rsidRPr="00CA47B9">
        <w:t xml:space="preserve"> </w:t>
      </w:r>
      <w:r w:rsidRPr="00CA47B9">
        <w:t>the</w:t>
      </w:r>
      <w:r w:rsidR="004B41A2" w:rsidRPr="00CA47B9">
        <w:t xml:space="preserve"> </w:t>
      </w:r>
      <w:r w:rsidRPr="00CA47B9">
        <w:t>population</w:t>
      </w:r>
      <w:r w:rsidR="004B41A2" w:rsidRPr="00CA47B9">
        <w:t xml:space="preserve"> </w:t>
      </w:r>
      <w:r w:rsidRPr="00CA47B9">
        <w:t>assumptions</w:t>
      </w:r>
      <w:r w:rsidR="004B41A2" w:rsidRPr="00CA47B9">
        <w:t xml:space="preserve"> </w:t>
      </w:r>
      <w:r w:rsidRPr="00CA47B9">
        <w:t>set</w:t>
      </w:r>
      <w:r w:rsidR="004B41A2" w:rsidRPr="00CA47B9">
        <w:t xml:space="preserve"> </w:t>
      </w:r>
      <w:r w:rsidRPr="00CA47B9">
        <w:t>out</w:t>
      </w:r>
      <w:r w:rsidR="004B41A2" w:rsidRPr="00CA47B9">
        <w:t xml:space="preserve"> </w:t>
      </w:r>
      <w:r w:rsidRPr="00CA47B9">
        <w:t>earlier</w:t>
      </w:r>
      <w:r w:rsidR="004B41A2" w:rsidRPr="00CA47B9">
        <w:t xml:space="preserve"> </w:t>
      </w:r>
      <w:r w:rsidRPr="00CA47B9">
        <w:t>in</w:t>
      </w:r>
      <w:r w:rsidR="004B41A2" w:rsidRPr="00CA47B9">
        <w:t xml:space="preserve"> </w:t>
      </w:r>
      <w:r w:rsidRPr="00CA47B9">
        <w:t>this</w:t>
      </w:r>
      <w:r w:rsidR="004B41A2" w:rsidRPr="00CA47B9">
        <w:t xml:space="preserve"> </w:t>
      </w:r>
      <w:r w:rsidRPr="00CA47B9">
        <w:t>report</w:t>
      </w:r>
      <w:r w:rsidR="004B41A2" w:rsidRPr="00CA47B9">
        <w:t xml:space="preserve"> </w:t>
      </w:r>
      <w:r w:rsidRPr="00CA47B9">
        <w:t>and</w:t>
      </w:r>
      <w:r w:rsidR="004B41A2" w:rsidRPr="00CA47B9">
        <w:t xml:space="preserve"> </w:t>
      </w:r>
      <w:r w:rsidRPr="00CA47B9">
        <w:t>therefore</w:t>
      </w:r>
      <w:r w:rsidR="004B41A2" w:rsidRPr="00CA47B9">
        <w:t xml:space="preserve"> </w:t>
      </w:r>
      <w:r w:rsidRPr="00CA47B9">
        <w:t>different</w:t>
      </w:r>
      <w:r w:rsidR="004B41A2" w:rsidRPr="00CA47B9">
        <w:t xml:space="preserve"> </w:t>
      </w:r>
      <w:r w:rsidR="00FD0E9C">
        <w:t>to</w:t>
      </w:r>
      <w:r w:rsidR="004B41A2" w:rsidRPr="00CA47B9">
        <w:t xml:space="preserve"> </w:t>
      </w:r>
      <w:r w:rsidRPr="00CA47B9">
        <w:t>the</w:t>
      </w:r>
      <w:r w:rsidR="004B41A2" w:rsidRPr="00CA47B9">
        <w:t xml:space="preserve"> </w:t>
      </w:r>
      <w:r w:rsidRPr="00CA47B9">
        <w:t>demographic</w:t>
      </w:r>
      <w:r w:rsidR="004B41A2" w:rsidRPr="00CA47B9">
        <w:t xml:space="preserve"> </w:t>
      </w:r>
      <w:r w:rsidRPr="00CA47B9">
        <w:t>growth</w:t>
      </w:r>
      <w:r w:rsidR="004B41A2" w:rsidRPr="00CA47B9">
        <w:t xml:space="preserve"> </w:t>
      </w:r>
      <w:r w:rsidRPr="00CA47B9">
        <w:t>assessment.</w:t>
      </w:r>
      <w:r w:rsidR="004B41A2" w:rsidRPr="00CA47B9">
        <w:t xml:space="preserve"> </w:t>
      </w:r>
      <w:r w:rsidRPr="00CA47B9">
        <w:t>The</w:t>
      </w:r>
      <w:r w:rsidR="004B41A2" w:rsidRPr="00CA47B9">
        <w:t xml:space="preserve"> </w:t>
      </w:r>
      <w:r w:rsidRPr="00CA47B9">
        <w:t>main</w:t>
      </w:r>
      <w:r w:rsidR="004B41A2" w:rsidRPr="00CA47B9">
        <w:t xml:space="preserve"> </w:t>
      </w:r>
      <w:r w:rsidRPr="00CA47B9">
        <w:t>internal</w:t>
      </w:r>
      <w:r w:rsidR="004B41A2" w:rsidRPr="00CA47B9">
        <w:t xml:space="preserve"> </w:t>
      </w:r>
      <w:r w:rsidRPr="00CA47B9">
        <w:t>relationships</w:t>
      </w:r>
      <w:r w:rsidR="004B41A2" w:rsidRPr="00CA47B9">
        <w:t xml:space="preserve"> </w:t>
      </w:r>
      <w:r w:rsidRPr="00CA47B9">
        <w:t>between</w:t>
      </w:r>
      <w:r w:rsidR="004B41A2" w:rsidRPr="00CA47B9">
        <w:t xml:space="preserve"> </w:t>
      </w:r>
      <w:r w:rsidRPr="00CA47B9">
        <w:t>variables</w:t>
      </w:r>
      <w:r w:rsidR="004B41A2" w:rsidRPr="00CA47B9">
        <w:t xml:space="preserve"> </w:t>
      </w:r>
      <w:r w:rsidRPr="00CA47B9">
        <w:t>are</w:t>
      </w:r>
      <w:r w:rsidR="004B41A2" w:rsidRPr="00CA47B9">
        <w:t xml:space="preserve"> </w:t>
      </w:r>
      <w:r w:rsidRPr="00CA47B9">
        <w:t>summarised</w:t>
      </w:r>
      <w:r w:rsidR="004B41A2" w:rsidRPr="00CA47B9">
        <w:t xml:space="preserve"> </w:t>
      </w:r>
      <w:r w:rsidRPr="00CA47B9">
        <w:t>in</w:t>
      </w:r>
      <w:r w:rsidR="004B41A2" w:rsidRPr="00CA47B9">
        <w:t xml:space="preserve"> </w:t>
      </w:r>
      <w:r w:rsidR="00AE0222" w:rsidRPr="00CA47B9">
        <w:t>Figure</w:t>
      </w:r>
      <w:r w:rsidR="004B41A2" w:rsidRPr="00CA47B9">
        <w:t xml:space="preserve"> </w:t>
      </w:r>
      <w:r w:rsidR="005F7E4B">
        <w:t>30</w:t>
      </w:r>
      <w:r w:rsidRPr="00CA47B9">
        <w:t>.</w:t>
      </w:r>
    </w:p>
    <w:p w:rsidR="00B0298E" w:rsidRPr="00CA47B9" w:rsidRDefault="00B0298E" w:rsidP="00C342B8">
      <w:pPr>
        <w:pStyle w:val="FigureHeading"/>
      </w:pPr>
      <w:bookmarkStart w:id="111" w:name="_Toc466508495"/>
      <w:bookmarkStart w:id="112" w:name="_Toc471486974"/>
      <w:bookmarkStart w:id="113" w:name="_Toc481156663"/>
      <w:r w:rsidRPr="00CA47B9">
        <w:t>Employment</w:t>
      </w:r>
      <w:r w:rsidR="004B41A2" w:rsidRPr="00CA47B9">
        <w:t xml:space="preserve"> </w:t>
      </w:r>
      <w:r w:rsidRPr="00CA47B9">
        <w:t>Forecasting</w:t>
      </w:r>
      <w:r w:rsidR="004B41A2" w:rsidRPr="00CA47B9">
        <w:t xml:space="preserve"> </w:t>
      </w:r>
      <w:r w:rsidRPr="00CA47B9">
        <w:t>Main</w:t>
      </w:r>
      <w:r w:rsidR="004B41A2" w:rsidRPr="00CA47B9">
        <w:t xml:space="preserve"> </w:t>
      </w:r>
      <w:r w:rsidRPr="00CA47B9">
        <w:t>Relationships</w:t>
      </w:r>
      <w:bookmarkEnd w:id="111"/>
      <w:bookmarkEnd w:id="112"/>
      <w:bookmarkEnd w:id="113"/>
    </w:p>
    <w:tbl>
      <w:tblPr>
        <w:tblStyle w:val="TableGrid"/>
        <w:tblW w:w="8845" w:type="dxa"/>
        <w:tblInd w:w="794" w:type="dxa"/>
        <w:tblLook w:val="04A0" w:firstRow="1" w:lastRow="0" w:firstColumn="1" w:lastColumn="0" w:noHBand="0" w:noVBand="1"/>
        <w:tblCaption w:val="Figure 30: Employment Forecasting Main Relationships"/>
      </w:tblPr>
      <w:tblGrid>
        <w:gridCol w:w="8845"/>
      </w:tblGrid>
      <w:tr w:rsidR="00F74225" w:rsidRPr="00CA47B9" w:rsidTr="00D30252">
        <w:trPr>
          <w:trHeight w:val="4536"/>
          <w:tblHeader/>
        </w:trPr>
        <w:tc>
          <w:tcPr>
            <w:tcW w:w="9621" w:type="dxa"/>
            <w:vAlign w:val="center"/>
          </w:tcPr>
          <w:p w:rsidR="00C758A7" w:rsidRPr="00CA47B9" w:rsidRDefault="00C758A7" w:rsidP="00F9748F">
            <w:pPr>
              <w:pStyle w:val="Bodytextwithindent"/>
              <w:keepNext/>
              <w:spacing w:before="0" w:after="0" w:line="240" w:lineRule="auto"/>
              <w:ind w:left="0"/>
              <w:jc w:val="center"/>
              <w:rPr>
                <w:rFonts w:asciiTheme="minorHAnsi" w:hAnsiTheme="minorHAnsi" w:cstheme="minorHAnsi"/>
                <w:color w:val="auto"/>
              </w:rPr>
            </w:pPr>
          </w:p>
          <w:p w:rsidR="00C758A7" w:rsidRPr="00CA47B9" w:rsidRDefault="00C758A7" w:rsidP="00F9748F">
            <w:pPr>
              <w:keepNext/>
              <w:jc w:val="center"/>
              <w:rPr>
                <w:color w:val="auto"/>
              </w:rPr>
            </w:pPr>
            <w:r w:rsidRPr="00CA47B9">
              <w:rPr>
                <w:rFonts w:asciiTheme="minorHAnsi" w:hAnsiTheme="minorHAnsi" w:cstheme="minorHAnsi"/>
                <w:noProof/>
                <w:color w:val="auto"/>
                <w:lang w:eastAsia="en-GB"/>
              </w:rPr>
              <w:drawing>
                <wp:inline distT="0" distB="0" distL="0" distR="0" wp14:anchorId="38453F24" wp14:editId="53941DCC">
                  <wp:extent cx="5082898" cy="2697480"/>
                  <wp:effectExtent l="0" t="0" r="3810" b="7620"/>
                  <wp:docPr id="61" name="Picture 61" descr="Flowchart showing the relationship between various inputs in a forecast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5092679" cy="2702671"/>
                          </a:xfrm>
                          <a:prstGeom prst="rect">
                            <a:avLst/>
                          </a:prstGeom>
                          <a:noFill/>
                          <a:ln>
                            <a:noFill/>
                          </a:ln>
                        </pic:spPr>
                      </pic:pic>
                    </a:graphicData>
                  </a:graphic>
                </wp:inline>
              </w:drawing>
            </w:r>
          </w:p>
          <w:p w:rsidR="00C758A7" w:rsidRPr="00CA47B9" w:rsidRDefault="00C758A7" w:rsidP="00F9748F">
            <w:pPr>
              <w:keepNext/>
              <w:jc w:val="center"/>
              <w:rPr>
                <w:color w:val="auto"/>
              </w:rPr>
            </w:pPr>
          </w:p>
        </w:tc>
      </w:tr>
    </w:tbl>
    <w:p w:rsidR="00B0298E" w:rsidRPr="00CA47B9" w:rsidRDefault="00B0298E" w:rsidP="00F276CF">
      <w:pPr>
        <w:pStyle w:val="11Bodytext"/>
        <w:numPr>
          <w:ilvl w:val="0"/>
          <w:numId w:val="0"/>
        </w:numPr>
        <w:spacing w:before="0" w:after="0"/>
        <w:ind w:left="794"/>
      </w:pPr>
      <w:r w:rsidRPr="00CA47B9">
        <w:t>Source:</w:t>
      </w:r>
      <w:r w:rsidR="004B41A2" w:rsidRPr="00CA47B9">
        <w:t xml:space="preserve"> </w:t>
      </w:r>
      <w:r w:rsidRPr="00CA47B9">
        <w:t>Oxford</w:t>
      </w:r>
      <w:r w:rsidR="004B41A2" w:rsidRPr="00CA47B9">
        <w:t xml:space="preserve"> </w:t>
      </w:r>
      <w:r w:rsidRPr="00CA47B9">
        <w:t>Economics,</w:t>
      </w:r>
      <w:r w:rsidR="004B41A2" w:rsidRPr="00CA47B9">
        <w:t xml:space="preserve"> </w:t>
      </w:r>
      <w:r w:rsidRPr="00CA47B9">
        <w:t>201</w:t>
      </w:r>
      <w:r w:rsidR="00FC5C1B">
        <w:t>9</w:t>
      </w:r>
    </w:p>
    <w:p w:rsidR="00B0298E" w:rsidRPr="00CA47B9" w:rsidRDefault="00B0298E" w:rsidP="000C05B0">
      <w:pPr>
        <w:pStyle w:val="11Bodytext"/>
        <w:tabs>
          <w:tab w:val="clear" w:pos="2212"/>
          <w:tab w:val="num" w:pos="567"/>
        </w:tabs>
        <w:ind w:left="567" w:hanging="567"/>
      </w:pPr>
      <w:r w:rsidRPr="00CA47B9">
        <w:t>The</w:t>
      </w:r>
      <w:r w:rsidR="004B41A2" w:rsidRPr="00CA47B9">
        <w:t xml:space="preserve"> </w:t>
      </w:r>
      <w:r w:rsidRPr="00CA47B9">
        <w:t>starting</w:t>
      </w:r>
      <w:r w:rsidR="004B41A2" w:rsidRPr="00CA47B9">
        <w:t xml:space="preserve"> </w:t>
      </w:r>
      <w:r w:rsidRPr="00CA47B9">
        <w:t>point</w:t>
      </w:r>
      <w:r w:rsidR="004B41A2" w:rsidRPr="00CA47B9">
        <w:t xml:space="preserve"> </w:t>
      </w:r>
      <w:r w:rsidRPr="00CA47B9">
        <w:t>for</w:t>
      </w:r>
      <w:r w:rsidR="004B41A2" w:rsidRPr="00CA47B9">
        <w:t xml:space="preserve"> </w:t>
      </w:r>
      <w:r w:rsidRPr="00CA47B9">
        <w:t>producing</w:t>
      </w:r>
      <w:r w:rsidR="004B41A2" w:rsidRPr="00CA47B9">
        <w:t xml:space="preserve"> </w:t>
      </w:r>
      <w:r w:rsidRPr="00CA47B9">
        <w:t>employment</w:t>
      </w:r>
      <w:r w:rsidR="004B41A2" w:rsidRPr="00CA47B9">
        <w:t xml:space="preserve"> </w:t>
      </w:r>
      <w:r w:rsidRPr="00CA47B9">
        <w:t>forecasts</w:t>
      </w:r>
      <w:r w:rsidR="004B41A2" w:rsidRPr="00CA47B9">
        <w:t xml:space="preserve"> </w:t>
      </w:r>
      <w:r w:rsidRPr="00CA47B9">
        <w:t>for</w:t>
      </w:r>
      <w:r w:rsidR="004B41A2" w:rsidRPr="00CA47B9">
        <w:t xml:space="preserve"> </w:t>
      </w:r>
      <w:r w:rsidRPr="00CA47B9">
        <w:t>a</w:t>
      </w:r>
      <w:r w:rsidR="004B41A2" w:rsidRPr="00CA47B9">
        <w:t xml:space="preserve"> </w:t>
      </w:r>
      <w:r w:rsidRPr="00CA47B9">
        <w:t>local</w:t>
      </w:r>
      <w:r w:rsidR="004B41A2" w:rsidRPr="00CA47B9">
        <w:t xml:space="preserve"> </w:t>
      </w:r>
      <w:r w:rsidRPr="00CA47B9">
        <w:t>authority</w:t>
      </w:r>
      <w:r w:rsidR="004B41A2" w:rsidRPr="00CA47B9">
        <w:t xml:space="preserve"> </w:t>
      </w:r>
      <w:r w:rsidRPr="00CA47B9">
        <w:t>is</w:t>
      </w:r>
      <w:r w:rsidR="004B41A2" w:rsidRPr="00CA47B9">
        <w:t xml:space="preserve"> </w:t>
      </w:r>
      <w:r w:rsidRPr="00CA47B9">
        <w:t>the</w:t>
      </w:r>
      <w:r w:rsidR="004B41A2" w:rsidRPr="00CA47B9">
        <w:t xml:space="preserve"> </w:t>
      </w:r>
      <w:r w:rsidRPr="00CA47B9">
        <w:t>determination</w:t>
      </w:r>
      <w:r w:rsidR="004B41A2" w:rsidRPr="00CA47B9">
        <w:t xml:space="preserve"> </w:t>
      </w:r>
      <w:r w:rsidRPr="00CA47B9">
        <w:t>of</w:t>
      </w:r>
      <w:r w:rsidR="004B41A2" w:rsidRPr="00CA47B9">
        <w:t xml:space="preserve"> </w:t>
      </w:r>
      <w:r w:rsidRPr="00CA47B9">
        <w:t>workplace-based</w:t>
      </w:r>
      <w:r w:rsidR="004B41A2" w:rsidRPr="00CA47B9">
        <w:t xml:space="preserve"> </w:t>
      </w:r>
      <w:r w:rsidRPr="00CA47B9">
        <w:t>employees</w:t>
      </w:r>
      <w:r w:rsidR="004B41A2" w:rsidRPr="00CA47B9">
        <w:t xml:space="preserve"> </w:t>
      </w:r>
      <w:r w:rsidRPr="00CA47B9">
        <w:t>in</w:t>
      </w:r>
      <w:r w:rsidR="004B41A2" w:rsidRPr="00CA47B9">
        <w:t xml:space="preserve"> </w:t>
      </w:r>
      <w:r w:rsidRPr="00CA47B9">
        <w:t>employment</w:t>
      </w:r>
      <w:r w:rsidR="004B41A2" w:rsidRPr="00CA47B9">
        <w:t xml:space="preserve"> </w:t>
      </w:r>
      <w:r w:rsidRPr="00CA47B9">
        <w:t>in</w:t>
      </w:r>
      <w:r w:rsidR="004B41A2" w:rsidRPr="00CA47B9">
        <w:t xml:space="preserve"> </w:t>
      </w:r>
      <w:r w:rsidRPr="00CA47B9">
        <w:t>each</w:t>
      </w:r>
      <w:r w:rsidR="004B41A2" w:rsidRPr="00CA47B9">
        <w:t xml:space="preserve"> </w:t>
      </w:r>
      <w:r w:rsidRPr="00CA47B9">
        <w:t>broad</w:t>
      </w:r>
      <w:r w:rsidR="004B41A2" w:rsidRPr="00CA47B9">
        <w:t xml:space="preserve"> </w:t>
      </w:r>
      <w:r w:rsidRPr="00CA47B9">
        <w:t>sector.</w:t>
      </w:r>
      <w:r w:rsidR="004B41A2" w:rsidRPr="00CA47B9">
        <w:t xml:space="preserve"> </w:t>
      </w:r>
      <w:r w:rsidRPr="00CA47B9">
        <w:t>There</w:t>
      </w:r>
      <w:r w:rsidR="004B41A2" w:rsidRPr="00CA47B9">
        <w:t xml:space="preserve"> </w:t>
      </w:r>
      <w:r w:rsidRPr="00CA47B9">
        <w:t>are</w:t>
      </w:r>
      <w:r w:rsidR="004B41A2" w:rsidRPr="00CA47B9">
        <w:t xml:space="preserve"> </w:t>
      </w:r>
      <w:r w:rsidRPr="00CA47B9">
        <w:t>two</w:t>
      </w:r>
      <w:r w:rsidR="004B41A2" w:rsidRPr="00CA47B9">
        <w:t xml:space="preserve"> </w:t>
      </w:r>
      <w:r w:rsidRPr="00CA47B9">
        <w:t>key</w:t>
      </w:r>
      <w:r w:rsidR="004B41A2" w:rsidRPr="00CA47B9">
        <w:t xml:space="preserve"> </w:t>
      </w:r>
      <w:r w:rsidRPr="00CA47B9">
        <w:t>sources</w:t>
      </w:r>
      <w:r w:rsidR="004B41A2" w:rsidRPr="00CA47B9">
        <w:t xml:space="preserve"> </w:t>
      </w:r>
      <w:r w:rsidRPr="00CA47B9">
        <w:t>for</w:t>
      </w:r>
      <w:r w:rsidR="004B41A2" w:rsidRPr="00CA47B9">
        <w:t xml:space="preserve"> </w:t>
      </w:r>
      <w:r w:rsidRPr="00CA47B9">
        <w:t>this</w:t>
      </w:r>
      <w:r w:rsidR="004B41A2" w:rsidRPr="00CA47B9">
        <w:t xml:space="preserve"> </w:t>
      </w:r>
      <w:r w:rsidRPr="00CA47B9">
        <w:t>–</w:t>
      </w:r>
      <w:r w:rsidR="004B41A2" w:rsidRPr="00CA47B9">
        <w:t xml:space="preserve"> </w:t>
      </w:r>
      <w:r w:rsidRPr="00CA47B9">
        <w:t>ONS</w:t>
      </w:r>
      <w:r w:rsidR="004B41A2" w:rsidRPr="00CA47B9">
        <w:t xml:space="preserve"> </w:t>
      </w:r>
      <w:r w:rsidRPr="00CA47B9">
        <w:t>Workforce</w:t>
      </w:r>
      <w:r w:rsidR="004B41A2" w:rsidRPr="00CA47B9">
        <w:t xml:space="preserve"> </w:t>
      </w:r>
      <w:r w:rsidRPr="00CA47B9">
        <w:t>Jobs</w:t>
      </w:r>
      <w:r w:rsidR="004B41A2" w:rsidRPr="00CA47B9">
        <w:t xml:space="preserve"> </w:t>
      </w:r>
      <w:r w:rsidRPr="00CA47B9">
        <w:t>(WFJ)</w:t>
      </w:r>
      <w:r w:rsidR="004B41A2" w:rsidRPr="00CA47B9">
        <w:t xml:space="preserve"> </w:t>
      </w:r>
      <w:r w:rsidRPr="00CA47B9">
        <w:t>and</w:t>
      </w:r>
      <w:r w:rsidR="004B41A2" w:rsidRPr="00CA47B9">
        <w:t xml:space="preserve"> </w:t>
      </w:r>
      <w:r w:rsidRPr="00CA47B9">
        <w:t>the</w:t>
      </w:r>
      <w:r w:rsidR="004B41A2" w:rsidRPr="00CA47B9">
        <w:t xml:space="preserve"> </w:t>
      </w:r>
      <w:r w:rsidRPr="00CA47B9">
        <w:t>Business</w:t>
      </w:r>
      <w:r w:rsidR="004B41A2" w:rsidRPr="00CA47B9">
        <w:t xml:space="preserve"> </w:t>
      </w:r>
      <w:r w:rsidRPr="00CA47B9">
        <w:t>Register</w:t>
      </w:r>
      <w:r w:rsidR="004B41A2" w:rsidRPr="00CA47B9">
        <w:t xml:space="preserve"> </w:t>
      </w:r>
      <w:r w:rsidRPr="00CA47B9">
        <w:t>and</w:t>
      </w:r>
      <w:r w:rsidR="004B41A2" w:rsidRPr="00CA47B9">
        <w:t xml:space="preserve"> </w:t>
      </w:r>
      <w:r w:rsidRPr="00CA47B9">
        <w:t>Employment</w:t>
      </w:r>
      <w:r w:rsidR="004B41A2" w:rsidRPr="00CA47B9">
        <w:t xml:space="preserve"> </w:t>
      </w:r>
      <w:r w:rsidRPr="00CA47B9">
        <w:t>Survey</w:t>
      </w:r>
      <w:r w:rsidR="004B41A2" w:rsidRPr="00CA47B9">
        <w:t xml:space="preserve"> </w:t>
      </w:r>
      <w:r w:rsidRPr="00CA47B9">
        <w:t>(BRES).</w:t>
      </w:r>
      <w:r w:rsidR="004B41A2" w:rsidRPr="00CA47B9">
        <w:t xml:space="preserve"> </w:t>
      </w:r>
      <w:r w:rsidRPr="00CA47B9">
        <w:t>The</w:t>
      </w:r>
      <w:r w:rsidR="004B41A2" w:rsidRPr="00CA47B9">
        <w:t xml:space="preserve"> </w:t>
      </w:r>
      <w:r w:rsidRPr="00CA47B9">
        <w:t>WFJ</w:t>
      </w:r>
      <w:r w:rsidR="004B41A2" w:rsidRPr="00CA47B9">
        <w:t xml:space="preserve"> </w:t>
      </w:r>
      <w:r w:rsidRPr="00CA47B9">
        <w:t>series</w:t>
      </w:r>
      <w:r w:rsidR="004B41A2" w:rsidRPr="00CA47B9">
        <w:t xml:space="preserve"> </w:t>
      </w:r>
      <w:r w:rsidRPr="00CA47B9">
        <w:t>is</w:t>
      </w:r>
      <w:r w:rsidR="004B41A2" w:rsidRPr="00CA47B9">
        <w:t xml:space="preserve"> </w:t>
      </w:r>
      <w:r w:rsidRPr="00CA47B9">
        <w:t>reported</w:t>
      </w:r>
      <w:r w:rsidR="004B41A2" w:rsidRPr="00CA47B9">
        <w:t xml:space="preserve"> </w:t>
      </w:r>
      <w:r w:rsidR="00855CA6">
        <w:t>quarterly</w:t>
      </w:r>
      <w:r w:rsidRPr="00CA47B9">
        <w:t>,</w:t>
      </w:r>
      <w:r w:rsidR="004B41A2" w:rsidRPr="00CA47B9">
        <w:t xml:space="preserve"> </w:t>
      </w:r>
      <w:r w:rsidRPr="00CA47B9">
        <w:t>providing</w:t>
      </w:r>
      <w:r w:rsidR="004B41A2" w:rsidRPr="00CA47B9">
        <w:t xml:space="preserve"> </w:t>
      </w:r>
      <w:r w:rsidRPr="00CA47B9">
        <w:t>estimates</w:t>
      </w:r>
      <w:r w:rsidR="004B41A2" w:rsidRPr="00CA47B9">
        <w:t xml:space="preserve"> </w:t>
      </w:r>
      <w:r w:rsidRPr="00CA47B9">
        <w:t>of</w:t>
      </w:r>
      <w:r w:rsidR="004B41A2" w:rsidRPr="00CA47B9">
        <w:t xml:space="preserve"> </w:t>
      </w:r>
      <w:r w:rsidRPr="00CA47B9">
        <w:t>employee</w:t>
      </w:r>
      <w:r w:rsidR="004B41A2" w:rsidRPr="00CA47B9">
        <w:t xml:space="preserve"> </w:t>
      </w:r>
      <w:r w:rsidRPr="00CA47B9">
        <w:t>jobs</w:t>
      </w:r>
      <w:r w:rsidR="004B41A2" w:rsidRPr="00CA47B9">
        <w:t xml:space="preserve"> </w:t>
      </w:r>
      <w:r w:rsidRPr="00CA47B9">
        <w:t>by</w:t>
      </w:r>
      <w:r w:rsidR="004B41A2" w:rsidRPr="00CA47B9">
        <w:t xml:space="preserve"> </w:t>
      </w:r>
      <w:r w:rsidRPr="00CA47B9">
        <w:t>sector</w:t>
      </w:r>
      <w:r w:rsidR="004B41A2" w:rsidRPr="00CA47B9">
        <w:t xml:space="preserve"> </w:t>
      </w:r>
      <w:r w:rsidRPr="00CA47B9">
        <w:t>(based</w:t>
      </w:r>
      <w:r w:rsidR="004B41A2" w:rsidRPr="00CA47B9">
        <w:t xml:space="preserve"> </w:t>
      </w:r>
      <w:r w:rsidRPr="00CA47B9">
        <w:t>on</w:t>
      </w:r>
      <w:r w:rsidR="004B41A2" w:rsidRPr="00CA47B9">
        <w:t xml:space="preserve"> </w:t>
      </w:r>
      <w:r w:rsidRPr="00CA47B9">
        <w:t>the</w:t>
      </w:r>
      <w:r w:rsidR="004B41A2" w:rsidRPr="00CA47B9">
        <w:t xml:space="preserve"> </w:t>
      </w:r>
      <w:r w:rsidRPr="00CA47B9">
        <w:t>2007</w:t>
      </w:r>
      <w:r w:rsidR="004B41A2" w:rsidRPr="00CA47B9">
        <w:t xml:space="preserve"> </w:t>
      </w:r>
      <w:r w:rsidRPr="00CA47B9">
        <w:t>Standard</w:t>
      </w:r>
      <w:r w:rsidR="004B41A2" w:rsidRPr="00CA47B9">
        <w:t xml:space="preserve"> </w:t>
      </w:r>
      <w:r w:rsidRPr="00CA47B9">
        <w:t>Industrial</w:t>
      </w:r>
      <w:r w:rsidR="004B41A2" w:rsidRPr="00CA47B9">
        <w:t xml:space="preserve"> </w:t>
      </w:r>
      <w:r w:rsidRPr="00CA47B9">
        <w:t>Classification</w:t>
      </w:r>
      <w:r w:rsidR="004B41A2" w:rsidRPr="00CA47B9">
        <w:t xml:space="preserve"> </w:t>
      </w:r>
      <w:r w:rsidRPr="00CA47B9">
        <w:t>–</w:t>
      </w:r>
      <w:r w:rsidR="004B41A2" w:rsidRPr="00CA47B9">
        <w:t xml:space="preserve"> </w:t>
      </w:r>
      <w:r w:rsidRPr="00CA47B9">
        <w:t>SIC</w:t>
      </w:r>
      <w:r w:rsidR="004B41A2" w:rsidRPr="00CA47B9">
        <w:t xml:space="preserve"> </w:t>
      </w:r>
      <w:r w:rsidRPr="00CA47B9">
        <w:t>2007)</w:t>
      </w:r>
      <w:r w:rsidR="004B41A2" w:rsidRPr="00CA47B9">
        <w:t xml:space="preserve"> </w:t>
      </w:r>
      <w:r w:rsidRPr="00CA47B9">
        <w:t>for</w:t>
      </w:r>
      <w:r w:rsidR="004B41A2" w:rsidRPr="00CA47B9">
        <w:t xml:space="preserve"> </w:t>
      </w:r>
      <w:r w:rsidRPr="00CA47B9">
        <w:t>the</w:t>
      </w:r>
      <w:r w:rsidR="004B41A2" w:rsidRPr="00CA47B9">
        <w:t xml:space="preserve"> </w:t>
      </w:r>
      <w:r w:rsidRPr="00CA47B9">
        <w:t>UK</w:t>
      </w:r>
      <w:r w:rsidR="004B41A2" w:rsidRPr="00CA47B9">
        <w:t xml:space="preserve"> </w:t>
      </w:r>
      <w:r w:rsidRPr="00CA47B9">
        <w:t>and</w:t>
      </w:r>
      <w:r w:rsidR="004B41A2" w:rsidRPr="00CA47B9">
        <w:t xml:space="preserve"> </w:t>
      </w:r>
      <w:r w:rsidRPr="00CA47B9">
        <w:t>its</w:t>
      </w:r>
      <w:r w:rsidR="004B41A2" w:rsidRPr="00CA47B9">
        <w:t xml:space="preserve"> </w:t>
      </w:r>
      <w:r w:rsidRPr="00CA47B9">
        <w:t>constituent</w:t>
      </w:r>
      <w:r w:rsidR="004B41A2" w:rsidRPr="00CA47B9">
        <w:t xml:space="preserve"> </w:t>
      </w:r>
      <w:r w:rsidRPr="00CA47B9">
        <w:t>government</w:t>
      </w:r>
      <w:r w:rsidR="004B41A2" w:rsidRPr="00CA47B9">
        <w:t xml:space="preserve"> </w:t>
      </w:r>
      <w:r w:rsidRPr="00CA47B9">
        <w:t>office</w:t>
      </w:r>
      <w:r w:rsidR="004B41A2" w:rsidRPr="00CA47B9">
        <w:t xml:space="preserve"> </w:t>
      </w:r>
      <w:r w:rsidRPr="00CA47B9">
        <w:lastRenderedPageBreak/>
        <w:t>regions.</w:t>
      </w:r>
      <w:r w:rsidR="004B41A2" w:rsidRPr="00CA47B9">
        <w:t xml:space="preserve"> </w:t>
      </w:r>
      <w:r w:rsidRPr="00CA47B9">
        <w:t>The</w:t>
      </w:r>
      <w:r w:rsidR="004B41A2" w:rsidRPr="00CA47B9">
        <w:t xml:space="preserve"> </w:t>
      </w:r>
      <w:r w:rsidRPr="00CA47B9">
        <w:t>BRES</w:t>
      </w:r>
      <w:r w:rsidR="004B41A2" w:rsidRPr="00CA47B9">
        <w:t xml:space="preserve"> </w:t>
      </w:r>
      <w:r w:rsidRPr="00CA47B9">
        <w:t>Survey</w:t>
      </w:r>
      <w:r w:rsidR="004B41A2" w:rsidRPr="00CA47B9">
        <w:t xml:space="preserve"> </w:t>
      </w:r>
      <w:r w:rsidRPr="00CA47B9">
        <w:t>is</w:t>
      </w:r>
      <w:r w:rsidR="004B41A2" w:rsidRPr="00CA47B9">
        <w:t xml:space="preserve"> </w:t>
      </w:r>
      <w:r w:rsidRPr="00CA47B9">
        <w:t>an</w:t>
      </w:r>
      <w:r w:rsidR="004B41A2" w:rsidRPr="00CA47B9">
        <w:t xml:space="preserve"> </w:t>
      </w:r>
      <w:r w:rsidRPr="00CA47B9">
        <w:t>annual</w:t>
      </w:r>
      <w:r w:rsidR="004B41A2" w:rsidRPr="00CA47B9">
        <w:t xml:space="preserve"> </w:t>
      </w:r>
      <w:r w:rsidRPr="00CA47B9">
        <w:t>survey</w:t>
      </w:r>
      <w:r w:rsidR="004B41A2" w:rsidRPr="00CA47B9">
        <w:t xml:space="preserve"> </w:t>
      </w:r>
      <w:r w:rsidRPr="00CA47B9">
        <w:t>of</w:t>
      </w:r>
      <w:r w:rsidR="004B41A2" w:rsidRPr="00CA47B9">
        <w:t xml:space="preserve"> </w:t>
      </w:r>
      <w:r w:rsidRPr="00CA47B9">
        <w:t>businesses</w:t>
      </w:r>
      <w:r w:rsidR="004B41A2" w:rsidRPr="00CA47B9">
        <w:t xml:space="preserve"> </w:t>
      </w:r>
      <w:r w:rsidRPr="00CA47B9">
        <w:t>which</w:t>
      </w:r>
      <w:r w:rsidR="004B41A2" w:rsidRPr="00CA47B9">
        <w:t xml:space="preserve"> </w:t>
      </w:r>
      <w:r w:rsidRPr="00CA47B9">
        <w:t>is</w:t>
      </w:r>
      <w:r w:rsidR="004B41A2" w:rsidRPr="00CA47B9">
        <w:t xml:space="preserve"> </w:t>
      </w:r>
      <w:r w:rsidRPr="00CA47B9">
        <w:t>used</w:t>
      </w:r>
      <w:r w:rsidR="004B41A2" w:rsidRPr="00CA47B9">
        <w:t xml:space="preserve"> </w:t>
      </w:r>
      <w:r w:rsidRPr="00CA47B9">
        <w:t>to</w:t>
      </w:r>
      <w:r w:rsidR="004B41A2" w:rsidRPr="00CA47B9">
        <w:t xml:space="preserve"> </w:t>
      </w:r>
      <w:r w:rsidRPr="00CA47B9">
        <w:t>estimate</w:t>
      </w:r>
      <w:r w:rsidR="004B41A2" w:rsidRPr="00CA47B9">
        <w:t xml:space="preserve"> </w:t>
      </w:r>
      <w:r w:rsidRPr="00CA47B9">
        <w:t>the</w:t>
      </w:r>
      <w:r w:rsidR="004B41A2" w:rsidRPr="00CA47B9">
        <w:t xml:space="preserve"> </w:t>
      </w:r>
      <w:r w:rsidRPr="00CA47B9">
        <w:t>employment</w:t>
      </w:r>
      <w:r w:rsidR="004B41A2" w:rsidRPr="00CA47B9">
        <w:t xml:space="preserve"> </w:t>
      </w:r>
      <w:r w:rsidRPr="00CA47B9">
        <w:t>levels</w:t>
      </w:r>
      <w:r w:rsidR="004B41A2" w:rsidRPr="00CA47B9">
        <w:t xml:space="preserve"> </w:t>
      </w:r>
      <w:r w:rsidRPr="00CA47B9">
        <w:t>by</w:t>
      </w:r>
      <w:r w:rsidR="004B41A2" w:rsidRPr="00CA47B9">
        <w:t xml:space="preserve"> </w:t>
      </w:r>
      <w:r w:rsidRPr="00CA47B9">
        <w:t>different</w:t>
      </w:r>
      <w:r w:rsidR="004B41A2" w:rsidRPr="00CA47B9">
        <w:t xml:space="preserve"> </w:t>
      </w:r>
      <w:r w:rsidRPr="00CA47B9">
        <w:t>sectors.</w:t>
      </w:r>
      <w:r w:rsidR="004B41A2" w:rsidRPr="00CA47B9">
        <w:t xml:space="preserve"> </w:t>
      </w:r>
    </w:p>
    <w:p w:rsidR="00B0298E" w:rsidRPr="00CA47B9" w:rsidRDefault="00B0298E" w:rsidP="000C05B0">
      <w:pPr>
        <w:pStyle w:val="11Bodytext"/>
        <w:tabs>
          <w:tab w:val="clear" w:pos="2212"/>
          <w:tab w:val="num" w:pos="567"/>
        </w:tabs>
        <w:ind w:left="567" w:hanging="567"/>
      </w:pPr>
      <w:r w:rsidRPr="00CA47B9">
        <w:t>Within</w:t>
      </w:r>
      <w:r w:rsidR="004B41A2" w:rsidRPr="00CA47B9">
        <w:t xml:space="preserve"> </w:t>
      </w:r>
      <w:r w:rsidRPr="00CA47B9">
        <w:t>the</w:t>
      </w:r>
      <w:r w:rsidR="004B41A2" w:rsidRPr="00CA47B9">
        <w:t xml:space="preserve"> </w:t>
      </w:r>
      <w:r w:rsidRPr="00CA47B9">
        <w:t>OE</w:t>
      </w:r>
      <w:r w:rsidR="004B41A2" w:rsidRPr="00CA47B9">
        <w:t xml:space="preserve"> </w:t>
      </w:r>
      <w:r w:rsidRPr="00CA47B9">
        <w:t>model</w:t>
      </w:r>
      <w:r w:rsidR="004B41A2" w:rsidRPr="00CA47B9">
        <w:t xml:space="preserve"> </w:t>
      </w:r>
      <w:r w:rsidRPr="00CA47B9">
        <w:t>migration</w:t>
      </w:r>
      <w:r w:rsidR="004B41A2" w:rsidRPr="00CA47B9">
        <w:t xml:space="preserve"> </w:t>
      </w:r>
      <w:r w:rsidRPr="00CA47B9">
        <w:t>is</w:t>
      </w:r>
      <w:r w:rsidR="004B41A2" w:rsidRPr="00CA47B9">
        <w:t xml:space="preserve"> </w:t>
      </w:r>
      <w:r w:rsidRPr="00CA47B9">
        <w:t>expected</w:t>
      </w:r>
      <w:r w:rsidR="004B41A2" w:rsidRPr="00CA47B9">
        <w:t xml:space="preserve"> </w:t>
      </w:r>
      <w:r w:rsidRPr="00CA47B9">
        <w:t>to</w:t>
      </w:r>
      <w:r w:rsidR="004B41A2" w:rsidRPr="00CA47B9">
        <w:t xml:space="preserve"> </w:t>
      </w:r>
      <w:r w:rsidRPr="00CA47B9">
        <w:t>grow</w:t>
      </w:r>
      <w:r w:rsidR="004B41A2" w:rsidRPr="00CA47B9">
        <w:t xml:space="preserve"> </w:t>
      </w:r>
      <w:r w:rsidRPr="00CA47B9">
        <w:t>or</w:t>
      </w:r>
      <w:r w:rsidR="004B41A2" w:rsidRPr="00CA47B9">
        <w:t xml:space="preserve"> </w:t>
      </w:r>
      <w:r w:rsidRPr="00CA47B9">
        <w:t>decline</w:t>
      </w:r>
      <w:r w:rsidR="004B41A2" w:rsidRPr="00CA47B9">
        <w:t xml:space="preserve"> </w:t>
      </w:r>
      <w:r w:rsidRPr="00CA47B9">
        <w:t>in</w:t>
      </w:r>
      <w:r w:rsidR="004B41A2" w:rsidRPr="00CA47B9">
        <w:t xml:space="preserve"> </w:t>
      </w:r>
      <w:r w:rsidRPr="00CA47B9">
        <w:t>parallel</w:t>
      </w:r>
      <w:r w:rsidR="004B41A2" w:rsidRPr="00CA47B9">
        <w:t xml:space="preserve"> </w:t>
      </w:r>
      <w:r w:rsidRPr="00CA47B9">
        <w:t>with</w:t>
      </w:r>
      <w:r w:rsidR="004B41A2" w:rsidRPr="00CA47B9">
        <w:t xml:space="preserve"> </w:t>
      </w:r>
      <w:r w:rsidRPr="00CA47B9">
        <w:t>the</w:t>
      </w:r>
      <w:r w:rsidR="004B41A2" w:rsidRPr="00CA47B9">
        <w:t xml:space="preserve"> </w:t>
      </w:r>
      <w:r w:rsidRPr="00CA47B9">
        <w:t>employment</w:t>
      </w:r>
      <w:r w:rsidR="004B41A2" w:rsidRPr="00CA47B9">
        <w:t xml:space="preserve"> </w:t>
      </w:r>
      <w:r w:rsidRPr="00CA47B9">
        <w:t>total.</w:t>
      </w:r>
      <w:r w:rsidR="004B41A2" w:rsidRPr="00CA47B9">
        <w:t xml:space="preserve"> </w:t>
      </w:r>
      <w:r w:rsidRPr="00CA47B9">
        <w:t>If</w:t>
      </w:r>
      <w:r w:rsidR="004B41A2" w:rsidRPr="00CA47B9">
        <w:t xml:space="preserve"> </w:t>
      </w:r>
      <w:r w:rsidRPr="00CA47B9">
        <w:t>the</w:t>
      </w:r>
      <w:r w:rsidR="004B41A2" w:rsidRPr="00CA47B9">
        <w:t xml:space="preserve"> </w:t>
      </w:r>
      <w:r w:rsidRPr="00CA47B9">
        <w:t>employment</w:t>
      </w:r>
      <w:r w:rsidR="004B41A2" w:rsidRPr="00CA47B9">
        <w:t xml:space="preserve"> </w:t>
      </w:r>
      <w:r w:rsidRPr="00CA47B9">
        <w:t>total</w:t>
      </w:r>
      <w:r w:rsidR="004B41A2" w:rsidRPr="00CA47B9">
        <w:t xml:space="preserve"> </w:t>
      </w:r>
      <w:r w:rsidRPr="00CA47B9">
        <w:t>within</w:t>
      </w:r>
      <w:r w:rsidR="004B41A2" w:rsidRPr="00CA47B9">
        <w:t xml:space="preserve"> </w:t>
      </w:r>
      <w:r w:rsidRPr="00CA47B9">
        <w:t>an</w:t>
      </w:r>
      <w:r w:rsidR="004B41A2" w:rsidRPr="00CA47B9">
        <w:t xml:space="preserve"> </w:t>
      </w:r>
      <w:r w:rsidRPr="00CA47B9">
        <w:t>area</w:t>
      </w:r>
      <w:r w:rsidR="004B41A2" w:rsidRPr="00CA47B9">
        <w:t xml:space="preserve"> </w:t>
      </w:r>
      <w:r w:rsidRPr="00CA47B9">
        <w:t>is</w:t>
      </w:r>
      <w:r w:rsidR="004B41A2" w:rsidRPr="00CA47B9">
        <w:t xml:space="preserve"> </w:t>
      </w:r>
      <w:r w:rsidRPr="00CA47B9">
        <w:t>falling</w:t>
      </w:r>
      <w:r w:rsidR="004B41A2" w:rsidRPr="00CA47B9">
        <w:t xml:space="preserve"> </w:t>
      </w:r>
      <w:r w:rsidRPr="00CA47B9">
        <w:t>too</w:t>
      </w:r>
      <w:r w:rsidR="004B41A2" w:rsidRPr="00CA47B9">
        <w:t xml:space="preserve"> </w:t>
      </w:r>
      <w:r w:rsidRPr="00CA47B9">
        <w:t>fast,</w:t>
      </w:r>
      <w:r w:rsidR="004B41A2" w:rsidRPr="00CA47B9">
        <w:t xml:space="preserve"> </w:t>
      </w:r>
      <w:r w:rsidRPr="00CA47B9">
        <w:t>migration</w:t>
      </w:r>
      <w:r w:rsidR="004B41A2" w:rsidRPr="00CA47B9">
        <w:t xml:space="preserve"> </w:t>
      </w:r>
      <w:r w:rsidRPr="00CA47B9">
        <w:t>also</w:t>
      </w:r>
      <w:r w:rsidR="004B41A2" w:rsidRPr="00CA47B9">
        <w:t xml:space="preserve"> </w:t>
      </w:r>
      <w:r w:rsidRPr="00CA47B9">
        <w:t>falls</w:t>
      </w:r>
      <w:r w:rsidR="004B41A2" w:rsidRPr="00CA47B9">
        <w:t xml:space="preserve"> </w:t>
      </w:r>
      <w:r w:rsidRPr="00CA47B9">
        <w:t>as</w:t>
      </w:r>
      <w:r w:rsidR="004B41A2" w:rsidRPr="00CA47B9">
        <w:t xml:space="preserve"> </w:t>
      </w:r>
      <w:r w:rsidRPr="00CA47B9">
        <w:t>the</w:t>
      </w:r>
      <w:r w:rsidR="004B41A2" w:rsidRPr="00CA47B9">
        <w:t xml:space="preserve"> </w:t>
      </w:r>
      <w:r w:rsidRPr="00CA47B9">
        <w:t>model</w:t>
      </w:r>
      <w:r w:rsidR="004B41A2" w:rsidRPr="00CA47B9">
        <w:t xml:space="preserve"> </w:t>
      </w:r>
      <w:r w:rsidRPr="00CA47B9">
        <w:t>assumes</w:t>
      </w:r>
      <w:r w:rsidR="004B41A2" w:rsidRPr="00CA47B9">
        <w:t xml:space="preserve"> </w:t>
      </w:r>
      <w:r w:rsidRPr="00CA47B9">
        <w:t>that</w:t>
      </w:r>
      <w:r w:rsidR="004B41A2" w:rsidRPr="00CA47B9">
        <w:t xml:space="preserve"> </w:t>
      </w:r>
      <w:r w:rsidRPr="00CA47B9">
        <w:t>people</w:t>
      </w:r>
      <w:r w:rsidR="004B41A2" w:rsidRPr="00CA47B9">
        <w:t xml:space="preserve"> </w:t>
      </w:r>
      <w:r w:rsidRPr="00CA47B9">
        <w:t>would</w:t>
      </w:r>
      <w:r w:rsidR="004B41A2" w:rsidRPr="00CA47B9">
        <w:t xml:space="preserve"> </w:t>
      </w:r>
      <w:r w:rsidRPr="00CA47B9">
        <w:t>not</w:t>
      </w:r>
      <w:r w:rsidR="004B41A2" w:rsidRPr="00CA47B9">
        <w:t xml:space="preserve"> </w:t>
      </w:r>
      <w:r w:rsidRPr="00CA47B9">
        <w:t>be</w:t>
      </w:r>
      <w:r w:rsidR="004B41A2" w:rsidRPr="00CA47B9">
        <w:t xml:space="preserve"> </w:t>
      </w:r>
      <w:r w:rsidRPr="00CA47B9">
        <w:t>attracted</w:t>
      </w:r>
      <w:r w:rsidR="004B41A2" w:rsidRPr="00CA47B9">
        <w:t xml:space="preserve"> </w:t>
      </w:r>
      <w:r w:rsidRPr="00CA47B9">
        <w:t>into</w:t>
      </w:r>
      <w:r w:rsidR="004B41A2" w:rsidRPr="00CA47B9">
        <w:t xml:space="preserve"> </w:t>
      </w:r>
      <w:r w:rsidRPr="00CA47B9">
        <w:t>this</w:t>
      </w:r>
      <w:r w:rsidR="004B41A2" w:rsidRPr="00CA47B9">
        <w:t xml:space="preserve"> </w:t>
      </w:r>
      <w:r w:rsidRPr="00CA47B9">
        <w:t>area</w:t>
      </w:r>
      <w:r w:rsidR="004B41A2" w:rsidRPr="00CA47B9">
        <w:t xml:space="preserve"> </w:t>
      </w:r>
      <w:r w:rsidRPr="00CA47B9">
        <w:t>to</w:t>
      </w:r>
      <w:r w:rsidR="004B41A2" w:rsidRPr="00CA47B9">
        <w:t xml:space="preserve"> </w:t>
      </w:r>
      <w:r w:rsidRPr="00CA47B9">
        <w:t>live,</w:t>
      </w:r>
      <w:r w:rsidR="004B41A2" w:rsidRPr="00CA47B9">
        <w:t xml:space="preserve"> </w:t>
      </w:r>
      <w:r w:rsidRPr="00CA47B9">
        <w:t>given</w:t>
      </w:r>
      <w:r w:rsidR="004B41A2" w:rsidRPr="00CA47B9">
        <w:t xml:space="preserve"> </w:t>
      </w:r>
      <w:r w:rsidRPr="00CA47B9">
        <w:t>that</w:t>
      </w:r>
      <w:r w:rsidR="004B41A2" w:rsidRPr="00CA47B9">
        <w:t xml:space="preserve"> </w:t>
      </w:r>
      <w:r w:rsidRPr="00CA47B9">
        <w:t>the</w:t>
      </w:r>
      <w:r w:rsidR="004B41A2" w:rsidRPr="00CA47B9">
        <w:t xml:space="preserve"> </w:t>
      </w:r>
      <w:r w:rsidRPr="00CA47B9">
        <w:t>employment</w:t>
      </w:r>
      <w:r w:rsidR="004B41A2" w:rsidRPr="00CA47B9">
        <w:t xml:space="preserve"> </w:t>
      </w:r>
      <w:r w:rsidRPr="00CA47B9">
        <w:t>prospects</w:t>
      </w:r>
      <w:r w:rsidR="004B41A2" w:rsidRPr="00CA47B9">
        <w:t xml:space="preserve"> </w:t>
      </w:r>
      <w:r w:rsidRPr="00CA47B9">
        <w:t>are</w:t>
      </w:r>
      <w:r w:rsidR="004B41A2" w:rsidRPr="00CA47B9">
        <w:t xml:space="preserve"> </w:t>
      </w:r>
      <w:r w:rsidRPr="00CA47B9">
        <w:t>weak.</w:t>
      </w:r>
      <w:r w:rsidR="004B41A2" w:rsidRPr="00CA47B9">
        <w:t xml:space="preserve"> </w:t>
      </w:r>
      <w:r w:rsidRPr="00CA47B9">
        <w:t>This</w:t>
      </w:r>
      <w:r w:rsidR="004B41A2" w:rsidRPr="00CA47B9">
        <w:t xml:space="preserve"> </w:t>
      </w:r>
      <w:r w:rsidRPr="00CA47B9">
        <w:t>ensures</w:t>
      </w:r>
      <w:r w:rsidR="004B41A2" w:rsidRPr="00CA47B9">
        <w:t xml:space="preserve"> </w:t>
      </w:r>
      <w:r w:rsidRPr="00CA47B9">
        <w:t>that</w:t>
      </w:r>
      <w:r w:rsidR="004B41A2" w:rsidRPr="00CA47B9">
        <w:t xml:space="preserve"> </w:t>
      </w:r>
      <w:r w:rsidRPr="00CA47B9">
        <w:t>the</w:t>
      </w:r>
      <w:r w:rsidR="004B41A2" w:rsidRPr="00CA47B9">
        <w:t xml:space="preserve"> </w:t>
      </w:r>
      <w:r w:rsidRPr="00CA47B9">
        <w:t>relationship</w:t>
      </w:r>
      <w:r w:rsidR="004B41A2" w:rsidRPr="00CA47B9">
        <w:t xml:space="preserve"> </w:t>
      </w:r>
      <w:r w:rsidRPr="00CA47B9">
        <w:t>between</w:t>
      </w:r>
      <w:r w:rsidR="004B41A2" w:rsidRPr="00CA47B9">
        <w:t xml:space="preserve"> </w:t>
      </w:r>
      <w:r w:rsidRPr="00CA47B9">
        <w:t>the</w:t>
      </w:r>
      <w:r w:rsidR="004B41A2" w:rsidRPr="00CA47B9">
        <w:t xml:space="preserve"> </w:t>
      </w:r>
      <w:r w:rsidRPr="00CA47B9">
        <w:t>labour</w:t>
      </w:r>
      <w:r w:rsidR="004B41A2" w:rsidRPr="00CA47B9">
        <w:t xml:space="preserve"> </w:t>
      </w:r>
      <w:r w:rsidRPr="00CA47B9">
        <w:t>market</w:t>
      </w:r>
      <w:r w:rsidR="004B41A2" w:rsidRPr="00CA47B9">
        <w:t xml:space="preserve"> </w:t>
      </w:r>
      <w:r w:rsidRPr="00CA47B9">
        <w:t>outlook</w:t>
      </w:r>
      <w:r w:rsidR="004B41A2" w:rsidRPr="00CA47B9">
        <w:t xml:space="preserve"> </w:t>
      </w:r>
      <w:r w:rsidRPr="00CA47B9">
        <w:t>and</w:t>
      </w:r>
      <w:r w:rsidR="004B41A2" w:rsidRPr="00CA47B9">
        <w:t xml:space="preserve"> </w:t>
      </w:r>
      <w:r w:rsidRPr="00CA47B9">
        <w:t>the</w:t>
      </w:r>
      <w:r w:rsidR="004B41A2" w:rsidRPr="00CA47B9">
        <w:t xml:space="preserve"> </w:t>
      </w:r>
      <w:r w:rsidRPr="00CA47B9">
        <w:t>population</w:t>
      </w:r>
      <w:r w:rsidR="004B41A2" w:rsidRPr="00CA47B9">
        <w:t xml:space="preserve"> </w:t>
      </w:r>
      <w:r w:rsidRPr="00CA47B9">
        <w:t>outputs</w:t>
      </w:r>
      <w:r w:rsidR="004B41A2" w:rsidRPr="00CA47B9">
        <w:t xml:space="preserve"> </w:t>
      </w:r>
      <w:r w:rsidRPr="00CA47B9">
        <w:t>are</w:t>
      </w:r>
      <w:r w:rsidR="004B41A2" w:rsidRPr="00CA47B9">
        <w:t xml:space="preserve"> </w:t>
      </w:r>
      <w:r w:rsidRPr="00CA47B9">
        <w:t>inter-linked.</w:t>
      </w:r>
      <w:r w:rsidR="004B41A2" w:rsidRPr="00CA47B9">
        <w:t xml:space="preserve"> </w:t>
      </w:r>
    </w:p>
    <w:p w:rsidR="00B0298E" w:rsidRPr="00CA47B9" w:rsidRDefault="00B0298E" w:rsidP="00805614">
      <w:pPr>
        <w:pStyle w:val="Addressline1"/>
        <w:ind w:left="567" w:firstLine="0"/>
      </w:pPr>
      <w:r w:rsidRPr="00CA47B9">
        <w:t>Disaggregating</w:t>
      </w:r>
      <w:r w:rsidR="004B41A2" w:rsidRPr="00CA47B9">
        <w:t xml:space="preserve"> </w:t>
      </w:r>
      <w:r w:rsidRPr="00CA47B9">
        <w:t>Growth</w:t>
      </w:r>
    </w:p>
    <w:p w:rsidR="00B0298E" w:rsidRPr="00CA47B9" w:rsidRDefault="00B0298E" w:rsidP="000C05B0">
      <w:pPr>
        <w:pStyle w:val="11Bodytext"/>
        <w:tabs>
          <w:tab w:val="clear" w:pos="2212"/>
          <w:tab w:val="num" w:pos="567"/>
        </w:tabs>
        <w:ind w:left="567" w:hanging="567"/>
      </w:pPr>
      <w:r w:rsidRPr="00CA47B9">
        <w:t>The</w:t>
      </w:r>
      <w:r w:rsidR="004B41A2" w:rsidRPr="00CA47B9">
        <w:t xml:space="preserve"> </w:t>
      </w:r>
      <w:r w:rsidRPr="00CA47B9">
        <w:t>Oxford</w:t>
      </w:r>
      <w:r w:rsidR="004B41A2" w:rsidRPr="00CA47B9">
        <w:t xml:space="preserve"> </w:t>
      </w:r>
      <w:r w:rsidRPr="00CA47B9">
        <w:t>Economics</w:t>
      </w:r>
      <w:r w:rsidR="004B41A2" w:rsidRPr="00CA47B9">
        <w:t xml:space="preserve"> </w:t>
      </w:r>
      <w:r w:rsidRPr="00CA47B9">
        <w:t>forecasts</w:t>
      </w:r>
      <w:r w:rsidR="004B41A2" w:rsidRPr="00CA47B9">
        <w:t xml:space="preserve"> </w:t>
      </w:r>
      <w:r w:rsidRPr="00CA47B9">
        <w:t>are</w:t>
      </w:r>
      <w:r w:rsidR="004B41A2" w:rsidRPr="00CA47B9">
        <w:t xml:space="preserve"> </w:t>
      </w:r>
      <w:r w:rsidRPr="00CA47B9">
        <w:t>based</w:t>
      </w:r>
      <w:r w:rsidR="004B41A2" w:rsidRPr="00CA47B9">
        <w:t xml:space="preserve"> </w:t>
      </w:r>
      <w:r w:rsidRPr="00CA47B9">
        <w:t>on</w:t>
      </w:r>
      <w:r w:rsidR="004B41A2" w:rsidRPr="00CA47B9">
        <w:t xml:space="preserve"> </w:t>
      </w:r>
      <w:r w:rsidRPr="00CA47B9">
        <w:t>a</w:t>
      </w:r>
      <w:r w:rsidR="004B41A2" w:rsidRPr="00CA47B9">
        <w:t xml:space="preserve"> </w:t>
      </w:r>
      <w:r w:rsidRPr="00CA47B9">
        <w:t>global</w:t>
      </w:r>
      <w:r w:rsidR="004B41A2" w:rsidRPr="00CA47B9">
        <w:t xml:space="preserve"> </w:t>
      </w:r>
      <w:r w:rsidRPr="00CA47B9">
        <w:t>view</w:t>
      </w:r>
      <w:r w:rsidR="004B41A2" w:rsidRPr="00CA47B9">
        <w:t xml:space="preserve"> </w:t>
      </w:r>
      <w:r w:rsidRPr="00CA47B9">
        <w:t>of</w:t>
      </w:r>
      <w:r w:rsidR="004B41A2" w:rsidRPr="00CA47B9">
        <w:t xml:space="preserve"> </w:t>
      </w:r>
      <w:r w:rsidRPr="00CA47B9">
        <w:t>growth</w:t>
      </w:r>
      <w:r w:rsidR="004B41A2" w:rsidRPr="00CA47B9">
        <w:t xml:space="preserve"> </w:t>
      </w:r>
      <w:r w:rsidRPr="00CA47B9">
        <w:t>which</w:t>
      </w:r>
      <w:r w:rsidR="004B41A2" w:rsidRPr="00CA47B9">
        <w:t xml:space="preserve"> </w:t>
      </w:r>
      <w:r w:rsidRPr="00CA47B9">
        <w:t>is</w:t>
      </w:r>
      <w:r w:rsidR="004B41A2" w:rsidRPr="00CA47B9">
        <w:t xml:space="preserve"> </w:t>
      </w:r>
      <w:r w:rsidRPr="00CA47B9">
        <w:t>translated</w:t>
      </w:r>
      <w:r w:rsidR="004B41A2" w:rsidRPr="00CA47B9">
        <w:t xml:space="preserve"> </w:t>
      </w:r>
      <w:r w:rsidRPr="00CA47B9">
        <w:t>to</w:t>
      </w:r>
      <w:r w:rsidR="004B41A2" w:rsidRPr="00CA47B9">
        <w:t xml:space="preserve"> </w:t>
      </w:r>
      <w:r w:rsidRPr="00CA47B9">
        <w:t>the</w:t>
      </w:r>
      <w:r w:rsidR="004B41A2" w:rsidRPr="00CA47B9">
        <w:t xml:space="preserve"> </w:t>
      </w:r>
      <w:r w:rsidRPr="00CA47B9">
        <w:t>UK,</w:t>
      </w:r>
      <w:r w:rsidR="004B41A2" w:rsidRPr="00CA47B9">
        <w:t xml:space="preserve"> </w:t>
      </w:r>
      <w:r w:rsidRPr="00CA47B9">
        <w:t>then</w:t>
      </w:r>
      <w:r w:rsidR="004B41A2" w:rsidRPr="00CA47B9">
        <w:t xml:space="preserve"> </w:t>
      </w:r>
      <w:r w:rsidRPr="00CA47B9">
        <w:t>the</w:t>
      </w:r>
      <w:r w:rsidR="004B41A2" w:rsidRPr="00CA47B9">
        <w:t xml:space="preserve"> </w:t>
      </w:r>
      <w:r w:rsidRPr="00CA47B9">
        <w:t>South</w:t>
      </w:r>
      <w:r w:rsidR="004B41A2" w:rsidRPr="00CA47B9">
        <w:t xml:space="preserve"> </w:t>
      </w:r>
      <w:r w:rsidRPr="00CA47B9">
        <w:t>East</w:t>
      </w:r>
      <w:r w:rsidR="004B41A2" w:rsidRPr="00CA47B9">
        <w:t xml:space="preserve"> </w:t>
      </w:r>
      <w:r w:rsidRPr="00CA47B9">
        <w:t>region</w:t>
      </w:r>
      <w:r w:rsidR="004B41A2" w:rsidRPr="00CA47B9">
        <w:t xml:space="preserve"> </w:t>
      </w:r>
      <w:r w:rsidRPr="00CA47B9">
        <w:t>and</w:t>
      </w:r>
      <w:r w:rsidR="004B41A2" w:rsidRPr="00CA47B9">
        <w:t xml:space="preserve"> </w:t>
      </w:r>
      <w:r w:rsidRPr="00CA47B9">
        <w:t>then</w:t>
      </w:r>
      <w:r w:rsidR="004B41A2" w:rsidRPr="00CA47B9">
        <w:t xml:space="preserve"> </w:t>
      </w:r>
      <w:r w:rsidRPr="00CA47B9">
        <w:t>each</w:t>
      </w:r>
      <w:r w:rsidR="004B41A2" w:rsidRPr="00CA47B9">
        <w:t xml:space="preserve"> </w:t>
      </w:r>
      <w:r w:rsidRPr="00CA47B9">
        <w:t>local</w:t>
      </w:r>
      <w:r w:rsidR="004B41A2" w:rsidRPr="00CA47B9">
        <w:t xml:space="preserve"> </w:t>
      </w:r>
      <w:r w:rsidRPr="00CA47B9">
        <w:t>authority</w:t>
      </w:r>
      <w:r w:rsidR="004B41A2" w:rsidRPr="00CA47B9">
        <w:t xml:space="preserve"> </w:t>
      </w:r>
      <w:r w:rsidRPr="00CA47B9">
        <w:t>within</w:t>
      </w:r>
      <w:r w:rsidR="004B41A2" w:rsidRPr="00CA47B9">
        <w:t xml:space="preserve"> </w:t>
      </w:r>
      <w:r w:rsidRPr="00CA47B9">
        <w:t>the</w:t>
      </w:r>
      <w:r w:rsidR="004B41A2" w:rsidRPr="00CA47B9">
        <w:t xml:space="preserve"> </w:t>
      </w:r>
      <w:r w:rsidRPr="00CA47B9">
        <w:t>region.</w:t>
      </w:r>
      <w:r w:rsidR="004B41A2" w:rsidRPr="00CA47B9">
        <w:t xml:space="preserve"> </w:t>
      </w:r>
      <w:r w:rsidRPr="00CA47B9">
        <w:t>Within</w:t>
      </w:r>
      <w:r w:rsidR="004B41A2" w:rsidRPr="00CA47B9">
        <w:t xml:space="preserve"> </w:t>
      </w:r>
      <w:r w:rsidRPr="00CA47B9">
        <w:t>the</w:t>
      </w:r>
      <w:r w:rsidR="004B41A2" w:rsidRPr="00CA47B9">
        <w:t xml:space="preserve"> </w:t>
      </w:r>
      <w:r w:rsidRPr="00CA47B9">
        <w:t>hierarchy</w:t>
      </w:r>
      <w:r w:rsidR="00855CA6">
        <w:t>,</w:t>
      </w:r>
      <w:r w:rsidR="004B41A2" w:rsidRPr="00CA47B9">
        <w:t xml:space="preserve"> </w:t>
      </w:r>
      <w:r w:rsidRPr="00CA47B9">
        <w:t>the</w:t>
      </w:r>
      <w:r w:rsidR="004B41A2" w:rsidRPr="00CA47B9">
        <w:t xml:space="preserve"> </w:t>
      </w:r>
      <w:r w:rsidRPr="00CA47B9">
        <w:t>growth</w:t>
      </w:r>
      <w:r w:rsidR="004B41A2" w:rsidRPr="00CA47B9">
        <w:t xml:space="preserve"> </w:t>
      </w:r>
      <w:r w:rsidRPr="00CA47B9">
        <w:t>in</w:t>
      </w:r>
      <w:r w:rsidR="004B41A2" w:rsidRPr="00CA47B9">
        <w:t xml:space="preserve"> </w:t>
      </w:r>
      <w:r w:rsidRPr="00CA47B9">
        <w:t>the</w:t>
      </w:r>
      <w:r w:rsidR="004B41A2" w:rsidRPr="00CA47B9">
        <w:t xml:space="preserve"> </w:t>
      </w:r>
      <w:r w:rsidRPr="00CA47B9">
        <w:t>lower</w:t>
      </w:r>
      <w:r w:rsidR="004B41A2" w:rsidRPr="00CA47B9">
        <w:t xml:space="preserve"> </w:t>
      </w:r>
      <w:r w:rsidRPr="00CA47B9">
        <w:t>level</w:t>
      </w:r>
      <w:r w:rsidR="004B41A2" w:rsidRPr="00CA47B9">
        <w:t xml:space="preserve"> </w:t>
      </w:r>
      <w:r w:rsidRPr="00CA47B9">
        <w:t>in</w:t>
      </w:r>
      <w:r w:rsidR="004B41A2" w:rsidRPr="00CA47B9">
        <w:t xml:space="preserve"> </w:t>
      </w:r>
      <w:r w:rsidRPr="00CA47B9">
        <w:t>the</w:t>
      </w:r>
      <w:r w:rsidR="004B41A2" w:rsidRPr="00CA47B9">
        <w:t xml:space="preserve"> </w:t>
      </w:r>
      <w:r w:rsidRPr="00CA47B9">
        <w:t>hierarchy</w:t>
      </w:r>
      <w:r w:rsidR="004B41A2" w:rsidRPr="00CA47B9">
        <w:t xml:space="preserve"> </w:t>
      </w:r>
      <w:r w:rsidRPr="00CA47B9">
        <w:t>must</w:t>
      </w:r>
      <w:r w:rsidR="004B41A2" w:rsidRPr="00CA47B9">
        <w:t xml:space="preserve"> </w:t>
      </w:r>
      <w:r w:rsidRPr="00CA47B9">
        <w:t>add</w:t>
      </w:r>
      <w:r w:rsidR="004B41A2" w:rsidRPr="00CA47B9">
        <w:t xml:space="preserve"> </w:t>
      </w:r>
      <w:r w:rsidRPr="00CA47B9">
        <w:t>up</w:t>
      </w:r>
      <w:r w:rsidR="004B41A2" w:rsidRPr="00CA47B9">
        <w:t xml:space="preserve"> </w:t>
      </w:r>
      <w:r w:rsidRPr="00CA47B9">
        <w:t>to</w:t>
      </w:r>
      <w:r w:rsidR="004B41A2" w:rsidRPr="00CA47B9">
        <w:t xml:space="preserve"> </w:t>
      </w:r>
      <w:r w:rsidRPr="00CA47B9">
        <w:t>that</w:t>
      </w:r>
      <w:r w:rsidR="004B41A2" w:rsidRPr="00CA47B9">
        <w:t xml:space="preserve"> </w:t>
      </w:r>
      <w:r w:rsidRPr="00CA47B9">
        <w:t>of</w:t>
      </w:r>
      <w:r w:rsidR="004B41A2" w:rsidRPr="00CA47B9">
        <w:t xml:space="preserve"> </w:t>
      </w:r>
      <w:r w:rsidRPr="00CA47B9">
        <w:t>the</w:t>
      </w:r>
      <w:r w:rsidR="004B41A2" w:rsidRPr="00CA47B9">
        <w:t xml:space="preserve"> </w:t>
      </w:r>
      <w:r w:rsidRPr="00CA47B9">
        <w:t>level</w:t>
      </w:r>
      <w:r w:rsidR="004B41A2" w:rsidRPr="00CA47B9">
        <w:t xml:space="preserve"> </w:t>
      </w:r>
      <w:r w:rsidRPr="00CA47B9">
        <w:t>above</w:t>
      </w:r>
      <w:r w:rsidR="004B41A2" w:rsidRPr="00CA47B9">
        <w:t xml:space="preserve"> </w:t>
      </w:r>
      <w:r w:rsidRPr="00CA47B9">
        <w:t>within</w:t>
      </w:r>
      <w:r w:rsidR="004B41A2" w:rsidRPr="00CA47B9">
        <w:t xml:space="preserve"> </w:t>
      </w:r>
      <w:r w:rsidRPr="00CA47B9">
        <w:t>the</w:t>
      </w:r>
      <w:r w:rsidR="004B41A2" w:rsidRPr="00CA47B9">
        <w:t xml:space="preserve"> </w:t>
      </w:r>
      <w:r w:rsidRPr="00CA47B9">
        <w:t>baseline</w:t>
      </w:r>
      <w:r w:rsidR="004B41A2" w:rsidRPr="00CA47B9">
        <w:t xml:space="preserve"> </w:t>
      </w:r>
      <w:r w:rsidRPr="00CA47B9">
        <w:t>forecast.</w:t>
      </w:r>
      <w:r w:rsidR="004B41A2" w:rsidRPr="00CA47B9">
        <w:t xml:space="preserve"> </w:t>
      </w:r>
    </w:p>
    <w:p w:rsidR="00B0298E" w:rsidRPr="00CA47B9" w:rsidRDefault="00B0298E" w:rsidP="00766669">
      <w:pPr>
        <w:pStyle w:val="11Bodytext"/>
        <w:tabs>
          <w:tab w:val="clear" w:pos="2212"/>
          <w:tab w:val="num" w:pos="567"/>
        </w:tabs>
        <w:spacing w:after="0"/>
        <w:ind w:left="567" w:hanging="567"/>
      </w:pPr>
      <w:r w:rsidRPr="00CA47B9">
        <w:t>How</w:t>
      </w:r>
      <w:r w:rsidR="004B41A2" w:rsidRPr="00CA47B9">
        <w:t xml:space="preserve"> </w:t>
      </w:r>
      <w:r w:rsidRPr="00CA47B9">
        <w:t>the</w:t>
      </w:r>
      <w:r w:rsidR="004B41A2" w:rsidRPr="00CA47B9">
        <w:t xml:space="preserve"> </w:t>
      </w:r>
      <w:r w:rsidRPr="00CA47B9">
        <w:t>national</w:t>
      </w:r>
      <w:r w:rsidR="004B41A2" w:rsidRPr="00CA47B9">
        <w:t xml:space="preserve"> </w:t>
      </w:r>
      <w:r w:rsidRPr="00CA47B9">
        <w:t>level</w:t>
      </w:r>
      <w:r w:rsidR="004B41A2" w:rsidRPr="00CA47B9">
        <w:t xml:space="preserve"> </w:t>
      </w:r>
      <w:r w:rsidRPr="00CA47B9">
        <w:t>of</w:t>
      </w:r>
      <w:r w:rsidR="004B41A2" w:rsidRPr="00CA47B9">
        <w:t xml:space="preserve"> </w:t>
      </w:r>
      <w:r w:rsidRPr="00CA47B9">
        <w:t>growth</w:t>
      </w:r>
      <w:r w:rsidR="004B41A2" w:rsidRPr="00CA47B9">
        <w:t xml:space="preserve"> </w:t>
      </w:r>
      <w:r w:rsidRPr="00CA47B9">
        <w:t>is</w:t>
      </w:r>
      <w:r w:rsidR="004B41A2" w:rsidRPr="00CA47B9">
        <w:t xml:space="preserve"> </w:t>
      </w:r>
      <w:r w:rsidRPr="00CA47B9">
        <w:t>translated</w:t>
      </w:r>
      <w:r w:rsidR="004B41A2" w:rsidRPr="00CA47B9">
        <w:t xml:space="preserve"> </w:t>
      </w:r>
      <w:r w:rsidR="00855CA6">
        <w:t>in</w:t>
      </w:r>
      <w:r w:rsidRPr="00CA47B9">
        <w:t>to</w:t>
      </w:r>
      <w:r w:rsidR="004B41A2" w:rsidRPr="00CA47B9">
        <w:t xml:space="preserve"> </w:t>
      </w:r>
      <w:r w:rsidRPr="00CA47B9">
        <w:t>a</w:t>
      </w:r>
      <w:r w:rsidR="004B41A2" w:rsidRPr="00CA47B9">
        <w:t xml:space="preserve"> </w:t>
      </w:r>
      <w:r w:rsidRPr="00CA47B9">
        <w:t>regional</w:t>
      </w:r>
      <w:r w:rsidR="004B41A2" w:rsidRPr="00CA47B9">
        <w:t xml:space="preserve"> </w:t>
      </w:r>
      <w:r w:rsidRPr="00CA47B9">
        <w:t>and</w:t>
      </w:r>
      <w:r w:rsidR="004B41A2" w:rsidRPr="00CA47B9">
        <w:t xml:space="preserve"> </w:t>
      </w:r>
      <w:r w:rsidRPr="00CA47B9">
        <w:t>local</w:t>
      </w:r>
      <w:r w:rsidR="004B41A2" w:rsidRPr="00CA47B9">
        <w:t xml:space="preserve"> </w:t>
      </w:r>
      <w:r w:rsidRPr="00CA47B9">
        <w:t>authority</w:t>
      </w:r>
      <w:r w:rsidR="004B41A2" w:rsidRPr="00CA47B9">
        <w:t xml:space="preserve"> </w:t>
      </w:r>
      <w:r w:rsidRPr="00CA47B9">
        <w:t>level</w:t>
      </w:r>
      <w:r w:rsidR="004B41A2" w:rsidRPr="00CA47B9">
        <w:t xml:space="preserve"> </w:t>
      </w:r>
      <w:r w:rsidRPr="00CA47B9">
        <w:t>differs</w:t>
      </w:r>
      <w:r w:rsidR="004B41A2" w:rsidRPr="00CA47B9">
        <w:t xml:space="preserve"> </w:t>
      </w:r>
      <w:r w:rsidRPr="00CA47B9">
        <w:t>from</w:t>
      </w:r>
      <w:r w:rsidR="004B41A2" w:rsidRPr="00CA47B9">
        <w:t xml:space="preserve"> </w:t>
      </w:r>
      <w:r w:rsidRPr="00CA47B9">
        <w:t>sector</w:t>
      </w:r>
      <w:r w:rsidR="004B41A2" w:rsidRPr="00CA47B9">
        <w:t xml:space="preserve"> </w:t>
      </w:r>
      <w:r w:rsidRPr="00CA47B9">
        <w:t>to</w:t>
      </w:r>
      <w:r w:rsidR="004B41A2" w:rsidRPr="00CA47B9">
        <w:t xml:space="preserve"> </w:t>
      </w:r>
      <w:r w:rsidRPr="00CA47B9">
        <w:t>sector.</w:t>
      </w:r>
      <w:r w:rsidR="004B41A2" w:rsidRPr="00CA47B9">
        <w:t xml:space="preserve"> </w:t>
      </w:r>
      <w:r w:rsidRPr="00CA47B9">
        <w:t>Some</w:t>
      </w:r>
      <w:r w:rsidR="004B41A2" w:rsidRPr="00CA47B9">
        <w:t xml:space="preserve"> </w:t>
      </w:r>
      <w:r w:rsidRPr="00CA47B9">
        <w:t>of</w:t>
      </w:r>
      <w:r w:rsidR="004B41A2" w:rsidRPr="00CA47B9">
        <w:t xml:space="preserve"> </w:t>
      </w:r>
      <w:r w:rsidRPr="00CA47B9">
        <w:t>the</w:t>
      </w:r>
      <w:r w:rsidR="004B41A2" w:rsidRPr="00CA47B9">
        <w:t xml:space="preserve"> </w:t>
      </w:r>
      <w:r w:rsidRPr="00CA47B9">
        <w:t>sectors</w:t>
      </w:r>
      <w:r w:rsidR="004B41A2" w:rsidRPr="00CA47B9">
        <w:t xml:space="preserve"> </w:t>
      </w:r>
      <w:r w:rsidRPr="00CA47B9">
        <w:t>are</w:t>
      </w:r>
      <w:r w:rsidR="004B41A2" w:rsidRPr="00CA47B9">
        <w:t xml:space="preserve"> </w:t>
      </w:r>
      <w:r w:rsidRPr="00CA47B9">
        <w:t>driven</w:t>
      </w:r>
      <w:r w:rsidR="004B41A2" w:rsidRPr="00CA47B9">
        <w:t xml:space="preserve"> </w:t>
      </w:r>
      <w:r w:rsidRPr="00CA47B9">
        <w:t>predominantly</w:t>
      </w:r>
      <w:r w:rsidR="004B41A2" w:rsidRPr="00CA47B9">
        <w:t xml:space="preserve"> </w:t>
      </w:r>
      <w:r w:rsidRPr="00CA47B9">
        <w:t>by</w:t>
      </w:r>
      <w:r w:rsidR="004B41A2" w:rsidRPr="00CA47B9">
        <w:t xml:space="preserve"> </w:t>
      </w:r>
      <w:r w:rsidRPr="00CA47B9">
        <w:t>population</w:t>
      </w:r>
      <w:r w:rsidR="004B41A2" w:rsidRPr="00CA47B9">
        <w:t xml:space="preserve"> </w:t>
      </w:r>
      <w:r w:rsidRPr="00CA47B9">
        <w:t>estimates,</w:t>
      </w:r>
      <w:r w:rsidR="004B41A2" w:rsidRPr="00CA47B9">
        <w:t xml:space="preserve"> </w:t>
      </w:r>
      <w:r w:rsidRPr="00CA47B9">
        <w:t>others</w:t>
      </w:r>
      <w:r w:rsidR="004B41A2" w:rsidRPr="00CA47B9">
        <w:t xml:space="preserve"> </w:t>
      </w:r>
      <w:r w:rsidRPr="00CA47B9">
        <w:t>by</w:t>
      </w:r>
      <w:r w:rsidR="004B41A2" w:rsidRPr="00CA47B9">
        <w:t xml:space="preserve"> </w:t>
      </w:r>
      <w:r w:rsidRPr="00CA47B9">
        <w:t>total</w:t>
      </w:r>
      <w:r w:rsidR="004B41A2" w:rsidRPr="00CA47B9">
        <w:t xml:space="preserve"> </w:t>
      </w:r>
      <w:r w:rsidRPr="00CA47B9">
        <w:t>employment</w:t>
      </w:r>
      <w:r w:rsidR="004B41A2" w:rsidRPr="00CA47B9">
        <w:t xml:space="preserve"> </w:t>
      </w:r>
      <w:r w:rsidRPr="00CA47B9">
        <w:t>in</w:t>
      </w:r>
      <w:r w:rsidR="004B41A2" w:rsidRPr="00CA47B9">
        <w:t xml:space="preserve"> </w:t>
      </w:r>
      <w:r w:rsidRPr="00CA47B9">
        <w:t>the</w:t>
      </w:r>
      <w:r w:rsidR="004B41A2" w:rsidRPr="00CA47B9">
        <w:t xml:space="preserve"> </w:t>
      </w:r>
      <w:r w:rsidRPr="00CA47B9">
        <w:t>area</w:t>
      </w:r>
      <w:r w:rsidR="004B41A2" w:rsidRPr="00CA47B9">
        <w:t xml:space="preserve"> </w:t>
      </w:r>
      <w:r w:rsidRPr="00CA47B9">
        <w:t>and</w:t>
      </w:r>
      <w:r w:rsidR="004B41A2" w:rsidRPr="00CA47B9">
        <w:t xml:space="preserve"> </w:t>
      </w:r>
      <w:r w:rsidRPr="00CA47B9">
        <w:t>the</w:t>
      </w:r>
      <w:r w:rsidR="004B41A2" w:rsidRPr="00CA47B9">
        <w:t xml:space="preserve"> </w:t>
      </w:r>
      <w:r w:rsidRPr="00CA47B9">
        <w:t>remainder</w:t>
      </w:r>
      <w:r w:rsidR="004B41A2" w:rsidRPr="00CA47B9">
        <w:t xml:space="preserve"> </w:t>
      </w:r>
      <w:r w:rsidRPr="00CA47B9">
        <w:t>by</w:t>
      </w:r>
      <w:r w:rsidR="004B41A2" w:rsidRPr="00CA47B9">
        <w:t xml:space="preserve"> </w:t>
      </w:r>
      <w:r w:rsidRPr="00CA47B9">
        <w:t>the</w:t>
      </w:r>
      <w:r w:rsidR="004B41A2" w:rsidRPr="00CA47B9">
        <w:t xml:space="preserve"> </w:t>
      </w:r>
      <w:r w:rsidRPr="00CA47B9">
        <w:t>sector’s</w:t>
      </w:r>
      <w:r w:rsidR="004B41A2" w:rsidRPr="00CA47B9">
        <w:t xml:space="preserve"> </w:t>
      </w:r>
      <w:r w:rsidRPr="00CA47B9">
        <w:t>performance</w:t>
      </w:r>
      <w:r w:rsidR="004B41A2" w:rsidRPr="00CA47B9">
        <w:t xml:space="preserve"> </w:t>
      </w:r>
      <w:r w:rsidRPr="00CA47B9">
        <w:t>relative</w:t>
      </w:r>
      <w:r w:rsidR="004B41A2" w:rsidRPr="00CA47B9">
        <w:t xml:space="preserve"> </w:t>
      </w:r>
      <w:r w:rsidRPr="00CA47B9">
        <w:t>to</w:t>
      </w:r>
      <w:r w:rsidR="004B41A2" w:rsidRPr="00CA47B9">
        <w:t xml:space="preserve"> </w:t>
      </w:r>
      <w:r w:rsidRPr="00CA47B9">
        <w:t>the</w:t>
      </w:r>
      <w:r w:rsidR="004B41A2" w:rsidRPr="00CA47B9">
        <w:t xml:space="preserve"> </w:t>
      </w:r>
      <w:r w:rsidRPr="00CA47B9">
        <w:t>regional</w:t>
      </w:r>
      <w:r w:rsidR="004B41A2" w:rsidRPr="00CA47B9">
        <w:t xml:space="preserve"> </w:t>
      </w:r>
      <w:r w:rsidRPr="00CA47B9">
        <w:t>performance</w:t>
      </w:r>
      <w:r w:rsidR="004B41A2" w:rsidRPr="00CA47B9">
        <w:t xml:space="preserve"> </w:t>
      </w:r>
      <w:r w:rsidRPr="00CA47B9">
        <w:t>(largely</w:t>
      </w:r>
      <w:r w:rsidR="004B41A2" w:rsidRPr="00CA47B9">
        <w:t xml:space="preserve"> </w:t>
      </w:r>
      <w:r w:rsidRPr="00CA47B9">
        <w:t>exporting</w:t>
      </w:r>
      <w:r w:rsidR="004B41A2" w:rsidRPr="00CA47B9">
        <w:t xml:space="preserve"> </w:t>
      </w:r>
      <w:r w:rsidRPr="00CA47B9">
        <w:t>sectors).</w:t>
      </w:r>
      <w:r w:rsidR="004B41A2" w:rsidRPr="00CA47B9">
        <w:t xml:space="preserve"> </w:t>
      </w:r>
      <w:r w:rsidRPr="00CA47B9">
        <w:t>The</w:t>
      </w:r>
      <w:r w:rsidR="004B41A2" w:rsidRPr="00CA47B9">
        <w:t xml:space="preserve"> </w:t>
      </w:r>
      <w:r w:rsidRPr="00CA47B9">
        <w:t>methods</w:t>
      </w:r>
      <w:r w:rsidR="004B41A2" w:rsidRPr="00CA47B9">
        <w:t xml:space="preserve"> </w:t>
      </w:r>
      <w:r w:rsidRPr="00CA47B9">
        <w:t>of</w:t>
      </w:r>
      <w:r w:rsidR="004B41A2" w:rsidRPr="00CA47B9">
        <w:t xml:space="preserve"> </w:t>
      </w:r>
      <w:r w:rsidRPr="00CA47B9">
        <w:t>sectoral</w:t>
      </w:r>
      <w:r w:rsidR="004B41A2" w:rsidRPr="00CA47B9">
        <w:t xml:space="preserve"> </w:t>
      </w:r>
      <w:r w:rsidRPr="00CA47B9">
        <w:t>projection</w:t>
      </w:r>
      <w:r w:rsidR="004B41A2" w:rsidRPr="00CA47B9">
        <w:t xml:space="preserve"> </w:t>
      </w:r>
      <w:r w:rsidRPr="00CA47B9">
        <w:t>are</w:t>
      </w:r>
      <w:r w:rsidR="004B41A2" w:rsidRPr="00CA47B9">
        <w:t xml:space="preserve"> </w:t>
      </w:r>
      <w:r w:rsidRPr="00CA47B9">
        <w:t>as</w:t>
      </w:r>
      <w:r w:rsidR="004B41A2" w:rsidRPr="00CA47B9">
        <w:t xml:space="preserve"> </w:t>
      </w:r>
      <w:r w:rsidRPr="00CA47B9">
        <w:t>follows,</w:t>
      </w:r>
      <w:r w:rsidR="004B41A2" w:rsidRPr="00CA47B9">
        <w:t xml:space="preserve"> </w:t>
      </w:r>
      <w:r w:rsidRPr="00CA47B9">
        <w:t>each</w:t>
      </w:r>
      <w:r w:rsidR="004B41A2" w:rsidRPr="00CA47B9">
        <w:t xml:space="preserve"> </w:t>
      </w:r>
      <w:r w:rsidRPr="00CA47B9">
        <w:t>of</w:t>
      </w:r>
      <w:r w:rsidR="004B41A2" w:rsidRPr="00CA47B9">
        <w:t xml:space="preserve"> </w:t>
      </w:r>
      <w:r w:rsidRPr="00CA47B9">
        <w:t>which</w:t>
      </w:r>
      <w:r w:rsidR="004B41A2" w:rsidRPr="00CA47B9">
        <w:t xml:space="preserve"> </w:t>
      </w:r>
      <w:r w:rsidRPr="00CA47B9">
        <w:t>are</w:t>
      </w:r>
      <w:r w:rsidR="004B41A2" w:rsidRPr="00CA47B9">
        <w:t xml:space="preserve"> </w:t>
      </w:r>
      <w:r w:rsidRPr="00CA47B9">
        <w:t>forecast</w:t>
      </w:r>
      <w:r w:rsidR="004B41A2" w:rsidRPr="00CA47B9">
        <w:t xml:space="preserve"> </w:t>
      </w:r>
      <w:r w:rsidRPr="00CA47B9">
        <w:t>based</w:t>
      </w:r>
      <w:r w:rsidR="004B41A2" w:rsidRPr="00CA47B9">
        <w:t xml:space="preserve"> </w:t>
      </w:r>
      <w:r w:rsidRPr="00CA47B9">
        <w:t>on</w:t>
      </w:r>
      <w:r w:rsidR="004B41A2" w:rsidRPr="00CA47B9">
        <w:t xml:space="preserve"> </w:t>
      </w:r>
      <w:r w:rsidRPr="00CA47B9">
        <w:t>recent</w:t>
      </w:r>
      <w:r w:rsidR="004B41A2" w:rsidRPr="00CA47B9">
        <w:t xml:space="preserve"> </w:t>
      </w:r>
      <w:r w:rsidRPr="00CA47B9">
        <w:t>trends:</w:t>
      </w:r>
    </w:p>
    <w:p w:rsidR="00B0298E" w:rsidRPr="00CA47B9" w:rsidRDefault="00B0298E" w:rsidP="00ED1C06">
      <w:pPr>
        <w:pStyle w:val="10BulletBodytext"/>
      </w:pPr>
      <w:r w:rsidRPr="00CA47B9">
        <w:t>Agriculture</w:t>
      </w:r>
      <w:r w:rsidR="004B41A2" w:rsidRPr="00CA47B9">
        <w:t xml:space="preserve"> </w:t>
      </w:r>
      <w:r w:rsidRPr="00CA47B9">
        <w:t>-</w:t>
      </w:r>
      <w:r w:rsidR="004B41A2" w:rsidRPr="00CA47B9">
        <w:t xml:space="preserve"> </w:t>
      </w:r>
      <w:r w:rsidRPr="00CA47B9">
        <w:t>share</w:t>
      </w:r>
      <w:r w:rsidR="004B41A2" w:rsidRPr="00CA47B9">
        <w:t xml:space="preserve"> </w:t>
      </w:r>
      <w:r w:rsidRPr="00CA47B9">
        <w:t>of</w:t>
      </w:r>
      <w:r w:rsidR="004B41A2" w:rsidRPr="00CA47B9">
        <w:t xml:space="preserve"> </w:t>
      </w:r>
      <w:r w:rsidRPr="00CA47B9">
        <w:t>the</w:t>
      </w:r>
      <w:r w:rsidR="004B41A2" w:rsidRPr="00CA47B9">
        <w:t xml:space="preserve"> </w:t>
      </w:r>
      <w:r w:rsidRPr="00CA47B9">
        <w:t>regional</w:t>
      </w:r>
      <w:r w:rsidR="004B41A2" w:rsidRPr="00CA47B9">
        <w:t xml:space="preserve"> </w:t>
      </w:r>
      <w:r w:rsidRPr="00CA47B9">
        <w:t>employment</w:t>
      </w:r>
    </w:p>
    <w:p w:rsidR="00B0298E" w:rsidRPr="00CA47B9" w:rsidRDefault="00B0298E" w:rsidP="00ED1C06">
      <w:pPr>
        <w:pStyle w:val="10BulletBodytext"/>
      </w:pPr>
      <w:r w:rsidRPr="00CA47B9">
        <w:t>Mining</w:t>
      </w:r>
      <w:r w:rsidR="004B41A2" w:rsidRPr="00CA47B9">
        <w:t xml:space="preserve"> </w:t>
      </w:r>
      <w:r w:rsidRPr="00CA47B9">
        <w:t>and</w:t>
      </w:r>
      <w:r w:rsidR="004B41A2" w:rsidRPr="00CA47B9">
        <w:t xml:space="preserve"> </w:t>
      </w:r>
      <w:r w:rsidRPr="00CA47B9">
        <w:t>quarrying</w:t>
      </w:r>
      <w:r w:rsidR="004B41A2" w:rsidRPr="00CA47B9">
        <w:t xml:space="preserve"> </w:t>
      </w:r>
      <w:r w:rsidRPr="00CA47B9">
        <w:t>-</w:t>
      </w:r>
      <w:r w:rsidR="004B41A2" w:rsidRPr="00CA47B9">
        <w:t xml:space="preserve"> </w:t>
      </w:r>
      <w:r w:rsidRPr="00CA47B9">
        <w:t>share</w:t>
      </w:r>
      <w:r w:rsidR="004B41A2" w:rsidRPr="00CA47B9">
        <w:t xml:space="preserve"> </w:t>
      </w:r>
      <w:r w:rsidRPr="00CA47B9">
        <w:t>of</w:t>
      </w:r>
      <w:r w:rsidR="004B41A2" w:rsidRPr="00CA47B9">
        <w:t xml:space="preserve"> </w:t>
      </w:r>
      <w:r w:rsidRPr="00CA47B9">
        <w:t>the</w:t>
      </w:r>
      <w:r w:rsidR="004B41A2" w:rsidRPr="00CA47B9">
        <w:t xml:space="preserve"> </w:t>
      </w:r>
      <w:r w:rsidRPr="00CA47B9">
        <w:t>regional</w:t>
      </w:r>
      <w:r w:rsidR="004B41A2" w:rsidRPr="00CA47B9">
        <w:t xml:space="preserve"> </w:t>
      </w:r>
      <w:r w:rsidRPr="00CA47B9">
        <w:t>employment</w:t>
      </w:r>
    </w:p>
    <w:p w:rsidR="00B0298E" w:rsidRPr="00CA47B9" w:rsidRDefault="00B0298E" w:rsidP="00ED1C06">
      <w:pPr>
        <w:pStyle w:val="10BulletBodytext"/>
      </w:pPr>
      <w:r w:rsidRPr="00CA47B9">
        <w:t>Manufacturing</w:t>
      </w:r>
      <w:r w:rsidR="004B41A2" w:rsidRPr="00CA47B9">
        <w:t xml:space="preserve"> </w:t>
      </w:r>
      <w:r w:rsidRPr="00CA47B9">
        <w:t>-</w:t>
      </w:r>
      <w:r w:rsidR="004B41A2" w:rsidRPr="00CA47B9">
        <w:t xml:space="preserve"> </w:t>
      </w:r>
      <w:r w:rsidRPr="00CA47B9">
        <w:t>share</w:t>
      </w:r>
      <w:r w:rsidR="004B41A2" w:rsidRPr="00CA47B9">
        <w:t xml:space="preserve"> </w:t>
      </w:r>
      <w:r w:rsidRPr="00CA47B9">
        <w:t>of</w:t>
      </w:r>
      <w:r w:rsidR="004B41A2" w:rsidRPr="00CA47B9">
        <w:t xml:space="preserve"> </w:t>
      </w:r>
      <w:r w:rsidRPr="00CA47B9">
        <w:t>the</w:t>
      </w:r>
      <w:r w:rsidR="004B41A2" w:rsidRPr="00CA47B9">
        <w:t xml:space="preserve"> </w:t>
      </w:r>
      <w:r w:rsidRPr="00CA47B9">
        <w:t>regional</w:t>
      </w:r>
      <w:r w:rsidR="004B41A2" w:rsidRPr="00CA47B9">
        <w:t xml:space="preserve"> </w:t>
      </w:r>
      <w:r w:rsidRPr="00CA47B9">
        <w:t>employment</w:t>
      </w:r>
    </w:p>
    <w:p w:rsidR="00B0298E" w:rsidRPr="00CA47B9" w:rsidRDefault="00B0298E" w:rsidP="00ED1C06">
      <w:pPr>
        <w:pStyle w:val="10BulletBodytext"/>
      </w:pPr>
      <w:r w:rsidRPr="00CA47B9">
        <w:t>Electricity,</w:t>
      </w:r>
      <w:r w:rsidR="004B41A2" w:rsidRPr="00CA47B9">
        <w:t xml:space="preserve"> </w:t>
      </w:r>
      <w:r w:rsidRPr="00CA47B9">
        <w:t>gas,</w:t>
      </w:r>
      <w:r w:rsidR="004B41A2" w:rsidRPr="00CA47B9">
        <w:t xml:space="preserve"> </w:t>
      </w:r>
      <w:r w:rsidRPr="00CA47B9">
        <w:t>and</w:t>
      </w:r>
      <w:r w:rsidR="004B41A2" w:rsidRPr="00CA47B9">
        <w:t xml:space="preserve"> </w:t>
      </w:r>
      <w:r w:rsidRPr="00CA47B9">
        <w:t>steam</w:t>
      </w:r>
      <w:r w:rsidR="004B41A2" w:rsidRPr="00CA47B9">
        <w:t xml:space="preserve"> </w:t>
      </w:r>
      <w:r w:rsidRPr="00CA47B9">
        <w:t>-</w:t>
      </w:r>
      <w:r w:rsidR="004B41A2" w:rsidRPr="00CA47B9">
        <w:t xml:space="preserve"> </w:t>
      </w:r>
      <w:r w:rsidRPr="00CA47B9">
        <w:t>share</w:t>
      </w:r>
      <w:r w:rsidR="004B41A2" w:rsidRPr="00CA47B9">
        <w:t xml:space="preserve"> </w:t>
      </w:r>
      <w:r w:rsidRPr="00CA47B9">
        <w:t>of</w:t>
      </w:r>
      <w:r w:rsidR="004B41A2" w:rsidRPr="00CA47B9">
        <w:t xml:space="preserve"> </w:t>
      </w:r>
      <w:r w:rsidRPr="00CA47B9">
        <w:t>the</w:t>
      </w:r>
      <w:r w:rsidR="004B41A2" w:rsidRPr="00CA47B9">
        <w:t xml:space="preserve"> </w:t>
      </w:r>
      <w:r w:rsidRPr="00CA47B9">
        <w:t>regional</w:t>
      </w:r>
      <w:r w:rsidR="004B41A2" w:rsidRPr="00CA47B9">
        <w:t xml:space="preserve"> </w:t>
      </w:r>
      <w:r w:rsidRPr="00CA47B9">
        <w:t>employment</w:t>
      </w:r>
    </w:p>
    <w:p w:rsidR="00B0298E" w:rsidRPr="00CA47B9" w:rsidRDefault="00B0298E" w:rsidP="00ED1C06">
      <w:pPr>
        <w:pStyle w:val="10BulletBodytext"/>
      </w:pPr>
      <w:r w:rsidRPr="00CA47B9">
        <w:t>Water</w:t>
      </w:r>
      <w:r w:rsidR="004B41A2" w:rsidRPr="00CA47B9">
        <w:t xml:space="preserve"> </w:t>
      </w:r>
      <w:r w:rsidRPr="00CA47B9">
        <w:t>supply;</w:t>
      </w:r>
      <w:r w:rsidR="004B41A2" w:rsidRPr="00CA47B9">
        <w:t xml:space="preserve"> </w:t>
      </w:r>
      <w:r w:rsidRPr="00CA47B9">
        <w:t>sewerage,</w:t>
      </w:r>
      <w:r w:rsidR="004B41A2" w:rsidRPr="00CA47B9">
        <w:t xml:space="preserve"> </w:t>
      </w:r>
      <w:r w:rsidRPr="00CA47B9">
        <w:t>waste</w:t>
      </w:r>
      <w:r w:rsidR="004B41A2" w:rsidRPr="00CA47B9">
        <w:t xml:space="preserve"> </w:t>
      </w:r>
      <w:r w:rsidRPr="00CA47B9">
        <w:t>management</w:t>
      </w:r>
      <w:r w:rsidR="004B41A2" w:rsidRPr="00CA47B9">
        <w:t xml:space="preserve"> </w:t>
      </w:r>
      <w:r w:rsidRPr="00CA47B9">
        <w:t>-</w:t>
      </w:r>
      <w:r w:rsidR="004B41A2" w:rsidRPr="00CA47B9">
        <w:t xml:space="preserve"> </w:t>
      </w:r>
      <w:r w:rsidRPr="00CA47B9">
        <w:t>share</w:t>
      </w:r>
      <w:r w:rsidR="004B41A2" w:rsidRPr="00CA47B9">
        <w:t xml:space="preserve"> </w:t>
      </w:r>
      <w:r w:rsidRPr="00CA47B9">
        <w:t>of</w:t>
      </w:r>
      <w:r w:rsidR="004B41A2" w:rsidRPr="00CA47B9">
        <w:t xml:space="preserve"> </w:t>
      </w:r>
      <w:r w:rsidRPr="00CA47B9">
        <w:t>the</w:t>
      </w:r>
      <w:r w:rsidR="004B41A2" w:rsidRPr="00CA47B9">
        <w:t xml:space="preserve"> </w:t>
      </w:r>
      <w:r w:rsidRPr="00CA47B9">
        <w:t>regional</w:t>
      </w:r>
      <w:r w:rsidR="004B41A2" w:rsidRPr="00CA47B9">
        <w:t xml:space="preserve"> </w:t>
      </w:r>
      <w:r w:rsidRPr="00CA47B9">
        <w:t>employment</w:t>
      </w:r>
    </w:p>
    <w:p w:rsidR="00B0298E" w:rsidRPr="00CA47B9" w:rsidRDefault="00B0298E" w:rsidP="00ED1C06">
      <w:pPr>
        <w:pStyle w:val="10BulletBodytext"/>
      </w:pPr>
      <w:r w:rsidRPr="00CA47B9">
        <w:t>Construction</w:t>
      </w:r>
      <w:r w:rsidR="004B41A2" w:rsidRPr="00CA47B9">
        <w:t xml:space="preserve"> </w:t>
      </w:r>
      <w:r w:rsidRPr="00CA47B9">
        <w:t>-</w:t>
      </w:r>
      <w:r w:rsidR="004B41A2" w:rsidRPr="00CA47B9">
        <w:t xml:space="preserve"> </w:t>
      </w:r>
      <w:r w:rsidRPr="00CA47B9">
        <w:t>location</w:t>
      </w:r>
      <w:r w:rsidR="004B41A2" w:rsidRPr="00CA47B9">
        <w:t xml:space="preserve"> </w:t>
      </w:r>
      <w:r w:rsidRPr="00CA47B9">
        <w:t>quotient</w:t>
      </w:r>
      <w:r w:rsidR="004B41A2" w:rsidRPr="00CA47B9">
        <w:t xml:space="preserve"> </w:t>
      </w:r>
      <w:r w:rsidRPr="00CA47B9">
        <w:t>(LQ)</w:t>
      </w:r>
      <w:r w:rsidR="004B41A2" w:rsidRPr="00CA47B9">
        <w:t xml:space="preserve"> </w:t>
      </w:r>
      <w:r w:rsidRPr="00CA47B9">
        <w:t>based</w:t>
      </w:r>
      <w:r w:rsidR="004B41A2" w:rsidRPr="00CA47B9">
        <w:t xml:space="preserve"> </w:t>
      </w:r>
      <w:r w:rsidRPr="00CA47B9">
        <w:t>upon</w:t>
      </w:r>
      <w:r w:rsidR="004B41A2" w:rsidRPr="00CA47B9">
        <w:t xml:space="preserve"> </w:t>
      </w:r>
      <w:r w:rsidRPr="00CA47B9">
        <w:t>total</w:t>
      </w:r>
      <w:r w:rsidR="004B41A2" w:rsidRPr="00CA47B9">
        <w:t xml:space="preserve"> </w:t>
      </w:r>
      <w:r w:rsidRPr="00CA47B9">
        <w:t>employment</w:t>
      </w:r>
    </w:p>
    <w:p w:rsidR="00B0298E" w:rsidRPr="00CA47B9" w:rsidRDefault="00B0298E" w:rsidP="00ED1C06">
      <w:pPr>
        <w:pStyle w:val="10BulletBodytext"/>
      </w:pPr>
      <w:r w:rsidRPr="00CA47B9">
        <w:t>Wholesale</w:t>
      </w:r>
      <w:r w:rsidR="004B41A2" w:rsidRPr="00CA47B9">
        <w:t xml:space="preserve"> </w:t>
      </w:r>
      <w:r w:rsidRPr="00CA47B9">
        <w:t>and</w:t>
      </w:r>
      <w:r w:rsidR="004B41A2" w:rsidRPr="00CA47B9">
        <w:t xml:space="preserve"> </w:t>
      </w:r>
      <w:r w:rsidRPr="00CA47B9">
        <w:t>retail</w:t>
      </w:r>
      <w:r w:rsidR="004B41A2" w:rsidRPr="00CA47B9">
        <w:t xml:space="preserve"> </w:t>
      </w:r>
      <w:r w:rsidRPr="00CA47B9">
        <w:t>trade</w:t>
      </w:r>
      <w:r w:rsidR="004B41A2" w:rsidRPr="00CA47B9">
        <w:t xml:space="preserve"> </w:t>
      </w:r>
      <w:r w:rsidRPr="00CA47B9">
        <w:t>-</w:t>
      </w:r>
      <w:r w:rsidR="004B41A2" w:rsidRPr="00CA47B9">
        <w:t xml:space="preserve"> </w:t>
      </w:r>
      <w:r w:rsidRPr="00CA47B9">
        <w:t>LQ</w:t>
      </w:r>
      <w:r w:rsidR="004B41A2" w:rsidRPr="00CA47B9">
        <w:t xml:space="preserve"> </w:t>
      </w:r>
      <w:r w:rsidRPr="00CA47B9">
        <w:t>based</w:t>
      </w:r>
      <w:r w:rsidR="004B41A2" w:rsidRPr="00CA47B9">
        <w:t xml:space="preserve"> </w:t>
      </w:r>
      <w:r w:rsidRPr="00CA47B9">
        <w:t>upon</w:t>
      </w:r>
      <w:r w:rsidR="004B41A2" w:rsidRPr="00CA47B9">
        <w:t xml:space="preserve"> </w:t>
      </w:r>
      <w:r w:rsidRPr="00CA47B9">
        <w:t>consumer</w:t>
      </w:r>
      <w:r w:rsidR="004B41A2" w:rsidRPr="00CA47B9">
        <w:t xml:space="preserve"> </w:t>
      </w:r>
      <w:r w:rsidRPr="00CA47B9">
        <w:t>spending</w:t>
      </w:r>
    </w:p>
    <w:p w:rsidR="00B0298E" w:rsidRPr="00CA47B9" w:rsidRDefault="00B0298E" w:rsidP="00ED1C06">
      <w:pPr>
        <w:pStyle w:val="10BulletBodytext"/>
      </w:pPr>
      <w:r w:rsidRPr="00CA47B9">
        <w:t>Transportation</w:t>
      </w:r>
      <w:r w:rsidR="004B41A2" w:rsidRPr="00CA47B9">
        <w:t xml:space="preserve"> </w:t>
      </w:r>
      <w:r w:rsidRPr="00CA47B9">
        <w:t>and</w:t>
      </w:r>
      <w:r w:rsidR="004B41A2" w:rsidRPr="00CA47B9">
        <w:t xml:space="preserve"> </w:t>
      </w:r>
      <w:r w:rsidRPr="00CA47B9">
        <w:t>storage</w:t>
      </w:r>
      <w:r w:rsidR="004B41A2" w:rsidRPr="00CA47B9">
        <w:t xml:space="preserve"> </w:t>
      </w:r>
      <w:r w:rsidRPr="00CA47B9">
        <w:t>-</w:t>
      </w:r>
      <w:r w:rsidR="004B41A2" w:rsidRPr="00CA47B9">
        <w:t xml:space="preserve"> </w:t>
      </w:r>
      <w:r w:rsidRPr="00CA47B9">
        <w:t>LQ</w:t>
      </w:r>
      <w:r w:rsidR="004B41A2" w:rsidRPr="00CA47B9">
        <w:t xml:space="preserve"> </w:t>
      </w:r>
      <w:r w:rsidRPr="00CA47B9">
        <w:t>based</w:t>
      </w:r>
      <w:r w:rsidR="004B41A2" w:rsidRPr="00CA47B9">
        <w:t xml:space="preserve"> </w:t>
      </w:r>
      <w:r w:rsidRPr="00CA47B9">
        <w:t>upon</w:t>
      </w:r>
      <w:r w:rsidR="004B41A2" w:rsidRPr="00CA47B9">
        <w:t xml:space="preserve"> </w:t>
      </w:r>
      <w:r w:rsidRPr="00CA47B9">
        <w:t>consumer</w:t>
      </w:r>
      <w:r w:rsidR="004B41A2" w:rsidRPr="00CA47B9">
        <w:t xml:space="preserve"> </w:t>
      </w:r>
      <w:r w:rsidRPr="00CA47B9">
        <w:t>spending</w:t>
      </w:r>
      <w:r w:rsidR="004B41A2" w:rsidRPr="00CA47B9">
        <w:t xml:space="preserve"> </w:t>
      </w:r>
    </w:p>
    <w:p w:rsidR="00B0298E" w:rsidRPr="00CA47B9" w:rsidRDefault="00B0298E" w:rsidP="00ED1C06">
      <w:pPr>
        <w:pStyle w:val="10BulletBodytext"/>
      </w:pPr>
      <w:r w:rsidRPr="00CA47B9">
        <w:t>Accommodation</w:t>
      </w:r>
      <w:r w:rsidR="004B41A2" w:rsidRPr="00CA47B9">
        <w:t xml:space="preserve"> </w:t>
      </w:r>
      <w:r w:rsidRPr="00CA47B9">
        <w:t>and</w:t>
      </w:r>
      <w:r w:rsidR="004B41A2" w:rsidRPr="00CA47B9">
        <w:t xml:space="preserve"> </w:t>
      </w:r>
      <w:r w:rsidRPr="00CA47B9">
        <w:t>food</w:t>
      </w:r>
      <w:r w:rsidR="004B41A2" w:rsidRPr="00CA47B9">
        <w:t xml:space="preserve"> </w:t>
      </w:r>
      <w:r w:rsidRPr="00CA47B9">
        <w:t>service</w:t>
      </w:r>
      <w:r w:rsidR="004B41A2" w:rsidRPr="00CA47B9">
        <w:t xml:space="preserve"> </w:t>
      </w:r>
      <w:r w:rsidRPr="00CA47B9">
        <w:t>activities</w:t>
      </w:r>
      <w:r w:rsidR="004B41A2" w:rsidRPr="00CA47B9">
        <w:t xml:space="preserve"> </w:t>
      </w:r>
      <w:r w:rsidRPr="00CA47B9">
        <w:t>-</w:t>
      </w:r>
      <w:r w:rsidR="004B41A2" w:rsidRPr="00CA47B9">
        <w:t xml:space="preserve"> </w:t>
      </w:r>
      <w:r w:rsidRPr="00CA47B9">
        <w:t>LQ</w:t>
      </w:r>
      <w:r w:rsidR="004B41A2" w:rsidRPr="00CA47B9">
        <w:t xml:space="preserve"> </w:t>
      </w:r>
      <w:r w:rsidRPr="00CA47B9">
        <w:t>based</w:t>
      </w:r>
      <w:r w:rsidR="004B41A2" w:rsidRPr="00CA47B9">
        <w:t xml:space="preserve"> </w:t>
      </w:r>
      <w:r w:rsidRPr="00CA47B9">
        <w:t>upon</w:t>
      </w:r>
      <w:r w:rsidR="004B41A2" w:rsidRPr="00CA47B9">
        <w:t xml:space="preserve"> </w:t>
      </w:r>
      <w:r w:rsidRPr="00CA47B9">
        <w:t>consumer</w:t>
      </w:r>
      <w:r w:rsidR="004B41A2" w:rsidRPr="00CA47B9">
        <w:t xml:space="preserve"> </w:t>
      </w:r>
      <w:r w:rsidRPr="00CA47B9">
        <w:t>spending</w:t>
      </w:r>
      <w:r w:rsidR="004B41A2" w:rsidRPr="00CA47B9">
        <w:t xml:space="preserve"> </w:t>
      </w:r>
    </w:p>
    <w:p w:rsidR="00B0298E" w:rsidRPr="00CA47B9" w:rsidRDefault="00B0298E" w:rsidP="00ED1C06">
      <w:pPr>
        <w:pStyle w:val="10BulletBodytext"/>
      </w:pPr>
      <w:r w:rsidRPr="00CA47B9">
        <w:t>Information</w:t>
      </w:r>
      <w:r w:rsidR="004B41A2" w:rsidRPr="00CA47B9">
        <w:t xml:space="preserve"> </w:t>
      </w:r>
      <w:r w:rsidRPr="00CA47B9">
        <w:t>and</w:t>
      </w:r>
      <w:r w:rsidR="004B41A2" w:rsidRPr="00CA47B9">
        <w:t xml:space="preserve"> </w:t>
      </w:r>
      <w:r w:rsidRPr="00CA47B9">
        <w:t>communication</w:t>
      </w:r>
      <w:r w:rsidR="004B41A2" w:rsidRPr="00CA47B9">
        <w:t xml:space="preserve"> </w:t>
      </w:r>
      <w:r w:rsidRPr="00CA47B9">
        <w:t>-</w:t>
      </w:r>
      <w:r w:rsidR="004B41A2" w:rsidRPr="00CA47B9">
        <w:t xml:space="preserve"> </w:t>
      </w:r>
      <w:r w:rsidRPr="00CA47B9">
        <w:t>share</w:t>
      </w:r>
      <w:r w:rsidR="004B41A2" w:rsidRPr="00CA47B9">
        <w:t xml:space="preserve"> </w:t>
      </w:r>
      <w:r w:rsidRPr="00CA47B9">
        <w:t>of</w:t>
      </w:r>
      <w:r w:rsidR="004B41A2" w:rsidRPr="00CA47B9">
        <w:t xml:space="preserve"> </w:t>
      </w:r>
      <w:r w:rsidRPr="00CA47B9">
        <w:t>the</w:t>
      </w:r>
      <w:r w:rsidR="004B41A2" w:rsidRPr="00CA47B9">
        <w:t xml:space="preserve"> </w:t>
      </w:r>
      <w:r w:rsidRPr="00CA47B9">
        <w:t>regional</w:t>
      </w:r>
      <w:r w:rsidR="004B41A2" w:rsidRPr="00CA47B9">
        <w:t xml:space="preserve"> </w:t>
      </w:r>
      <w:r w:rsidRPr="00CA47B9">
        <w:t>employment</w:t>
      </w:r>
    </w:p>
    <w:p w:rsidR="00B0298E" w:rsidRPr="00CA47B9" w:rsidRDefault="00B0298E" w:rsidP="00ED1C06">
      <w:pPr>
        <w:pStyle w:val="10BulletBodytext"/>
      </w:pPr>
      <w:r w:rsidRPr="00CA47B9">
        <w:t>Financial</w:t>
      </w:r>
      <w:r w:rsidR="004B41A2" w:rsidRPr="00CA47B9">
        <w:t xml:space="preserve"> </w:t>
      </w:r>
      <w:r w:rsidRPr="00CA47B9">
        <w:t>and</w:t>
      </w:r>
      <w:r w:rsidR="004B41A2" w:rsidRPr="00CA47B9">
        <w:t xml:space="preserve"> </w:t>
      </w:r>
      <w:r w:rsidRPr="00CA47B9">
        <w:t>insurance</w:t>
      </w:r>
      <w:r w:rsidR="004B41A2" w:rsidRPr="00CA47B9">
        <w:t xml:space="preserve"> </w:t>
      </w:r>
      <w:r w:rsidRPr="00CA47B9">
        <w:t>activities</w:t>
      </w:r>
      <w:r w:rsidR="004B41A2" w:rsidRPr="00CA47B9">
        <w:t xml:space="preserve"> </w:t>
      </w:r>
      <w:r w:rsidRPr="00CA47B9">
        <w:t>-</w:t>
      </w:r>
      <w:r w:rsidR="004B41A2" w:rsidRPr="00CA47B9">
        <w:t xml:space="preserve"> </w:t>
      </w:r>
      <w:r w:rsidRPr="00CA47B9">
        <w:t>share</w:t>
      </w:r>
      <w:r w:rsidR="004B41A2" w:rsidRPr="00CA47B9">
        <w:t xml:space="preserve"> </w:t>
      </w:r>
      <w:r w:rsidRPr="00CA47B9">
        <w:t>of</w:t>
      </w:r>
      <w:r w:rsidR="004B41A2" w:rsidRPr="00CA47B9">
        <w:t xml:space="preserve"> </w:t>
      </w:r>
      <w:r w:rsidRPr="00CA47B9">
        <w:t>the</w:t>
      </w:r>
      <w:r w:rsidR="004B41A2" w:rsidRPr="00CA47B9">
        <w:t xml:space="preserve"> </w:t>
      </w:r>
      <w:r w:rsidRPr="00CA47B9">
        <w:t>regional</w:t>
      </w:r>
      <w:r w:rsidR="004B41A2" w:rsidRPr="00CA47B9">
        <w:t xml:space="preserve"> </w:t>
      </w:r>
      <w:r w:rsidRPr="00CA47B9">
        <w:t>employment</w:t>
      </w:r>
    </w:p>
    <w:p w:rsidR="00B0298E" w:rsidRPr="00CA47B9" w:rsidRDefault="00B0298E" w:rsidP="00ED1C06">
      <w:pPr>
        <w:pStyle w:val="10BulletBodytext"/>
      </w:pPr>
      <w:r w:rsidRPr="00CA47B9">
        <w:t>Real</w:t>
      </w:r>
      <w:r w:rsidR="004B41A2" w:rsidRPr="00CA47B9">
        <w:t xml:space="preserve"> </w:t>
      </w:r>
      <w:r w:rsidRPr="00CA47B9">
        <w:t>estate</w:t>
      </w:r>
      <w:r w:rsidR="004B41A2" w:rsidRPr="00CA47B9">
        <w:t xml:space="preserve"> </w:t>
      </w:r>
      <w:r w:rsidRPr="00CA47B9">
        <w:t>activities</w:t>
      </w:r>
      <w:r w:rsidR="004B41A2" w:rsidRPr="00CA47B9">
        <w:t xml:space="preserve"> </w:t>
      </w:r>
      <w:r w:rsidRPr="00CA47B9">
        <w:t>-</w:t>
      </w:r>
      <w:r w:rsidR="004B41A2" w:rsidRPr="00CA47B9">
        <w:t xml:space="preserve"> </w:t>
      </w:r>
      <w:r w:rsidRPr="00CA47B9">
        <w:t>LQ</w:t>
      </w:r>
      <w:r w:rsidR="004B41A2" w:rsidRPr="00CA47B9">
        <w:t xml:space="preserve"> </w:t>
      </w:r>
      <w:r w:rsidRPr="00CA47B9">
        <w:t>based</w:t>
      </w:r>
      <w:r w:rsidR="004B41A2" w:rsidRPr="00CA47B9">
        <w:t xml:space="preserve"> </w:t>
      </w:r>
      <w:r w:rsidRPr="00CA47B9">
        <w:t>upon</w:t>
      </w:r>
      <w:r w:rsidR="004B41A2" w:rsidRPr="00CA47B9">
        <w:t xml:space="preserve"> </w:t>
      </w:r>
      <w:r w:rsidRPr="00CA47B9">
        <w:t>total</w:t>
      </w:r>
      <w:r w:rsidR="004B41A2" w:rsidRPr="00CA47B9">
        <w:t xml:space="preserve"> </w:t>
      </w:r>
      <w:r w:rsidRPr="00CA47B9">
        <w:t>employment</w:t>
      </w:r>
      <w:r w:rsidR="004B41A2" w:rsidRPr="00CA47B9">
        <w:t xml:space="preserve"> </w:t>
      </w:r>
    </w:p>
    <w:p w:rsidR="00B0298E" w:rsidRPr="00CA47B9" w:rsidRDefault="00B0298E" w:rsidP="00ED1C06">
      <w:pPr>
        <w:pStyle w:val="10BulletBodytext"/>
      </w:pPr>
      <w:r w:rsidRPr="00CA47B9">
        <w:t>Professional,</w:t>
      </w:r>
      <w:r w:rsidR="004B41A2" w:rsidRPr="00CA47B9">
        <w:t xml:space="preserve"> </w:t>
      </w:r>
      <w:r w:rsidRPr="00CA47B9">
        <w:t>scientific</w:t>
      </w:r>
      <w:r w:rsidR="004B41A2" w:rsidRPr="00CA47B9">
        <w:t xml:space="preserve"> </w:t>
      </w:r>
      <w:r w:rsidRPr="00CA47B9">
        <w:t>and</w:t>
      </w:r>
      <w:r w:rsidR="004B41A2" w:rsidRPr="00CA47B9">
        <w:t xml:space="preserve"> </w:t>
      </w:r>
      <w:r w:rsidRPr="00CA47B9">
        <w:t>technical</w:t>
      </w:r>
      <w:r w:rsidR="004B41A2" w:rsidRPr="00CA47B9">
        <w:t xml:space="preserve"> </w:t>
      </w:r>
      <w:r w:rsidRPr="00CA47B9">
        <w:t>activities</w:t>
      </w:r>
      <w:r w:rsidR="004B41A2" w:rsidRPr="00CA47B9">
        <w:t xml:space="preserve"> </w:t>
      </w:r>
      <w:r w:rsidRPr="00CA47B9">
        <w:t>-</w:t>
      </w:r>
      <w:r w:rsidR="004B41A2" w:rsidRPr="00CA47B9">
        <w:t xml:space="preserve"> </w:t>
      </w:r>
      <w:r w:rsidRPr="00CA47B9">
        <w:t>LQ</w:t>
      </w:r>
      <w:r w:rsidR="004B41A2" w:rsidRPr="00CA47B9">
        <w:t xml:space="preserve"> </w:t>
      </w:r>
      <w:r w:rsidRPr="00CA47B9">
        <w:t>based</w:t>
      </w:r>
      <w:r w:rsidR="004B41A2" w:rsidRPr="00CA47B9">
        <w:t xml:space="preserve"> </w:t>
      </w:r>
      <w:r w:rsidRPr="00CA47B9">
        <w:t>upon</w:t>
      </w:r>
      <w:r w:rsidR="004B41A2" w:rsidRPr="00CA47B9">
        <w:t xml:space="preserve"> </w:t>
      </w:r>
      <w:r w:rsidRPr="00CA47B9">
        <w:t>total</w:t>
      </w:r>
      <w:r w:rsidR="004B41A2" w:rsidRPr="00CA47B9">
        <w:t xml:space="preserve"> </w:t>
      </w:r>
      <w:r w:rsidRPr="00CA47B9">
        <w:t>employment</w:t>
      </w:r>
      <w:r w:rsidR="004B41A2" w:rsidRPr="00CA47B9">
        <w:t xml:space="preserve"> </w:t>
      </w:r>
    </w:p>
    <w:p w:rsidR="00B0298E" w:rsidRPr="00CA47B9" w:rsidRDefault="00B0298E" w:rsidP="00ED1C06">
      <w:pPr>
        <w:pStyle w:val="10BulletBodytext"/>
      </w:pPr>
      <w:r w:rsidRPr="00CA47B9">
        <w:t>Administrative</w:t>
      </w:r>
      <w:r w:rsidR="004B41A2" w:rsidRPr="00CA47B9">
        <w:t xml:space="preserve"> </w:t>
      </w:r>
      <w:r w:rsidRPr="00CA47B9">
        <w:t>and</w:t>
      </w:r>
      <w:r w:rsidR="004B41A2" w:rsidRPr="00CA47B9">
        <w:t xml:space="preserve"> </w:t>
      </w:r>
      <w:r w:rsidRPr="00CA47B9">
        <w:t>support</w:t>
      </w:r>
      <w:r w:rsidR="004B41A2" w:rsidRPr="00CA47B9">
        <w:t xml:space="preserve"> </w:t>
      </w:r>
      <w:r w:rsidRPr="00CA47B9">
        <w:t>service</w:t>
      </w:r>
      <w:r w:rsidR="004B41A2" w:rsidRPr="00CA47B9">
        <w:t xml:space="preserve"> </w:t>
      </w:r>
      <w:r w:rsidRPr="00CA47B9">
        <w:t>activities</w:t>
      </w:r>
      <w:r w:rsidR="004B41A2" w:rsidRPr="00CA47B9">
        <w:t xml:space="preserve"> </w:t>
      </w:r>
      <w:r w:rsidRPr="00CA47B9">
        <w:t>-</w:t>
      </w:r>
      <w:r w:rsidR="004B41A2" w:rsidRPr="00CA47B9">
        <w:t xml:space="preserve"> </w:t>
      </w:r>
      <w:r w:rsidRPr="00CA47B9">
        <w:t>LQ</w:t>
      </w:r>
      <w:r w:rsidR="004B41A2" w:rsidRPr="00CA47B9">
        <w:t xml:space="preserve"> </w:t>
      </w:r>
      <w:r w:rsidRPr="00CA47B9">
        <w:t>based</w:t>
      </w:r>
      <w:r w:rsidR="004B41A2" w:rsidRPr="00CA47B9">
        <w:t xml:space="preserve"> </w:t>
      </w:r>
      <w:r w:rsidRPr="00CA47B9">
        <w:t>upon</w:t>
      </w:r>
      <w:r w:rsidR="004B41A2" w:rsidRPr="00CA47B9">
        <w:t xml:space="preserve"> </w:t>
      </w:r>
      <w:r w:rsidRPr="00CA47B9">
        <w:t>total</w:t>
      </w:r>
      <w:r w:rsidR="004B41A2" w:rsidRPr="00CA47B9">
        <w:t xml:space="preserve"> </w:t>
      </w:r>
      <w:r w:rsidRPr="00CA47B9">
        <w:t>employment</w:t>
      </w:r>
      <w:r w:rsidR="004B41A2" w:rsidRPr="00CA47B9">
        <w:t xml:space="preserve"> </w:t>
      </w:r>
    </w:p>
    <w:p w:rsidR="00B0298E" w:rsidRPr="00CA47B9" w:rsidRDefault="00B0298E" w:rsidP="00ED1C06">
      <w:pPr>
        <w:pStyle w:val="10BulletBodytext"/>
      </w:pPr>
      <w:r w:rsidRPr="00CA47B9">
        <w:t>Public</w:t>
      </w:r>
      <w:r w:rsidR="004B41A2" w:rsidRPr="00CA47B9">
        <w:t xml:space="preserve"> </w:t>
      </w:r>
      <w:r w:rsidRPr="00CA47B9">
        <w:t>administration</w:t>
      </w:r>
      <w:r w:rsidR="004B41A2" w:rsidRPr="00CA47B9">
        <w:t xml:space="preserve"> </w:t>
      </w:r>
      <w:r w:rsidRPr="00CA47B9">
        <w:t>and</w:t>
      </w:r>
      <w:r w:rsidR="004B41A2" w:rsidRPr="00CA47B9">
        <w:t xml:space="preserve"> </w:t>
      </w:r>
      <w:r w:rsidRPr="00CA47B9">
        <w:t>defence</w:t>
      </w:r>
      <w:r w:rsidR="004B41A2" w:rsidRPr="00CA47B9">
        <w:t xml:space="preserve"> </w:t>
      </w:r>
      <w:r w:rsidRPr="00CA47B9">
        <w:t>-</w:t>
      </w:r>
      <w:r w:rsidR="004B41A2" w:rsidRPr="00CA47B9">
        <w:t xml:space="preserve"> </w:t>
      </w:r>
      <w:r w:rsidRPr="00CA47B9">
        <w:t>LQ</w:t>
      </w:r>
      <w:r w:rsidR="004B41A2" w:rsidRPr="00CA47B9">
        <w:t xml:space="preserve"> </w:t>
      </w:r>
      <w:r w:rsidRPr="00CA47B9">
        <w:t>based</w:t>
      </w:r>
      <w:r w:rsidR="004B41A2" w:rsidRPr="00CA47B9">
        <w:t xml:space="preserve"> </w:t>
      </w:r>
      <w:r w:rsidRPr="00CA47B9">
        <w:t>upon</w:t>
      </w:r>
      <w:r w:rsidR="004B41A2" w:rsidRPr="00CA47B9">
        <w:t xml:space="preserve"> </w:t>
      </w:r>
      <w:r w:rsidRPr="00CA47B9">
        <w:t>sectoral</w:t>
      </w:r>
      <w:r w:rsidR="004B41A2" w:rsidRPr="00CA47B9">
        <w:t xml:space="preserve"> </w:t>
      </w:r>
      <w:r w:rsidRPr="00CA47B9">
        <w:t>employment</w:t>
      </w:r>
      <w:r w:rsidR="004B41A2" w:rsidRPr="00CA47B9">
        <w:t xml:space="preserve"> </w:t>
      </w:r>
      <w:r w:rsidRPr="00CA47B9">
        <w:t>per</w:t>
      </w:r>
      <w:r w:rsidR="004B41A2" w:rsidRPr="00CA47B9">
        <w:t xml:space="preserve"> </w:t>
      </w:r>
      <w:r w:rsidRPr="00CA47B9">
        <w:t>population</w:t>
      </w:r>
    </w:p>
    <w:p w:rsidR="00B0298E" w:rsidRPr="00CA47B9" w:rsidRDefault="00B0298E" w:rsidP="00ED1C06">
      <w:pPr>
        <w:pStyle w:val="10BulletBodytext"/>
      </w:pPr>
      <w:r w:rsidRPr="00CA47B9">
        <w:t>Education</w:t>
      </w:r>
      <w:r w:rsidR="004B41A2" w:rsidRPr="00CA47B9">
        <w:t xml:space="preserve"> </w:t>
      </w:r>
      <w:r w:rsidRPr="00CA47B9">
        <w:t>-</w:t>
      </w:r>
      <w:r w:rsidR="004B41A2" w:rsidRPr="00CA47B9">
        <w:t xml:space="preserve"> </w:t>
      </w:r>
      <w:r w:rsidRPr="00CA47B9">
        <w:t>LQ</w:t>
      </w:r>
      <w:r w:rsidR="004B41A2" w:rsidRPr="00CA47B9">
        <w:t xml:space="preserve"> </w:t>
      </w:r>
      <w:r w:rsidRPr="00CA47B9">
        <w:t>based</w:t>
      </w:r>
      <w:r w:rsidR="004B41A2" w:rsidRPr="00CA47B9">
        <w:t xml:space="preserve"> </w:t>
      </w:r>
      <w:r w:rsidRPr="00CA47B9">
        <w:t>upon</w:t>
      </w:r>
      <w:r w:rsidR="004B41A2" w:rsidRPr="00CA47B9">
        <w:t xml:space="preserve"> </w:t>
      </w:r>
      <w:r w:rsidRPr="00CA47B9">
        <w:t>sectoral</w:t>
      </w:r>
      <w:r w:rsidR="004B41A2" w:rsidRPr="00CA47B9">
        <w:t xml:space="preserve"> </w:t>
      </w:r>
      <w:r w:rsidRPr="00CA47B9">
        <w:t>employment</w:t>
      </w:r>
      <w:r w:rsidR="004B41A2" w:rsidRPr="00CA47B9">
        <w:t xml:space="preserve"> </w:t>
      </w:r>
      <w:r w:rsidRPr="00CA47B9">
        <w:t>per</w:t>
      </w:r>
      <w:r w:rsidR="004B41A2" w:rsidRPr="00CA47B9">
        <w:t xml:space="preserve"> </w:t>
      </w:r>
      <w:r w:rsidRPr="00CA47B9">
        <w:t>population</w:t>
      </w:r>
    </w:p>
    <w:p w:rsidR="00B0298E" w:rsidRPr="00CA47B9" w:rsidRDefault="00B0298E" w:rsidP="00ED1C06">
      <w:pPr>
        <w:pStyle w:val="10BulletBodytext"/>
      </w:pPr>
      <w:r w:rsidRPr="00CA47B9">
        <w:t>Human-health</w:t>
      </w:r>
      <w:r w:rsidR="004B41A2" w:rsidRPr="00CA47B9">
        <w:t xml:space="preserve"> </w:t>
      </w:r>
      <w:r w:rsidRPr="00CA47B9">
        <w:t>and</w:t>
      </w:r>
      <w:r w:rsidR="004B41A2" w:rsidRPr="00CA47B9">
        <w:t xml:space="preserve"> </w:t>
      </w:r>
      <w:r w:rsidRPr="00CA47B9">
        <w:t>social-work</w:t>
      </w:r>
      <w:r w:rsidR="004B41A2" w:rsidRPr="00CA47B9">
        <w:t xml:space="preserve"> </w:t>
      </w:r>
      <w:r w:rsidRPr="00CA47B9">
        <w:t>activities-</w:t>
      </w:r>
      <w:r w:rsidR="004B41A2" w:rsidRPr="00CA47B9">
        <w:t xml:space="preserve"> </w:t>
      </w:r>
      <w:r w:rsidRPr="00CA47B9">
        <w:t>LQ</w:t>
      </w:r>
      <w:r w:rsidR="004B41A2" w:rsidRPr="00CA47B9">
        <w:t xml:space="preserve"> </w:t>
      </w:r>
      <w:r w:rsidRPr="00CA47B9">
        <w:t>based</w:t>
      </w:r>
      <w:r w:rsidR="004B41A2" w:rsidRPr="00CA47B9">
        <w:t xml:space="preserve"> </w:t>
      </w:r>
      <w:r w:rsidRPr="00CA47B9">
        <w:t>upon</w:t>
      </w:r>
      <w:r w:rsidR="004B41A2" w:rsidRPr="00CA47B9">
        <w:t xml:space="preserve"> </w:t>
      </w:r>
      <w:r w:rsidRPr="00CA47B9">
        <w:t>sectoral</w:t>
      </w:r>
      <w:r w:rsidR="004B41A2" w:rsidRPr="00CA47B9">
        <w:t xml:space="preserve"> </w:t>
      </w:r>
      <w:r w:rsidRPr="00CA47B9">
        <w:t>employment</w:t>
      </w:r>
      <w:r w:rsidR="004B41A2" w:rsidRPr="00CA47B9">
        <w:t xml:space="preserve"> </w:t>
      </w:r>
      <w:r w:rsidRPr="00CA47B9">
        <w:t>per</w:t>
      </w:r>
      <w:r w:rsidR="004B41A2" w:rsidRPr="00CA47B9">
        <w:t xml:space="preserve"> </w:t>
      </w:r>
      <w:r w:rsidRPr="00CA47B9">
        <w:t>population</w:t>
      </w:r>
    </w:p>
    <w:p w:rsidR="00B0298E" w:rsidRPr="00CA47B9" w:rsidRDefault="00B0298E" w:rsidP="00ED1C06">
      <w:pPr>
        <w:pStyle w:val="10BulletBodytext"/>
      </w:pPr>
      <w:r w:rsidRPr="00CA47B9">
        <w:t>Arts,</w:t>
      </w:r>
      <w:r w:rsidR="004B41A2" w:rsidRPr="00CA47B9">
        <w:t xml:space="preserve"> </w:t>
      </w:r>
      <w:r w:rsidRPr="00CA47B9">
        <w:t>entertainment</w:t>
      </w:r>
      <w:r w:rsidR="004B41A2" w:rsidRPr="00CA47B9">
        <w:t xml:space="preserve"> </w:t>
      </w:r>
      <w:r w:rsidRPr="00CA47B9">
        <w:t>and</w:t>
      </w:r>
      <w:r w:rsidR="004B41A2" w:rsidRPr="00CA47B9">
        <w:t xml:space="preserve"> </w:t>
      </w:r>
      <w:r w:rsidRPr="00CA47B9">
        <w:t>recreation</w:t>
      </w:r>
      <w:r w:rsidR="004B41A2" w:rsidRPr="00CA47B9">
        <w:t xml:space="preserve"> </w:t>
      </w:r>
      <w:r w:rsidRPr="00CA47B9">
        <w:t>-</w:t>
      </w:r>
      <w:r w:rsidR="004B41A2" w:rsidRPr="00CA47B9">
        <w:t xml:space="preserve"> </w:t>
      </w:r>
      <w:r w:rsidRPr="00CA47B9">
        <w:t>LQ</w:t>
      </w:r>
      <w:r w:rsidR="004B41A2" w:rsidRPr="00CA47B9">
        <w:t xml:space="preserve"> </w:t>
      </w:r>
      <w:r w:rsidRPr="00CA47B9">
        <w:t>based</w:t>
      </w:r>
      <w:r w:rsidR="004B41A2" w:rsidRPr="00CA47B9">
        <w:t xml:space="preserve"> </w:t>
      </w:r>
      <w:r w:rsidRPr="00CA47B9">
        <w:t>upon</w:t>
      </w:r>
      <w:r w:rsidR="004B41A2" w:rsidRPr="00CA47B9">
        <w:t xml:space="preserve"> </w:t>
      </w:r>
      <w:r w:rsidRPr="00CA47B9">
        <w:t>consumer</w:t>
      </w:r>
      <w:r w:rsidR="004B41A2" w:rsidRPr="00CA47B9">
        <w:t xml:space="preserve"> </w:t>
      </w:r>
      <w:r w:rsidRPr="00CA47B9">
        <w:t>spending</w:t>
      </w:r>
      <w:r w:rsidR="004B41A2" w:rsidRPr="00CA47B9">
        <w:t xml:space="preserve"> </w:t>
      </w:r>
    </w:p>
    <w:p w:rsidR="00B0298E" w:rsidRPr="00CA47B9" w:rsidRDefault="00B0298E" w:rsidP="00ED1C06">
      <w:pPr>
        <w:pStyle w:val="10BulletBodytext"/>
      </w:pPr>
      <w:r w:rsidRPr="00CA47B9">
        <w:lastRenderedPageBreak/>
        <w:t>Other</w:t>
      </w:r>
      <w:r w:rsidR="004B41A2" w:rsidRPr="00CA47B9">
        <w:t xml:space="preserve"> </w:t>
      </w:r>
      <w:r w:rsidRPr="00CA47B9">
        <w:t>service</w:t>
      </w:r>
      <w:r w:rsidR="004B41A2" w:rsidRPr="00CA47B9">
        <w:t xml:space="preserve"> </w:t>
      </w:r>
      <w:r w:rsidRPr="00CA47B9">
        <w:t>activities</w:t>
      </w:r>
      <w:r w:rsidR="004B41A2" w:rsidRPr="00CA47B9">
        <w:t xml:space="preserve"> </w:t>
      </w:r>
      <w:r w:rsidRPr="00CA47B9">
        <w:t>LQ</w:t>
      </w:r>
      <w:r w:rsidR="004B41A2" w:rsidRPr="00CA47B9">
        <w:t xml:space="preserve"> </w:t>
      </w:r>
      <w:r w:rsidRPr="00CA47B9">
        <w:t>based</w:t>
      </w:r>
      <w:r w:rsidR="004B41A2" w:rsidRPr="00CA47B9">
        <w:t xml:space="preserve"> </w:t>
      </w:r>
      <w:r w:rsidRPr="00CA47B9">
        <w:t>upon</w:t>
      </w:r>
      <w:r w:rsidR="004B41A2" w:rsidRPr="00CA47B9">
        <w:t xml:space="preserve"> </w:t>
      </w:r>
      <w:r w:rsidRPr="00CA47B9">
        <w:t>consumer</w:t>
      </w:r>
      <w:r w:rsidR="004B41A2" w:rsidRPr="00CA47B9">
        <w:t xml:space="preserve"> </w:t>
      </w:r>
      <w:r w:rsidRPr="00CA47B9">
        <w:t>spending</w:t>
      </w:r>
    </w:p>
    <w:p w:rsidR="00B0298E" w:rsidRPr="00CA47B9" w:rsidRDefault="00B0298E" w:rsidP="000C05B0">
      <w:pPr>
        <w:pStyle w:val="11Bodytext"/>
        <w:tabs>
          <w:tab w:val="clear" w:pos="2212"/>
          <w:tab w:val="num" w:pos="567"/>
        </w:tabs>
        <w:ind w:left="567" w:hanging="567"/>
      </w:pPr>
      <w:r w:rsidRPr="00CA47B9">
        <w:t>Because</w:t>
      </w:r>
      <w:r w:rsidR="004B41A2" w:rsidRPr="00CA47B9">
        <w:t xml:space="preserve"> </w:t>
      </w:r>
      <w:r w:rsidRPr="00CA47B9">
        <w:t>of</w:t>
      </w:r>
      <w:r w:rsidR="004B41A2" w:rsidRPr="00CA47B9">
        <w:t xml:space="preserve"> </w:t>
      </w:r>
      <w:r w:rsidRPr="00CA47B9">
        <w:t>the</w:t>
      </w:r>
      <w:r w:rsidR="004B41A2" w:rsidRPr="00CA47B9">
        <w:t xml:space="preserve"> </w:t>
      </w:r>
      <w:r w:rsidRPr="00CA47B9">
        <w:t>way</w:t>
      </w:r>
      <w:r w:rsidR="004B41A2" w:rsidRPr="00CA47B9">
        <w:t xml:space="preserve"> </w:t>
      </w:r>
      <w:r w:rsidRPr="00CA47B9">
        <w:t>national</w:t>
      </w:r>
      <w:r w:rsidR="004B41A2" w:rsidRPr="00CA47B9">
        <w:t xml:space="preserve"> </w:t>
      </w:r>
      <w:r w:rsidRPr="00CA47B9">
        <w:t>forecasts</w:t>
      </w:r>
      <w:r w:rsidR="004B41A2" w:rsidRPr="00CA47B9">
        <w:t xml:space="preserve"> </w:t>
      </w:r>
      <w:r w:rsidRPr="00CA47B9">
        <w:t>are</w:t>
      </w:r>
      <w:r w:rsidR="004B41A2" w:rsidRPr="00CA47B9">
        <w:t xml:space="preserve"> </w:t>
      </w:r>
      <w:r w:rsidRPr="00CA47B9">
        <w:t>disaggregated</w:t>
      </w:r>
      <w:r w:rsidR="004B41A2" w:rsidRPr="00CA47B9">
        <w:t xml:space="preserve"> </w:t>
      </w:r>
      <w:r w:rsidRPr="00CA47B9">
        <w:t>the</w:t>
      </w:r>
      <w:r w:rsidR="004B41A2" w:rsidRPr="00CA47B9">
        <w:t xml:space="preserve"> </w:t>
      </w:r>
      <w:r w:rsidRPr="00CA47B9">
        <w:t>baseline</w:t>
      </w:r>
      <w:r w:rsidR="004B41A2" w:rsidRPr="00CA47B9">
        <w:t xml:space="preserve"> </w:t>
      </w:r>
      <w:r w:rsidRPr="00CA47B9">
        <w:t>growth</w:t>
      </w:r>
      <w:r w:rsidR="004B41A2" w:rsidRPr="00CA47B9">
        <w:t xml:space="preserve"> </w:t>
      </w:r>
      <w:r w:rsidRPr="00CA47B9">
        <w:t>in</w:t>
      </w:r>
      <w:r w:rsidR="004B41A2" w:rsidRPr="00CA47B9">
        <w:t xml:space="preserve"> </w:t>
      </w:r>
      <w:r w:rsidRPr="00CA47B9">
        <w:t>any</w:t>
      </w:r>
      <w:r w:rsidR="004B41A2" w:rsidRPr="00CA47B9">
        <w:t xml:space="preserve"> </w:t>
      </w:r>
      <w:r w:rsidRPr="00CA47B9">
        <w:t>given</w:t>
      </w:r>
      <w:r w:rsidR="004B41A2" w:rsidRPr="00CA47B9">
        <w:t xml:space="preserve"> </w:t>
      </w:r>
      <w:r w:rsidRPr="00CA47B9">
        <w:t>local</w:t>
      </w:r>
      <w:r w:rsidR="004B41A2" w:rsidRPr="00CA47B9">
        <w:t xml:space="preserve"> </w:t>
      </w:r>
      <w:r w:rsidRPr="00CA47B9">
        <w:t>authority</w:t>
      </w:r>
      <w:r w:rsidR="004B41A2" w:rsidRPr="00CA47B9">
        <w:t xml:space="preserve"> </w:t>
      </w:r>
      <w:r w:rsidRPr="00CA47B9">
        <w:t>largely</w:t>
      </w:r>
      <w:r w:rsidR="004B41A2" w:rsidRPr="00CA47B9">
        <w:t xml:space="preserve"> </w:t>
      </w:r>
      <w:r w:rsidRPr="00CA47B9">
        <w:t>reflects</w:t>
      </w:r>
      <w:r w:rsidR="004B41A2" w:rsidRPr="00CA47B9">
        <w:t xml:space="preserve"> </w:t>
      </w:r>
      <w:r w:rsidRPr="00CA47B9">
        <w:t>the</w:t>
      </w:r>
      <w:r w:rsidR="004B41A2" w:rsidRPr="00CA47B9">
        <w:t xml:space="preserve"> </w:t>
      </w:r>
      <w:r w:rsidRPr="00CA47B9">
        <w:t>relative</w:t>
      </w:r>
      <w:r w:rsidR="004B41A2" w:rsidRPr="00CA47B9">
        <w:t xml:space="preserve"> </w:t>
      </w:r>
      <w:r w:rsidRPr="00CA47B9">
        <w:t>strength</w:t>
      </w:r>
      <w:r w:rsidR="004B41A2" w:rsidRPr="00CA47B9">
        <w:t xml:space="preserve"> </w:t>
      </w:r>
      <w:r w:rsidRPr="00CA47B9">
        <w:t>of</w:t>
      </w:r>
      <w:r w:rsidR="004B41A2" w:rsidRPr="00CA47B9">
        <w:t xml:space="preserve"> </w:t>
      </w:r>
      <w:r w:rsidRPr="00CA47B9">
        <w:t>the</w:t>
      </w:r>
      <w:r w:rsidR="004B41A2" w:rsidRPr="00CA47B9">
        <w:t xml:space="preserve"> </w:t>
      </w:r>
      <w:r w:rsidRPr="00CA47B9">
        <w:t>sectors</w:t>
      </w:r>
      <w:r w:rsidR="004B41A2" w:rsidRPr="00CA47B9">
        <w:t xml:space="preserve"> </w:t>
      </w:r>
      <w:r w:rsidRPr="00CA47B9">
        <w:t>expected</w:t>
      </w:r>
      <w:r w:rsidR="004B41A2" w:rsidRPr="00CA47B9">
        <w:t xml:space="preserve"> </w:t>
      </w:r>
      <w:r w:rsidRPr="00CA47B9">
        <w:t>to</w:t>
      </w:r>
      <w:r w:rsidR="004B41A2" w:rsidRPr="00CA47B9">
        <w:t xml:space="preserve"> </w:t>
      </w:r>
      <w:r w:rsidRPr="00CA47B9">
        <w:t>grow</w:t>
      </w:r>
      <w:r w:rsidR="004B41A2" w:rsidRPr="00CA47B9">
        <w:t xml:space="preserve"> </w:t>
      </w:r>
      <w:r w:rsidRPr="00CA47B9">
        <w:t>nationally.</w:t>
      </w:r>
      <w:r w:rsidR="004B41A2" w:rsidRPr="00CA47B9">
        <w:t xml:space="preserve"> </w:t>
      </w:r>
      <w:r w:rsidRPr="00CA47B9">
        <w:t>In</w:t>
      </w:r>
      <w:r w:rsidR="004B41A2" w:rsidRPr="00CA47B9">
        <w:t xml:space="preserve"> </w:t>
      </w:r>
      <w:r w:rsidRPr="00CA47B9">
        <w:t>practice</w:t>
      </w:r>
      <w:r w:rsidR="00855CA6">
        <w:t>,</w:t>
      </w:r>
      <w:r w:rsidR="004B41A2" w:rsidRPr="00CA47B9">
        <w:t xml:space="preserve"> </w:t>
      </w:r>
      <w:r w:rsidRPr="00CA47B9">
        <w:t>this</w:t>
      </w:r>
      <w:r w:rsidR="004B41A2" w:rsidRPr="00CA47B9">
        <w:t xml:space="preserve"> </w:t>
      </w:r>
      <w:r w:rsidRPr="00CA47B9">
        <w:t>means</w:t>
      </w:r>
      <w:r w:rsidR="004B41A2" w:rsidRPr="00CA47B9">
        <w:t xml:space="preserve"> </w:t>
      </w:r>
      <w:r w:rsidRPr="00CA47B9">
        <w:t>that</w:t>
      </w:r>
      <w:r w:rsidR="004B41A2" w:rsidRPr="00CA47B9">
        <w:t xml:space="preserve"> </w:t>
      </w:r>
      <w:r w:rsidRPr="00CA47B9">
        <w:t>local</w:t>
      </w:r>
      <w:r w:rsidR="004B41A2" w:rsidRPr="00CA47B9">
        <w:t xml:space="preserve"> </w:t>
      </w:r>
      <w:r w:rsidRPr="00CA47B9">
        <w:t>authorities</w:t>
      </w:r>
      <w:r w:rsidR="004B41A2" w:rsidRPr="00CA47B9">
        <w:t xml:space="preserve"> </w:t>
      </w:r>
      <w:r w:rsidRPr="00CA47B9">
        <w:t>with</w:t>
      </w:r>
      <w:r w:rsidR="004B41A2" w:rsidRPr="00CA47B9">
        <w:t xml:space="preserve"> </w:t>
      </w:r>
      <w:r w:rsidRPr="00CA47B9">
        <w:t>particular</w:t>
      </w:r>
      <w:r w:rsidR="004B41A2" w:rsidRPr="00CA47B9">
        <w:t xml:space="preserve"> </w:t>
      </w:r>
      <w:r w:rsidRPr="00CA47B9">
        <w:t>strength</w:t>
      </w:r>
      <w:r w:rsidR="004B41A2" w:rsidRPr="00CA47B9">
        <w:t xml:space="preserve"> </w:t>
      </w:r>
      <w:r w:rsidRPr="00CA47B9">
        <w:t>in</w:t>
      </w:r>
      <w:r w:rsidR="004B41A2" w:rsidRPr="00CA47B9">
        <w:t xml:space="preserve"> </w:t>
      </w:r>
      <w:r w:rsidRPr="00CA47B9">
        <w:t>their</w:t>
      </w:r>
      <w:r w:rsidR="004B41A2" w:rsidRPr="00CA47B9">
        <w:t xml:space="preserve"> </w:t>
      </w:r>
      <w:r w:rsidRPr="00CA47B9">
        <w:t>professional,</w:t>
      </w:r>
      <w:r w:rsidR="004B41A2" w:rsidRPr="00CA47B9">
        <w:t xml:space="preserve"> </w:t>
      </w:r>
      <w:r w:rsidRPr="00CA47B9">
        <w:t>scientific</w:t>
      </w:r>
      <w:r w:rsidR="004B41A2" w:rsidRPr="00CA47B9">
        <w:t xml:space="preserve"> </w:t>
      </w:r>
      <w:r w:rsidRPr="00CA47B9">
        <w:t>and</w:t>
      </w:r>
      <w:r w:rsidR="004B41A2" w:rsidRPr="00CA47B9">
        <w:t xml:space="preserve"> </w:t>
      </w:r>
      <w:r w:rsidRPr="00CA47B9">
        <w:t>technical</w:t>
      </w:r>
      <w:r w:rsidR="004B41A2" w:rsidRPr="00CA47B9">
        <w:t xml:space="preserve"> </w:t>
      </w:r>
      <w:r w:rsidRPr="00CA47B9">
        <w:t>sector</w:t>
      </w:r>
      <w:r w:rsidR="004B41A2" w:rsidRPr="00CA47B9">
        <w:t xml:space="preserve"> </w:t>
      </w:r>
      <w:r w:rsidRPr="00CA47B9">
        <w:t>and/or</w:t>
      </w:r>
      <w:r w:rsidR="004B41A2" w:rsidRPr="00CA47B9">
        <w:t xml:space="preserve"> </w:t>
      </w:r>
      <w:r w:rsidRPr="00CA47B9">
        <w:t>the</w:t>
      </w:r>
      <w:r w:rsidR="004B41A2" w:rsidRPr="00CA47B9">
        <w:t xml:space="preserve"> </w:t>
      </w:r>
      <w:r w:rsidRPr="00CA47B9">
        <w:t>administrative</w:t>
      </w:r>
      <w:r w:rsidR="004B41A2" w:rsidRPr="00CA47B9">
        <w:t xml:space="preserve"> </w:t>
      </w:r>
      <w:r w:rsidRPr="00CA47B9">
        <w:t>and</w:t>
      </w:r>
      <w:r w:rsidR="004B41A2" w:rsidRPr="00CA47B9">
        <w:t xml:space="preserve"> </w:t>
      </w:r>
      <w:r w:rsidRPr="00CA47B9">
        <w:t>support</w:t>
      </w:r>
      <w:r w:rsidR="004B41A2" w:rsidRPr="00CA47B9">
        <w:t xml:space="preserve"> </w:t>
      </w:r>
      <w:r w:rsidRPr="00CA47B9">
        <w:t>sectors</w:t>
      </w:r>
      <w:r w:rsidR="004B41A2" w:rsidRPr="00CA47B9">
        <w:t xml:space="preserve"> </w:t>
      </w:r>
      <w:r w:rsidRPr="00CA47B9">
        <w:t>(as</w:t>
      </w:r>
      <w:r w:rsidR="004B41A2" w:rsidRPr="00CA47B9">
        <w:t xml:space="preserve"> </w:t>
      </w:r>
      <w:r w:rsidRPr="00CA47B9">
        <w:t>the</w:t>
      </w:r>
      <w:r w:rsidR="004B41A2" w:rsidRPr="00CA47B9">
        <w:t xml:space="preserve"> </w:t>
      </w:r>
      <w:r w:rsidRPr="00CA47B9">
        <w:t>drivers</w:t>
      </w:r>
      <w:r w:rsidR="004B41A2" w:rsidRPr="00CA47B9">
        <w:t xml:space="preserve"> </w:t>
      </w:r>
      <w:r w:rsidRPr="00CA47B9">
        <w:t>of</w:t>
      </w:r>
      <w:r w:rsidR="004B41A2" w:rsidRPr="00CA47B9">
        <w:t xml:space="preserve"> </w:t>
      </w:r>
      <w:r w:rsidRPr="00CA47B9">
        <w:t>growth</w:t>
      </w:r>
      <w:r w:rsidR="004B41A2" w:rsidRPr="00CA47B9">
        <w:t xml:space="preserve"> </w:t>
      </w:r>
      <w:r w:rsidRPr="00CA47B9">
        <w:t>nationally)</w:t>
      </w:r>
      <w:r w:rsidR="004B41A2" w:rsidRPr="00CA47B9">
        <w:t xml:space="preserve"> </w:t>
      </w:r>
      <w:r w:rsidRPr="00CA47B9">
        <w:t>will</w:t>
      </w:r>
      <w:r w:rsidR="004B41A2" w:rsidRPr="00CA47B9">
        <w:t xml:space="preserve"> </w:t>
      </w:r>
      <w:r w:rsidRPr="00CA47B9">
        <w:t>see</w:t>
      </w:r>
      <w:r w:rsidR="004B41A2" w:rsidRPr="00CA47B9">
        <w:t xml:space="preserve"> </w:t>
      </w:r>
      <w:r w:rsidRPr="00CA47B9">
        <w:t>notable</w:t>
      </w:r>
      <w:r w:rsidR="004B41A2" w:rsidRPr="00CA47B9">
        <w:t xml:space="preserve"> </w:t>
      </w:r>
      <w:r w:rsidRPr="00CA47B9">
        <w:t>growth.</w:t>
      </w:r>
      <w:r w:rsidR="004B41A2" w:rsidRPr="00CA47B9">
        <w:t xml:space="preserve"> </w:t>
      </w:r>
    </w:p>
    <w:p w:rsidR="00B0298E" w:rsidRPr="00CA47B9" w:rsidRDefault="00B0298E" w:rsidP="00805614">
      <w:pPr>
        <w:pStyle w:val="Addressline1"/>
        <w:ind w:left="567" w:firstLine="0"/>
      </w:pPr>
      <w:bookmarkStart w:id="114" w:name="_Toc465868031"/>
      <w:bookmarkEnd w:id="114"/>
      <w:r w:rsidRPr="00CA47B9">
        <w:t>Baseline</w:t>
      </w:r>
      <w:r w:rsidR="004B41A2" w:rsidRPr="00CA47B9">
        <w:t xml:space="preserve"> </w:t>
      </w:r>
      <w:r w:rsidRPr="00CA47B9">
        <w:t>Forecast</w:t>
      </w:r>
    </w:p>
    <w:p w:rsidR="00B0298E" w:rsidRPr="00CA47B9" w:rsidRDefault="00B0298E" w:rsidP="000C05B0">
      <w:pPr>
        <w:pStyle w:val="11Bodytext"/>
        <w:tabs>
          <w:tab w:val="clear" w:pos="2212"/>
          <w:tab w:val="num" w:pos="567"/>
        </w:tabs>
        <w:ind w:left="567" w:hanging="567"/>
        <w:rPr>
          <w:color w:val="FF0000"/>
        </w:rPr>
      </w:pPr>
      <w:r w:rsidRPr="00CA47B9">
        <w:t>In</w:t>
      </w:r>
      <w:r w:rsidR="004B41A2" w:rsidRPr="00CA47B9">
        <w:t xml:space="preserve"> </w:t>
      </w:r>
      <w:r w:rsidRPr="00CA47B9">
        <w:t>this</w:t>
      </w:r>
      <w:r w:rsidR="004B41A2" w:rsidRPr="00CA47B9">
        <w:t xml:space="preserve"> </w:t>
      </w:r>
      <w:r w:rsidRPr="00CA47B9">
        <w:t>section</w:t>
      </w:r>
      <w:r w:rsidR="00855CA6">
        <w:t>,</w:t>
      </w:r>
      <w:r w:rsidR="004B41A2" w:rsidRPr="00CA47B9">
        <w:t xml:space="preserve"> </w:t>
      </w:r>
      <w:r w:rsidRPr="00CA47B9">
        <w:t>we</w:t>
      </w:r>
      <w:r w:rsidR="004B41A2" w:rsidRPr="00CA47B9">
        <w:t xml:space="preserve"> </w:t>
      </w:r>
      <w:r w:rsidRPr="00CA47B9">
        <w:t>have</w:t>
      </w:r>
      <w:r w:rsidR="004B41A2" w:rsidRPr="00CA47B9">
        <w:t xml:space="preserve"> </w:t>
      </w:r>
      <w:r w:rsidRPr="00CA47B9">
        <w:t>provided</w:t>
      </w:r>
      <w:r w:rsidR="004B41A2" w:rsidRPr="00CA47B9">
        <w:t xml:space="preserve"> </w:t>
      </w:r>
      <w:r w:rsidRPr="00CA47B9">
        <w:t>the</w:t>
      </w:r>
      <w:r w:rsidR="004B41A2" w:rsidRPr="00CA47B9">
        <w:t xml:space="preserve"> </w:t>
      </w:r>
      <w:r w:rsidRPr="00CA47B9">
        <w:t>baseline</w:t>
      </w:r>
      <w:r w:rsidR="004B41A2" w:rsidRPr="00CA47B9">
        <w:t xml:space="preserve"> </w:t>
      </w:r>
      <w:r w:rsidRPr="00CA47B9">
        <w:t>forecast</w:t>
      </w:r>
      <w:r w:rsidR="004B41A2" w:rsidRPr="00CA47B9">
        <w:t xml:space="preserve"> </w:t>
      </w:r>
      <w:r w:rsidRPr="00CA47B9">
        <w:t>between</w:t>
      </w:r>
      <w:r w:rsidR="004B41A2" w:rsidRPr="00CA47B9">
        <w:t xml:space="preserve"> </w:t>
      </w:r>
      <w:r w:rsidR="009B6FCB" w:rsidRPr="00CA47B9">
        <w:t>201</w:t>
      </w:r>
      <w:r w:rsidR="001361DE">
        <w:t>9</w:t>
      </w:r>
      <w:r w:rsidR="004B41A2" w:rsidRPr="00CA47B9">
        <w:t xml:space="preserve"> </w:t>
      </w:r>
      <w:r w:rsidRPr="00CA47B9">
        <w:t>and</w:t>
      </w:r>
      <w:r w:rsidR="004B41A2" w:rsidRPr="00CA47B9">
        <w:t xml:space="preserve"> </w:t>
      </w:r>
      <w:r w:rsidRPr="00CA47B9">
        <w:t>2036</w:t>
      </w:r>
      <w:r w:rsidR="00FC5C1B">
        <w:t xml:space="preserve"> drawing on the latest 2019 data which is historic to 2017 (BRES based) and part historic in 2019 (regional data only)</w:t>
      </w:r>
      <w:r w:rsidRPr="00CA47B9">
        <w:t>.</w:t>
      </w:r>
      <w:r w:rsidR="004B41A2" w:rsidRPr="00CA47B9">
        <w:t xml:space="preserve"> </w:t>
      </w:r>
      <w:r w:rsidRPr="00CA47B9">
        <w:t>Oxford</w:t>
      </w:r>
      <w:r w:rsidR="004B41A2" w:rsidRPr="00CA47B9">
        <w:t xml:space="preserve"> </w:t>
      </w:r>
      <w:r w:rsidRPr="00CA47B9">
        <w:t>Economics</w:t>
      </w:r>
      <w:r w:rsidR="004B41A2" w:rsidRPr="00CA47B9">
        <w:t xml:space="preserve"> </w:t>
      </w:r>
      <w:r w:rsidRPr="00CA47B9">
        <w:t>indicate</w:t>
      </w:r>
      <w:r w:rsidR="004B41A2" w:rsidRPr="00CA47B9">
        <w:t xml:space="preserve"> </w:t>
      </w:r>
      <w:r w:rsidRPr="00CA47B9">
        <w:t>that</w:t>
      </w:r>
      <w:r w:rsidR="004B41A2" w:rsidRPr="00CA47B9">
        <w:t xml:space="preserve"> </w:t>
      </w:r>
      <w:r w:rsidRPr="00CA47B9">
        <w:t>Chichester</w:t>
      </w:r>
      <w:r w:rsidR="004B41A2" w:rsidRPr="00CA47B9">
        <w:t xml:space="preserve"> </w:t>
      </w:r>
      <w:r w:rsidR="00845BCB" w:rsidRPr="00CA47B9">
        <w:t>District</w:t>
      </w:r>
      <w:r w:rsidRPr="00CA47B9">
        <w:t>’s</w:t>
      </w:r>
      <w:r w:rsidR="004B41A2" w:rsidRPr="00CA47B9">
        <w:t xml:space="preserve"> </w:t>
      </w:r>
      <w:r w:rsidRPr="00CA47B9">
        <w:t>economy</w:t>
      </w:r>
      <w:r w:rsidR="004B41A2" w:rsidRPr="00CA47B9">
        <w:t xml:space="preserve"> </w:t>
      </w:r>
      <w:r w:rsidRPr="00CA47B9">
        <w:t>is</w:t>
      </w:r>
      <w:r w:rsidR="004B41A2" w:rsidRPr="00CA47B9">
        <w:t xml:space="preserve"> </w:t>
      </w:r>
      <w:r w:rsidRPr="00CA47B9">
        <w:t>expected</w:t>
      </w:r>
      <w:r w:rsidR="004B41A2" w:rsidRPr="00CA47B9">
        <w:t xml:space="preserve"> </w:t>
      </w:r>
      <w:r w:rsidRPr="00CA47B9">
        <w:t>to</w:t>
      </w:r>
      <w:r w:rsidR="004B41A2" w:rsidRPr="00CA47B9">
        <w:t xml:space="preserve"> </w:t>
      </w:r>
      <w:r w:rsidRPr="00CA47B9">
        <w:t>grow</w:t>
      </w:r>
      <w:r w:rsidR="004B41A2" w:rsidRPr="00CA47B9">
        <w:t xml:space="preserve"> </w:t>
      </w:r>
      <w:r w:rsidRPr="00CA47B9">
        <w:t>by</w:t>
      </w:r>
      <w:r w:rsidR="004B41A2" w:rsidRPr="00CA47B9">
        <w:t xml:space="preserve"> </w:t>
      </w:r>
      <w:r w:rsidR="00134C82" w:rsidRPr="00CA47B9">
        <w:t>1.</w:t>
      </w:r>
      <w:r w:rsidR="00D60A44" w:rsidRPr="00CA47B9">
        <w:t>33</w:t>
      </w:r>
      <w:r w:rsidRPr="00CA47B9">
        <w:t>%</w:t>
      </w:r>
      <w:r w:rsidR="004B41A2" w:rsidRPr="00CA47B9">
        <w:t xml:space="preserve"> </w:t>
      </w:r>
      <w:r w:rsidRPr="00CA47B9">
        <w:t>per</w:t>
      </w:r>
      <w:r w:rsidR="004B41A2" w:rsidRPr="00CA47B9">
        <w:t xml:space="preserve"> </w:t>
      </w:r>
      <w:r w:rsidRPr="00CA47B9">
        <w:t>annum</w:t>
      </w:r>
      <w:r w:rsidR="004B41A2" w:rsidRPr="00CA47B9">
        <w:t xml:space="preserve"> </w:t>
      </w:r>
      <w:r w:rsidRPr="00CA47B9">
        <w:t>(GVA</w:t>
      </w:r>
      <w:r w:rsidR="004B41A2" w:rsidRPr="00CA47B9">
        <w:t xml:space="preserve"> </w:t>
      </w:r>
      <w:r w:rsidRPr="00CA47B9">
        <w:t>growth),</w:t>
      </w:r>
      <w:r w:rsidR="004B41A2" w:rsidRPr="00CA47B9">
        <w:t xml:space="preserve"> </w:t>
      </w:r>
      <w:r w:rsidRPr="00CA47B9">
        <w:t>which</w:t>
      </w:r>
      <w:r w:rsidR="004B41A2" w:rsidRPr="00CA47B9">
        <w:t xml:space="preserve"> </w:t>
      </w:r>
      <w:r w:rsidRPr="00CA47B9">
        <w:t>is</w:t>
      </w:r>
      <w:r w:rsidR="004B41A2" w:rsidRPr="00CA47B9">
        <w:t xml:space="preserve"> </w:t>
      </w:r>
      <w:r w:rsidR="009B6FCB" w:rsidRPr="00CA47B9">
        <w:t>just</w:t>
      </w:r>
      <w:r w:rsidR="004B41A2" w:rsidRPr="00CA47B9">
        <w:t xml:space="preserve"> </w:t>
      </w:r>
      <w:r w:rsidR="009B6FCB" w:rsidRPr="00CA47B9">
        <w:t>over</w:t>
      </w:r>
      <w:r w:rsidR="004B41A2" w:rsidRPr="00CA47B9">
        <w:t xml:space="preserve"> </w:t>
      </w:r>
      <w:r w:rsidRPr="00CA47B9">
        <w:t>half</w:t>
      </w:r>
      <w:r w:rsidR="004B41A2" w:rsidRPr="00CA47B9">
        <w:t xml:space="preserve"> </w:t>
      </w:r>
      <w:r w:rsidRPr="00CA47B9">
        <w:t>the</w:t>
      </w:r>
      <w:r w:rsidR="004B41A2" w:rsidRPr="00CA47B9">
        <w:t xml:space="preserve"> </w:t>
      </w:r>
      <w:r w:rsidRPr="00CA47B9">
        <w:t>growth</w:t>
      </w:r>
      <w:r w:rsidR="004B41A2" w:rsidRPr="00CA47B9">
        <w:t xml:space="preserve"> </w:t>
      </w:r>
      <w:r w:rsidRPr="00CA47B9">
        <w:t>achieved</w:t>
      </w:r>
      <w:r w:rsidR="004B41A2" w:rsidRPr="00CA47B9">
        <w:t xml:space="preserve"> </w:t>
      </w:r>
      <w:r w:rsidRPr="00CA47B9">
        <w:t>over</w:t>
      </w:r>
      <w:r w:rsidR="004B41A2" w:rsidRPr="00CA47B9">
        <w:t xml:space="preserve"> </w:t>
      </w:r>
      <w:r w:rsidRPr="00CA47B9">
        <w:t>the</w:t>
      </w:r>
      <w:r w:rsidR="004B41A2" w:rsidRPr="00CA47B9">
        <w:t xml:space="preserve"> </w:t>
      </w:r>
      <w:r w:rsidRPr="00CA47B9">
        <w:t>previous</w:t>
      </w:r>
      <w:r w:rsidR="004B41A2" w:rsidRPr="00CA47B9">
        <w:t xml:space="preserve"> </w:t>
      </w:r>
      <w:r w:rsidRPr="00CA47B9">
        <w:t>economic</w:t>
      </w:r>
      <w:r w:rsidR="004B41A2" w:rsidRPr="00CA47B9">
        <w:t xml:space="preserve"> </w:t>
      </w:r>
      <w:r w:rsidRPr="00CA47B9">
        <w:t>cycle</w:t>
      </w:r>
      <w:r w:rsidR="004B41A2" w:rsidRPr="00CA47B9">
        <w:t xml:space="preserve"> </w:t>
      </w:r>
      <w:r w:rsidRPr="00CA47B9">
        <w:t>(1993-2010)</w:t>
      </w:r>
      <w:r w:rsidR="004B41A2" w:rsidRPr="00CA47B9">
        <w:t xml:space="preserve"> </w:t>
      </w:r>
      <w:r w:rsidRPr="00CA47B9">
        <w:t>–</w:t>
      </w:r>
      <w:r w:rsidR="004B41A2" w:rsidRPr="00CA47B9">
        <w:t xml:space="preserve"> </w:t>
      </w:r>
      <w:r w:rsidR="004C7D6A" w:rsidRPr="00CA47B9">
        <w:t>2.08</w:t>
      </w:r>
      <w:r w:rsidRPr="00CA47B9">
        <w:t>%</w:t>
      </w:r>
      <w:r w:rsidR="004B41A2" w:rsidRPr="00CA47B9">
        <w:t xml:space="preserve"> </w:t>
      </w:r>
      <w:r w:rsidRPr="00CA47B9">
        <w:t>growth</w:t>
      </w:r>
      <w:r w:rsidR="004B41A2" w:rsidRPr="00CA47B9">
        <w:t xml:space="preserve"> </w:t>
      </w:r>
      <w:r w:rsidRPr="00CA47B9">
        <w:t>per</w:t>
      </w:r>
      <w:r w:rsidR="004B41A2" w:rsidRPr="00CA47B9">
        <w:t xml:space="preserve"> </w:t>
      </w:r>
      <w:r w:rsidRPr="00CA47B9">
        <w:t>annum.</w:t>
      </w:r>
      <w:r w:rsidR="004B41A2" w:rsidRPr="00CA47B9">
        <w:t xml:space="preserve"> </w:t>
      </w:r>
      <w:r w:rsidRPr="00CA47B9">
        <w:t>By</w:t>
      </w:r>
      <w:r w:rsidR="004B41A2" w:rsidRPr="00CA47B9">
        <w:t xml:space="preserve"> </w:t>
      </w:r>
      <w:r w:rsidRPr="00CA47B9">
        <w:t>comparison,</w:t>
      </w:r>
      <w:r w:rsidR="004B41A2" w:rsidRPr="00CA47B9">
        <w:t xml:space="preserve"> </w:t>
      </w:r>
      <w:r w:rsidRPr="00CA47B9">
        <w:t>the</w:t>
      </w:r>
      <w:r w:rsidR="004B41A2" w:rsidRPr="00CA47B9">
        <w:t xml:space="preserve"> </w:t>
      </w:r>
      <w:r w:rsidRPr="00CA47B9">
        <w:t>OE</w:t>
      </w:r>
      <w:r w:rsidR="004B41A2" w:rsidRPr="00CA47B9">
        <w:t xml:space="preserve"> </w:t>
      </w:r>
      <w:r w:rsidRPr="00CA47B9">
        <w:t>baseline</w:t>
      </w:r>
      <w:r w:rsidR="004B41A2" w:rsidRPr="00CA47B9">
        <w:t xml:space="preserve"> </w:t>
      </w:r>
      <w:r w:rsidRPr="00CA47B9">
        <w:t>forecast</w:t>
      </w:r>
      <w:r w:rsidR="004B41A2" w:rsidRPr="00CA47B9">
        <w:t xml:space="preserve"> </w:t>
      </w:r>
      <w:r w:rsidRPr="00CA47B9">
        <w:t>for</w:t>
      </w:r>
      <w:r w:rsidR="004B41A2" w:rsidRPr="00CA47B9">
        <w:t xml:space="preserve"> </w:t>
      </w:r>
      <w:r w:rsidRPr="00CA47B9">
        <w:t>the</w:t>
      </w:r>
      <w:r w:rsidR="004B41A2" w:rsidRPr="00CA47B9">
        <w:t xml:space="preserve"> </w:t>
      </w:r>
      <w:r w:rsidRPr="00CA47B9">
        <w:t>South</w:t>
      </w:r>
      <w:r w:rsidR="004B41A2" w:rsidRPr="00CA47B9">
        <w:t xml:space="preserve"> </w:t>
      </w:r>
      <w:r w:rsidRPr="00CA47B9">
        <w:t>East</w:t>
      </w:r>
      <w:r w:rsidR="004B41A2" w:rsidRPr="00CA47B9">
        <w:t xml:space="preserve"> </w:t>
      </w:r>
      <w:r w:rsidRPr="00CA47B9">
        <w:t>Region</w:t>
      </w:r>
      <w:r w:rsidR="004B41A2" w:rsidRPr="00CA47B9">
        <w:t xml:space="preserve"> </w:t>
      </w:r>
      <w:r w:rsidRPr="00CA47B9">
        <w:t>shows</w:t>
      </w:r>
      <w:r w:rsidR="004B41A2" w:rsidRPr="00CA47B9">
        <w:t xml:space="preserve"> </w:t>
      </w:r>
      <w:r w:rsidRPr="00CA47B9">
        <w:t>a</w:t>
      </w:r>
      <w:r w:rsidR="004B41A2" w:rsidRPr="00CA47B9">
        <w:t xml:space="preserve"> </w:t>
      </w:r>
      <w:r w:rsidRPr="00CA47B9">
        <w:t>GVA</w:t>
      </w:r>
      <w:r w:rsidR="004B41A2" w:rsidRPr="00CA47B9">
        <w:t xml:space="preserve"> </w:t>
      </w:r>
      <w:r w:rsidRPr="00CA47B9">
        <w:t>growth</w:t>
      </w:r>
      <w:r w:rsidR="004B41A2" w:rsidRPr="00CA47B9">
        <w:t xml:space="preserve"> </w:t>
      </w:r>
      <w:r w:rsidRPr="00CA47B9">
        <w:t>of</w:t>
      </w:r>
      <w:r w:rsidR="004B41A2" w:rsidRPr="00CA47B9">
        <w:t xml:space="preserve"> </w:t>
      </w:r>
      <w:r w:rsidR="009B6FCB" w:rsidRPr="00CA47B9">
        <w:t>1.9</w:t>
      </w:r>
      <w:r w:rsidRPr="00CA47B9">
        <w:t>%</w:t>
      </w:r>
      <w:r w:rsidR="004B41A2" w:rsidRPr="00CA47B9">
        <w:t xml:space="preserve"> </w:t>
      </w:r>
      <w:r w:rsidRPr="00CA47B9">
        <w:t>per</w:t>
      </w:r>
      <w:r w:rsidR="004B41A2" w:rsidRPr="00CA47B9">
        <w:t xml:space="preserve"> </w:t>
      </w:r>
      <w:r w:rsidRPr="00CA47B9">
        <w:t>annum</w:t>
      </w:r>
      <w:r w:rsidR="004B41A2" w:rsidRPr="00CA47B9">
        <w:t xml:space="preserve"> </w:t>
      </w:r>
      <w:r w:rsidRPr="00CA47B9">
        <w:t>(</w:t>
      </w:r>
      <w:r w:rsidR="009B6FCB" w:rsidRPr="00CA47B9">
        <w:t>2016</w:t>
      </w:r>
      <w:r w:rsidRPr="00CA47B9">
        <w:t>-36)</w:t>
      </w:r>
      <w:r w:rsidR="004B41A2" w:rsidRPr="00CA47B9">
        <w:t xml:space="preserve"> </w:t>
      </w:r>
      <w:r w:rsidRPr="00CA47B9">
        <w:t>compared</w:t>
      </w:r>
      <w:r w:rsidR="004B41A2" w:rsidRPr="00CA47B9">
        <w:t xml:space="preserve"> </w:t>
      </w:r>
      <w:r w:rsidRPr="00CA47B9">
        <w:t>to</w:t>
      </w:r>
      <w:r w:rsidR="004B41A2" w:rsidRPr="00CA47B9">
        <w:t xml:space="preserve"> </w:t>
      </w:r>
      <w:r w:rsidRPr="00CA47B9">
        <w:t>a</w:t>
      </w:r>
      <w:r w:rsidR="004B41A2" w:rsidRPr="00CA47B9">
        <w:t xml:space="preserve"> </w:t>
      </w:r>
      <w:r w:rsidRPr="00CA47B9">
        <w:t>past</w:t>
      </w:r>
      <w:r w:rsidR="004B41A2" w:rsidRPr="00CA47B9">
        <w:t xml:space="preserve"> </w:t>
      </w:r>
      <w:r w:rsidRPr="00CA47B9">
        <w:t>growth</w:t>
      </w:r>
      <w:r w:rsidR="004B41A2" w:rsidRPr="00CA47B9">
        <w:t xml:space="preserve"> </w:t>
      </w:r>
      <w:r w:rsidRPr="00CA47B9">
        <w:t>of</w:t>
      </w:r>
      <w:r w:rsidR="004B41A2" w:rsidRPr="00CA47B9">
        <w:t xml:space="preserve"> </w:t>
      </w:r>
      <w:r w:rsidRPr="00CA47B9">
        <w:t>2.9%</w:t>
      </w:r>
      <w:r w:rsidR="004B41A2" w:rsidRPr="00CA47B9">
        <w:t xml:space="preserve"> </w:t>
      </w:r>
      <w:r w:rsidRPr="00CA47B9">
        <w:t>per</w:t>
      </w:r>
      <w:r w:rsidR="004B41A2" w:rsidRPr="00CA47B9">
        <w:t xml:space="preserve"> </w:t>
      </w:r>
      <w:r w:rsidRPr="00CA47B9">
        <w:t>annum</w:t>
      </w:r>
      <w:r w:rsidR="004B41A2" w:rsidRPr="00CA47B9">
        <w:t xml:space="preserve"> </w:t>
      </w:r>
      <w:r w:rsidRPr="00CA47B9">
        <w:t>(1993-2010).</w:t>
      </w:r>
    </w:p>
    <w:p w:rsidR="00B0298E" w:rsidRPr="00CA47B9" w:rsidRDefault="00B0298E" w:rsidP="000C05B0">
      <w:pPr>
        <w:pStyle w:val="11Bodytext"/>
        <w:tabs>
          <w:tab w:val="clear" w:pos="2212"/>
          <w:tab w:val="num" w:pos="567"/>
        </w:tabs>
        <w:ind w:left="567" w:hanging="567"/>
        <w:rPr>
          <w:b/>
        </w:rPr>
      </w:pPr>
      <w:r w:rsidRPr="00CA47B9">
        <w:t>Oxford</w:t>
      </w:r>
      <w:r w:rsidR="004B41A2" w:rsidRPr="00CA47B9">
        <w:t xml:space="preserve"> </w:t>
      </w:r>
      <w:r w:rsidRPr="00CA47B9">
        <w:t>Economics</w:t>
      </w:r>
      <w:r w:rsidR="004B41A2" w:rsidRPr="00CA47B9">
        <w:t xml:space="preserve"> </w:t>
      </w:r>
      <w:r w:rsidRPr="00CA47B9">
        <w:t>Baseline</w:t>
      </w:r>
      <w:r w:rsidR="004B41A2" w:rsidRPr="00CA47B9">
        <w:t xml:space="preserve"> </w:t>
      </w:r>
      <w:r w:rsidRPr="00CA47B9">
        <w:t>scenario</w:t>
      </w:r>
      <w:r w:rsidR="004B41A2" w:rsidRPr="00CA47B9">
        <w:t xml:space="preserve"> </w:t>
      </w:r>
      <w:r w:rsidRPr="00CA47B9">
        <w:t>shows</w:t>
      </w:r>
      <w:r w:rsidR="004B41A2" w:rsidRPr="00CA47B9">
        <w:t xml:space="preserve"> </w:t>
      </w:r>
      <w:r w:rsidRPr="00CA47B9">
        <w:t>the</w:t>
      </w:r>
      <w:r w:rsidR="004B41A2" w:rsidRPr="00CA47B9">
        <w:t xml:space="preserve"> </w:t>
      </w:r>
      <w:r w:rsidRPr="00CA47B9">
        <w:t>total</w:t>
      </w:r>
      <w:r w:rsidR="004B41A2" w:rsidRPr="00CA47B9">
        <w:t xml:space="preserve"> </w:t>
      </w:r>
      <w:r w:rsidRPr="00CA47B9">
        <w:t>number</w:t>
      </w:r>
      <w:r w:rsidR="004B41A2" w:rsidRPr="00CA47B9">
        <w:t xml:space="preserve"> </w:t>
      </w:r>
      <w:r w:rsidRPr="00CA47B9">
        <w:t>of</w:t>
      </w:r>
      <w:r w:rsidR="004B41A2" w:rsidRPr="00CA47B9">
        <w:t xml:space="preserve"> </w:t>
      </w:r>
      <w:r w:rsidRPr="00CA47B9">
        <w:t>jobs</w:t>
      </w:r>
      <w:r w:rsidR="004B41A2" w:rsidRPr="00CA47B9">
        <w:t xml:space="preserve"> </w:t>
      </w:r>
      <w:r w:rsidRPr="00CA47B9">
        <w:t>in</w:t>
      </w:r>
      <w:r w:rsidR="004B41A2" w:rsidRPr="00CA47B9">
        <w:t xml:space="preserve"> </w:t>
      </w:r>
      <w:r w:rsidRPr="00CA47B9">
        <w:t>Chichester</w:t>
      </w:r>
      <w:r w:rsidR="004B41A2" w:rsidRPr="00CA47B9">
        <w:t xml:space="preserve"> </w:t>
      </w:r>
      <w:r w:rsidR="00845BCB" w:rsidRPr="00CA47B9">
        <w:t>District</w:t>
      </w:r>
      <w:r w:rsidR="004B41A2" w:rsidRPr="00CA47B9">
        <w:t xml:space="preserve"> </w:t>
      </w:r>
      <w:r w:rsidRPr="00CA47B9">
        <w:t>is</w:t>
      </w:r>
      <w:r w:rsidR="004B41A2" w:rsidRPr="00CA47B9">
        <w:t xml:space="preserve"> </w:t>
      </w:r>
      <w:r w:rsidRPr="00CA47B9">
        <w:t>expected</w:t>
      </w:r>
      <w:r w:rsidR="004B41A2" w:rsidRPr="00CA47B9">
        <w:t xml:space="preserve"> </w:t>
      </w:r>
      <w:r w:rsidRPr="00CA47B9">
        <w:t>to</w:t>
      </w:r>
      <w:r w:rsidR="004B41A2" w:rsidRPr="00CA47B9">
        <w:t xml:space="preserve"> </w:t>
      </w:r>
      <w:r w:rsidRPr="00CA47B9">
        <w:t>grow</w:t>
      </w:r>
      <w:r w:rsidR="004B41A2" w:rsidRPr="00CA47B9">
        <w:t xml:space="preserve"> </w:t>
      </w:r>
      <w:r w:rsidRPr="00CA47B9">
        <w:t>from</w:t>
      </w:r>
      <w:r w:rsidR="004B41A2" w:rsidRPr="00CA47B9">
        <w:t xml:space="preserve"> </w:t>
      </w:r>
      <w:r w:rsidRPr="00CA47B9">
        <w:t>approximately</w:t>
      </w:r>
      <w:r w:rsidR="004B41A2" w:rsidRPr="00CA47B9">
        <w:t xml:space="preserve"> </w:t>
      </w:r>
      <w:r w:rsidR="009B6FCB" w:rsidRPr="00CA47B9">
        <w:t>7</w:t>
      </w:r>
      <w:r w:rsidR="00E4719F" w:rsidRPr="00CA47B9">
        <w:t>3</w:t>
      </w:r>
      <w:r w:rsidRPr="00CA47B9">
        <w:t>,</w:t>
      </w:r>
      <w:r w:rsidR="00E4719F" w:rsidRPr="00CA47B9">
        <w:t>8</w:t>
      </w:r>
      <w:r w:rsidR="009B6FCB" w:rsidRPr="00CA47B9">
        <w:t>00</w:t>
      </w:r>
      <w:r w:rsidR="004B41A2" w:rsidRPr="00CA47B9">
        <w:t xml:space="preserve"> </w:t>
      </w:r>
      <w:r w:rsidRPr="00CA47B9">
        <w:t>in</w:t>
      </w:r>
      <w:r w:rsidR="004B41A2" w:rsidRPr="00CA47B9">
        <w:t xml:space="preserve"> </w:t>
      </w:r>
      <w:r w:rsidR="009B6FCB" w:rsidRPr="00CA47B9">
        <w:t>2016</w:t>
      </w:r>
      <w:r w:rsidR="004B41A2" w:rsidRPr="00CA47B9">
        <w:t xml:space="preserve"> </w:t>
      </w:r>
      <w:r w:rsidRPr="00CA47B9">
        <w:t>to</w:t>
      </w:r>
      <w:r w:rsidR="004B41A2" w:rsidRPr="00CA47B9">
        <w:t xml:space="preserve"> </w:t>
      </w:r>
      <w:r w:rsidR="00E4719F" w:rsidRPr="00CA47B9">
        <w:t>75,9</w:t>
      </w:r>
      <w:r w:rsidRPr="00CA47B9">
        <w:t>00</w:t>
      </w:r>
      <w:r w:rsidR="004B41A2" w:rsidRPr="00CA47B9">
        <w:t xml:space="preserve"> </w:t>
      </w:r>
      <w:r w:rsidRPr="00CA47B9">
        <w:t>in</w:t>
      </w:r>
      <w:r w:rsidR="004B41A2" w:rsidRPr="00CA47B9">
        <w:t xml:space="preserve"> </w:t>
      </w:r>
      <w:r w:rsidRPr="00CA47B9">
        <w:t>2036.</w:t>
      </w:r>
      <w:r w:rsidR="004B41A2" w:rsidRPr="00CA47B9">
        <w:t xml:space="preserve"> </w:t>
      </w:r>
      <w:r w:rsidRPr="00CA47B9">
        <w:t>This</w:t>
      </w:r>
      <w:r w:rsidR="004B41A2" w:rsidRPr="00CA47B9">
        <w:t xml:space="preserve"> </w:t>
      </w:r>
      <w:r w:rsidRPr="00CA47B9">
        <w:t>is</w:t>
      </w:r>
      <w:r w:rsidR="004B41A2" w:rsidRPr="00CA47B9">
        <w:t xml:space="preserve"> </w:t>
      </w:r>
      <w:r w:rsidRPr="00CA47B9">
        <w:t>a</w:t>
      </w:r>
      <w:r w:rsidR="004B41A2" w:rsidRPr="00CA47B9">
        <w:t xml:space="preserve"> </w:t>
      </w:r>
      <w:r w:rsidRPr="00CA47B9">
        <w:t>total</w:t>
      </w:r>
      <w:r w:rsidR="004B41A2" w:rsidRPr="00CA47B9">
        <w:t xml:space="preserve"> </w:t>
      </w:r>
      <w:r w:rsidRPr="00CA47B9">
        <w:t>forecast</w:t>
      </w:r>
      <w:r w:rsidR="004B41A2" w:rsidRPr="00CA47B9">
        <w:t xml:space="preserve"> </w:t>
      </w:r>
      <w:r w:rsidRPr="00CA47B9">
        <w:t>growth</w:t>
      </w:r>
      <w:r w:rsidR="004B41A2" w:rsidRPr="00CA47B9">
        <w:t xml:space="preserve"> </w:t>
      </w:r>
      <w:r w:rsidRPr="00CA47B9">
        <w:t>of</w:t>
      </w:r>
      <w:r w:rsidR="004B41A2" w:rsidRPr="00CA47B9">
        <w:t xml:space="preserve"> </w:t>
      </w:r>
      <w:r w:rsidR="00E4719F" w:rsidRPr="00CA47B9">
        <w:t>2,1</w:t>
      </w:r>
      <w:r w:rsidR="009B6FCB" w:rsidRPr="00CA47B9">
        <w:t>00</w:t>
      </w:r>
      <w:r w:rsidR="004B41A2" w:rsidRPr="00CA47B9">
        <w:t xml:space="preserve"> </w:t>
      </w:r>
      <w:r w:rsidRPr="00CA47B9">
        <w:t>which</w:t>
      </w:r>
      <w:r w:rsidR="004B41A2" w:rsidRPr="00CA47B9">
        <w:t xml:space="preserve"> </w:t>
      </w:r>
      <w:r w:rsidRPr="00CA47B9">
        <w:t>equates</w:t>
      </w:r>
      <w:r w:rsidR="004B41A2" w:rsidRPr="00CA47B9">
        <w:t xml:space="preserve"> </w:t>
      </w:r>
      <w:r w:rsidRPr="00CA47B9">
        <w:t>to</w:t>
      </w:r>
      <w:r w:rsidR="004B41A2" w:rsidRPr="00CA47B9">
        <w:t xml:space="preserve"> </w:t>
      </w:r>
      <w:r w:rsidRPr="00CA47B9">
        <w:t>an</w:t>
      </w:r>
      <w:r w:rsidR="004B41A2" w:rsidRPr="00CA47B9">
        <w:t xml:space="preserve"> </w:t>
      </w:r>
      <w:r w:rsidRPr="00CA47B9">
        <w:t>annual</w:t>
      </w:r>
      <w:r w:rsidR="004B41A2" w:rsidRPr="00CA47B9">
        <w:t xml:space="preserve"> </w:t>
      </w:r>
      <w:r w:rsidRPr="00CA47B9">
        <w:t>growth</w:t>
      </w:r>
      <w:r w:rsidR="004B41A2" w:rsidRPr="00CA47B9">
        <w:t xml:space="preserve"> </w:t>
      </w:r>
      <w:r w:rsidRPr="00CA47B9">
        <w:t>rate</w:t>
      </w:r>
      <w:r w:rsidR="004B41A2" w:rsidRPr="00CA47B9">
        <w:t xml:space="preserve"> </w:t>
      </w:r>
      <w:r w:rsidRPr="00CA47B9">
        <w:t>of</w:t>
      </w:r>
      <w:r w:rsidR="004B41A2" w:rsidRPr="00CA47B9">
        <w:t xml:space="preserve"> </w:t>
      </w:r>
      <w:r w:rsidRPr="00CA47B9">
        <w:t>0.</w:t>
      </w:r>
      <w:r w:rsidR="00E4719F" w:rsidRPr="00CA47B9">
        <w:t>14</w:t>
      </w:r>
      <w:r w:rsidRPr="00CA47B9">
        <w:t>%.</w:t>
      </w:r>
      <w:bookmarkStart w:id="115" w:name="_Toc466513518"/>
      <w:bookmarkStart w:id="116" w:name="_Toc471487042"/>
      <w:bookmarkStart w:id="117" w:name="_Toc481156664"/>
      <w:r w:rsidR="00D02E31">
        <w:t xml:space="preserve"> This is a slower rate than the 2018 HEDNA data which indicated a growth of 8,900 jobs over the same period. The </w:t>
      </w:r>
      <w:proofErr w:type="gramStart"/>
      <w:r w:rsidR="00D02E31">
        <w:t xml:space="preserve">principle </w:t>
      </w:r>
      <w:r w:rsidR="00FD0E9C">
        <w:t xml:space="preserve"> cause</w:t>
      </w:r>
      <w:proofErr w:type="gramEnd"/>
      <w:r w:rsidR="00FD0E9C">
        <w:t xml:space="preserve"> </w:t>
      </w:r>
      <w:r w:rsidR="00D02E31">
        <w:t xml:space="preserve">is a short term slow down largely driven by Brexit and a slightly slower </w:t>
      </w:r>
      <w:r w:rsidR="00855CA6">
        <w:t>longer-</w:t>
      </w:r>
      <w:r w:rsidR="00D02E31">
        <w:t>term growth rate.</w:t>
      </w:r>
    </w:p>
    <w:p w:rsidR="00B0298E" w:rsidRPr="00CA47B9" w:rsidRDefault="00B0298E" w:rsidP="00FC604D">
      <w:pPr>
        <w:pStyle w:val="FigureHeading"/>
        <w:tabs>
          <w:tab w:val="clear" w:pos="794"/>
          <w:tab w:val="clear" w:pos="1843"/>
          <w:tab w:val="left" w:pos="0"/>
        </w:tabs>
        <w:spacing w:line="240" w:lineRule="auto"/>
        <w:ind w:left="0" w:firstLine="0"/>
      </w:pPr>
      <w:r w:rsidRPr="00CA47B9">
        <w:lastRenderedPageBreak/>
        <w:t>Chichester</w:t>
      </w:r>
      <w:r w:rsidR="004B41A2" w:rsidRPr="00CA47B9">
        <w:t xml:space="preserve"> </w:t>
      </w:r>
      <w:r w:rsidR="002B2F41" w:rsidRPr="00CA47B9">
        <w:t>District</w:t>
      </w:r>
      <w:r w:rsidR="004B41A2" w:rsidRPr="00CA47B9">
        <w:t xml:space="preserve"> </w:t>
      </w:r>
      <w:r w:rsidRPr="00CA47B9">
        <w:t>Jobs</w:t>
      </w:r>
      <w:r w:rsidR="004B41A2" w:rsidRPr="00CA47B9">
        <w:t xml:space="preserve"> </w:t>
      </w:r>
      <w:r w:rsidRPr="00CA47B9">
        <w:t>Growth,</w:t>
      </w:r>
      <w:r w:rsidR="004B41A2" w:rsidRPr="00CA47B9">
        <w:t xml:space="preserve"> </w:t>
      </w:r>
      <w:r w:rsidRPr="00CA47B9">
        <w:t>Baseline</w:t>
      </w:r>
      <w:r w:rsidR="004B41A2" w:rsidRPr="00CA47B9">
        <w:t xml:space="preserve"> </w:t>
      </w:r>
      <w:r w:rsidRPr="00CA47B9">
        <w:t>Forecast</w:t>
      </w:r>
      <w:r w:rsidR="004B41A2" w:rsidRPr="00CA47B9">
        <w:t xml:space="preserve"> </w:t>
      </w:r>
      <w:r w:rsidRPr="00CA47B9">
        <w:t>(199</w:t>
      </w:r>
      <w:r w:rsidR="00E4719F" w:rsidRPr="00CA47B9">
        <w:t>1</w:t>
      </w:r>
      <w:r w:rsidRPr="00CA47B9">
        <w:t>-2036)</w:t>
      </w:r>
      <w:bookmarkEnd w:id="115"/>
      <w:bookmarkEnd w:id="116"/>
      <w:bookmarkEnd w:id="117"/>
    </w:p>
    <w:p w:rsidR="00F9748F" w:rsidRPr="00CA47B9" w:rsidRDefault="00F6342C" w:rsidP="00163B4B">
      <w:pPr>
        <w:pStyle w:val="11Bodytext"/>
        <w:numPr>
          <w:ilvl w:val="0"/>
          <w:numId w:val="0"/>
        </w:numPr>
        <w:spacing w:before="0" w:after="0" w:line="240" w:lineRule="auto"/>
        <w:rPr>
          <w:color w:val="auto"/>
        </w:rPr>
      </w:pPr>
      <w:r w:rsidRPr="00CA47B9">
        <w:rPr>
          <w:noProof/>
          <w:lang w:eastAsia="en-GB"/>
        </w:rPr>
        <w:drawing>
          <wp:inline distT="0" distB="0" distL="0" distR="0" wp14:anchorId="7447ED27" wp14:editId="0661ED67">
            <wp:extent cx="6120000" cy="2880000"/>
            <wp:effectExtent l="0" t="0" r="14605" b="15875"/>
            <wp:docPr id="351" name="Chart 351" descr="Line chart showing Chester jobs growth from 2991 and projected forward to 2036" title="Figure 31: Chichester District Jobs Growth Baseline Forecast 1991-203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B90E31-7F01-4A35-8E0D-9BB5FDC148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0298E" w:rsidRPr="00CA47B9" w:rsidRDefault="00B0298E" w:rsidP="00FC604D">
      <w:pPr>
        <w:pStyle w:val="11Bodytext"/>
        <w:numPr>
          <w:ilvl w:val="0"/>
          <w:numId w:val="0"/>
        </w:numPr>
        <w:spacing w:before="0" w:after="0" w:line="240" w:lineRule="auto"/>
        <w:rPr>
          <w:i/>
        </w:rPr>
      </w:pPr>
      <w:r w:rsidRPr="00CA47B9">
        <w:t>Source:</w:t>
      </w:r>
      <w:r w:rsidR="004B41A2" w:rsidRPr="00CA47B9">
        <w:t xml:space="preserve"> </w:t>
      </w:r>
      <w:r w:rsidRPr="00CA47B9">
        <w:t>Oxford</w:t>
      </w:r>
      <w:r w:rsidR="004B41A2" w:rsidRPr="00CA47B9">
        <w:t xml:space="preserve"> </w:t>
      </w:r>
      <w:r w:rsidRPr="00CA47B9">
        <w:t>Economics,</w:t>
      </w:r>
      <w:r w:rsidR="004B41A2" w:rsidRPr="00CA47B9">
        <w:t xml:space="preserve"> </w:t>
      </w:r>
      <w:r w:rsidRPr="00CA47B9">
        <w:t>20</w:t>
      </w:r>
      <w:r w:rsidR="004F5134" w:rsidRPr="00CA47B9">
        <w:t>19</w:t>
      </w:r>
    </w:p>
    <w:p w:rsidR="00B0298E" w:rsidRPr="00CA47B9" w:rsidRDefault="00B0298E" w:rsidP="000C05B0">
      <w:pPr>
        <w:pStyle w:val="11Bodytext"/>
        <w:tabs>
          <w:tab w:val="clear" w:pos="2212"/>
          <w:tab w:val="num" w:pos="567"/>
        </w:tabs>
        <w:ind w:left="567" w:hanging="567"/>
      </w:pPr>
      <w:r w:rsidRPr="00CA47B9">
        <w:t>As</w:t>
      </w:r>
      <w:r w:rsidR="004B41A2" w:rsidRPr="00CA47B9">
        <w:t xml:space="preserve"> </w:t>
      </w:r>
      <w:r w:rsidRPr="00CA47B9">
        <w:t>with</w:t>
      </w:r>
      <w:r w:rsidR="004B41A2" w:rsidRPr="00CA47B9">
        <w:t xml:space="preserve"> </w:t>
      </w:r>
      <w:r w:rsidRPr="00CA47B9">
        <w:t>GVA</w:t>
      </w:r>
      <w:r w:rsidR="004B41A2" w:rsidRPr="00CA47B9">
        <w:t xml:space="preserve"> </w:t>
      </w:r>
      <w:r w:rsidRPr="00CA47B9">
        <w:t>growth,</w:t>
      </w:r>
      <w:r w:rsidR="004B41A2" w:rsidRPr="00CA47B9">
        <w:t xml:space="preserve"> </w:t>
      </w:r>
      <w:r w:rsidRPr="00CA47B9">
        <w:t>the</w:t>
      </w:r>
      <w:r w:rsidR="004B41A2" w:rsidRPr="00CA47B9">
        <w:t xml:space="preserve"> </w:t>
      </w:r>
      <w:r w:rsidRPr="00CA47B9">
        <w:t>jobs</w:t>
      </w:r>
      <w:r w:rsidR="004B41A2" w:rsidRPr="00CA47B9">
        <w:t xml:space="preserve"> </w:t>
      </w:r>
      <w:r w:rsidRPr="00CA47B9">
        <w:t>growth</w:t>
      </w:r>
      <w:r w:rsidR="004B41A2" w:rsidRPr="00CA47B9">
        <w:t xml:space="preserve"> </w:t>
      </w:r>
      <w:r w:rsidRPr="00CA47B9">
        <w:t>in</w:t>
      </w:r>
      <w:r w:rsidR="004B41A2" w:rsidRPr="00CA47B9">
        <w:t xml:space="preserve"> </w:t>
      </w:r>
      <w:r w:rsidRPr="00CA47B9">
        <w:t>the</w:t>
      </w:r>
      <w:r w:rsidR="004B41A2" w:rsidRPr="00CA47B9">
        <w:t xml:space="preserve"> </w:t>
      </w:r>
      <w:r w:rsidRPr="00CA47B9">
        <w:t>Baseline</w:t>
      </w:r>
      <w:r w:rsidR="004B41A2" w:rsidRPr="00CA47B9">
        <w:t xml:space="preserve"> </w:t>
      </w:r>
      <w:r w:rsidRPr="00CA47B9">
        <w:t>Forecast</w:t>
      </w:r>
      <w:r w:rsidR="004B41A2" w:rsidRPr="00CA47B9">
        <w:t xml:space="preserve"> </w:t>
      </w:r>
      <w:r w:rsidRPr="00CA47B9">
        <w:t>in</w:t>
      </w:r>
      <w:r w:rsidR="004B41A2" w:rsidRPr="00CA47B9">
        <w:t xml:space="preserve"> </w:t>
      </w:r>
      <w:r w:rsidRPr="00CA47B9">
        <w:t>Chichester</w:t>
      </w:r>
      <w:r w:rsidR="004B41A2" w:rsidRPr="00CA47B9">
        <w:t xml:space="preserve"> </w:t>
      </w:r>
      <w:r w:rsidR="002706E2" w:rsidRPr="00CA47B9">
        <w:t>District</w:t>
      </w:r>
      <w:r w:rsidR="004B41A2" w:rsidRPr="00CA47B9">
        <w:t xml:space="preserve"> </w:t>
      </w:r>
      <w:r w:rsidRPr="00CA47B9">
        <w:t>is</w:t>
      </w:r>
      <w:r w:rsidR="004B41A2" w:rsidRPr="00CA47B9">
        <w:t xml:space="preserve"> </w:t>
      </w:r>
      <w:r w:rsidRPr="00CA47B9">
        <w:t>slower</w:t>
      </w:r>
      <w:r w:rsidR="004B41A2" w:rsidRPr="00CA47B9">
        <w:t xml:space="preserve"> </w:t>
      </w:r>
      <w:r w:rsidRPr="00CA47B9">
        <w:t>than</w:t>
      </w:r>
      <w:r w:rsidR="004B41A2" w:rsidRPr="00CA47B9">
        <w:t xml:space="preserve"> </w:t>
      </w:r>
      <w:r w:rsidRPr="00CA47B9">
        <w:t>the</w:t>
      </w:r>
      <w:r w:rsidR="004B41A2" w:rsidRPr="00CA47B9">
        <w:t xml:space="preserve"> </w:t>
      </w:r>
      <w:r w:rsidRPr="00CA47B9">
        <w:t>level</w:t>
      </w:r>
      <w:r w:rsidR="004B41A2" w:rsidRPr="00CA47B9">
        <w:t xml:space="preserve"> </w:t>
      </w:r>
      <w:r w:rsidRPr="00CA47B9">
        <w:t>of</w:t>
      </w:r>
      <w:r w:rsidR="004B41A2" w:rsidRPr="00CA47B9">
        <w:t xml:space="preserve"> </w:t>
      </w:r>
      <w:r w:rsidRPr="00CA47B9">
        <w:t>jobs</w:t>
      </w:r>
      <w:r w:rsidR="004B41A2" w:rsidRPr="00CA47B9">
        <w:t xml:space="preserve"> </w:t>
      </w:r>
      <w:r w:rsidRPr="00CA47B9">
        <w:t>growth</w:t>
      </w:r>
      <w:r w:rsidR="004B41A2" w:rsidRPr="00CA47B9">
        <w:t xml:space="preserve"> </w:t>
      </w:r>
      <w:r w:rsidRPr="00CA47B9">
        <w:t>over</w:t>
      </w:r>
      <w:r w:rsidR="004B41A2" w:rsidRPr="00CA47B9">
        <w:t xml:space="preserve"> </w:t>
      </w:r>
      <w:r w:rsidRPr="00CA47B9">
        <w:t>the</w:t>
      </w:r>
      <w:r w:rsidR="004B41A2" w:rsidRPr="00CA47B9">
        <w:t xml:space="preserve"> </w:t>
      </w:r>
      <w:r w:rsidRPr="00CA47B9">
        <w:t>previous</w:t>
      </w:r>
      <w:r w:rsidR="004B41A2" w:rsidRPr="00CA47B9">
        <w:t xml:space="preserve"> </w:t>
      </w:r>
      <w:r w:rsidRPr="00CA47B9">
        <w:t>economic</w:t>
      </w:r>
      <w:r w:rsidR="004B41A2" w:rsidRPr="00CA47B9">
        <w:t xml:space="preserve"> </w:t>
      </w:r>
      <w:r w:rsidRPr="00CA47B9">
        <w:t>cycle</w:t>
      </w:r>
      <w:r w:rsidR="004B41A2" w:rsidRPr="00CA47B9">
        <w:t xml:space="preserve"> </w:t>
      </w:r>
      <w:r w:rsidRPr="00CA47B9">
        <w:t>(1.6%</w:t>
      </w:r>
      <w:r w:rsidR="004B41A2" w:rsidRPr="00CA47B9">
        <w:t xml:space="preserve"> </w:t>
      </w:r>
      <w:r w:rsidRPr="00CA47B9">
        <w:t>per</w:t>
      </w:r>
      <w:r w:rsidR="004B41A2" w:rsidRPr="00CA47B9">
        <w:t xml:space="preserve"> </w:t>
      </w:r>
      <w:r w:rsidRPr="00CA47B9">
        <w:t>annum).</w:t>
      </w:r>
      <w:r w:rsidR="004B41A2" w:rsidRPr="00CA47B9">
        <w:t xml:space="preserve"> </w:t>
      </w:r>
      <w:r w:rsidRPr="00CA47B9">
        <w:t>The</w:t>
      </w:r>
      <w:r w:rsidR="004B41A2" w:rsidRPr="00CA47B9">
        <w:t xml:space="preserve"> </w:t>
      </w:r>
      <w:r w:rsidRPr="00CA47B9">
        <w:t>forecast</w:t>
      </w:r>
      <w:r w:rsidR="004B41A2" w:rsidRPr="00CA47B9">
        <w:t xml:space="preserve"> </w:t>
      </w:r>
      <w:r w:rsidRPr="00CA47B9">
        <w:t>level</w:t>
      </w:r>
      <w:r w:rsidR="004B41A2" w:rsidRPr="00CA47B9">
        <w:t xml:space="preserve"> </w:t>
      </w:r>
      <w:r w:rsidRPr="00CA47B9">
        <w:t>of</w:t>
      </w:r>
      <w:r w:rsidR="004B41A2" w:rsidRPr="00CA47B9">
        <w:t xml:space="preserve"> </w:t>
      </w:r>
      <w:r w:rsidRPr="00CA47B9">
        <w:t>jobs</w:t>
      </w:r>
      <w:r w:rsidR="004B41A2" w:rsidRPr="00CA47B9">
        <w:t xml:space="preserve"> </w:t>
      </w:r>
      <w:r w:rsidRPr="00CA47B9">
        <w:t>growth</w:t>
      </w:r>
      <w:r w:rsidR="004B41A2" w:rsidRPr="00CA47B9">
        <w:t xml:space="preserve"> </w:t>
      </w:r>
      <w:r w:rsidRPr="00CA47B9">
        <w:t>is</w:t>
      </w:r>
      <w:r w:rsidR="004B41A2" w:rsidRPr="00CA47B9">
        <w:t xml:space="preserve"> </w:t>
      </w:r>
      <w:r w:rsidR="00C77B30" w:rsidRPr="00CA47B9">
        <w:t>both</w:t>
      </w:r>
      <w:r w:rsidR="004B41A2" w:rsidRPr="00CA47B9">
        <w:t xml:space="preserve"> </w:t>
      </w:r>
      <w:r w:rsidR="00533D2A" w:rsidRPr="00CA47B9">
        <w:t>higher</w:t>
      </w:r>
      <w:r w:rsidR="004B41A2" w:rsidRPr="00CA47B9">
        <w:t xml:space="preserve"> </w:t>
      </w:r>
      <w:r w:rsidR="00533D2A" w:rsidRPr="00CA47B9">
        <w:t>than</w:t>
      </w:r>
      <w:r w:rsidR="004B41A2" w:rsidRPr="00CA47B9">
        <w:t xml:space="preserve"> </w:t>
      </w:r>
      <w:r w:rsidRPr="00CA47B9">
        <w:t>the</w:t>
      </w:r>
      <w:r w:rsidR="004B41A2" w:rsidRPr="00CA47B9">
        <w:t xml:space="preserve"> </w:t>
      </w:r>
      <w:r w:rsidRPr="00CA47B9">
        <w:t>regional</w:t>
      </w:r>
      <w:r w:rsidR="004B41A2" w:rsidRPr="00CA47B9">
        <w:t xml:space="preserve"> </w:t>
      </w:r>
      <w:r w:rsidRPr="00CA47B9">
        <w:t>equivalent</w:t>
      </w:r>
      <w:r w:rsidR="004B41A2" w:rsidRPr="00CA47B9">
        <w:t xml:space="preserve"> </w:t>
      </w:r>
      <w:r w:rsidRPr="00CA47B9">
        <w:t>(0.</w:t>
      </w:r>
      <w:r w:rsidR="00533D2A" w:rsidRPr="00CA47B9">
        <w:t>5</w:t>
      </w:r>
      <w:r w:rsidRPr="00CA47B9">
        <w:t>%</w:t>
      </w:r>
      <w:r w:rsidR="004B41A2" w:rsidRPr="00CA47B9">
        <w:t xml:space="preserve"> </w:t>
      </w:r>
      <w:r w:rsidRPr="00CA47B9">
        <w:t>pa)</w:t>
      </w:r>
      <w:r w:rsidR="004B41A2" w:rsidRPr="00CA47B9">
        <w:t xml:space="preserve"> </w:t>
      </w:r>
      <w:r w:rsidR="00C77B30" w:rsidRPr="00CA47B9">
        <w:t>and above</w:t>
      </w:r>
      <w:r w:rsidR="004B41A2" w:rsidRPr="00CA47B9">
        <w:t xml:space="preserve"> </w:t>
      </w:r>
      <w:r w:rsidRPr="00CA47B9">
        <w:t>the</w:t>
      </w:r>
      <w:r w:rsidR="004B41A2" w:rsidRPr="00CA47B9">
        <w:t xml:space="preserve"> </w:t>
      </w:r>
      <w:r w:rsidR="009E2D8F" w:rsidRPr="00CA47B9">
        <w:t>forecast</w:t>
      </w:r>
      <w:r w:rsidR="004B41A2" w:rsidRPr="00CA47B9">
        <w:t xml:space="preserve"> </w:t>
      </w:r>
      <w:r w:rsidRPr="00CA47B9">
        <w:t>national</w:t>
      </w:r>
      <w:r w:rsidR="004B41A2" w:rsidRPr="00CA47B9">
        <w:t xml:space="preserve"> </w:t>
      </w:r>
      <w:r w:rsidR="009E2D8F" w:rsidRPr="00CA47B9">
        <w:t>increase</w:t>
      </w:r>
      <w:r w:rsidR="004B41A2" w:rsidRPr="00CA47B9">
        <w:t xml:space="preserve"> </w:t>
      </w:r>
      <w:r w:rsidR="009E2D8F" w:rsidRPr="00CA47B9">
        <w:t>(1.1%</w:t>
      </w:r>
      <w:r w:rsidR="004B41A2" w:rsidRPr="00CA47B9">
        <w:t xml:space="preserve"> </w:t>
      </w:r>
      <w:r w:rsidR="009E2D8F" w:rsidRPr="00CA47B9">
        <w:t>pa)</w:t>
      </w:r>
      <w:r w:rsidRPr="00CA47B9">
        <w:t>.</w:t>
      </w:r>
    </w:p>
    <w:p w:rsidR="00B0298E" w:rsidRPr="00CA47B9" w:rsidRDefault="00B0298E" w:rsidP="000C05B0">
      <w:pPr>
        <w:pStyle w:val="11Bodytext"/>
        <w:tabs>
          <w:tab w:val="clear" w:pos="2212"/>
          <w:tab w:val="num" w:pos="567"/>
        </w:tabs>
        <w:ind w:left="567" w:hanging="567"/>
      </w:pPr>
      <w:r w:rsidRPr="00CA47B9">
        <w:t>The</w:t>
      </w:r>
      <w:r w:rsidR="004B41A2" w:rsidRPr="00CA47B9">
        <w:t xml:space="preserve"> </w:t>
      </w:r>
      <w:r w:rsidRPr="00CA47B9">
        <w:t>slower</w:t>
      </w:r>
      <w:r w:rsidR="004B41A2" w:rsidRPr="00CA47B9">
        <w:t xml:space="preserve"> </w:t>
      </w:r>
      <w:r w:rsidRPr="00CA47B9">
        <w:t>rate</w:t>
      </w:r>
      <w:r w:rsidR="004B41A2" w:rsidRPr="00CA47B9">
        <w:t xml:space="preserve"> </w:t>
      </w:r>
      <w:r w:rsidRPr="00CA47B9">
        <w:t>of</w:t>
      </w:r>
      <w:r w:rsidR="004B41A2" w:rsidRPr="00CA47B9">
        <w:t xml:space="preserve"> </w:t>
      </w:r>
      <w:r w:rsidRPr="00CA47B9">
        <w:t>growth</w:t>
      </w:r>
      <w:r w:rsidR="004B41A2" w:rsidRPr="00CA47B9">
        <w:t xml:space="preserve"> </w:t>
      </w:r>
      <w:r w:rsidRPr="00CA47B9">
        <w:t>going</w:t>
      </w:r>
      <w:r w:rsidR="004B41A2" w:rsidRPr="00CA47B9">
        <w:t xml:space="preserve"> </w:t>
      </w:r>
      <w:r w:rsidRPr="00CA47B9">
        <w:t>forward</w:t>
      </w:r>
      <w:r w:rsidR="00BE6233" w:rsidRPr="00CA47B9">
        <w:t xml:space="preserve"> as compared to previous economic cycles</w:t>
      </w:r>
      <w:r w:rsidR="004B41A2" w:rsidRPr="00CA47B9">
        <w:t xml:space="preserve"> </w:t>
      </w:r>
      <w:r w:rsidRPr="00CA47B9">
        <w:t>is</w:t>
      </w:r>
      <w:r w:rsidR="004B41A2" w:rsidRPr="00CA47B9">
        <w:t xml:space="preserve"> </w:t>
      </w:r>
      <w:r w:rsidRPr="00CA47B9">
        <w:t>not</w:t>
      </w:r>
      <w:r w:rsidR="004B41A2" w:rsidRPr="00CA47B9">
        <w:t xml:space="preserve"> </w:t>
      </w:r>
      <w:r w:rsidRPr="00CA47B9">
        <w:t>confined</w:t>
      </w:r>
      <w:r w:rsidR="004B41A2" w:rsidRPr="00CA47B9">
        <w:t xml:space="preserve"> </w:t>
      </w:r>
      <w:r w:rsidRPr="00CA47B9">
        <w:t>to</w:t>
      </w:r>
      <w:r w:rsidR="004B41A2" w:rsidRPr="00CA47B9">
        <w:t xml:space="preserve"> </w:t>
      </w:r>
      <w:r w:rsidRPr="00CA47B9">
        <w:t>Chichester</w:t>
      </w:r>
      <w:r w:rsidR="004B41A2" w:rsidRPr="00CA47B9">
        <w:t xml:space="preserve"> </w:t>
      </w:r>
      <w:r w:rsidR="002706E2" w:rsidRPr="00CA47B9">
        <w:t>District</w:t>
      </w:r>
      <w:r w:rsidR="004B41A2" w:rsidRPr="00CA47B9">
        <w:t xml:space="preserve"> </w:t>
      </w:r>
      <w:r w:rsidRPr="00CA47B9">
        <w:t>but</w:t>
      </w:r>
      <w:r w:rsidR="004B41A2" w:rsidRPr="00CA47B9">
        <w:t xml:space="preserve"> </w:t>
      </w:r>
      <w:r w:rsidRPr="00CA47B9">
        <w:t>is</w:t>
      </w:r>
      <w:r w:rsidR="004B41A2" w:rsidRPr="00CA47B9">
        <w:t xml:space="preserve"> </w:t>
      </w:r>
      <w:r w:rsidRPr="00CA47B9">
        <w:t>expected</w:t>
      </w:r>
      <w:r w:rsidR="004B41A2" w:rsidRPr="00CA47B9">
        <w:t xml:space="preserve"> </w:t>
      </w:r>
      <w:r w:rsidRPr="00CA47B9">
        <w:t>regionally</w:t>
      </w:r>
      <w:r w:rsidR="004B41A2" w:rsidRPr="00CA47B9">
        <w:t xml:space="preserve"> </w:t>
      </w:r>
      <w:r w:rsidRPr="00CA47B9">
        <w:t>and</w:t>
      </w:r>
      <w:r w:rsidR="004B41A2" w:rsidRPr="00CA47B9">
        <w:t xml:space="preserve"> </w:t>
      </w:r>
      <w:r w:rsidRPr="00CA47B9">
        <w:t>nationally.</w:t>
      </w:r>
      <w:r w:rsidR="004B41A2" w:rsidRPr="00CA47B9">
        <w:t xml:space="preserve"> </w:t>
      </w:r>
    </w:p>
    <w:p w:rsidR="00B0298E" w:rsidRPr="00F276CF" w:rsidRDefault="00B0298E" w:rsidP="00805614">
      <w:pPr>
        <w:pStyle w:val="Dateofreport"/>
        <w:ind w:left="567" w:firstLine="0"/>
      </w:pPr>
      <w:r w:rsidRPr="00F276CF">
        <w:t>Adjusted</w:t>
      </w:r>
      <w:r w:rsidR="004B41A2" w:rsidRPr="00F276CF">
        <w:t xml:space="preserve"> </w:t>
      </w:r>
      <w:r w:rsidRPr="00F276CF">
        <w:t>Forecasts</w:t>
      </w:r>
    </w:p>
    <w:p w:rsidR="00B0298E" w:rsidRPr="00CA47B9" w:rsidRDefault="00B0298E" w:rsidP="000C05B0">
      <w:pPr>
        <w:pStyle w:val="11Bodytext"/>
        <w:tabs>
          <w:tab w:val="clear" w:pos="2212"/>
          <w:tab w:val="num" w:pos="567"/>
        </w:tabs>
        <w:ind w:left="567" w:hanging="567"/>
      </w:pPr>
      <w:r w:rsidRPr="00CA47B9">
        <w:t>While</w:t>
      </w:r>
      <w:r w:rsidR="004B41A2" w:rsidRPr="00CA47B9">
        <w:t xml:space="preserve"> </w:t>
      </w:r>
      <w:r w:rsidRPr="00CA47B9">
        <w:t>the</w:t>
      </w:r>
      <w:r w:rsidR="004B41A2" w:rsidRPr="00CA47B9">
        <w:t xml:space="preserve"> </w:t>
      </w:r>
      <w:r w:rsidRPr="00CA47B9">
        <w:t>baseline</w:t>
      </w:r>
      <w:r w:rsidR="004B41A2" w:rsidRPr="00CA47B9">
        <w:t xml:space="preserve"> </w:t>
      </w:r>
      <w:r w:rsidRPr="00CA47B9">
        <w:t>forecast</w:t>
      </w:r>
      <w:r w:rsidR="004B41A2" w:rsidRPr="00CA47B9">
        <w:t xml:space="preserve"> </w:t>
      </w:r>
      <w:r w:rsidRPr="00CA47B9">
        <w:t>provides</w:t>
      </w:r>
      <w:r w:rsidR="004B41A2" w:rsidRPr="00CA47B9">
        <w:t xml:space="preserve"> </w:t>
      </w:r>
      <w:r w:rsidRPr="00CA47B9">
        <w:t>a</w:t>
      </w:r>
      <w:r w:rsidR="004B41A2" w:rsidRPr="00CA47B9">
        <w:t xml:space="preserve"> </w:t>
      </w:r>
      <w:r w:rsidRPr="00CA47B9">
        <w:t>good</w:t>
      </w:r>
      <w:r w:rsidR="004B41A2" w:rsidRPr="00CA47B9">
        <w:t xml:space="preserve"> </w:t>
      </w:r>
      <w:r w:rsidRPr="00CA47B9">
        <w:t>indication</w:t>
      </w:r>
      <w:r w:rsidR="004B41A2" w:rsidRPr="00CA47B9">
        <w:t xml:space="preserve"> </w:t>
      </w:r>
      <w:r w:rsidRPr="00CA47B9">
        <w:t>of</w:t>
      </w:r>
      <w:r w:rsidR="004B41A2" w:rsidRPr="00CA47B9">
        <w:t xml:space="preserve"> </w:t>
      </w:r>
      <w:r w:rsidRPr="00CA47B9">
        <w:t>the</w:t>
      </w:r>
      <w:r w:rsidR="004B41A2" w:rsidRPr="00CA47B9">
        <w:t xml:space="preserve"> </w:t>
      </w:r>
      <w:r w:rsidRPr="00CA47B9">
        <w:t>direction</w:t>
      </w:r>
      <w:r w:rsidR="004B41A2" w:rsidRPr="00CA47B9">
        <w:t xml:space="preserve"> </w:t>
      </w:r>
      <w:r w:rsidRPr="00CA47B9">
        <w:t>of</w:t>
      </w:r>
      <w:r w:rsidR="004B41A2" w:rsidRPr="00CA47B9">
        <w:t xml:space="preserve"> </w:t>
      </w:r>
      <w:r w:rsidRPr="00CA47B9">
        <w:t>growth</w:t>
      </w:r>
      <w:r w:rsidR="004B41A2" w:rsidRPr="00CA47B9">
        <w:t xml:space="preserve"> </w:t>
      </w:r>
      <w:r w:rsidR="002706E2" w:rsidRPr="00CA47B9">
        <w:t>it</w:t>
      </w:r>
      <w:r w:rsidR="004B41A2" w:rsidRPr="00CA47B9">
        <w:t xml:space="preserve"> </w:t>
      </w:r>
      <w:r w:rsidRPr="00CA47B9">
        <w:t>do</w:t>
      </w:r>
      <w:r w:rsidR="002706E2" w:rsidRPr="00CA47B9">
        <w:t>es</w:t>
      </w:r>
      <w:r w:rsidR="004B41A2" w:rsidRPr="00CA47B9">
        <w:t xml:space="preserve"> </w:t>
      </w:r>
      <w:r w:rsidRPr="00CA47B9">
        <w:t>not</w:t>
      </w:r>
      <w:r w:rsidR="004B41A2" w:rsidRPr="00CA47B9">
        <w:t xml:space="preserve"> </w:t>
      </w:r>
      <w:r w:rsidRPr="00CA47B9">
        <w:t>reflect</w:t>
      </w:r>
      <w:r w:rsidR="004B41A2" w:rsidRPr="00CA47B9">
        <w:t xml:space="preserve"> </w:t>
      </w:r>
      <w:r w:rsidRPr="00CA47B9">
        <w:t>the</w:t>
      </w:r>
      <w:r w:rsidR="004B41A2" w:rsidRPr="00CA47B9">
        <w:t xml:space="preserve"> </w:t>
      </w:r>
      <w:r w:rsidRPr="00CA47B9">
        <w:t>progression</w:t>
      </w:r>
      <w:r w:rsidR="004B41A2" w:rsidRPr="00CA47B9">
        <w:t xml:space="preserve"> </w:t>
      </w:r>
      <w:r w:rsidRPr="00CA47B9">
        <w:t>of</w:t>
      </w:r>
      <w:r w:rsidR="004B41A2" w:rsidRPr="00CA47B9">
        <w:t xml:space="preserve"> </w:t>
      </w:r>
      <w:r w:rsidRPr="00CA47B9">
        <w:t>some</w:t>
      </w:r>
      <w:r w:rsidR="004B41A2" w:rsidRPr="00CA47B9">
        <w:t xml:space="preserve"> </w:t>
      </w:r>
      <w:r w:rsidRPr="00CA47B9">
        <w:t>specific</w:t>
      </w:r>
      <w:r w:rsidR="004B41A2" w:rsidRPr="00CA47B9">
        <w:t xml:space="preserve"> </w:t>
      </w:r>
      <w:r w:rsidRPr="00CA47B9">
        <w:t>sectors</w:t>
      </w:r>
      <w:r w:rsidR="004B41A2" w:rsidRPr="00CA47B9">
        <w:t xml:space="preserve"> </w:t>
      </w:r>
      <w:r w:rsidRPr="00CA47B9">
        <w:t>locally.</w:t>
      </w:r>
      <w:r w:rsidR="004B41A2" w:rsidRPr="00CA47B9">
        <w:t xml:space="preserve"> </w:t>
      </w:r>
      <w:r w:rsidRPr="00CA47B9">
        <w:t>We</w:t>
      </w:r>
      <w:r w:rsidR="004B41A2" w:rsidRPr="00CA47B9">
        <w:t xml:space="preserve"> </w:t>
      </w:r>
      <w:r w:rsidRPr="00CA47B9">
        <w:t>have</w:t>
      </w:r>
      <w:r w:rsidR="004B41A2" w:rsidRPr="00CA47B9">
        <w:t xml:space="preserve"> </w:t>
      </w:r>
      <w:r w:rsidRPr="00CA47B9">
        <w:t>considered</w:t>
      </w:r>
      <w:r w:rsidR="004B41A2" w:rsidRPr="00CA47B9">
        <w:t xml:space="preserve"> </w:t>
      </w:r>
      <w:r w:rsidRPr="00CA47B9">
        <w:t>the</w:t>
      </w:r>
      <w:r w:rsidR="004B41A2" w:rsidRPr="00CA47B9">
        <w:t xml:space="preserve"> </w:t>
      </w:r>
      <w:r w:rsidRPr="00CA47B9">
        <w:t>Baseline</w:t>
      </w:r>
      <w:r w:rsidR="004B41A2" w:rsidRPr="00CA47B9">
        <w:t xml:space="preserve"> </w:t>
      </w:r>
      <w:r w:rsidRPr="00CA47B9">
        <w:t>Forecast</w:t>
      </w:r>
      <w:r w:rsidR="004B41A2" w:rsidRPr="00CA47B9">
        <w:t xml:space="preserve"> </w:t>
      </w:r>
      <w:r w:rsidRPr="00CA47B9">
        <w:t>for</w:t>
      </w:r>
      <w:r w:rsidR="004B41A2" w:rsidRPr="00CA47B9">
        <w:t xml:space="preserve"> </w:t>
      </w:r>
      <w:r w:rsidRPr="00CA47B9">
        <w:t>these</w:t>
      </w:r>
      <w:r w:rsidR="004B41A2" w:rsidRPr="00CA47B9">
        <w:t xml:space="preserve"> </w:t>
      </w:r>
      <w:r w:rsidRPr="00CA47B9">
        <w:t>sectors</w:t>
      </w:r>
      <w:r w:rsidR="004B41A2" w:rsidRPr="00CA47B9">
        <w:t xml:space="preserve"> </w:t>
      </w:r>
      <w:r w:rsidRPr="00CA47B9">
        <w:t>and</w:t>
      </w:r>
      <w:r w:rsidR="004B41A2" w:rsidRPr="00CA47B9">
        <w:t xml:space="preserve"> </w:t>
      </w:r>
      <w:r w:rsidRPr="00CA47B9">
        <w:t>reviewed</w:t>
      </w:r>
      <w:r w:rsidR="004B41A2" w:rsidRPr="00CA47B9">
        <w:t xml:space="preserve"> </w:t>
      </w:r>
      <w:r w:rsidRPr="00CA47B9">
        <w:t>the</w:t>
      </w:r>
      <w:r w:rsidR="004B41A2" w:rsidRPr="00CA47B9">
        <w:t xml:space="preserve"> </w:t>
      </w:r>
      <w:r w:rsidRPr="00CA47B9">
        <w:t>historic</w:t>
      </w:r>
      <w:r w:rsidR="004B41A2" w:rsidRPr="00CA47B9">
        <w:t xml:space="preserve"> </w:t>
      </w:r>
      <w:r w:rsidRPr="00CA47B9">
        <w:t>and</w:t>
      </w:r>
      <w:r w:rsidR="004B41A2" w:rsidRPr="00CA47B9">
        <w:t xml:space="preserve"> </w:t>
      </w:r>
      <w:r w:rsidRPr="00CA47B9">
        <w:t>future</w:t>
      </w:r>
      <w:r w:rsidR="004B41A2" w:rsidRPr="00CA47B9">
        <w:t xml:space="preserve"> </w:t>
      </w:r>
      <w:r w:rsidRPr="00CA47B9">
        <w:t>trends</w:t>
      </w:r>
      <w:r w:rsidR="004B41A2" w:rsidRPr="00CA47B9">
        <w:t xml:space="preserve"> </w:t>
      </w:r>
      <w:r w:rsidRPr="00CA47B9">
        <w:t>for</w:t>
      </w:r>
      <w:r w:rsidR="004B41A2" w:rsidRPr="00CA47B9">
        <w:t xml:space="preserve"> </w:t>
      </w:r>
      <w:r w:rsidRPr="00CA47B9">
        <w:t>the</w:t>
      </w:r>
      <w:r w:rsidR="004B41A2" w:rsidRPr="00CA47B9">
        <w:t xml:space="preserve"> </w:t>
      </w:r>
      <w:r w:rsidRPr="00CA47B9">
        <w:t>District</w:t>
      </w:r>
      <w:r w:rsidR="004B41A2" w:rsidRPr="00CA47B9">
        <w:t xml:space="preserve"> </w:t>
      </w:r>
      <w:r w:rsidRPr="00CA47B9">
        <w:t>in</w:t>
      </w:r>
      <w:r w:rsidR="004B41A2" w:rsidRPr="00CA47B9">
        <w:t xml:space="preserve"> </w:t>
      </w:r>
      <w:r w:rsidRPr="00CA47B9">
        <w:t>each</w:t>
      </w:r>
      <w:r w:rsidR="004B41A2" w:rsidRPr="00CA47B9">
        <w:t xml:space="preserve"> </w:t>
      </w:r>
      <w:r w:rsidRPr="00CA47B9">
        <w:t>and</w:t>
      </w:r>
      <w:r w:rsidR="004B41A2" w:rsidRPr="00CA47B9">
        <w:t xml:space="preserve"> </w:t>
      </w:r>
      <w:r w:rsidRPr="00CA47B9">
        <w:t>compared</w:t>
      </w:r>
      <w:r w:rsidR="004B41A2" w:rsidRPr="00CA47B9">
        <w:t xml:space="preserve"> </w:t>
      </w:r>
      <w:r w:rsidRPr="00CA47B9">
        <w:t>this</w:t>
      </w:r>
      <w:r w:rsidR="004B41A2" w:rsidRPr="00CA47B9">
        <w:t xml:space="preserve"> </w:t>
      </w:r>
      <w:r w:rsidRPr="00CA47B9">
        <w:t>to</w:t>
      </w:r>
      <w:r w:rsidR="004B41A2" w:rsidRPr="00CA47B9">
        <w:t xml:space="preserve"> </w:t>
      </w:r>
      <w:r w:rsidRPr="00CA47B9">
        <w:t>regional</w:t>
      </w:r>
      <w:r w:rsidR="004B41A2" w:rsidRPr="00CA47B9">
        <w:t xml:space="preserve"> </w:t>
      </w:r>
      <w:r w:rsidRPr="00CA47B9">
        <w:t>and</w:t>
      </w:r>
      <w:r w:rsidR="004B41A2" w:rsidRPr="00CA47B9">
        <w:t xml:space="preserve"> </w:t>
      </w:r>
      <w:r w:rsidRPr="00CA47B9">
        <w:t>national</w:t>
      </w:r>
      <w:r w:rsidR="004B41A2" w:rsidRPr="00CA47B9">
        <w:t xml:space="preserve"> </w:t>
      </w:r>
      <w:r w:rsidRPr="00CA47B9">
        <w:t>trends.</w:t>
      </w:r>
      <w:r w:rsidR="004B41A2" w:rsidRPr="00CA47B9">
        <w:t xml:space="preserve"> </w:t>
      </w:r>
    </w:p>
    <w:p w:rsidR="002B7403" w:rsidRPr="00CA47B9" w:rsidRDefault="00B0298E" w:rsidP="000C05B0">
      <w:pPr>
        <w:pStyle w:val="11Bodytext"/>
        <w:tabs>
          <w:tab w:val="clear" w:pos="2212"/>
          <w:tab w:val="num" w:pos="567"/>
        </w:tabs>
        <w:ind w:left="567" w:hanging="567"/>
      </w:pPr>
      <w:r w:rsidRPr="00CA47B9">
        <w:t>The</w:t>
      </w:r>
      <w:r w:rsidR="004B41A2" w:rsidRPr="00CA47B9">
        <w:t xml:space="preserve"> </w:t>
      </w:r>
      <w:r w:rsidRPr="00CA47B9">
        <w:t>location</w:t>
      </w:r>
      <w:r w:rsidR="004B41A2" w:rsidRPr="00CA47B9">
        <w:t xml:space="preserve"> </w:t>
      </w:r>
      <w:r w:rsidRPr="00CA47B9">
        <w:t>quotient</w:t>
      </w:r>
      <w:r w:rsidR="004B41A2" w:rsidRPr="00CA47B9">
        <w:t xml:space="preserve"> </w:t>
      </w:r>
      <w:r w:rsidRPr="00CA47B9">
        <w:t>analysis</w:t>
      </w:r>
      <w:r w:rsidR="004B41A2" w:rsidRPr="00CA47B9">
        <w:t xml:space="preserve"> </w:t>
      </w:r>
      <w:r w:rsidRPr="00CA47B9">
        <w:t>in</w:t>
      </w:r>
      <w:r w:rsidR="004B41A2" w:rsidRPr="00CA47B9">
        <w:t xml:space="preserve"> </w:t>
      </w:r>
      <w:r w:rsidRPr="00CA47B9">
        <w:t>Figure</w:t>
      </w:r>
      <w:r w:rsidR="004B41A2" w:rsidRPr="00CA47B9">
        <w:t xml:space="preserve"> </w:t>
      </w:r>
      <w:r w:rsidR="00442CA7">
        <w:t>2</w:t>
      </w:r>
      <w:r w:rsidR="0089491A" w:rsidRPr="00CA47B9">
        <w:t>4</w:t>
      </w:r>
      <w:r w:rsidR="004B41A2" w:rsidRPr="00CA47B9">
        <w:t xml:space="preserve"> </w:t>
      </w:r>
      <w:r w:rsidRPr="00CA47B9">
        <w:t>set</w:t>
      </w:r>
      <w:r w:rsidR="004B41A2" w:rsidRPr="00CA47B9">
        <w:t xml:space="preserve"> </w:t>
      </w:r>
      <w:r w:rsidRPr="00CA47B9">
        <w:t>out</w:t>
      </w:r>
      <w:r w:rsidR="004B41A2" w:rsidRPr="00CA47B9">
        <w:t xml:space="preserve"> </w:t>
      </w:r>
      <w:r w:rsidRPr="00CA47B9">
        <w:t>the</w:t>
      </w:r>
      <w:r w:rsidR="004B41A2" w:rsidRPr="00CA47B9">
        <w:t xml:space="preserve"> </w:t>
      </w:r>
      <w:r w:rsidRPr="00CA47B9">
        <w:t>structure</w:t>
      </w:r>
      <w:r w:rsidR="004B41A2" w:rsidRPr="00CA47B9">
        <w:t xml:space="preserve"> </w:t>
      </w:r>
      <w:r w:rsidRPr="00CA47B9">
        <w:t>of</w:t>
      </w:r>
      <w:r w:rsidR="004B41A2" w:rsidRPr="00CA47B9">
        <w:t xml:space="preserve"> </w:t>
      </w:r>
      <w:r w:rsidRPr="00CA47B9">
        <w:t>Chichester</w:t>
      </w:r>
      <w:r w:rsidR="004B41A2" w:rsidRPr="00CA47B9">
        <w:t xml:space="preserve"> </w:t>
      </w:r>
      <w:r w:rsidR="00845BCB" w:rsidRPr="00CA47B9">
        <w:t>District</w:t>
      </w:r>
      <w:r w:rsidRPr="00CA47B9">
        <w:t>’s</w:t>
      </w:r>
      <w:r w:rsidR="004B41A2" w:rsidRPr="00CA47B9">
        <w:t xml:space="preserve"> </w:t>
      </w:r>
      <w:r w:rsidRPr="00CA47B9">
        <w:t>economy</w:t>
      </w:r>
      <w:r w:rsidR="004B41A2" w:rsidRPr="00CA47B9">
        <w:t xml:space="preserve"> </w:t>
      </w:r>
      <w:r w:rsidRPr="00CA47B9">
        <w:t>compared</w:t>
      </w:r>
      <w:r w:rsidR="004B41A2" w:rsidRPr="00CA47B9">
        <w:t xml:space="preserve"> </w:t>
      </w:r>
      <w:r w:rsidRPr="00CA47B9">
        <w:t>to</w:t>
      </w:r>
      <w:r w:rsidR="004B41A2" w:rsidRPr="00CA47B9">
        <w:t xml:space="preserve"> </w:t>
      </w:r>
      <w:r w:rsidRPr="00CA47B9">
        <w:t>that</w:t>
      </w:r>
      <w:r w:rsidR="004B41A2" w:rsidRPr="00CA47B9">
        <w:t xml:space="preserve"> </w:t>
      </w:r>
      <w:r w:rsidRPr="00CA47B9">
        <w:t>of</w:t>
      </w:r>
      <w:r w:rsidR="004B41A2" w:rsidRPr="00CA47B9">
        <w:t xml:space="preserve"> </w:t>
      </w:r>
      <w:r w:rsidRPr="00CA47B9">
        <w:t>the</w:t>
      </w:r>
      <w:r w:rsidR="004B41A2" w:rsidRPr="00CA47B9">
        <w:t xml:space="preserve"> </w:t>
      </w:r>
      <w:r w:rsidRPr="00CA47B9">
        <w:t>South</w:t>
      </w:r>
      <w:r w:rsidR="004B41A2" w:rsidRPr="00CA47B9">
        <w:t xml:space="preserve"> </w:t>
      </w:r>
      <w:r w:rsidRPr="00CA47B9">
        <w:t>East</w:t>
      </w:r>
      <w:r w:rsidR="004B41A2" w:rsidRPr="00CA47B9">
        <w:t xml:space="preserve"> </w:t>
      </w:r>
      <w:r w:rsidRPr="00CA47B9">
        <w:t>region</w:t>
      </w:r>
      <w:r w:rsidR="004B41A2" w:rsidRPr="00CA47B9">
        <w:t xml:space="preserve"> </w:t>
      </w:r>
      <w:r w:rsidR="0089491A" w:rsidRPr="00CA47B9">
        <w:t>in</w:t>
      </w:r>
      <w:r w:rsidR="004B41A2" w:rsidRPr="00CA47B9">
        <w:t xml:space="preserve"> </w:t>
      </w:r>
      <w:r w:rsidR="0089491A" w:rsidRPr="00CA47B9">
        <w:t>2016</w:t>
      </w:r>
      <w:r w:rsidRPr="00CA47B9">
        <w:t>.</w:t>
      </w:r>
      <w:r w:rsidR="004B41A2" w:rsidRPr="00CA47B9">
        <w:t xml:space="preserve"> </w:t>
      </w:r>
      <w:r w:rsidR="00241BBF" w:rsidRPr="00CA47B9">
        <w:t>That</w:t>
      </w:r>
      <w:r w:rsidR="004B41A2" w:rsidRPr="00CA47B9">
        <w:t xml:space="preserve"> </w:t>
      </w:r>
      <w:r w:rsidR="002B7403" w:rsidRPr="00CA47B9">
        <w:t>figure</w:t>
      </w:r>
      <w:r w:rsidR="004B41A2" w:rsidRPr="00CA47B9">
        <w:t xml:space="preserve"> </w:t>
      </w:r>
      <w:r w:rsidR="0089491A" w:rsidRPr="00CA47B9">
        <w:t>illustrated</w:t>
      </w:r>
      <w:r w:rsidR="004B41A2" w:rsidRPr="00CA47B9">
        <w:t xml:space="preserve"> </w:t>
      </w:r>
      <w:r w:rsidR="002B7403" w:rsidRPr="00CA47B9">
        <w:t>that</w:t>
      </w:r>
      <w:r w:rsidR="004B41A2" w:rsidRPr="00CA47B9">
        <w:t xml:space="preserve"> </w:t>
      </w:r>
      <w:r w:rsidRPr="00CA47B9">
        <w:t>the</w:t>
      </w:r>
      <w:r w:rsidR="004B41A2" w:rsidRPr="00CA47B9">
        <w:t xml:space="preserve"> </w:t>
      </w:r>
      <w:r w:rsidRPr="00CA47B9">
        <w:t>District</w:t>
      </w:r>
      <w:r w:rsidR="004B41A2" w:rsidRPr="00CA47B9">
        <w:t xml:space="preserve"> </w:t>
      </w:r>
      <w:r w:rsidRPr="00CA47B9">
        <w:t>has</w:t>
      </w:r>
      <w:r w:rsidR="004B41A2" w:rsidRPr="00CA47B9">
        <w:t xml:space="preserve"> </w:t>
      </w:r>
      <w:r w:rsidRPr="00CA47B9">
        <w:t>particular</w:t>
      </w:r>
      <w:r w:rsidR="004B41A2" w:rsidRPr="00CA47B9">
        <w:t xml:space="preserve"> </w:t>
      </w:r>
      <w:r w:rsidRPr="00CA47B9">
        <w:t>strengths</w:t>
      </w:r>
      <w:r w:rsidR="004B41A2" w:rsidRPr="00CA47B9">
        <w:t xml:space="preserve"> </w:t>
      </w:r>
      <w:r w:rsidRPr="00CA47B9">
        <w:t>in</w:t>
      </w:r>
      <w:r w:rsidR="004B41A2" w:rsidRPr="00CA47B9">
        <w:t xml:space="preserve"> </w:t>
      </w:r>
      <w:r w:rsidRPr="00CA47B9">
        <w:t>the</w:t>
      </w:r>
      <w:r w:rsidR="004B41A2" w:rsidRPr="00CA47B9">
        <w:t xml:space="preserve"> </w:t>
      </w:r>
      <w:r w:rsidR="002706E2" w:rsidRPr="00CA47B9">
        <w:t>a</w:t>
      </w:r>
      <w:r w:rsidRPr="00CA47B9">
        <w:t>griculture</w:t>
      </w:r>
      <w:r w:rsidR="004B41A2" w:rsidRPr="00CA47B9">
        <w:t xml:space="preserve"> </w:t>
      </w:r>
      <w:r w:rsidRPr="00CA47B9">
        <w:t>sector</w:t>
      </w:r>
      <w:r w:rsidR="004B41A2" w:rsidRPr="00CA47B9">
        <w:t xml:space="preserve"> </w:t>
      </w:r>
      <w:r w:rsidRPr="00CA47B9">
        <w:t>(where</w:t>
      </w:r>
      <w:r w:rsidR="004B41A2" w:rsidRPr="00CA47B9">
        <w:t xml:space="preserve"> </w:t>
      </w:r>
      <w:r w:rsidRPr="00CA47B9">
        <w:t>the</w:t>
      </w:r>
      <w:r w:rsidR="004B41A2" w:rsidRPr="00CA47B9">
        <w:t xml:space="preserve"> </w:t>
      </w:r>
      <w:r w:rsidRPr="00CA47B9">
        <w:t>proportion</w:t>
      </w:r>
      <w:r w:rsidR="004B41A2" w:rsidRPr="00CA47B9">
        <w:t xml:space="preserve"> </w:t>
      </w:r>
      <w:r w:rsidRPr="00CA47B9">
        <w:t>of</w:t>
      </w:r>
      <w:r w:rsidR="004B41A2" w:rsidRPr="00CA47B9">
        <w:t xml:space="preserve"> </w:t>
      </w:r>
      <w:r w:rsidRPr="00CA47B9">
        <w:t>jobs</w:t>
      </w:r>
      <w:r w:rsidR="004B41A2" w:rsidRPr="00CA47B9">
        <w:t xml:space="preserve"> </w:t>
      </w:r>
      <w:r w:rsidRPr="00CA47B9">
        <w:t>in</w:t>
      </w:r>
      <w:r w:rsidR="004B41A2" w:rsidRPr="00CA47B9">
        <w:t xml:space="preserve"> </w:t>
      </w:r>
      <w:r w:rsidRPr="00CA47B9">
        <w:t>Chichester</w:t>
      </w:r>
      <w:r w:rsidR="004B41A2" w:rsidRPr="00CA47B9">
        <w:t xml:space="preserve"> </w:t>
      </w:r>
      <w:r w:rsidRPr="00CA47B9">
        <w:t>is</w:t>
      </w:r>
      <w:r w:rsidR="004B41A2" w:rsidRPr="00CA47B9">
        <w:t xml:space="preserve"> </w:t>
      </w:r>
      <w:r w:rsidRPr="00CA47B9">
        <w:t>three</w:t>
      </w:r>
      <w:r w:rsidR="004B41A2" w:rsidRPr="00CA47B9">
        <w:t xml:space="preserve"> </w:t>
      </w:r>
      <w:r w:rsidRPr="00CA47B9">
        <w:t>times</w:t>
      </w:r>
      <w:r w:rsidR="004B41A2" w:rsidRPr="00CA47B9">
        <w:t xml:space="preserve"> </w:t>
      </w:r>
      <w:r w:rsidRPr="00CA47B9">
        <w:t>the</w:t>
      </w:r>
      <w:r w:rsidR="004B41A2" w:rsidRPr="00CA47B9">
        <w:t xml:space="preserve"> </w:t>
      </w:r>
      <w:r w:rsidRPr="00CA47B9">
        <w:t>regional</w:t>
      </w:r>
      <w:r w:rsidR="004B41A2" w:rsidRPr="00CA47B9">
        <w:t xml:space="preserve"> </w:t>
      </w:r>
      <w:r w:rsidRPr="00CA47B9">
        <w:t>rate).</w:t>
      </w:r>
      <w:r w:rsidR="004B41A2" w:rsidRPr="00CA47B9">
        <w:t xml:space="preserve"> </w:t>
      </w:r>
      <w:r w:rsidR="00123C87">
        <w:t>This is driven by horticulture</w:t>
      </w:r>
      <w:r w:rsidR="006D46D8">
        <w:t xml:space="preserve"> which falls under the two-digit sector of</w:t>
      </w:r>
      <w:r w:rsidR="006D46D8" w:rsidRPr="00CA47B9">
        <w:t xml:space="preserve"> Food and Crop Production</w:t>
      </w:r>
      <w:r w:rsidR="006D46D8">
        <w:t>.</w:t>
      </w:r>
    </w:p>
    <w:p w:rsidR="00B0298E" w:rsidRPr="00CA47B9" w:rsidRDefault="00B0298E" w:rsidP="000C05B0">
      <w:pPr>
        <w:pStyle w:val="11Bodytext"/>
        <w:tabs>
          <w:tab w:val="clear" w:pos="2212"/>
          <w:tab w:val="num" w:pos="567"/>
        </w:tabs>
        <w:ind w:left="567" w:hanging="567"/>
      </w:pPr>
      <w:r w:rsidRPr="00CA47B9">
        <w:lastRenderedPageBreak/>
        <w:t>Additionally,</w:t>
      </w:r>
      <w:r w:rsidR="004B41A2" w:rsidRPr="00CA47B9">
        <w:t xml:space="preserve"> </w:t>
      </w:r>
      <w:r w:rsidRPr="00CA47B9">
        <w:t>the</w:t>
      </w:r>
      <w:r w:rsidR="004B41A2" w:rsidRPr="00CA47B9">
        <w:t xml:space="preserve"> </w:t>
      </w:r>
      <w:r w:rsidRPr="00CA47B9">
        <w:t>District</w:t>
      </w:r>
      <w:r w:rsidR="004B41A2" w:rsidRPr="00CA47B9">
        <w:t xml:space="preserve"> </w:t>
      </w:r>
      <w:r w:rsidRPr="00CA47B9">
        <w:t>has</w:t>
      </w:r>
      <w:r w:rsidR="004B41A2" w:rsidRPr="00CA47B9">
        <w:t xml:space="preserve"> </w:t>
      </w:r>
      <w:r w:rsidRPr="00CA47B9">
        <w:t>strengths</w:t>
      </w:r>
      <w:r w:rsidR="004B41A2" w:rsidRPr="00CA47B9">
        <w:t xml:space="preserve"> </w:t>
      </w:r>
      <w:r w:rsidR="00241BBF" w:rsidRPr="00CA47B9">
        <w:t>against</w:t>
      </w:r>
      <w:r w:rsidR="004B41A2" w:rsidRPr="00CA47B9">
        <w:t xml:space="preserve"> </w:t>
      </w:r>
      <w:r w:rsidR="00241BBF" w:rsidRPr="00CA47B9">
        <w:t>the</w:t>
      </w:r>
      <w:r w:rsidR="004B41A2" w:rsidRPr="00CA47B9">
        <w:t xml:space="preserve"> </w:t>
      </w:r>
      <w:r w:rsidR="00241BBF" w:rsidRPr="00CA47B9">
        <w:t>South</w:t>
      </w:r>
      <w:r w:rsidR="004B41A2" w:rsidRPr="00CA47B9">
        <w:t xml:space="preserve"> </w:t>
      </w:r>
      <w:r w:rsidR="00241BBF" w:rsidRPr="00CA47B9">
        <w:t>East</w:t>
      </w:r>
      <w:r w:rsidR="004B41A2" w:rsidRPr="00CA47B9">
        <w:t xml:space="preserve"> </w:t>
      </w:r>
      <w:r w:rsidRPr="00CA47B9">
        <w:t>in</w:t>
      </w:r>
      <w:r w:rsidR="004B41A2" w:rsidRPr="00CA47B9">
        <w:t xml:space="preserve"> </w:t>
      </w:r>
      <w:r w:rsidRPr="00CA47B9">
        <w:t>manufacturing</w:t>
      </w:r>
      <w:r w:rsidR="00CA50A5" w:rsidRPr="00CA47B9">
        <w:t>.</w:t>
      </w:r>
      <w:r w:rsidR="004B41A2" w:rsidRPr="00CA47B9">
        <w:t xml:space="preserve"> </w:t>
      </w:r>
      <w:r w:rsidR="00CA50A5" w:rsidRPr="00CA47B9">
        <w:t>This</w:t>
      </w:r>
      <w:r w:rsidR="004B41A2" w:rsidRPr="00CA47B9">
        <w:t xml:space="preserve"> </w:t>
      </w:r>
      <w:r w:rsidR="00CA50A5" w:rsidRPr="00CA47B9">
        <w:t>is</w:t>
      </w:r>
      <w:r w:rsidR="004B41A2" w:rsidRPr="00CA47B9">
        <w:t xml:space="preserve"> </w:t>
      </w:r>
      <w:r w:rsidR="00CA50A5" w:rsidRPr="00CA47B9">
        <w:t>predominantly</w:t>
      </w:r>
      <w:r w:rsidR="004B41A2" w:rsidRPr="00CA47B9">
        <w:t xml:space="preserve"> </w:t>
      </w:r>
      <w:r w:rsidR="002B7403" w:rsidRPr="00CA47B9">
        <w:t>linked</w:t>
      </w:r>
      <w:r w:rsidR="004B41A2" w:rsidRPr="00CA47B9">
        <w:t xml:space="preserve"> </w:t>
      </w:r>
      <w:r w:rsidR="002B7403" w:rsidRPr="00CA47B9">
        <w:t>to</w:t>
      </w:r>
      <w:r w:rsidR="004B41A2" w:rsidRPr="00CA47B9">
        <w:t xml:space="preserve"> </w:t>
      </w:r>
      <w:r w:rsidR="002B7403" w:rsidRPr="00CA47B9">
        <w:t>Rolls</w:t>
      </w:r>
      <w:r w:rsidR="004B41A2" w:rsidRPr="00CA47B9">
        <w:t xml:space="preserve"> </w:t>
      </w:r>
      <w:r w:rsidR="002B7403" w:rsidRPr="00CA47B9">
        <w:t>Royce</w:t>
      </w:r>
      <w:r w:rsidR="004B41A2" w:rsidRPr="00CA47B9">
        <w:t xml:space="preserve"> </w:t>
      </w:r>
      <w:r w:rsidR="00CA50A5" w:rsidRPr="00CA47B9">
        <w:t>Motor</w:t>
      </w:r>
      <w:r w:rsidR="00AE0222" w:rsidRPr="00CA47B9">
        <w:t>s</w:t>
      </w:r>
      <w:r w:rsidR="004B41A2" w:rsidRPr="00CA47B9">
        <w:t xml:space="preserve"> </w:t>
      </w:r>
      <w:r w:rsidR="00CA50A5" w:rsidRPr="00CA47B9">
        <w:t>Goodwood</w:t>
      </w:r>
      <w:r w:rsidR="004B41A2" w:rsidRPr="00CA47B9">
        <w:t xml:space="preserve"> </w:t>
      </w:r>
      <w:r w:rsidR="00CA50A5" w:rsidRPr="00CA47B9">
        <w:t>site</w:t>
      </w:r>
      <w:r w:rsidR="004B41A2" w:rsidRPr="00CA47B9">
        <w:t xml:space="preserve"> </w:t>
      </w:r>
      <w:r w:rsidR="00CA50A5" w:rsidRPr="00CA47B9">
        <w:t>in</w:t>
      </w:r>
      <w:r w:rsidR="004B41A2" w:rsidRPr="00CA47B9">
        <w:t xml:space="preserve"> </w:t>
      </w:r>
      <w:r w:rsidR="00CA50A5" w:rsidRPr="00CA47B9">
        <w:t>Chichester</w:t>
      </w:r>
      <w:r w:rsidR="004B41A2" w:rsidRPr="00CA47B9">
        <w:t xml:space="preserve"> </w:t>
      </w:r>
      <w:r w:rsidR="00AE0222" w:rsidRPr="00CA47B9">
        <w:t>District</w:t>
      </w:r>
      <w:r w:rsidR="00CA50A5" w:rsidRPr="00CA47B9">
        <w:t>.</w:t>
      </w:r>
      <w:r w:rsidR="004B41A2" w:rsidRPr="00CA47B9">
        <w:t xml:space="preserve"> </w:t>
      </w:r>
      <w:r w:rsidR="00CA50A5" w:rsidRPr="00CA47B9">
        <w:t>In</w:t>
      </w:r>
      <w:r w:rsidR="004B41A2" w:rsidRPr="00CA47B9">
        <w:t xml:space="preserve"> </w:t>
      </w:r>
      <w:r w:rsidR="00CA50A5" w:rsidRPr="00CA47B9">
        <w:t>addition,</w:t>
      </w:r>
      <w:r w:rsidR="004B41A2" w:rsidRPr="00CA47B9">
        <w:t xml:space="preserve"> </w:t>
      </w:r>
      <w:r w:rsidR="00CA50A5" w:rsidRPr="00CA47B9">
        <w:t>A</w:t>
      </w:r>
      <w:r w:rsidR="002B7403" w:rsidRPr="00CA47B9">
        <w:t>ccommodation</w:t>
      </w:r>
      <w:r w:rsidR="004B41A2" w:rsidRPr="00CA47B9">
        <w:t xml:space="preserve"> </w:t>
      </w:r>
      <w:r w:rsidRPr="00CA47B9">
        <w:t>and</w:t>
      </w:r>
      <w:r w:rsidR="004B41A2" w:rsidRPr="00CA47B9">
        <w:t xml:space="preserve"> </w:t>
      </w:r>
      <w:r w:rsidRPr="00CA47B9">
        <w:t>food</w:t>
      </w:r>
      <w:r w:rsidR="004B41A2" w:rsidRPr="00CA47B9">
        <w:t xml:space="preserve"> </w:t>
      </w:r>
      <w:r w:rsidRPr="00CA47B9">
        <w:t>services</w:t>
      </w:r>
      <w:r w:rsidR="004B41A2" w:rsidRPr="00CA47B9">
        <w:t xml:space="preserve"> </w:t>
      </w:r>
      <w:r w:rsidR="002B7403" w:rsidRPr="00CA47B9">
        <w:t>and</w:t>
      </w:r>
      <w:r w:rsidR="004B41A2" w:rsidRPr="00CA47B9">
        <w:t xml:space="preserve"> </w:t>
      </w:r>
      <w:r w:rsidR="002B7403" w:rsidRPr="00CA47B9">
        <w:t>the</w:t>
      </w:r>
      <w:r w:rsidR="004B41A2" w:rsidRPr="00CA47B9">
        <w:t xml:space="preserve"> </w:t>
      </w:r>
      <w:r w:rsidR="00726101" w:rsidRPr="00CA47B9">
        <w:t>creative</w:t>
      </w:r>
      <w:r w:rsidR="004B41A2" w:rsidRPr="00CA47B9">
        <w:t xml:space="preserve"> </w:t>
      </w:r>
      <w:r w:rsidR="002B7403" w:rsidRPr="00CA47B9">
        <w:t>and</w:t>
      </w:r>
      <w:r w:rsidR="004B41A2" w:rsidRPr="00CA47B9">
        <w:t xml:space="preserve"> </w:t>
      </w:r>
      <w:r w:rsidR="002B7403" w:rsidRPr="00CA47B9">
        <w:t>recreation</w:t>
      </w:r>
      <w:r w:rsidR="004B41A2" w:rsidRPr="00CA47B9">
        <w:t xml:space="preserve"> </w:t>
      </w:r>
      <w:r w:rsidR="002B7403" w:rsidRPr="00CA47B9">
        <w:t>sectors</w:t>
      </w:r>
      <w:r w:rsidR="004B41A2" w:rsidRPr="00CA47B9">
        <w:t xml:space="preserve"> </w:t>
      </w:r>
      <w:r w:rsidR="002B7403" w:rsidRPr="00CA47B9">
        <w:t>(both</w:t>
      </w:r>
      <w:r w:rsidR="004B41A2" w:rsidRPr="00CA47B9">
        <w:t xml:space="preserve"> </w:t>
      </w:r>
      <w:r w:rsidR="002B7403" w:rsidRPr="00CA47B9">
        <w:t>linked</w:t>
      </w:r>
      <w:r w:rsidR="004B41A2" w:rsidRPr="00CA47B9">
        <w:t xml:space="preserve"> </w:t>
      </w:r>
      <w:r w:rsidR="002B7403" w:rsidRPr="00CA47B9">
        <w:t>to</w:t>
      </w:r>
      <w:r w:rsidR="004B41A2" w:rsidRPr="00CA47B9">
        <w:t xml:space="preserve"> </w:t>
      </w:r>
      <w:r w:rsidR="002B7403" w:rsidRPr="00CA47B9">
        <w:t>tourism)</w:t>
      </w:r>
      <w:r w:rsidRPr="00CA47B9">
        <w:t>,</w:t>
      </w:r>
      <w:r w:rsidR="004B41A2" w:rsidRPr="00CA47B9">
        <w:t xml:space="preserve"> </w:t>
      </w:r>
      <w:r w:rsidR="0089491A" w:rsidRPr="00CA47B9">
        <w:t>real</w:t>
      </w:r>
      <w:r w:rsidR="004B41A2" w:rsidRPr="00CA47B9">
        <w:t xml:space="preserve"> </w:t>
      </w:r>
      <w:r w:rsidR="0089491A" w:rsidRPr="00CA47B9">
        <w:t>estate</w:t>
      </w:r>
      <w:r w:rsidR="004B41A2" w:rsidRPr="00CA47B9">
        <w:t xml:space="preserve"> </w:t>
      </w:r>
      <w:r w:rsidR="0089491A" w:rsidRPr="00CA47B9">
        <w:t>and</w:t>
      </w:r>
      <w:r w:rsidR="004B41A2" w:rsidRPr="00CA47B9">
        <w:t xml:space="preserve"> </w:t>
      </w:r>
      <w:r w:rsidR="002B7403" w:rsidRPr="00CA47B9">
        <w:t>business</w:t>
      </w:r>
      <w:r w:rsidR="004B41A2" w:rsidRPr="00CA47B9">
        <w:t xml:space="preserve"> </w:t>
      </w:r>
      <w:r w:rsidRPr="00CA47B9">
        <w:t>support</w:t>
      </w:r>
      <w:r w:rsidR="004B41A2" w:rsidRPr="00CA47B9">
        <w:t xml:space="preserve"> </w:t>
      </w:r>
      <w:r w:rsidRPr="00CA47B9">
        <w:t>services,</w:t>
      </w:r>
      <w:r w:rsidR="004B41A2" w:rsidRPr="00CA47B9">
        <w:t xml:space="preserve"> </w:t>
      </w:r>
      <w:r w:rsidR="00726101" w:rsidRPr="00CA47B9">
        <w:t>public</w:t>
      </w:r>
      <w:r w:rsidR="004B41A2" w:rsidRPr="00CA47B9">
        <w:t xml:space="preserve"> </w:t>
      </w:r>
      <w:r w:rsidRPr="00CA47B9">
        <w:t>administration</w:t>
      </w:r>
      <w:r w:rsidR="004B41A2" w:rsidRPr="00CA47B9">
        <w:t xml:space="preserve"> </w:t>
      </w:r>
      <w:r w:rsidRPr="00CA47B9">
        <w:t>and</w:t>
      </w:r>
      <w:r w:rsidR="004B41A2" w:rsidRPr="00CA47B9">
        <w:t xml:space="preserve"> </w:t>
      </w:r>
      <w:r w:rsidRPr="00CA47B9">
        <w:t>defence</w:t>
      </w:r>
      <w:r w:rsidR="004B41A2" w:rsidRPr="00CA47B9">
        <w:t xml:space="preserve"> </w:t>
      </w:r>
      <w:r w:rsidR="002B7403" w:rsidRPr="00CA47B9">
        <w:t>and</w:t>
      </w:r>
      <w:r w:rsidR="004B41A2" w:rsidRPr="00CA47B9">
        <w:t xml:space="preserve"> </w:t>
      </w:r>
      <w:r w:rsidR="00726101" w:rsidRPr="00CA47B9">
        <w:t>healthcare</w:t>
      </w:r>
      <w:r w:rsidR="004B41A2" w:rsidRPr="00CA47B9">
        <w:t xml:space="preserve"> </w:t>
      </w:r>
      <w:r w:rsidR="002B7403" w:rsidRPr="00CA47B9">
        <w:t>(linked</w:t>
      </w:r>
      <w:r w:rsidR="004B41A2" w:rsidRPr="00CA47B9">
        <w:t xml:space="preserve"> </w:t>
      </w:r>
      <w:r w:rsidR="002B7403" w:rsidRPr="00CA47B9">
        <w:t>to</w:t>
      </w:r>
      <w:r w:rsidR="004B41A2" w:rsidRPr="00CA47B9">
        <w:t xml:space="preserve"> </w:t>
      </w:r>
      <w:r w:rsidR="002B7403" w:rsidRPr="00CA47B9">
        <w:t>the</w:t>
      </w:r>
      <w:r w:rsidR="004B41A2" w:rsidRPr="00CA47B9">
        <w:t xml:space="preserve"> </w:t>
      </w:r>
      <w:r w:rsidR="002B7403" w:rsidRPr="00CA47B9">
        <w:t>ag</w:t>
      </w:r>
      <w:r w:rsidR="00C6093F">
        <w:t>e</w:t>
      </w:r>
      <w:r w:rsidR="002B7403" w:rsidRPr="00CA47B9">
        <w:t>ing</w:t>
      </w:r>
      <w:r w:rsidR="004B41A2" w:rsidRPr="00CA47B9">
        <w:t xml:space="preserve"> </w:t>
      </w:r>
      <w:r w:rsidR="002B7403" w:rsidRPr="00CA47B9">
        <w:t>population)</w:t>
      </w:r>
      <w:r w:rsidR="004B41A2" w:rsidRPr="00CA47B9">
        <w:t xml:space="preserve"> </w:t>
      </w:r>
      <w:r w:rsidR="00674D9B" w:rsidRPr="00CA47B9">
        <w:t>are</w:t>
      </w:r>
      <w:r w:rsidR="004B41A2" w:rsidRPr="00CA47B9">
        <w:t xml:space="preserve"> </w:t>
      </w:r>
      <w:r w:rsidR="00674D9B" w:rsidRPr="00CA47B9">
        <w:t>also</w:t>
      </w:r>
      <w:r w:rsidR="004B41A2" w:rsidRPr="00CA47B9">
        <w:t xml:space="preserve"> </w:t>
      </w:r>
      <w:r w:rsidR="00674D9B" w:rsidRPr="00CA47B9">
        <w:t>significant</w:t>
      </w:r>
      <w:r w:rsidR="004B41A2" w:rsidRPr="00CA47B9">
        <w:t xml:space="preserve"> </w:t>
      </w:r>
      <w:r w:rsidR="00674D9B" w:rsidRPr="00CA47B9">
        <w:t>contributors</w:t>
      </w:r>
      <w:r w:rsidR="004B41A2" w:rsidRPr="00CA47B9">
        <w:t xml:space="preserve"> </w:t>
      </w:r>
      <w:r w:rsidR="00674D9B" w:rsidRPr="00CA47B9">
        <w:t>to</w:t>
      </w:r>
      <w:r w:rsidR="004B41A2" w:rsidRPr="00CA47B9">
        <w:t xml:space="preserve"> </w:t>
      </w:r>
      <w:r w:rsidR="00726101" w:rsidRPr="00CA47B9">
        <w:t>the</w:t>
      </w:r>
      <w:r w:rsidR="004B41A2" w:rsidRPr="00CA47B9">
        <w:t xml:space="preserve"> </w:t>
      </w:r>
      <w:r w:rsidR="00726101" w:rsidRPr="00CA47B9">
        <w:t>District’s</w:t>
      </w:r>
      <w:r w:rsidR="004B41A2" w:rsidRPr="00CA47B9">
        <w:t xml:space="preserve"> </w:t>
      </w:r>
      <w:r w:rsidR="00726101" w:rsidRPr="00CA47B9">
        <w:t>economy</w:t>
      </w:r>
      <w:r w:rsidR="002B7403" w:rsidRPr="00CA47B9">
        <w:t>.</w:t>
      </w:r>
    </w:p>
    <w:p w:rsidR="001E5136" w:rsidRPr="00CA47B9" w:rsidRDefault="0053298C" w:rsidP="000C05B0">
      <w:pPr>
        <w:pStyle w:val="11Bodytext"/>
        <w:tabs>
          <w:tab w:val="clear" w:pos="2212"/>
          <w:tab w:val="num" w:pos="567"/>
        </w:tabs>
        <w:ind w:left="567" w:hanging="567"/>
      </w:pPr>
      <w:r w:rsidRPr="00CA47B9">
        <w:t>The</w:t>
      </w:r>
      <w:r w:rsidR="004B41A2" w:rsidRPr="00CA47B9">
        <w:t xml:space="preserve"> </w:t>
      </w:r>
      <w:r w:rsidRPr="00CA47B9">
        <w:t>way</w:t>
      </w:r>
      <w:r w:rsidR="004B41A2" w:rsidRPr="00CA47B9">
        <w:t xml:space="preserve"> </w:t>
      </w:r>
      <w:r w:rsidRPr="00CA47B9">
        <w:t>that</w:t>
      </w:r>
      <w:r w:rsidR="004B41A2" w:rsidRPr="00CA47B9">
        <w:t xml:space="preserve"> </w:t>
      </w:r>
      <w:r w:rsidRPr="00CA47B9">
        <w:t>OE</w:t>
      </w:r>
      <w:r w:rsidR="004B41A2" w:rsidRPr="00CA47B9">
        <w:t xml:space="preserve"> </w:t>
      </w:r>
      <w:r w:rsidRPr="00CA47B9">
        <w:t>constructs</w:t>
      </w:r>
      <w:r w:rsidR="004B41A2" w:rsidRPr="00CA47B9">
        <w:t xml:space="preserve"> </w:t>
      </w:r>
      <w:r w:rsidRPr="00CA47B9">
        <w:t>their</w:t>
      </w:r>
      <w:r w:rsidR="004B41A2" w:rsidRPr="00CA47B9">
        <w:t xml:space="preserve"> </w:t>
      </w:r>
      <w:r w:rsidRPr="00CA47B9">
        <w:t>models</w:t>
      </w:r>
      <w:r w:rsidR="004B41A2" w:rsidRPr="00CA47B9">
        <w:t xml:space="preserve"> </w:t>
      </w:r>
      <w:r w:rsidRPr="00CA47B9">
        <w:t>means</w:t>
      </w:r>
      <w:r w:rsidR="004B41A2" w:rsidRPr="00CA47B9">
        <w:t xml:space="preserve"> </w:t>
      </w:r>
      <w:r w:rsidRPr="00CA47B9">
        <w:t>that</w:t>
      </w:r>
      <w:r w:rsidR="004B41A2" w:rsidRPr="00CA47B9">
        <w:t xml:space="preserve"> </w:t>
      </w:r>
      <w:r w:rsidRPr="00CA47B9">
        <w:t>the</w:t>
      </w:r>
      <w:r w:rsidR="004B41A2" w:rsidRPr="00CA47B9">
        <w:t xml:space="preserve"> </w:t>
      </w:r>
      <w:r w:rsidRPr="00CA47B9">
        <w:t>baseline</w:t>
      </w:r>
      <w:r w:rsidR="004B41A2" w:rsidRPr="00CA47B9">
        <w:t xml:space="preserve"> </w:t>
      </w:r>
      <w:r w:rsidRPr="00CA47B9">
        <w:t>forecast</w:t>
      </w:r>
      <w:r w:rsidR="004B41A2" w:rsidRPr="00CA47B9">
        <w:t xml:space="preserve"> </w:t>
      </w:r>
      <w:r w:rsidRPr="00CA47B9">
        <w:t>for</w:t>
      </w:r>
      <w:r w:rsidR="004B41A2" w:rsidRPr="00CA47B9">
        <w:t xml:space="preserve"> </w:t>
      </w:r>
      <w:r w:rsidRPr="00CA47B9">
        <w:t>some</w:t>
      </w:r>
      <w:r w:rsidR="004B41A2" w:rsidRPr="00CA47B9">
        <w:t xml:space="preserve"> </w:t>
      </w:r>
      <w:r w:rsidRPr="00CA47B9">
        <w:t>sectors</w:t>
      </w:r>
      <w:r w:rsidR="004B41A2" w:rsidRPr="00CA47B9">
        <w:t xml:space="preserve"> </w:t>
      </w:r>
      <w:r w:rsidRPr="00CA47B9">
        <w:t>in</w:t>
      </w:r>
      <w:r w:rsidR="004B41A2" w:rsidRPr="00CA47B9">
        <w:t xml:space="preserve"> </w:t>
      </w:r>
      <w:r w:rsidRPr="00CA47B9">
        <w:t>Chichester</w:t>
      </w:r>
      <w:r w:rsidR="004B41A2" w:rsidRPr="00CA47B9">
        <w:t xml:space="preserve"> </w:t>
      </w:r>
      <w:r w:rsidRPr="00CA47B9">
        <w:t>may</w:t>
      </w:r>
      <w:r w:rsidR="004B41A2" w:rsidRPr="00CA47B9">
        <w:t xml:space="preserve"> </w:t>
      </w:r>
      <w:r w:rsidRPr="00CA47B9">
        <w:t>more</w:t>
      </w:r>
      <w:r w:rsidR="004B41A2" w:rsidRPr="00CA47B9">
        <w:t xml:space="preserve"> </w:t>
      </w:r>
      <w:r w:rsidRPr="00CA47B9">
        <w:t>closely</w:t>
      </w:r>
      <w:r w:rsidR="004B41A2" w:rsidRPr="00CA47B9">
        <w:t xml:space="preserve"> </w:t>
      </w:r>
      <w:r w:rsidRPr="00CA47B9">
        <w:t>resemble</w:t>
      </w:r>
      <w:r w:rsidR="004B41A2" w:rsidRPr="00CA47B9">
        <w:t xml:space="preserve"> </w:t>
      </w:r>
      <w:r w:rsidRPr="00CA47B9">
        <w:t>the</w:t>
      </w:r>
      <w:r w:rsidR="004B41A2" w:rsidRPr="00CA47B9">
        <w:t xml:space="preserve"> </w:t>
      </w:r>
      <w:r w:rsidRPr="00CA47B9">
        <w:t>regional</w:t>
      </w:r>
      <w:r w:rsidR="004B41A2" w:rsidRPr="00CA47B9">
        <w:t xml:space="preserve"> </w:t>
      </w:r>
      <w:r w:rsidRPr="00CA47B9">
        <w:t>trends</w:t>
      </w:r>
      <w:r w:rsidR="004B41A2" w:rsidRPr="00CA47B9">
        <w:t xml:space="preserve"> </w:t>
      </w:r>
      <w:r w:rsidRPr="00CA47B9">
        <w:t>which,</w:t>
      </w:r>
      <w:r w:rsidR="004B41A2" w:rsidRPr="00CA47B9">
        <w:t xml:space="preserve"> </w:t>
      </w:r>
      <w:r w:rsidRPr="00CA47B9">
        <w:t>as</w:t>
      </w:r>
      <w:r w:rsidR="004B41A2" w:rsidRPr="00CA47B9">
        <w:t xml:space="preserve"> </w:t>
      </w:r>
      <w:r w:rsidRPr="00CA47B9">
        <w:t>described</w:t>
      </w:r>
      <w:r w:rsidR="004B41A2" w:rsidRPr="00CA47B9">
        <w:t xml:space="preserve"> </w:t>
      </w:r>
      <w:r w:rsidRPr="00CA47B9">
        <w:t>above,</w:t>
      </w:r>
      <w:r w:rsidR="004B41A2" w:rsidRPr="00CA47B9">
        <w:t xml:space="preserve"> </w:t>
      </w:r>
      <w:r w:rsidRPr="00CA47B9">
        <w:t>OE</w:t>
      </w:r>
      <w:r w:rsidR="004B41A2" w:rsidRPr="00CA47B9">
        <w:t xml:space="preserve"> </w:t>
      </w:r>
      <w:r w:rsidRPr="00CA47B9">
        <w:t>considers</w:t>
      </w:r>
      <w:r w:rsidR="004B41A2" w:rsidRPr="00CA47B9">
        <w:t xml:space="preserve"> </w:t>
      </w:r>
      <w:r w:rsidRPr="00CA47B9">
        <w:t>will</w:t>
      </w:r>
      <w:r w:rsidR="004B41A2" w:rsidRPr="00CA47B9">
        <w:t xml:space="preserve"> </w:t>
      </w:r>
      <w:r w:rsidRPr="00CA47B9">
        <w:t>be</w:t>
      </w:r>
      <w:r w:rsidR="004B41A2" w:rsidRPr="00CA47B9">
        <w:t xml:space="preserve"> </w:t>
      </w:r>
      <w:r w:rsidRPr="00CA47B9">
        <w:t>less</w:t>
      </w:r>
      <w:r w:rsidR="004B41A2" w:rsidRPr="00CA47B9">
        <w:t xml:space="preserve"> </w:t>
      </w:r>
      <w:r w:rsidRPr="00CA47B9">
        <w:t>positive</w:t>
      </w:r>
      <w:r w:rsidR="004B41A2" w:rsidRPr="00CA47B9">
        <w:t xml:space="preserve"> </w:t>
      </w:r>
      <w:r w:rsidRPr="00CA47B9">
        <w:t>than</w:t>
      </w:r>
      <w:r w:rsidR="004B41A2" w:rsidRPr="00CA47B9">
        <w:t xml:space="preserve"> </w:t>
      </w:r>
      <w:r w:rsidRPr="00CA47B9">
        <w:t>the</w:t>
      </w:r>
      <w:r w:rsidR="004B41A2" w:rsidRPr="00CA47B9">
        <w:t xml:space="preserve"> </w:t>
      </w:r>
      <w:r w:rsidRPr="00CA47B9">
        <w:t>historic</w:t>
      </w:r>
      <w:r w:rsidR="004B41A2" w:rsidRPr="00CA47B9">
        <w:t xml:space="preserve"> </w:t>
      </w:r>
      <w:r w:rsidRPr="00CA47B9">
        <w:t>trends</w:t>
      </w:r>
      <w:r w:rsidR="004B41A2" w:rsidRPr="00CA47B9">
        <w:t xml:space="preserve"> </w:t>
      </w:r>
      <w:r w:rsidRPr="00CA47B9">
        <w:t>at</w:t>
      </w:r>
      <w:r w:rsidR="004B41A2" w:rsidRPr="00CA47B9">
        <w:t xml:space="preserve"> </w:t>
      </w:r>
      <w:r w:rsidRPr="00CA47B9">
        <w:t>a</w:t>
      </w:r>
      <w:r w:rsidR="004B41A2" w:rsidRPr="00CA47B9">
        <w:t xml:space="preserve"> </w:t>
      </w:r>
      <w:r w:rsidRPr="00CA47B9">
        <w:t>regional</w:t>
      </w:r>
      <w:r w:rsidR="004B41A2" w:rsidRPr="00CA47B9">
        <w:t xml:space="preserve"> </w:t>
      </w:r>
      <w:r w:rsidRPr="00CA47B9">
        <w:t>level.</w:t>
      </w:r>
      <w:r w:rsidR="004B41A2" w:rsidRPr="00CA47B9">
        <w:t xml:space="preserve"> </w:t>
      </w:r>
      <w:r w:rsidR="00CA47B9" w:rsidRPr="00CA47B9">
        <w:t>Furthermore,</w:t>
      </w:r>
      <w:r w:rsidR="004B41A2" w:rsidRPr="00CA47B9">
        <w:t xml:space="preserve"> </w:t>
      </w:r>
      <w:r w:rsidRPr="00CA47B9">
        <w:t>when</w:t>
      </w:r>
      <w:r w:rsidR="004B41A2" w:rsidRPr="00CA47B9">
        <w:t xml:space="preserve"> </w:t>
      </w:r>
      <w:r w:rsidRPr="00CA47B9">
        <w:t>the</w:t>
      </w:r>
      <w:r w:rsidR="004B41A2" w:rsidRPr="00CA47B9">
        <w:t xml:space="preserve"> </w:t>
      </w:r>
      <w:r w:rsidRPr="00CA47B9">
        <w:t>regional</w:t>
      </w:r>
      <w:r w:rsidR="004B41A2" w:rsidRPr="00CA47B9">
        <w:t xml:space="preserve"> </w:t>
      </w:r>
      <w:r w:rsidRPr="00CA47B9">
        <w:t>trends</w:t>
      </w:r>
      <w:r w:rsidR="004B41A2" w:rsidRPr="00CA47B9">
        <w:t xml:space="preserve"> </w:t>
      </w:r>
      <w:r w:rsidRPr="00CA47B9">
        <w:t>for</w:t>
      </w:r>
      <w:r w:rsidR="004B41A2" w:rsidRPr="00CA47B9">
        <w:t xml:space="preserve"> </w:t>
      </w:r>
      <w:r w:rsidRPr="00CA47B9">
        <w:t>these</w:t>
      </w:r>
      <w:r w:rsidR="004B41A2" w:rsidRPr="00CA47B9">
        <w:t xml:space="preserve"> </w:t>
      </w:r>
      <w:r w:rsidRPr="00CA47B9">
        <w:t>sectors</w:t>
      </w:r>
      <w:r w:rsidR="004B41A2" w:rsidRPr="00CA47B9">
        <w:t xml:space="preserve"> </w:t>
      </w:r>
      <w:r w:rsidRPr="00CA47B9">
        <w:t>are</w:t>
      </w:r>
      <w:r w:rsidR="004B41A2" w:rsidRPr="00CA47B9">
        <w:t xml:space="preserve"> </w:t>
      </w:r>
      <w:r w:rsidRPr="00CA47B9">
        <w:t>disaggregated</w:t>
      </w:r>
      <w:r w:rsidR="004B41A2" w:rsidRPr="00CA47B9">
        <w:t xml:space="preserve"> </w:t>
      </w:r>
      <w:r w:rsidRPr="00CA47B9">
        <w:t>to</w:t>
      </w:r>
      <w:r w:rsidR="004B41A2" w:rsidRPr="00CA47B9">
        <w:t xml:space="preserve"> </w:t>
      </w:r>
      <w:r w:rsidRPr="00CA47B9">
        <w:t>a</w:t>
      </w:r>
      <w:r w:rsidR="004B41A2" w:rsidRPr="00CA47B9">
        <w:t xml:space="preserve"> </w:t>
      </w:r>
      <w:r w:rsidRPr="00CA47B9">
        <w:t>local</w:t>
      </w:r>
      <w:r w:rsidR="004B41A2" w:rsidRPr="00CA47B9">
        <w:t xml:space="preserve"> </w:t>
      </w:r>
      <w:r w:rsidRPr="00CA47B9">
        <w:t>authority</w:t>
      </w:r>
      <w:r w:rsidR="004B41A2" w:rsidRPr="00CA47B9">
        <w:t xml:space="preserve"> </w:t>
      </w:r>
      <w:r w:rsidRPr="00CA47B9">
        <w:t>level</w:t>
      </w:r>
      <w:r w:rsidR="004B41A2" w:rsidRPr="00CA47B9">
        <w:t xml:space="preserve"> </w:t>
      </w:r>
      <w:r w:rsidRPr="00CA47B9">
        <w:t>it</w:t>
      </w:r>
      <w:r w:rsidR="004B41A2" w:rsidRPr="00CA47B9">
        <w:t xml:space="preserve"> </w:t>
      </w:r>
      <w:r w:rsidRPr="00CA47B9">
        <w:t>may</w:t>
      </w:r>
      <w:r w:rsidR="004B41A2" w:rsidRPr="00CA47B9">
        <w:t xml:space="preserve"> </w:t>
      </w:r>
      <w:r w:rsidRPr="00CA47B9">
        <w:t>result</w:t>
      </w:r>
      <w:r w:rsidR="004B41A2" w:rsidRPr="00CA47B9">
        <w:t xml:space="preserve"> </w:t>
      </w:r>
      <w:r w:rsidRPr="00CA47B9">
        <w:t>in</w:t>
      </w:r>
      <w:r w:rsidR="004B41A2" w:rsidRPr="00CA47B9">
        <w:t xml:space="preserve"> </w:t>
      </w:r>
      <w:r w:rsidRPr="00CA47B9">
        <w:t>a</w:t>
      </w:r>
      <w:r w:rsidR="004B41A2" w:rsidRPr="00CA47B9">
        <w:t xml:space="preserve"> </w:t>
      </w:r>
      <w:r w:rsidRPr="00CA47B9">
        <w:t>modest</w:t>
      </w:r>
      <w:r w:rsidR="004B41A2" w:rsidRPr="00CA47B9">
        <w:t xml:space="preserve"> </w:t>
      </w:r>
      <w:r w:rsidRPr="00CA47B9">
        <w:t>growth</w:t>
      </w:r>
      <w:r w:rsidR="004B41A2" w:rsidRPr="00CA47B9">
        <w:t xml:space="preserve"> </w:t>
      </w:r>
      <w:r w:rsidRPr="00CA47B9">
        <w:t>(or</w:t>
      </w:r>
      <w:r w:rsidR="004B41A2" w:rsidRPr="00CA47B9">
        <w:t xml:space="preserve"> </w:t>
      </w:r>
      <w:r w:rsidRPr="00CA47B9">
        <w:t>contraction)</w:t>
      </w:r>
      <w:r w:rsidR="004B41A2" w:rsidRPr="00CA47B9">
        <w:t xml:space="preserve"> </w:t>
      </w:r>
      <w:r w:rsidRPr="00CA47B9">
        <w:t>in</w:t>
      </w:r>
      <w:r w:rsidR="004B41A2" w:rsidRPr="00CA47B9">
        <w:t xml:space="preserve"> </w:t>
      </w:r>
      <w:r w:rsidRPr="00CA47B9">
        <w:t>Chichester</w:t>
      </w:r>
      <w:r w:rsidR="004B41A2" w:rsidRPr="00CA47B9">
        <w:t xml:space="preserve"> </w:t>
      </w:r>
      <w:r w:rsidRPr="00CA47B9">
        <w:t>which</w:t>
      </w:r>
      <w:r w:rsidR="004B41A2" w:rsidRPr="00CA47B9">
        <w:t xml:space="preserve"> </w:t>
      </w:r>
      <w:r w:rsidRPr="00CA47B9">
        <w:t>does</w:t>
      </w:r>
      <w:r w:rsidR="004B41A2" w:rsidRPr="00CA47B9">
        <w:t xml:space="preserve"> </w:t>
      </w:r>
      <w:r w:rsidRPr="00CA47B9">
        <w:t>not</w:t>
      </w:r>
      <w:r w:rsidR="004B41A2" w:rsidRPr="00CA47B9">
        <w:t xml:space="preserve"> </w:t>
      </w:r>
      <w:r w:rsidRPr="00CA47B9">
        <w:t>necessarily</w:t>
      </w:r>
      <w:r w:rsidR="004B41A2" w:rsidRPr="00CA47B9">
        <w:t xml:space="preserve"> </w:t>
      </w:r>
      <w:r w:rsidRPr="00CA47B9">
        <w:t>reflect</w:t>
      </w:r>
      <w:r w:rsidR="004B41A2" w:rsidRPr="00CA47B9">
        <w:t xml:space="preserve"> </w:t>
      </w:r>
      <w:r w:rsidRPr="00CA47B9">
        <w:t>either</w:t>
      </w:r>
      <w:r w:rsidR="004B41A2" w:rsidRPr="00CA47B9">
        <w:t xml:space="preserve"> </w:t>
      </w:r>
      <w:r w:rsidRPr="00CA47B9">
        <w:t>past</w:t>
      </w:r>
      <w:r w:rsidR="004B41A2" w:rsidRPr="00CA47B9">
        <w:t xml:space="preserve"> </w:t>
      </w:r>
      <w:r w:rsidRPr="00CA47B9">
        <w:t>trends,</w:t>
      </w:r>
      <w:r w:rsidR="004B41A2" w:rsidRPr="00CA47B9">
        <w:t xml:space="preserve"> </w:t>
      </w:r>
      <w:r w:rsidRPr="00CA47B9">
        <w:t>current</w:t>
      </w:r>
      <w:r w:rsidR="004B41A2" w:rsidRPr="00CA47B9">
        <w:t xml:space="preserve"> </w:t>
      </w:r>
      <w:r w:rsidRPr="00CA47B9">
        <w:t>market</w:t>
      </w:r>
      <w:r w:rsidR="004B41A2" w:rsidRPr="00CA47B9">
        <w:t xml:space="preserve"> </w:t>
      </w:r>
      <w:r w:rsidRPr="00CA47B9">
        <w:t>dynamics,</w:t>
      </w:r>
      <w:r w:rsidR="004B41A2" w:rsidRPr="00CA47B9">
        <w:t xml:space="preserve"> </w:t>
      </w:r>
      <w:r w:rsidRPr="00CA47B9">
        <w:t>or</w:t>
      </w:r>
      <w:r w:rsidR="004B41A2" w:rsidRPr="00CA47B9">
        <w:t xml:space="preserve"> </w:t>
      </w:r>
      <w:r w:rsidRPr="00CA47B9">
        <w:t>future</w:t>
      </w:r>
      <w:r w:rsidR="004B41A2" w:rsidRPr="00CA47B9">
        <w:t xml:space="preserve"> </w:t>
      </w:r>
      <w:r w:rsidRPr="00CA47B9">
        <w:t>growth</w:t>
      </w:r>
      <w:r w:rsidR="004B41A2" w:rsidRPr="00CA47B9">
        <w:t xml:space="preserve"> </w:t>
      </w:r>
      <w:r w:rsidRPr="00CA47B9">
        <w:t>opportunities.</w:t>
      </w:r>
    </w:p>
    <w:p w:rsidR="002F4329" w:rsidRDefault="00441BF8" w:rsidP="000C05B0">
      <w:pPr>
        <w:pStyle w:val="11Bodytext"/>
        <w:tabs>
          <w:tab w:val="clear" w:pos="2212"/>
          <w:tab w:val="num" w:pos="567"/>
        </w:tabs>
        <w:ind w:left="567" w:hanging="567"/>
      </w:pPr>
      <w:r w:rsidRPr="00CA47B9">
        <w:t>In 201</w:t>
      </w:r>
      <w:r w:rsidR="00D02E31">
        <w:t>8</w:t>
      </w:r>
      <w:r w:rsidRPr="00CA47B9">
        <w:t xml:space="preserve"> for the HEDNA GL Hearn undertook detailed consultation with a range of partners to determine g</w:t>
      </w:r>
      <w:r w:rsidR="00B0298E" w:rsidRPr="00CA47B9">
        <w:t>rowth</w:t>
      </w:r>
      <w:r w:rsidR="004B41A2" w:rsidRPr="00CA47B9">
        <w:t xml:space="preserve"> </w:t>
      </w:r>
      <w:r w:rsidR="00B0298E" w:rsidRPr="00CA47B9">
        <w:t>plans</w:t>
      </w:r>
      <w:r w:rsidR="004B41A2" w:rsidRPr="00CA47B9">
        <w:t xml:space="preserve"> </w:t>
      </w:r>
      <w:r w:rsidRPr="00CA47B9">
        <w:t>and sector drivers. This included the</w:t>
      </w:r>
      <w:r w:rsidR="004B41A2" w:rsidRPr="00CA47B9">
        <w:t xml:space="preserve"> </w:t>
      </w:r>
      <w:r w:rsidR="00B0298E" w:rsidRPr="00CA47B9">
        <w:t>Local</w:t>
      </w:r>
      <w:r w:rsidR="004B41A2" w:rsidRPr="00CA47B9">
        <w:t xml:space="preserve"> </w:t>
      </w:r>
      <w:r w:rsidR="00B0298E" w:rsidRPr="00CA47B9">
        <w:t>Enterprise</w:t>
      </w:r>
      <w:r w:rsidR="004B41A2" w:rsidRPr="00CA47B9">
        <w:t xml:space="preserve"> </w:t>
      </w:r>
      <w:r w:rsidR="00B0298E" w:rsidRPr="00CA47B9">
        <w:t>Partnership</w:t>
      </w:r>
      <w:r w:rsidR="004B41A2" w:rsidRPr="00CA47B9">
        <w:t xml:space="preserve"> </w:t>
      </w:r>
      <w:r w:rsidR="00B0298E" w:rsidRPr="00CA47B9">
        <w:t>(LEPs),</w:t>
      </w:r>
      <w:r w:rsidR="004B41A2" w:rsidRPr="00CA47B9">
        <w:t xml:space="preserve"> </w:t>
      </w:r>
      <w:r w:rsidR="00B0298E" w:rsidRPr="00CA47B9">
        <w:t>the</w:t>
      </w:r>
      <w:r w:rsidR="004B41A2" w:rsidRPr="00CA47B9">
        <w:t xml:space="preserve"> </w:t>
      </w:r>
      <w:r w:rsidR="00B0298E" w:rsidRPr="00CA47B9">
        <w:t>Council,</w:t>
      </w:r>
      <w:r w:rsidR="004B41A2" w:rsidRPr="00CA47B9">
        <w:t xml:space="preserve"> </w:t>
      </w:r>
      <w:r w:rsidR="00B0298E" w:rsidRPr="00CA47B9">
        <w:t>and</w:t>
      </w:r>
      <w:r w:rsidR="004B41A2" w:rsidRPr="00CA47B9">
        <w:t xml:space="preserve"> </w:t>
      </w:r>
      <w:r w:rsidR="00855CA6">
        <w:t xml:space="preserve">the </w:t>
      </w:r>
      <w:r w:rsidR="00B0298E" w:rsidRPr="00CA47B9">
        <w:t>University</w:t>
      </w:r>
      <w:r w:rsidR="004B41A2" w:rsidRPr="00CA47B9">
        <w:t xml:space="preserve"> </w:t>
      </w:r>
      <w:r w:rsidR="00B0298E" w:rsidRPr="00CA47B9">
        <w:t>of</w:t>
      </w:r>
      <w:r w:rsidR="004B41A2" w:rsidRPr="00CA47B9">
        <w:t xml:space="preserve"> </w:t>
      </w:r>
      <w:r w:rsidR="00B0298E" w:rsidRPr="00CA47B9">
        <w:t>Chichester</w:t>
      </w:r>
      <w:r w:rsidR="004B41A2" w:rsidRPr="00CA47B9">
        <w:t xml:space="preserve"> </w:t>
      </w:r>
      <w:r w:rsidR="00B0298E" w:rsidRPr="00CA47B9">
        <w:t>as</w:t>
      </w:r>
      <w:r w:rsidR="004B41A2" w:rsidRPr="00CA47B9">
        <w:t xml:space="preserve"> </w:t>
      </w:r>
      <w:r w:rsidR="00B0298E" w:rsidRPr="00CA47B9">
        <w:t>well</w:t>
      </w:r>
      <w:r w:rsidR="004B41A2" w:rsidRPr="00CA47B9">
        <w:t xml:space="preserve"> </w:t>
      </w:r>
      <w:r w:rsidR="00B0298E" w:rsidRPr="00CA47B9">
        <w:t>as</w:t>
      </w:r>
      <w:r w:rsidR="004B41A2" w:rsidRPr="00CA47B9">
        <w:t xml:space="preserve"> </w:t>
      </w:r>
      <w:r w:rsidR="00B0298E" w:rsidRPr="00CA47B9">
        <w:t>consultation</w:t>
      </w:r>
      <w:r w:rsidR="004B41A2" w:rsidRPr="00CA47B9">
        <w:t xml:space="preserve"> </w:t>
      </w:r>
      <w:r w:rsidR="00B0298E" w:rsidRPr="00CA47B9">
        <w:t>wi</w:t>
      </w:r>
      <w:r w:rsidR="009E31E7" w:rsidRPr="00CA47B9">
        <w:t>th</w:t>
      </w:r>
      <w:r w:rsidR="004B41A2" w:rsidRPr="00CA47B9">
        <w:t xml:space="preserve"> </w:t>
      </w:r>
      <w:r w:rsidR="00B0298E" w:rsidRPr="00CA47B9">
        <w:t>local</w:t>
      </w:r>
      <w:r w:rsidR="004B41A2" w:rsidRPr="00CA47B9">
        <w:t xml:space="preserve"> </w:t>
      </w:r>
      <w:r w:rsidR="00B0298E" w:rsidRPr="00CA47B9">
        <w:t>commercial</w:t>
      </w:r>
      <w:r w:rsidR="004B41A2" w:rsidRPr="00CA47B9">
        <w:t xml:space="preserve"> </w:t>
      </w:r>
      <w:r w:rsidR="00B0298E" w:rsidRPr="00CA47B9">
        <w:t>agents</w:t>
      </w:r>
      <w:r w:rsidRPr="00CA47B9">
        <w:t>. In 2019 we have revisited these and supplemented with further consultation and analysis of the Inward Investment and Growth report 2019.</w:t>
      </w:r>
      <w:r w:rsidR="002F4329">
        <w:t xml:space="preserve"> The report recognises that from an employment perspective, the District has strengths in wholesale and retail, accommodation &amp; food service, health &amp; social work and education, which account for just under half of the jobs. However, the agriculture/horticulture sectors are also key features of the District’s economy. It has a high concentration of public sector employment, some niche manufacturing and a fairly strong creative industries sector. The report </w:t>
      </w:r>
      <w:r w:rsidR="005D55A9">
        <w:t xml:space="preserve"> sets out a focus on the following elements: </w:t>
      </w:r>
    </w:p>
    <w:p w:rsidR="002F4329" w:rsidRDefault="005D55A9" w:rsidP="00901C92">
      <w:pPr>
        <w:pStyle w:val="Bulletblueplain"/>
      </w:pPr>
      <w:r>
        <w:t>Branding and Marketing</w:t>
      </w:r>
    </w:p>
    <w:p w:rsidR="002F4329" w:rsidRDefault="005D55A9" w:rsidP="00901C92">
      <w:pPr>
        <w:pStyle w:val="Bulletblueplain"/>
      </w:pPr>
      <w:r>
        <w:t>Relationship development with land owners, developers, agents, existing businesses and other councils</w:t>
      </w:r>
    </w:p>
    <w:p w:rsidR="005D55A9" w:rsidRDefault="005D55A9" w:rsidP="00901C92">
      <w:pPr>
        <w:pStyle w:val="Bulletblueplain"/>
      </w:pPr>
      <w:r>
        <w:t>Developing a whole council approach to supporting business growth and inward investment</w:t>
      </w:r>
    </w:p>
    <w:p w:rsidR="005D55A9" w:rsidRDefault="005D55A9" w:rsidP="000C05B0">
      <w:pPr>
        <w:pStyle w:val="11Bodytext"/>
        <w:tabs>
          <w:tab w:val="clear" w:pos="2212"/>
          <w:tab w:val="num" w:pos="567"/>
        </w:tabs>
        <w:ind w:left="567" w:hanging="567"/>
      </w:pPr>
      <w:r>
        <w:t xml:space="preserve">The Economic Development Strategy for Chichester District 2019-2024 reports that consultation evidence to support the previous strategy emphasised the importance of </w:t>
      </w:r>
      <w:r>
        <w:lastRenderedPageBreak/>
        <w:t>the food and drink sector; suggested that there was potential to expand the District’s marine</w:t>
      </w:r>
      <w:r w:rsidR="004655FC">
        <w:t xml:space="preserve"> </w:t>
      </w:r>
      <w:r>
        <w:t>related activities (perhaps in partnership with neighbouring coastal authorities); and recommended focus on activities related to the visitor and the creative economies. Its natural and cultural assets underpin its great food and drink production and creative industries sector and give it the potential to develop a strong marine industries presence alongside neighbouring areas. Working with the natural environment is a key component of sustainable economic development.</w:t>
      </w:r>
    </w:p>
    <w:p w:rsidR="00B0298E" w:rsidRPr="00CA47B9" w:rsidRDefault="00441BF8" w:rsidP="000C05B0">
      <w:pPr>
        <w:pStyle w:val="11Bodytext"/>
        <w:tabs>
          <w:tab w:val="clear" w:pos="2212"/>
          <w:tab w:val="num" w:pos="567"/>
        </w:tabs>
        <w:ind w:left="567" w:hanging="567"/>
      </w:pPr>
      <w:r w:rsidRPr="00CA47B9">
        <w:t>As a result</w:t>
      </w:r>
      <w:r w:rsidR="00F9748F" w:rsidRPr="00CA47B9">
        <w:t>,</w:t>
      </w:r>
      <w:r w:rsidRPr="00CA47B9">
        <w:t xml:space="preserve"> </w:t>
      </w:r>
      <w:r w:rsidR="002F4329">
        <w:t>on balance, the</w:t>
      </w:r>
      <w:r w:rsidR="004B41A2" w:rsidRPr="00CA47B9">
        <w:t xml:space="preserve"> </w:t>
      </w:r>
      <w:r w:rsidR="00B0298E" w:rsidRPr="00CA47B9">
        <w:t>sectors</w:t>
      </w:r>
      <w:r w:rsidR="004B41A2" w:rsidRPr="00CA47B9">
        <w:t xml:space="preserve"> </w:t>
      </w:r>
      <w:r w:rsidR="00B0298E" w:rsidRPr="00CA47B9">
        <w:t>which</w:t>
      </w:r>
      <w:r w:rsidR="004B41A2" w:rsidRPr="00CA47B9">
        <w:t xml:space="preserve"> </w:t>
      </w:r>
      <w:r w:rsidR="00B0298E" w:rsidRPr="00CA47B9">
        <w:t>are</w:t>
      </w:r>
      <w:r w:rsidR="004B41A2" w:rsidRPr="00CA47B9">
        <w:t xml:space="preserve"> </w:t>
      </w:r>
      <w:r w:rsidR="00B0298E" w:rsidRPr="00CA47B9">
        <w:t>expected</w:t>
      </w:r>
      <w:r w:rsidR="004B41A2" w:rsidRPr="00CA47B9">
        <w:t xml:space="preserve"> </w:t>
      </w:r>
      <w:r w:rsidR="00B0298E" w:rsidRPr="00CA47B9">
        <w:t>to</w:t>
      </w:r>
      <w:r w:rsidR="004B41A2" w:rsidRPr="00CA47B9">
        <w:t xml:space="preserve"> </w:t>
      </w:r>
      <w:r w:rsidR="00B0298E" w:rsidRPr="00CA47B9">
        <w:t>see</w:t>
      </w:r>
      <w:r w:rsidR="004B41A2" w:rsidRPr="00CA47B9">
        <w:t xml:space="preserve"> </w:t>
      </w:r>
      <w:r w:rsidR="00B0298E" w:rsidRPr="00CA47B9">
        <w:t>high</w:t>
      </w:r>
      <w:r w:rsidR="004B41A2" w:rsidRPr="00CA47B9">
        <w:t xml:space="preserve"> </w:t>
      </w:r>
      <w:r w:rsidR="00B0298E" w:rsidRPr="00CA47B9">
        <w:t>levels</w:t>
      </w:r>
      <w:r w:rsidR="004B41A2" w:rsidRPr="00CA47B9">
        <w:t xml:space="preserve"> </w:t>
      </w:r>
      <w:r w:rsidR="00B0298E" w:rsidRPr="00CA47B9">
        <w:t>of</w:t>
      </w:r>
      <w:r w:rsidR="004B41A2" w:rsidRPr="00CA47B9">
        <w:t xml:space="preserve"> </w:t>
      </w:r>
      <w:r w:rsidR="00B0298E" w:rsidRPr="00CA47B9">
        <w:t>jobs</w:t>
      </w:r>
      <w:r w:rsidR="004B41A2" w:rsidRPr="00CA47B9">
        <w:t xml:space="preserve"> </w:t>
      </w:r>
      <w:r w:rsidR="00B0298E" w:rsidRPr="00CA47B9">
        <w:t>growth</w:t>
      </w:r>
      <w:r w:rsidR="004B41A2" w:rsidRPr="00CA47B9">
        <w:t xml:space="preserve"> </w:t>
      </w:r>
      <w:r w:rsidR="00B0298E" w:rsidRPr="00CA47B9">
        <w:t>in</w:t>
      </w:r>
      <w:r w:rsidR="004B41A2" w:rsidRPr="00CA47B9">
        <w:t xml:space="preserve"> </w:t>
      </w:r>
      <w:r w:rsidR="00B0298E" w:rsidRPr="00CA47B9">
        <w:t>the</w:t>
      </w:r>
      <w:r w:rsidR="004B41A2" w:rsidRPr="00CA47B9">
        <w:t xml:space="preserve"> </w:t>
      </w:r>
      <w:r w:rsidR="00B0298E" w:rsidRPr="00CA47B9">
        <w:t>District</w:t>
      </w:r>
      <w:r w:rsidRPr="00CA47B9">
        <w:t xml:space="preserve"> are</w:t>
      </w:r>
      <w:r w:rsidR="00B0298E" w:rsidRPr="00CA47B9">
        <w:t>:</w:t>
      </w:r>
    </w:p>
    <w:p w:rsidR="00B0298E" w:rsidRPr="00CA47B9" w:rsidRDefault="00B0298E" w:rsidP="00ED1C06">
      <w:pPr>
        <w:pStyle w:val="10BulletBodytext"/>
      </w:pPr>
      <w:r w:rsidRPr="00CA47B9">
        <w:t>Crop</w:t>
      </w:r>
      <w:r w:rsidR="004B41A2" w:rsidRPr="00CA47B9">
        <w:t xml:space="preserve"> </w:t>
      </w:r>
      <w:r w:rsidRPr="00CA47B9">
        <w:t>and</w:t>
      </w:r>
      <w:r w:rsidR="004B41A2" w:rsidRPr="00CA47B9">
        <w:t xml:space="preserve"> </w:t>
      </w:r>
      <w:r w:rsidRPr="00CA47B9">
        <w:t>animal</w:t>
      </w:r>
      <w:r w:rsidR="004B41A2" w:rsidRPr="00CA47B9">
        <w:t xml:space="preserve"> </w:t>
      </w:r>
      <w:r w:rsidRPr="00CA47B9">
        <w:t>production</w:t>
      </w:r>
    </w:p>
    <w:p w:rsidR="00B0298E" w:rsidRPr="00CA47B9" w:rsidRDefault="00B0298E" w:rsidP="00ED1C06">
      <w:pPr>
        <w:pStyle w:val="10BulletBodytext"/>
      </w:pPr>
      <w:r w:rsidRPr="00CA47B9">
        <w:t>Manufacture</w:t>
      </w:r>
      <w:r w:rsidR="004B41A2" w:rsidRPr="00CA47B9">
        <w:t xml:space="preserve"> </w:t>
      </w:r>
      <w:r w:rsidRPr="00CA47B9">
        <w:t>of</w:t>
      </w:r>
      <w:r w:rsidR="004B41A2" w:rsidRPr="00CA47B9">
        <w:t xml:space="preserve"> </w:t>
      </w:r>
      <w:r w:rsidRPr="00CA47B9">
        <w:t>food</w:t>
      </w:r>
      <w:r w:rsidR="004B41A2" w:rsidRPr="00CA47B9">
        <w:t xml:space="preserve"> </w:t>
      </w:r>
      <w:r w:rsidRPr="00CA47B9">
        <w:t>products</w:t>
      </w:r>
    </w:p>
    <w:p w:rsidR="00B0298E" w:rsidRPr="00CA47B9" w:rsidRDefault="00B0298E" w:rsidP="00ED1C06">
      <w:pPr>
        <w:pStyle w:val="10BulletBodytext"/>
      </w:pPr>
      <w:r w:rsidRPr="00CA47B9">
        <w:t>High-tech</w:t>
      </w:r>
      <w:r w:rsidR="004B41A2" w:rsidRPr="00CA47B9">
        <w:t xml:space="preserve"> </w:t>
      </w:r>
      <w:r w:rsidRPr="00CA47B9">
        <w:t>manufacturing</w:t>
      </w:r>
    </w:p>
    <w:p w:rsidR="00B0298E" w:rsidRPr="00CA47B9" w:rsidRDefault="00B0298E" w:rsidP="00ED1C06">
      <w:pPr>
        <w:pStyle w:val="10BulletBodytext"/>
      </w:pPr>
      <w:r w:rsidRPr="00CA47B9">
        <w:t>Civil</w:t>
      </w:r>
      <w:r w:rsidR="004B41A2" w:rsidRPr="00CA47B9">
        <w:t xml:space="preserve"> </w:t>
      </w:r>
      <w:r w:rsidRPr="00CA47B9">
        <w:t>Engineering</w:t>
      </w:r>
      <w:r w:rsidR="004B41A2" w:rsidRPr="00CA47B9">
        <w:t xml:space="preserve"> </w:t>
      </w:r>
      <w:r w:rsidRPr="00CA47B9">
        <w:t>and</w:t>
      </w:r>
      <w:r w:rsidR="004B41A2" w:rsidRPr="00CA47B9">
        <w:t xml:space="preserve"> </w:t>
      </w:r>
      <w:r w:rsidRPr="00CA47B9">
        <w:t>Waste</w:t>
      </w:r>
    </w:p>
    <w:p w:rsidR="00B0298E" w:rsidRPr="00CA47B9" w:rsidRDefault="00B0298E" w:rsidP="00ED1C06">
      <w:pPr>
        <w:pStyle w:val="10BulletBodytext"/>
      </w:pPr>
      <w:r w:rsidRPr="00CA47B9">
        <w:t>Wholesale</w:t>
      </w:r>
      <w:r w:rsidR="004B41A2" w:rsidRPr="00CA47B9">
        <w:t xml:space="preserve"> </w:t>
      </w:r>
      <w:r w:rsidRPr="00CA47B9">
        <w:t>trade</w:t>
      </w:r>
      <w:r w:rsidR="004B41A2" w:rsidRPr="00CA47B9">
        <w:t xml:space="preserve"> </w:t>
      </w:r>
      <w:r w:rsidRPr="00CA47B9">
        <w:t>and</w:t>
      </w:r>
      <w:r w:rsidR="004B41A2" w:rsidRPr="00CA47B9">
        <w:t xml:space="preserve"> </w:t>
      </w:r>
      <w:r w:rsidRPr="00CA47B9">
        <w:t>warehousing</w:t>
      </w:r>
    </w:p>
    <w:p w:rsidR="009E31E7" w:rsidRPr="00CA47B9" w:rsidRDefault="009E31E7" w:rsidP="00ED1C06">
      <w:pPr>
        <w:pStyle w:val="10BulletBodytext"/>
      </w:pPr>
      <w:r w:rsidRPr="00CA47B9">
        <w:t>Accommodation</w:t>
      </w:r>
    </w:p>
    <w:p w:rsidR="00B0298E" w:rsidRPr="00CA47B9" w:rsidRDefault="00B0298E" w:rsidP="00ED1C06">
      <w:pPr>
        <w:pStyle w:val="10BulletBodytext"/>
      </w:pPr>
      <w:r w:rsidRPr="00CA47B9">
        <w:t>Food</w:t>
      </w:r>
      <w:r w:rsidR="004B41A2" w:rsidRPr="00CA47B9">
        <w:t xml:space="preserve"> </w:t>
      </w:r>
      <w:r w:rsidRPr="00CA47B9">
        <w:t>and</w:t>
      </w:r>
      <w:r w:rsidR="004B41A2" w:rsidRPr="00CA47B9">
        <w:t xml:space="preserve"> </w:t>
      </w:r>
      <w:r w:rsidRPr="00CA47B9">
        <w:t>beverage</w:t>
      </w:r>
      <w:r w:rsidR="004B41A2" w:rsidRPr="00CA47B9">
        <w:t xml:space="preserve"> </w:t>
      </w:r>
      <w:r w:rsidRPr="00CA47B9">
        <w:t>service</w:t>
      </w:r>
      <w:r w:rsidR="004B41A2" w:rsidRPr="00CA47B9">
        <w:t xml:space="preserve"> </w:t>
      </w:r>
    </w:p>
    <w:p w:rsidR="00B0298E" w:rsidRPr="00CA47B9" w:rsidRDefault="00B0298E" w:rsidP="00ED1C06">
      <w:pPr>
        <w:pStyle w:val="10BulletBodytext"/>
      </w:pPr>
      <w:r w:rsidRPr="00CA47B9">
        <w:t>Computer</w:t>
      </w:r>
      <w:r w:rsidR="004B41A2" w:rsidRPr="00CA47B9">
        <w:t xml:space="preserve"> </w:t>
      </w:r>
      <w:r w:rsidRPr="00CA47B9">
        <w:t>programming</w:t>
      </w:r>
    </w:p>
    <w:p w:rsidR="00B0298E" w:rsidRPr="00CA47B9" w:rsidRDefault="00B0298E" w:rsidP="00ED1C06">
      <w:pPr>
        <w:pStyle w:val="10BulletBodytext"/>
      </w:pPr>
      <w:r w:rsidRPr="00CA47B9">
        <w:t>Financial</w:t>
      </w:r>
      <w:r w:rsidR="004B41A2" w:rsidRPr="00CA47B9">
        <w:t xml:space="preserve"> </w:t>
      </w:r>
      <w:r w:rsidRPr="00CA47B9">
        <w:t>services</w:t>
      </w:r>
    </w:p>
    <w:p w:rsidR="00B0298E" w:rsidRPr="00CA47B9" w:rsidRDefault="00B0298E" w:rsidP="00ED1C06">
      <w:pPr>
        <w:pStyle w:val="10BulletBodytext"/>
      </w:pPr>
      <w:r w:rsidRPr="00CA47B9">
        <w:t>Scientific</w:t>
      </w:r>
      <w:r w:rsidR="004B41A2" w:rsidRPr="00CA47B9">
        <w:t xml:space="preserve"> </w:t>
      </w:r>
      <w:r w:rsidRPr="00CA47B9">
        <w:t>research</w:t>
      </w:r>
      <w:r w:rsidR="004B41A2" w:rsidRPr="00CA47B9">
        <w:t xml:space="preserve"> </w:t>
      </w:r>
      <w:r w:rsidRPr="00CA47B9">
        <w:t>and</w:t>
      </w:r>
      <w:r w:rsidR="004B41A2" w:rsidRPr="00CA47B9">
        <w:t xml:space="preserve"> </w:t>
      </w:r>
      <w:r w:rsidRPr="00CA47B9">
        <w:t>development</w:t>
      </w:r>
    </w:p>
    <w:p w:rsidR="00B0298E" w:rsidRPr="00CA47B9" w:rsidRDefault="00B0298E" w:rsidP="00ED1C06">
      <w:pPr>
        <w:pStyle w:val="10BulletBodytext"/>
      </w:pPr>
      <w:r w:rsidRPr="00CA47B9">
        <w:t>Office</w:t>
      </w:r>
      <w:r w:rsidR="004B41A2" w:rsidRPr="00CA47B9">
        <w:t xml:space="preserve"> </w:t>
      </w:r>
      <w:r w:rsidRPr="00CA47B9">
        <w:t>administration</w:t>
      </w:r>
    </w:p>
    <w:p w:rsidR="00CB66A3" w:rsidRPr="00CA47B9" w:rsidRDefault="00CB66A3" w:rsidP="00ED1C06">
      <w:pPr>
        <w:pStyle w:val="10BulletBodytext"/>
      </w:pPr>
      <w:r w:rsidRPr="00CA47B9">
        <w:t>Education</w:t>
      </w:r>
    </w:p>
    <w:p w:rsidR="009E31E7" w:rsidRPr="00CA47B9" w:rsidRDefault="009E31E7" w:rsidP="00ED1C06">
      <w:pPr>
        <w:pStyle w:val="10BulletBodytext"/>
      </w:pPr>
      <w:r w:rsidRPr="00CA47B9">
        <w:t>Creative,</w:t>
      </w:r>
      <w:r w:rsidR="004B41A2" w:rsidRPr="00CA47B9">
        <w:t xml:space="preserve"> </w:t>
      </w:r>
      <w:r w:rsidRPr="00CA47B9">
        <w:t>arts</w:t>
      </w:r>
      <w:r w:rsidR="004B41A2" w:rsidRPr="00CA47B9">
        <w:t xml:space="preserve"> </w:t>
      </w:r>
      <w:r w:rsidRPr="00CA47B9">
        <w:t>and</w:t>
      </w:r>
      <w:r w:rsidR="004B41A2" w:rsidRPr="00CA47B9">
        <w:t xml:space="preserve"> </w:t>
      </w:r>
      <w:r w:rsidRPr="00CA47B9">
        <w:t>entertainment</w:t>
      </w:r>
      <w:r w:rsidR="004B41A2" w:rsidRPr="00CA47B9">
        <w:t xml:space="preserve"> </w:t>
      </w:r>
      <w:r w:rsidRPr="00CA47B9">
        <w:t>activities</w:t>
      </w:r>
    </w:p>
    <w:p w:rsidR="009E31E7" w:rsidRPr="00CA47B9" w:rsidRDefault="009E31E7" w:rsidP="00ED1C06">
      <w:pPr>
        <w:pStyle w:val="10BulletBodytext"/>
      </w:pPr>
      <w:r w:rsidRPr="00CA47B9">
        <w:t>Sports</w:t>
      </w:r>
      <w:r w:rsidR="004B41A2" w:rsidRPr="00CA47B9">
        <w:t xml:space="preserve"> </w:t>
      </w:r>
      <w:r w:rsidRPr="00CA47B9">
        <w:t>activities</w:t>
      </w:r>
      <w:r w:rsidR="004B41A2" w:rsidRPr="00CA47B9">
        <w:t xml:space="preserve"> </w:t>
      </w:r>
      <w:r w:rsidRPr="00CA47B9">
        <w:t>and</w:t>
      </w:r>
      <w:r w:rsidR="004B41A2" w:rsidRPr="00CA47B9">
        <w:t xml:space="preserve"> </w:t>
      </w:r>
      <w:r w:rsidRPr="00CA47B9">
        <w:t>amusements.</w:t>
      </w:r>
    </w:p>
    <w:p w:rsidR="009E31E7" w:rsidRPr="00CA47B9" w:rsidRDefault="002F4329" w:rsidP="000C05B0">
      <w:pPr>
        <w:pStyle w:val="11Bodytext"/>
        <w:tabs>
          <w:tab w:val="clear" w:pos="2212"/>
          <w:tab w:val="num" w:pos="567"/>
        </w:tabs>
        <w:ind w:left="567" w:hanging="567"/>
      </w:pPr>
      <w:r>
        <w:t xml:space="preserve">GL Hearn has </w:t>
      </w:r>
      <w:r w:rsidR="009E31E7" w:rsidRPr="00CA47B9">
        <w:t>assessed</w:t>
      </w:r>
      <w:r w:rsidR="004B41A2" w:rsidRPr="00CA47B9">
        <w:t xml:space="preserve"> </w:t>
      </w:r>
      <w:r w:rsidR="009E31E7" w:rsidRPr="00CA47B9">
        <w:t>the</w:t>
      </w:r>
      <w:r w:rsidR="004B41A2" w:rsidRPr="00CA47B9">
        <w:t xml:space="preserve"> </w:t>
      </w:r>
      <w:r w:rsidR="009E31E7" w:rsidRPr="00CA47B9">
        <w:t>growth</w:t>
      </w:r>
      <w:r w:rsidR="004B41A2" w:rsidRPr="00CA47B9">
        <w:t xml:space="preserve"> </w:t>
      </w:r>
      <w:r w:rsidR="009E31E7" w:rsidRPr="00CA47B9">
        <w:t>potential</w:t>
      </w:r>
      <w:r w:rsidR="004B41A2" w:rsidRPr="00CA47B9">
        <w:t xml:space="preserve"> </w:t>
      </w:r>
      <w:r w:rsidR="009E31E7" w:rsidRPr="00CA47B9">
        <w:t>of</w:t>
      </w:r>
      <w:r w:rsidR="004B41A2" w:rsidRPr="00CA47B9">
        <w:t xml:space="preserve"> </w:t>
      </w:r>
      <w:r w:rsidR="009E31E7" w:rsidRPr="00CA47B9">
        <w:t>these</w:t>
      </w:r>
      <w:r w:rsidR="004B41A2" w:rsidRPr="00CA47B9">
        <w:t xml:space="preserve"> </w:t>
      </w:r>
      <w:r w:rsidR="009E31E7" w:rsidRPr="00CA47B9">
        <w:t>sectors</w:t>
      </w:r>
      <w:r w:rsidR="004B41A2" w:rsidRPr="00CA47B9">
        <w:t xml:space="preserve"> </w:t>
      </w:r>
      <w:r w:rsidR="009E31E7" w:rsidRPr="00CA47B9">
        <w:t>as</w:t>
      </w:r>
      <w:r w:rsidR="004B41A2" w:rsidRPr="00CA47B9">
        <w:t xml:space="preserve"> </w:t>
      </w:r>
      <w:r w:rsidR="00C754E2" w:rsidRPr="00CA47B9">
        <w:t>shown</w:t>
      </w:r>
      <w:r w:rsidR="004B41A2" w:rsidRPr="00CA47B9">
        <w:t xml:space="preserve"> </w:t>
      </w:r>
      <w:r w:rsidR="009E31E7" w:rsidRPr="00CA47B9">
        <w:t>in</w:t>
      </w:r>
      <w:r w:rsidR="004B41A2" w:rsidRPr="00CA47B9">
        <w:t xml:space="preserve"> </w:t>
      </w:r>
      <w:r w:rsidR="009E31E7" w:rsidRPr="00CA47B9">
        <w:t>the</w:t>
      </w:r>
      <w:r w:rsidR="004B41A2" w:rsidRPr="00CA47B9">
        <w:t xml:space="preserve"> </w:t>
      </w:r>
      <w:r w:rsidR="009E31E7" w:rsidRPr="00CA47B9">
        <w:t>OE</w:t>
      </w:r>
      <w:r w:rsidR="004B41A2" w:rsidRPr="00CA47B9">
        <w:t xml:space="preserve"> </w:t>
      </w:r>
      <w:r w:rsidR="00C754E2" w:rsidRPr="00CA47B9">
        <w:t>baseline</w:t>
      </w:r>
      <w:r w:rsidR="004B41A2" w:rsidRPr="00CA47B9">
        <w:t xml:space="preserve"> </w:t>
      </w:r>
      <w:r w:rsidR="00C754E2" w:rsidRPr="00CA47B9">
        <w:t>forecasts.</w:t>
      </w:r>
      <w:r w:rsidR="004B41A2" w:rsidRPr="00CA47B9">
        <w:t xml:space="preserve"> </w:t>
      </w:r>
      <w:r w:rsidR="00C754E2" w:rsidRPr="00CA47B9">
        <w:t>For</w:t>
      </w:r>
      <w:r w:rsidR="004B41A2" w:rsidRPr="00CA47B9">
        <w:t xml:space="preserve"> </w:t>
      </w:r>
      <w:r w:rsidR="00C754E2" w:rsidRPr="00CA47B9">
        <w:t>three</w:t>
      </w:r>
      <w:r w:rsidR="004B41A2" w:rsidRPr="00CA47B9">
        <w:t xml:space="preserve"> </w:t>
      </w:r>
      <w:r w:rsidR="00C754E2" w:rsidRPr="00CA47B9">
        <w:t>of</w:t>
      </w:r>
      <w:r w:rsidR="004B41A2" w:rsidRPr="00CA47B9">
        <w:t xml:space="preserve"> </w:t>
      </w:r>
      <w:r w:rsidR="00C754E2" w:rsidRPr="00CA47B9">
        <w:t>the</w:t>
      </w:r>
      <w:r w:rsidR="004B41A2" w:rsidRPr="00CA47B9">
        <w:t xml:space="preserve"> </w:t>
      </w:r>
      <w:r w:rsidR="00C754E2" w:rsidRPr="00CA47B9">
        <w:t>sectors</w:t>
      </w:r>
      <w:r w:rsidR="004B41A2" w:rsidRPr="00CA47B9">
        <w:t xml:space="preserve"> </w:t>
      </w:r>
      <w:r w:rsidR="00C754E2" w:rsidRPr="00CA47B9">
        <w:t>(Accommodation;</w:t>
      </w:r>
      <w:r w:rsidR="004B41A2" w:rsidRPr="00CA47B9">
        <w:t xml:space="preserve"> </w:t>
      </w:r>
      <w:r w:rsidR="00C754E2" w:rsidRPr="00CA47B9">
        <w:t>Creative,</w:t>
      </w:r>
      <w:r w:rsidR="004B41A2" w:rsidRPr="00CA47B9">
        <w:t xml:space="preserve"> </w:t>
      </w:r>
      <w:r w:rsidR="00C754E2" w:rsidRPr="00CA47B9">
        <w:t>arts</w:t>
      </w:r>
      <w:r w:rsidR="004B41A2" w:rsidRPr="00CA47B9">
        <w:t xml:space="preserve"> </w:t>
      </w:r>
      <w:r w:rsidR="00C754E2" w:rsidRPr="00CA47B9">
        <w:t>and</w:t>
      </w:r>
      <w:r w:rsidR="004B41A2" w:rsidRPr="00CA47B9">
        <w:t xml:space="preserve"> </w:t>
      </w:r>
      <w:r w:rsidR="00C754E2" w:rsidRPr="00CA47B9">
        <w:t>entertainment</w:t>
      </w:r>
      <w:r w:rsidR="004B41A2" w:rsidRPr="00CA47B9">
        <w:t xml:space="preserve"> </w:t>
      </w:r>
      <w:r w:rsidR="00C754E2" w:rsidRPr="00CA47B9">
        <w:t>activities;</w:t>
      </w:r>
      <w:r w:rsidR="004B41A2" w:rsidRPr="00CA47B9">
        <w:t xml:space="preserve"> </w:t>
      </w:r>
      <w:r w:rsidR="00C754E2" w:rsidRPr="00CA47B9">
        <w:t>and</w:t>
      </w:r>
      <w:r w:rsidR="004B41A2" w:rsidRPr="00CA47B9">
        <w:t xml:space="preserve"> </w:t>
      </w:r>
      <w:r w:rsidR="00C754E2" w:rsidRPr="00CA47B9">
        <w:t>Sports</w:t>
      </w:r>
      <w:r w:rsidR="004B41A2" w:rsidRPr="00CA47B9">
        <w:t xml:space="preserve"> </w:t>
      </w:r>
      <w:r w:rsidR="00C754E2" w:rsidRPr="00CA47B9">
        <w:t>activities</w:t>
      </w:r>
      <w:r w:rsidR="004B41A2" w:rsidRPr="00CA47B9">
        <w:t xml:space="preserve"> </w:t>
      </w:r>
      <w:r w:rsidR="00C754E2" w:rsidRPr="00CA47B9">
        <w:t>and</w:t>
      </w:r>
      <w:r w:rsidR="004B41A2" w:rsidRPr="00CA47B9">
        <w:t xml:space="preserve"> </w:t>
      </w:r>
      <w:r w:rsidR="00C754E2" w:rsidRPr="00CA47B9">
        <w:t>amusements)</w:t>
      </w:r>
      <w:r w:rsidR="004B41A2" w:rsidRPr="00CA47B9">
        <w:t xml:space="preserve"> </w:t>
      </w:r>
      <w:r w:rsidR="00C754E2" w:rsidRPr="00CA47B9">
        <w:t>the</w:t>
      </w:r>
      <w:r w:rsidR="004B41A2" w:rsidRPr="00CA47B9">
        <w:t xml:space="preserve"> </w:t>
      </w:r>
      <w:r w:rsidR="00C754E2" w:rsidRPr="00CA47B9">
        <w:t>baseline</w:t>
      </w:r>
      <w:r w:rsidR="004B41A2" w:rsidRPr="00CA47B9">
        <w:t xml:space="preserve"> </w:t>
      </w:r>
      <w:r w:rsidR="00C754E2" w:rsidRPr="00CA47B9">
        <w:t>forecast</w:t>
      </w:r>
      <w:r w:rsidR="004B41A2" w:rsidRPr="00CA47B9">
        <w:t xml:space="preserve"> </w:t>
      </w:r>
      <w:r w:rsidR="00C754E2" w:rsidRPr="00CA47B9">
        <w:t>shows</w:t>
      </w:r>
      <w:r w:rsidR="004B41A2" w:rsidRPr="00CA47B9">
        <w:t xml:space="preserve"> </w:t>
      </w:r>
      <w:r w:rsidR="00C754E2" w:rsidRPr="00CA47B9">
        <w:t>a</w:t>
      </w:r>
      <w:r w:rsidR="004B41A2" w:rsidRPr="00CA47B9">
        <w:t xml:space="preserve"> </w:t>
      </w:r>
      <w:r w:rsidR="00C754E2" w:rsidRPr="00CA47B9">
        <w:t>strong</w:t>
      </w:r>
      <w:r w:rsidR="004B41A2" w:rsidRPr="00CA47B9">
        <w:t xml:space="preserve"> </w:t>
      </w:r>
      <w:r w:rsidR="00C754E2" w:rsidRPr="00CA47B9">
        <w:t>level</w:t>
      </w:r>
      <w:r w:rsidR="004B41A2" w:rsidRPr="00CA47B9">
        <w:t xml:space="preserve"> </w:t>
      </w:r>
      <w:r w:rsidR="00C754E2" w:rsidRPr="00CA47B9">
        <w:t>of</w:t>
      </w:r>
      <w:r w:rsidR="004B41A2" w:rsidRPr="00CA47B9">
        <w:t xml:space="preserve"> </w:t>
      </w:r>
      <w:r w:rsidR="00C754E2" w:rsidRPr="00CA47B9">
        <w:t>growth</w:t>
      </w:r>
      <w:r w:rsidR="004B41A2" w:rsidRPr="00CA47B9">
        <w:t xml:space="preserve"> </w:t>
      </w:r>
      <w:r w:rsidR="00C754E2" w:rsidRPr="00CA47B9">
        <w:t>in</w:t>
      </w:r>
      <w:r w:rsidR="004B41A2" w:rsidRPr="00CA47B9">
        <w:t xml:space="preserve"> </w:t>
      </w:r>
      <w:r w:rsidR="00C754E2" w:rsidRPr="00CA47B9">
        <w:t>Chichester</w:t>
      </w:r>
      <w:r w:rsidR="004B41A2" w:rsidRPr="00CA47B9">
        <w:t xml:space="preserve"> </w:t>
      </w:r>
      <w:r w:rsidR="00C754E2" w:rsidRPr="00CA47B9">
        <w:t>District</w:t>
      </w:r>
      <w:r w:rsidR="004B41A2" w:rsidRPr="00CA47B9">
        <w:t xml:space="preserve"> </w:t>
      </w:r>
      <w:r w:rsidR="00C754E2" w:rsidRPr="00CA47B9">
        <w:t>–</w:t>
      </w:r>
      <w:r w:rsidR="004B41A2" w:rsidRPr="00CA47B9">
        <w:t xml:space="preserve"> </w:t>
      </w:r>
      <w:r w:rsidR="00C754E2" w:rsidRPr="00CA47B9">
        <w:t>stronger</w:t>
      </w:r>
      <w:r w:rsidR="004B41A2" w:rsidRPr="00CA47B9">
        <w:t xml:space="preserve"> </w:t>
      </w:r>
      <w:r w:rsidR="00C754E2" w:rsidRPr="00CA47B9">
        <w:t>than</w:t>
      </w:r>
      <w:r w:rsidR="004B41A2" w:rsidRPr="00CA47B9">
        <w:t xml:space="preserve"> </w:t>
      </w:r>
      <w:r w:rsidR="00C754E2" w:rsidRPr="00CA47B9">
        <w:t>either</w:t>
      </w:r>
      <w:r w:rsidR="004B41A2" w:rsidRPr="00CA47B9">
        <w:t xml:space="preserve"> </w:t>
      </w:r>
      <w:r w:rsidR="00C754E2" w:rsidRPr="00CA47B9">
        <w:t>the</w:t>
      </w:r>
      <w:r w:rsidR="004B41A2" w:rsidRPr="00CA47B9">
        <w:t xml:space="preserve"> </w:t>
      </w:r>
      <w:r w:rsidR="00C754E2" w:rsidRPr="00CA47B9">
        <w:t>regional</w:t>
      </w:r>
      <w:r w:rsidR="004B41A2" w:rsidRPr="00CA47B9">
        <w:t xml:space="preserve"> </w:t>
      </w:r>
      <w:r w:rsidR="00C754E2" w:rsidRPr="00CA47B9">
        <w:t>growth</w:t>
      </w:r>
      <w:r w:rsidR="004B41A2" w:rsidRPr="00CA47B9">
        <w:t xml:space="preserve"> </w:t>
      </w:r>
      <w:r w:rsidR="00C754E2" w:rsidRPr="00CA47B9">
        <w:t>rate</w:t>
      </w:r>
      <w:r w:rsidR="004B41A2" w:rsidRPr="00CA47B9">
        <w:t xml:space="preserve"> </w:t>
      </w:r>
      <w:r w:rsidR="00C754E2" w:rsidRPr="00CA47B9">
        <w:t>or</w:t>
      </w:r>
      <w:r w:rsidR="004B41A2" w:rsidRPr="00CA47B9">
        <w:t xml:space="preserve"> </w:t>
      </w:r>
      <w:r w:rsidR="00C754E2" w:rsidRPr="00CA47B9">
        <w:t>the</w:t>
      </w:r>
      <w:r w:rsidR="004B41A2" w:rsidRPr="00CA47B9">
        <w:t xml:space="preserve"> </w:t>
      </w:r>
      <w:r w:rsidR="00C754E2" w:rsidRPr="00CA47B9">
        <w:t>historic</w:t>
      </w:r>
      <w:r w:rsidR="004B41A2" w:rsidRPr="00CA47B9">
        <w:t xml:space="preserve"> </w:t>
      </w:r>
      <w:r w:rsidR="00C754E2" w:rsidRPr="00CA47B9">
        <w:t>trend</w:t>
      </w:r>
      <w:r w:rsidR="004B41A2" w:rsidRPr="00CA47B9">
        <w:t xml:space="preserve"> </w:t>
      </w:r>
      <w:r w:rsidR="00C754E2" w:rsidRPr="00CA47B9">
        <w:t>in</w:t>
      </w:r>
      <w:r w:rsidR="004B41A2" w:rsidRPr="00CA47B9">
        <w:t xml:space="preserve"> </w:t>
      </w:r>
      <w:r w:rsidR="00C754E2" w:rsidRPr="00CA47B9">
        <w:t>the</w:t>
      </w:r>
      <w:r w:rsidR="004B41A2" w:rsidRPr="00CA47B9">
        <w:t xml:space="preserve"> </w:t>
      </w:r>
      <w:r w:rsidR="00C754E2" w:rsidRPr="00CA47B9">
        <w:t>District.</w:t>
      </w:r>
      <w:r w:rsidR="004B41A2" w:rsidRPr="00CA47B9">
        <w:t xml:space="preserve"> </w:t>
      </w:r>
      <w:r w:rsidR="00C754E2" w:rsidRPr="00CA47B9">
        <w:t>This</w:t>
      </w:r>
      <w:r w:rsidR="004B41A2" w:rsidRPr="00CA47B9">
        <w:t xml:space="preserve"> </w:t>
      </w:r>
      <w:r w:rsidR="00C754E2" w:rsidRPr="00CA47B9">
        <w:t>reflects</w:t>
      </w:r>
      <w:r w:rsidR="004B41A2" w:rsidRPr="00CA47B9">
        <w:t xml:space="preserve"> </w:t>
      </w:r>
      <w:r w:rsidR="00C754E2" w:rsidRPr="00CA47B9">
        <w:t>that</w:t>
      </w:r>
      <w:r w:rsidR="004B41A2" w:rsidRPr="00CA47B9">
        <w:t xml:space="preserve"> </w:t>
      </w:r>
      <w:r w:rsidR="00C754E2" w:rsidRPr="00CA47B9">
        <w:t>these</w:t>
      </w:r>
      <w:r w:rsidR="004B41A2" w:rsidRPr="00CA47B9">
        <w:t xml:space="preserve"> </w:t>
      </w:r>
      <w:r w:rsidR="00C754E2" w:rsidRPr="00CA47B9">
        <w:t>are</w:t>
      </w:r>
      <w:r w:rsidR="004B41A2" w:rsidRPr="00CA47B9">
        <w:t xml:space="preserve"> </w:t>
      </w:r>
      <w:r w:rsidR="00C754E2" w:rsidRPr="00CA47B9">
        <w:t>growth</w:t>
      </w:r>
      <w:r w:rsidR="004B41A2" w:rsidRPr="00CA47B9">
        <w:t xml:space="preserve"> </w:t>
      </w:r>
      <w:r w:rsidR="00C754E2" w:rsidRPr="00CA47B9">
        <w:t>sectors</w:t>
      </w:r>
      <w:r w:rsidR="004B41A2" w:rsidRPr="00CA47B9">
        <w:t xml:space="preserve"> </w:t>
      </w:r>
      <w:r w:rsidR="00C754E2" w:rsidRPr="00CA47B9">
        <w:t>at</w:t>
      </w:r>
      <w:r w:rsidR="004B41A2" w:rsidRPr="00CA47B9">
        <w:t xml:space="preserve"> </w:t>
      </w:r>
      <w:r w:rsidR="00C754E2" w:rsidRPr="00CA47B9">
        <w:t>a</w:t>
      </w:r>
      <w:r w:rsidR="004B41A2" w:rsidRPr="00CA47B9">
        <w:t xml:space="preserve"> </w:t>
      </w:r>
      <w:r w:rsidR="00C754E2" w:rsidRPr="00CA47B9">
        <w:t>regional</w:t>
      </w:r>
      <w:r w:rsidR="004B41A2" w:rsidRPr="00CA47B9">
        <w:t xml:space="preserve"> </w:t>
      </w:r>
      <w:r w:rsidR="00C754E2" w:rsidRPr="00CA47B9">
        <w:t>level</w:t>
      </w:r>
      <w:r w:rsidR="004B41A2" w:rsidRPr="00CA47B9">
        <w:t xml:space="preserve"> </w:t>
      </w:r>
      <w:r w:rsidR="00C754E2" w:rsidRPr="00CA47B9">
        <w:t>as</w:t>
      </w:r>
      <w:r w:rsidR="004B41A2" w:rsidRPr="00CA47B9">
        <w:t xml:space="preserve"> </w:t>
      </w:r>
      <w:r w:rsidR="00C754E2" w:rsidRPr="00CA47B9">
        <w:t>well</w:t>
      </w:r>
      <w:r w:rsidR="004B41A2" w:rsidRPr="00CA47B9">
        <w:t xml:space="preserve"> </w:t>
      </w:r>
      <w:r w:rsidR="00C754E2" w:rsidRPr="00CA47B9">
        <w:t>as</w:t>
      </w:r>
      <w:r w:rsidR="004B41A2" w:rsidRPr="00CA47B9">
        <w:t xml:space="preserve"> </w:t>
      </w:r>
      <w:r w:rsidR="00C754E2" w:rsidRPr="00CA47B9">
        <w:t>being</w:t>
      </w:r>
      <w:r w:rsidR="004B41A2" w:rsidRPr="00CA47B9">
        <w:t xml:space="preserve"> </w:t>
      </w:r>
      <w:r w:rsidR="00C754E2" w:rsidRPr="00CA47B9">
        <w:t>strongly</w:t>
      </w:r>
      <w:r w:rsidR="004B41A2" w:rsidRPr="00CA47B9">
        <w:t xml:space="preserve"> </w:t>
      </w:r>
      <w:r w:rsidR="00C754E2" w:rsidRPr="00CA47B9">
        <w:t>represented</w:t>
      </w:r>
      <w:r w:rsidR="004B41A2" w:rsidRPr="00CA47B9">
        <w:t xml:space="preserve"> </w:t>
      </w:r>
      <w:r w:rsidR="00C754E2" w:rsidRPr="00CA47B9">
        <w:t>in</w:t>
      </w:r>
      <w:r w:rsidR="004B41A2" w:rsidRPr="00CA47B9">
        <w:t xml:space="preserve"> </w:t>
      </w:r>
      <w:r w:rsidR="00C754E2" w:rsidRPr="00CA47B9">
        <w:t>Chichester</w:t>
      </w:r>
      <w:r w:rsidR="004B41A2" w:rsidRPr="00CA47B9">
        <w:t xml:space="preserve"> </w:t>
      </w:r>
      <w:r w:rsidR="00C754E2" w:rsidRPr="00CA47B9">
        <w:t>District,</w:t>
      </w:r>
      <w:r w:rsidR="004B41A2" w:rsidRPr="00CA47B9">
        <w:t xml:space="preserve"> </w:t>
      </w:r>
      <w:r w:rsidR="00C754E2" w:rsidRPr="00CA47B9">
        <w:t>and</w:t>
      </w:r>
      <w:r w:rsidR="004B41A2" w:rsidRPr="00CA47B9">
        <w:t xml:space="preserve"> </w:t>
      </w:r>
      <w:r w:rsidR="00C754E2" w:rsidRPr="00CA47B9">
        <w:t>as</w:t>
      </w:r>
      <w:r w:rsidR="004B41A2" w:rsidRPr="00CA47B9">
        <w:t xml:space="preserve"> </w:t>
      </w:r>
      <w:r w:rsidR="00C754E2" w:rsidRPr="00CA47B9">
        <w:t>such</w:t>
      </w:r>
      <w:r w:rsidR="004B41A2" w:rsidRPr="00CA47B9">
        <w:t xml:space="preserve"> </w:t>
      </w:r>
      <w:r w:rsidR="00C754E2" w:rsidRPr="00CA47B9">
        <w:t>are</w:t>
      </w:r>
      <w:r w:rsidR="004B41A2" w:rsidRPr="00CA47B9">
        <w:t xml:space="preserve"> </w:t>
      </w:r>
      <w:r w:rsidR="00C754E2" w:rsidRPr="00CA47B9">
        <w:t>already</w:t>
      </w:r>
      <w:r w:rsidR="004B41A2" w:rsidRPr="00CA47B9">
        <w:t xml:space="preserve"> </w:t>
      </w:r>
      <w:r w:rsidR="00C754E2" w:rsidRPr="00CA47B9">
        <w:t>forecast</w:t>
      </w:r>
      <w:r w:rsidR="004B41A2" w:rsidRPr="00CA47B9">
        <w:t xml:space="preserve"> </w:t>
      </w:r>
      <w:r w:rsidR="00C754E2" w:rsidRPr="00CA47B9">
        <w:t>to</w:t>
      </w:r>
      <w:r w:rsidR="004B41A2" w:rsidRPr="00CA47B9">
        <w:t xml:space="preserve"> </w:t>
      </w:r>
      <w:r w:rsidR="00C754E2" w:rsidRPr="00CA47B9">
        <w:t>have</w:t>
      </w:r>
      <w:r w:rsidR="004B41A2" w:rsidRPr="00CA47B9">
        <w:t xml:space="preserve"> </w:t>
      </w:r>
      <w:r w:rsidR="00C754E2" w:rsidRPr="00CA47B9">
        <w:t>high</w:t>
      </w:r>
      <w:r w:rsidR="004B41A2" w:rsidRPr="00CA47B9">
        <w:t xml:space="preserve"> </w:t>
      </w:r>
      <w:r w:rsidR="00C754E2" w:rsidRPr="00CA47B9">
        <w:t>levels</w:t>
      </w:r>
      <w:r w:rsidR="004B41A2" w:rsidRPr="00CA47B9">
        <w:t xml:space="preserve"> </w:t>
      </w:r>
      <w:r w:rsidR="00C754E2" w:rsidRPr="00CA47B9">
        <w:t>of</w:t>
      </w:r>
      <w:r w:rsidR="004B41A2" w:rsidRPr="00CA47B9">
        <w:t xml:space="preserve"> </w:t>
      </w:r>
      <w:r w:rsidR="00C754E2" w:rsidRPr="00CA47B9">
        <w:t>growth</w:t>
      </w:r>
      <w:r w:rsidR="004B41A2" w:rsidRPr="00CA47B9">
        <w:t xml:space="preserve"> </w:t>
      </w:r>
      <w:r w:rsidR="00C754E2" w:rsidRPr="00CA47B9">
        <w:t>in</w:t>
      </w:r>
      <w:r w:rsidR="004B41A2" w:rsidRPr="00CA47B9">
        <w:t xml:space="preserve"> </w:t>
      </w:r>
      <w:r w:rsidR="00C754E2" w:rsidRPr="00CA47B9">
        <w:t>the</w:t>
      </w:r>
      <w:r w:rsidR="004B41A2" w:rsidRPr="00CA47B9">
        <w:t xml:space="preserve"> </w:t>
      </w:r>
      <w:r w:rsidR="00C754E2" w:rsidRPr="00CA47B9">
        <w:t>baseline</w:t>
      </w:r>
      <w:r w:rsidR="004B41A2" w:rsidRPr="00CA47B9">
        <w:t xml:space="preserve"> </w:t>
      </w:r>
      <w:r w:rsidR="00C754E2" w:rsidRPr="00CA47B9">
        <w:t>forecast.</w:t>
      </w:r>
      <w:r w:rsidR="004B41A2" w:rsidRPr="00CA47B9">
        <w:t xml:space="preserve"> </w:t>
      </w:r>
    </w:p>
    <w:p w:rsidR="0089491A" w:rsidRPr="00CA47B9" w:rsidRDefault="00147F0F" w:rsidP="000C05B0">
      <w:pPr>
        <w:pStyle w:val="11Bodytext"/>
        <w:tabs>
          <w:tab w:val="clear" w:pos="2212"/>
          <w:tab w:val="num" w:pos="567"/>
        </w:tabs>
        <w:ind w:left="567" w:hanging="567"/>
      </w:pPr>
      <w:r w:rsidRPr="00CA47B9">
        <w:t>For</w:t>
      </w:r>
      <w:r w:rsidR="004B41A2" w:rsidRPr="00CA47B9">
        <w:t xml:space="preserve"> </w:t>
      </w:r>
      <w:r w:rsidRPr="00CA47B9">
        <w:t>the</w:t>
      </w:r>
      <w:r w:rsidR="004B41A2" w:rsidRPr="00CA47B9">
        <w:t xml:space="preserve"> </w:t>
      </w:r>
      <w:r w:rsidRPr="00CA47B9">
        <w:t>other</w:t>
      </w:r>
      <w:r w:rsidR="004B41A2" w:rsidRPr="00CA47B9">
        <w:t xml:space="preserve"> </w:t>
      </w:r>
      <w:r w:rsidRPr="00CA47B9">
        <w:t>growth</w:t>
      </w:r>
      <w:r w:rsidR="004B41A2" w:rsidRPr="00CA47B9">
        <w:t xml:space="preserve"> </w:t>
      </w:r>
      <w:r w:rsidRPr="00CA47B9">
        <w:t>sectors</w:t>
      </w:r>
      <w:r w:rsidR="004B41A2" w:rsidRPr="00CA47B9">
        <w:t xml:space="preserve"> </w:t>
      </w:r>
      <w:r w:rsidRPr="00CA47B9">
        <w:t>listed</w:t>
      </w:r>
      <w:r w:rsidR="004B41A2" w:rsidRPr="00CA47B9">
        <w:t xml:space="preserve"> </w:t>
      </w:r>
      <w:r w:rsidR="00C754E2" w:rsidRPr="00CA47B9">
        <w:t>the</w:t>
      </w:r>
      <w:r w:rsidR="004B41A2" w:rsidRPr="00CA47B9">
        <w:t xml:space="preserve"> </w:t>
      </w:r>
      <w:r w:rsidRPr="00CA47B9">
        <w:t>OE</w:t>
      </w:r>
      <w:r w:rsidR="004B41A2" w:rsidRPr="00CA47B9">
        <w:t xml:space="preserve"> </w:t>
      </w:r>
      <w:r w:rsidR="00C754E2" w:rsidRPr="00CA47B9">
        <w:t>baseline</w:t>
      </w:r>
      <w:r w:rsidR="004B41A2" w:rsidRPr="00CA47B9">
        <w:t xml:space="preserve"> </w:t>
      </w:r>
      <w:r w:rsidR="00C754E2" w:rsidRPr="00CA47B9">
        <w:t>forecast</w:t>
      </w:r>
      <w:r w:rsidR="004B41A2" w:rsidRPr="00CA47B9">
        <w:t xml:space="preserve"> </w:t>
      </w:r>
      <w:r w:rsidRPr="00CA47B9">
        <w:t>for</w:t>
      </w:r>
      <w:r w:rsidR="004B41A2" w:rsidRPr="00CA47B9">
        <w:t xml:space="preserve"> </w:t>
      </w:r>
      <w:r w:rsidRPr="00CA47B9">
        <w:t>Chichester</w:t>
      </w:r>
      <w:r w:rsidR="004B41A2" w:rsidRPr="00CA47B9">
        <w:t xml:space="preserve"> </w:t>
      </w:r>
      <w:r w:rsidRPr="00CA47B9">
        <w:t>District</w:t>
      </w:r>
      <w:r w:rsidR="004B41A2" w:rsidRPr="00CA47B9">
        <w:t xml:space="preserve"> </w:t>
      </w:r>
      <w:r w:rsidR="00C754E2" w:rsidRPr="00CA47B9">
        <w:t>is</w:t>
      </w:r>
      <w:r w:rsidR="004B41A2" w:rsidRPr="00CA47B9">
        <w:t xml:space="preserve"> </w:t>
      </w:r>
      <w:r w:rsidR="00C754E2" w:rsidRPr="00CA47B9">
        <w:t>either</w:t>
      </w:r>
      <w:r w:rsidR="004B41A2" w:rsidRPr="00CA47B9">
        <w:t xml:space="preserve"> </w:t>
      </w:r>
      <w:r w:rsidR="00C754E2" w:rsidRPr="00CA47B9">
        <w:t>slower</w:t>
      </w:r>
      <w:r w:rsidR="004B41A2" w:rsidRPr="00CA47B9">
        <w:t xml:space="preserve"> </w:t>
      </w:r>
      <w:r w:rsidR="00C754E2" w:rsidRPr="00CA47B9">
        <w:t>than</w:t>
      </w:r>
      <w:r w:rsidR="004B41A2" w:rsidRPr="00CA47B9">
        <w:t xml:space="preserve"> </w:t>
      </w:r>
      <w:r w:rsidR="00C754E2" w:rsidRPr="00CA47B9">
        <w:t>the</w:t>
      </w:r>
      <w:r w:rsidR="004B41A2" w:rsidRPr="00CA47B9">
        <w:t xml:space="preserve"> </w:t>
      </w:r>
      <w:r w:rsidR="00C754E2" w:rsidRPr="00CA47B9">
        <w:t>historic</w:t>
      </w:r>
      <w:r w:rsidR="004B41A2" w:rsidRPr="00CA47B9">
        <w:t xml:space="preserve"> </w:t>
      </w:r>
      <w:r w:rsidR="00C754E2" w:rsidRPr="00CA47B9">
        <w:t>trend</w:t>
      </w:r>
      <w:r w:rsidR="004B41A2" w:rsidRPr="00CA47B9">
        <w:t xml:space="preserve"> </w:t>
      </w:r>
      <w:r w:rsidR="004B34E0" w:rsidRPr="00CA47B9">
        <w:t>for</w:t>
      </w:r>
      <w:r w:rsidR="004B41A2" w:rsidRPr="00CA47B9">
        <w:t xml:space="preserve"> </w:t>
      </w:r>
      <w:r w:rsidR="004B34E0" w:rsidRPr="00CA47B9">
        <w:t>the</w:t>
      </w:r>
      <w:r w:rsidR="004B41A2" w:rsidRPr="00CA47B9">
        <w:t xml:space="preserve"> </w:t>
      </w:r>
      <w:r w:rsidR="00C754E2" w:rsidRPr="00CA47B9">
        <w:t>District</w:t>
      </w:r>
      <w:r w:rsidR="004B41A2" w:rsidRPr="00CA47B9">
        <w:t xml:space="preserve"> </w:t>
      </w:r>
      <w:r w:rsidR="00C754E2" w:rsidRPr="00CA47B9">
        <w:t>or</w:t>
      </w:r>
      <w:r w:rsidR="004B41A2" w:rsidRPr="00CA47B9">
        <w:t xml:space="preserve"> </w:t>
      </w:r>
      <w:r w:rsidR="00C754E2" w:rsidRPr="00CA47B9">
        <w:t>below</w:t>
      </w:r>
      <w:r w:rsidR="004B41A2" w:rsidRPr="00CA47B9">
        <w:t xml:space="preserve"> </w:t>
      </w:r>
      <w:r w:rsidR="00C754E2" w:rsidRPr="00CA47B9">
        <w:t>the</w:t>
      </w:r>
      <w:r w:rsidR="004B41A2" w:rsidRPr="00CA47B9">
        <w:t xml:space="preserve"> </w:t>
      </w:r>
      <w:r w:rsidR="00C754E2" w:rsidRPr="00CA47B9">
        <w:t>regional</w:t>
      </w:r>
      <w:r w:rsidR="004B41A2" w:rsidRPr="00CA47B9">
        <w:t xml:space="preserve"> </w:t>
      </w:r>
      <w:r w:rsidR="00C754E2" w:rsidRPr="00CA47B9">
        <w:t>forecast</w:t>
      </w:r>
      <w:r w:rsidR="004B41A2" w:rsidRPr="00CA47B9">
        <w:t xml:space="preserve"> </w:t>
      </w:r>
      <w:r w:rsidR="004B34E0" w:rsidRPr="00CA47B9">
        <w:t>growth.</w:t>
      </w:r>
      <w:r w:rsidR="004B41A2" w:rsidRPr="00CA47B9">
        <w:t xml:space="preserve"> </w:t>
      </w:r>
      <w:r w:rsidR="00B0298E" w:rsidRPr="00CA47B9">
        <w:t>We</w:t>
      </w:r>
      <w:r w:rsidR="004B41A2" w:rsidRPr="00CA47B9">
        <w:t xml:space="preserve"> </w:t>
      </w:r>
      <w:r w:rsidR="00B0298E" w:rsidRPr="00CA47B9">
        <w:t>have</w:t>
      </w:r>
      <w:r w:rsidR="004B41A2" w:rsidRPr="00CA47B9">
        <w:t xml:space="preserve"> </w:t>
      </w:r>
      <w:r w:rsidR="00B0298E" w:rsidRPr="00CA47B9">
        <w:t>therefore</w:t>
      </w:r>
      <w:r w:rsidR="004B41A2" w:rsidRPr="00CA47B9">
        <w:t xml:space="preserve"> </w:t>
      </w:r>
      <w:r w:rsidR="00B0298E" w:rsidRPr="00CA47B9">
        <w:t>developed</w:t>
      </w:r>
      <w:r w:rsidR="004B41A2" w:rsidRPr="00CA47B9">
        <w:t xml:space="preserve"> </w:t>
      </w:r>
      <w:r w:rsidR="00B0298E" w:rsidRPr="00CA47B9">
        <w:t>a</w:t>
      </w:r>
      <w:r w:rsidR="004B41A2" w:rsidRPr="00CA47B9">
        <w:t xml:space="preserve"> </w:t>
      </w:r>
      <w:r w:rsidR="00B0298E" w:rsidRPr="00CA47B9">
        <w:t>Growth</w:t>
      </w:r>
      <w:r w:rsidR="004B41A2" w:rsidRPr="00CA47B9">
        <w:t xml:space="preserve"> </w:t>
      </w:r>
      <w:r w:rsidR="00B0298E" w:rsidRPr="00CA47B9">
        <w:t>Scenario</w:t>
      </w:r>
      <w:r w:rsidR="004B41A2" w:rsidRPr="00CA47B9">
        <w:t xml:space="preserve"> </w:t>
      </w:r>
      <w:r w:rsidR="00B0298E" w:rsidRPr="00CA47B9">
        <w:t>which</w:t>
      </w:r>
      <w:r w:rsidR="004B41A2" w:rsidRPr="00CA47B9">
        <w:t xml:space="preserve"> </w:t>
      </w:r>
      <w:r w:rsidR="00B0298E" w:rsidRPr="00CA47B9">
        <w:t>applies</w:t>
      </w:r>
      <w:r w:rsidR="004B41A2" w:rsidRPr="00CA47B9">
        <w:t xml:space="preserve"> </w:t>
      </w:r>
      <w:r w:rsidR="00B0298E" w:rsidRPr="00CA47B9">
        <w:t>sectoral</w:t>
      </w:r>
      <w:r w:rsidR="004B41A2" w:rsidRPr="00CA47B9">
        <w:t xml:space="preserve"> </w:t>
      </w:r>
      <w:r w:rsidR="00B0298E" w:rsidRPr="00CA47B9">
        <w:t>uplifts</w:t>
      </w:r>
      <w:r w:rsidR="004B41A2" w:rsidRPr="00CA47B9">
        <w:t xml:space="preserve"> </w:t>
      </w:r>
      <w:r w:rsidR="00B0298E" w:rsidRPr="00CA47B9">
        <w:t>for</w:t>
      </w:r>
      <w:r w:rsidR="004B41A2" w:rsidRPr="00CA47B9">
        <w:t xml:space="preserve"> </w:t>
      </w:r>
      <w:r w:rsidR="00B0298E" w:rsidRPr="00CA47B9">
        <w:t>the</w:t>
      </w:r>
      <w:r w:rsidR="004B41A2" w:rsidRPr="00CA47B9">
        <w:t xml:space="preserve"> </w:t>
      </w:r>
      <w:r w:rsidR="00B0298E" w:rsidRPr="00CA47B9">
        <w:t>Chichester</w:t>
      </w:r>
      <w:r w:rsidR="004B41A2" w:rsidRPr="00CA47B9">
        <w:t xml:space="preserve"> </w:t>
      </w:r>
      <w:r w:rsidR="00845BCB" w:rsidRPr="00CA47B9">
        <w:t>District</w:t>
      </w:r>
      <w:r w:rsidR="004B41A2" w:rsidRPr="00CA47B9">
        <w:t xml:space="preserve"> </w:t>
      </w:r>
      <w:r w:rsidR="00B0298E" w:rsidRPr="00CA47B9">
        <w:t>specific</w:t>
      </w:r>
      <w:r w:rsidR="004B41A2" w:rsidRPr="00CA47B9">
        <w:t xml:space="preserve"> </w:t>
      </w:r>
      <w:r w:rsidR="00B0298E" w:rsidRPr="00CA47B9">
        <w:t>growth</w:t>
      </w:r>
      <w:r w:rsidR="004B41A2" w:rsidRPr="00CA47B9">
        <w:t xml:space="preserve"> </w:t>
      </w:r>
      <w:r w:rsidR="00B0298E" w:rsidRPr="00CA47B9">
        <w:t>sectors.</w:t>
      </w:r>
      <w:r w:rsidR="004B41A2" w:rsidRPr="00CA47B9">
        <w:t xml:space="preserve"> </w:t>
      </w:r>
      <w:r w:rsidR="00B0298E" w:rsidRPr="00CA47B9">
        <w:t>The</w:t>
      </w:r>
      <w:r w:rsidR="004B41A2" w:rsidRPr="00CA47B9">
        <w:t xml:space="preserve"> </w:t>
      </w:r>
      <w:r w:rsidR="00B0298E" w:rsidRPr="00CA47B9">
        <w:t>uplift</w:t>
      </w:r>
      <w:r w:rsidR="004B41A2" w:rsidRPr="00CA47B9">
        <w:t xml:space="preserve"> </w:t>
      </w:r>
      <w:r w:rsidR="00B0298E" w:rsidRPr="00CA47B9">
        <w:t>increases</w:t>
      </w:r>
      <w:r w:rsidR="004B41A2" w:rsidRPr="00CA47B9">
        <w:t xml:space="preserve"> </w:t>
      </w:r>
      <w:r w:rsidR="00B0298E" w:rsidRPr="00CA47B9">
        <w:t>the</w:t>
      </w:r>
      <w:r w:rsidR="004B41A2" w:rsidRPr="00CA47B9">
        <w:t xml:space="preserve"> </w:t>
      </w:r>
      <w:r w:rsidR="00B0298E" w:rsidRPr="00CA47B9">
        <w:t>future</w:t>
      </w:r>
      <w:r w:rsidR="004B41A2" w:rsidRPr="00CA47B9">
        <w:t xml:space="preserve"> </w:t>
      </w:r>
      <w:r w:rsidR="00B0298E" w:rsidRPr="00CA47B9">
        <w:t>jobs</w:t>
      </w:r>
      <w:r w:rsidR="004B41A2" w:rsidRPr="00CA47B9">
        <w:t xml:space="preserve"> </w:t>
      </w:r>
      <w:r w:rsidR="00B0298E" w:rsidRPr="00CA47B9">
        <w:t>growth</w:t>
      </w:r>
      <w:r w:rsidR="004B41A2" w:rsidRPr="00CA47B9">
        <w:t xml:space="preserve"> </w:t>
      </w:r>
      <w:r w:rsidR="00B0298E" w:rsidRPr="00CA47B9">
        <w:t>in</w:t>
      </w:r>
      <w:r w:rsidR="004B41A2" w:rsidRPr="00CA47B9">
        <w:t xml:space="preserve"> </w:t>
      </w:r>
      <w:r w:rsidR="00B0298E" w:rsidRPr="00CA47B9">
        <w:t>these</w:t>
      </w:r>
      <w:r w:rsidR="004B41A2" w:rsidRPr="00CA47B9">
        <w:t xml:space="preserve"> </w:t>
      </w:r>
      <w:r w:rsidR="00B0298E" w:rsidRPr="00CA47B9">
        <w:t>sectors</w:t>
      </w:r>
      <w:r w:rsidR="004B41A2" w:rsidRPr="00CA47B9">
        <w:t xml:space="preserve"> </w:t>
      </w:r>
      <w:r w:rsidR="00B0298E" w:rsidRPr="00CA47B9">
        <w:t>(or</w:t>
      </w:r>
      <w:r w:rsidR="004B41A2" w:rsidRPr="00CA47B9">
        <w:t xml:space="preserve"> </w:t>
      </w:r>
      <w:r w:rsidR="00B0298E" w:rsidRPr="00CA47B9">
        <w:t>lowers</w:t>
      </w:r>
      <w:r w:rsidR="004B41A2" w:rsidRPr="00CA47B9">
        <w:t xml:space="preserve"> </w:t>
      </w:r>
      <w:r w:rsidR="00B0298E" w:rsidRPr="00CA47B9">
        <w:t>expected</w:t>
      </w:r>
      <w:r w:rsidR="004B41A2" w:rsidRPr="00CA47B9">
        <w:t xml:space="preserve"> </w:t>
      </w:r>
      <w:r w:rsidR="00B0298E" w:rsidRPr="00CA47B9">
        <w:t>reductions)</w:t>
      </w:r>
      <w:r w:rsidR="004B41A2" w:rsidRPr="00CA47B9">
        <w:t xml:space="preserve"> </w:t>
      </w:r>
      <w:r w:rsidR="004B34E0" w:rsidRPr="00CA47B9">
        <w:t>based</w:t>
      </w:r>
      <w:r w:rsidR="004B41A2" w:rsidRPr="00CA47B9">
        <w:t xml:space="preserve"> </w:t>
      </w:r>
      <w:r w:rsidR="004B34E0" w:rsidRPr="00CA47B9">
        <w:t>on</w:t>
      </w:r>
      <w:r w:rsidR="004B41A2" w:rsidRPr="00CA47B9">
        <w:t xml:space="preserve"> </w:t>
      </w:r>
      <w:r w:rsidR="004B34E0" w:rsidRPr="00CA47B9">
        <w:t>modelling</w:t>
      </w:r>
      <w:r w:rsidR="004B41A2" w:rsidRPr="00CA47B9">
        <w:t xml:space="preserve"> </w:t>
      </w:r>
      <w:r w:rsidR="004B34E0" w:rsidRPr="00CA47B9">
        <w:t>the</w:t>
      </w:r>
      <w:r w:rsidR="004B41A2" w:rsidRPr="00CA47B9">
        <w:t xml:space="preserve"> </w:t>
      </w:r>
      <w:r w:rsidR="004B34E0" w:rsidRPr="00CA47B9">
        <w:t>forecast</w:t>
      </w:r>
      <w:r w:rsidR="004B41A2" w:rsidRPr="00CA47B9">
        <w:t xml:space="preserve"> </w:t>
      </w:r>
      <w:r w:rsidR="004B34E0" w:rsidRPr="00CA47B9">
        <w:t>sectoral</w:t>
      </w:r>
      <w:r w:rsidR="004B41A2" w:rsidRPr="00CA47B9">
        <w:t xml:space="preserve"> </w:t>
      </w:r>
      <w:r w:rsidR="004B34E0" w:rsidRPr="00CA47B9">
        <w:t>performance</w:t>
      </w:r>
      <w:r w:rsidR="004B41A2" w:rsidRPr="00CA47B9">
        <w:t xml:space="preserve"> </w:t>
      </w:r>
      <w:r w:rsidR="004B34E0" w:rsidRPr="00CA47B9">
        <w:t>over</w:t>
      </w:r>
      <w:r w:rsidR="004B41A2" w:rsidRPr="00CA47B9">
        <w:t xml:space="preserve"> </w:t>
      </w:r>
      <w:r w:rsidR="004B34E0" w:rsidRPr="00CA47B9">
        <w:t>the</w:t>
      </w:r>
      <w:r w:rsidR="004B41A2" w:rsidRPr="00CA47B9">
        <w:t xml:space="preserve"> </w:t>
      </w:r>
      <w:r w:rsidRPr="00CA47B9">
        <w:t>P</w:t>
      </w:r>
      <w:r w:rsidR="004B34E0" w:rsidRPr="00CA47B9">
        <w:t>lan</w:t>
      </w:r>
      <w:r w:rsidR="004B41A2" w:rsidRPr="00CA47B9">
        <w:t xml:space="preserve"> </w:t>
      </w:r>
      <w:r w:rsidR="004B34E0" w:rsidRPr="00CA47B9">
        <w:t>period</w:t>
      </w:r>
      <w:r w:rsidR="004B41A2" w:rsidRPr="00CA47B9">
        <w:t xml:space="preserve"> </w:t>
      </w:r>
      <w:r w:rsidR="004B34E0" w:rsidRPr="00CA47B9">
        <w:t>to</w:t>
      </w:r>
      <w:r w:rsidR="004B41A2" w:rsidRPr="00CA47B9">
        <w:t xml:space="preserve"> </w:t>
      </w:r>
      <w:r w:rsidR="004B34E0" w:rsidRPr="00CA47B9">
        <w:t>better</w:t>
      </w:r>
      <w:r w:rsidR="004B41A2" w:rsidRPr="00CA47B9">
        <w:t xml:space="preserve"> </w:t>
      </w:r>
      <w:r w:rsidR="004B34E0" w:rsidRPr="00CA47B9">
        <w:t>reflect</w:t>
      </w:r>
      <w:r w:rsidR="004B41A2" w:rsidRPr="00CA47B9">
        <w:t xml:space="preserve"> </w:t>
      </w:r>
      <w:r w:rsidR="004B34E0" w:rsidRPr="00CA47B9">
        <w:t>the</w:t>
      </w:r>
      <w:r w:rsidR="004B41A2" w:rsidRPr="00CA47B9">
        <w:t xml:space="preserve"> </w:t>
      </w:r>
      <w:r w:rsidR="004B34E0" w:rsidRPr="00CA47B9">
        <w:lastRenderedPageBreak/>
        <w:t>historic</w:t>
      </w:r>
      <w:r w:rsidR="004B41A2" w:rsidRPr="00CA47B9">
        <w:t xml:space="preserve"> </w:t>
      </w:r>
      <w:r w:rsidR="004B34E0" w:rsidRPr="00CA47B9">
        <w:t>sectoral</w:t>
      </w:r>
      <w:r w:rsidR="004B41A2" w:rsidRPr="00CA47B9">
        <w:t xml:space="preserve"> </w:t>
      </w:r>
      <w:r w:rsidR="004B34E0" w:rsidRPr="00CA47B9">
        <w:t>performance</w:t>
      </w:r>
      <w:r w:rsidR="004B41A2" w:rsidRPr="00CA47B9">
        <w:t xml:space="preserve"> </w:t>
      </w:r>
      <w:r w:rsidR="004B34E0" w:rsidRPr="00CA47B9">
        <w:t>seen</w:t>
      </w:r>
      <w:r w:rsidR="004B41A2" w:rsidRPr="00CA47B9">
        <w:t xml:space="preserve"> </w:t>
      </w:r>
      <w:r w:rsidR="004B34E0" w:rsidRPr="00CA47B9">
        <w:t>in</w:t>
      </w:r>
      <w:r w:rsidR="004B41A2" w:rsidRPr="00CA47B9">
        <w:t xml:space="preserve"> </w:t>
      </w:r>
      <w:r w:rsidR="004B34E0" w:rsidRPr="00CA47B9">
        <w:t>the</w:t>
      </w:r>
      <w:r w:rsidR="004B41A2" w:rsidRPr="00CA47B9">
        <w:t xml:space="preserve"> </w:t>
      </w:r>
      <w:r w:rsidR="004B34E0" w:rsidRPr="00CA47B9">
        <w:t>District</w:t>
      </w:r>
      <w:r w:rsidR="004B41A2" w:rsidRPr="00CA47B9">
        <w:t xml:space="preserve"> </w:t>
      </w:r>
      <w:r w:rsidR="00644F70" w:rsidRPr="00CA47B9">
        <w:t>over</w:t>
      </w:r>
      <w:r w:rsidR="004B41A2" w:rsidRPr="00CA47B9">
        <w:t xml:space="preserve"> </w:t>
      </w:r>
      <w:r w:rsidR="00644F70" w:rsidRPr="00CA47B9">
        <w:t>the</w:t>
      </w:r>
      <w:r w:rsidR="004B41A2" w:rsidRPr="00CA47B9">
        <w:t xml:space="preserve"> </w:t>
      </w:r>
      <w:r w:rsidR="00644F70" w:rsidRPr="00CA47B9">
        <w:t>period</w:t>
      </w:r>
      <w:r w:rsidR="004B41A2" w:rsidRPr="00CA47B9">
        <w:t xml:space="preserve"> </w:t>
      </w:r>
      <w:r w:rsidR="00644F70" w:rsidRPr="00CA47B9">
        <w:t>1993-2010</w:t>
      </w:r>
      <w:r w:rsidR="00644F70" w:rsidRPr="00CA47B9">
        <w:rPr>
          <w:rStyle w:val="FootnoteReference"/>
          <w:color w:val="auto"/>
        </w:rPr>
        <w:footnoteReference w:id="8"/>
      </w:r>
      <w:r w:rsidR="00B0298E" w:rsidRPr="00CA47B9">
        <w:t>.</w:t>
      </w:r>
      <w:r w:rsidR="004B41A2" w:rsidRPr="00CA47B9">
        <w:t xml:space="preserve"> </w:t>
      </w:r>
      <w:r w:rsidR="00B0298E" w:rsidRPr="00CA47B9">
        <w:t>The</w:t>
      </w:r>
      <w:r w:rsidR="004B41A2" w:rsidRPr="00CA47B9">
        <w:t xml:space="preserve"> </w:t>
      </w:r>
      <w:r w:rsidR="00B0298E" w:rsidRPr="00CA47B9">
        <w:t>uplift</w:t>
      </w:r>
      <w:r w:rsidR="004B41A2" w:rsidRPr="00CA47B9">
        <w:t xml:space="preserve"> </w:t>
      </w:r>
      <w:r w:rsidR="00B0298E" w:rsidRPr="00CA47B9">
        <w:t>for</w:t>
      </w:r>
      <w:r w:rsidR="004B41A2" w:rsidRPr="00CA47B9">
        <w:t xml:space="preserve"> </w:t>
      </w:r>
      <w:r w:rsidR="00B0298E" w:rsidRPr="00CA47B9">
        <w:t>each</w:t>
      </w:r>
      <w:r w:rsidR="004B41A2" w:rsidRPr="00CA47B9">
        <w:t xml:space="preserve"> </w:t>
      </w:r>
      <w:r w:rsidR="00B0298E" w:rsidRPr="00CA47B9">
        <w:t>sector</w:t>
      </w:r>
      <w:r w:rsidR="004B41A2" w:rsidRPr="00CA47B9">
        <w:t xml:space="preserve"> </w:t>
      </w:r>
      <w:r w:rsidR="00B0298E" w:rsidRPr="00CA47B9">
        <w:t>is</w:t>
      </w:r>
      <w:r w:rsidR="004B41A2" w:rsidRPr="00CA47B9">
        <w:t xml:space="preserve"> </w:t>
      </w:r>
      <w:r w:rsidR="00B0298E" w:rsidRPr="00CA47B9">
        <w:t>set</w:t>
      </w:r>
      <w:r w:rsidR="004B41A2" w:rsidRPr="00CA47B9">
        <w:t xml:space="preserve"> </w:t>
      </w:r>
      <w:r w:rsidR="00B0298E" w:rsidRPr="00CA47B9">
        <w:t>out</w:t>
      </w:r>
      <w:r w:rsidR="004B41A2" w:rsidRPr="00CA47B9">
        <w:t xml:space="preserve"> </w:t>
      </w:r>
      <w:r w:rsidR="00B0298E" w:rsidRPr="00CA47B9">
        <w:t>in</w:t>
      </w:r>
      <w:r w:rsidR="004B41A2" w:rsidRPr="00CA47B9">
        <w:t xml:space="preserve"> </w:t>
      </w:r>
      <w:r w:rsidR="00AE0222" w:rsidRPr="00CA47B9">
        <w:t>Figure</w:t>
      </w:r>
      <w:r w:rsidR="004B41A2" w:rsidRPr="00CA47B9">
        <w:t xml:space="preserve"> </w:t>
      </w:r>
      <w:r w:rsidR="00442CA7">
        <w:t>32</w:t>
      </w:r>
      <w:r w:rsidR="00B0298E" w:rsidRPr="00CA47B9">
        <w:t>.</w:t>
      </w:r>
    </w:p>
    <w:p w:rsidR="0089491A" w:rsidRPr="00CA47B9" w:rsidRDefault="00B0298E" w:rsidP="00FC604D">
      <w:pPr>
        <w:pStyle w:val="FigureHeading"/>
        <w:tabs>
          <w:tab w:val="clear" w:pos="794"/>
          <w:tab w:val="clear" w:pos="1843"/>
          <w:tab w:val="left" w:pos="0"/>
        </w:tabs>
        <w:spacing w:line="240" w:lineRule="auto"/>
        <w:ind w:left="0" w:firstLine="0"/>
      </w:pPr>
      <w:r w:rsidRPr="00CA47B9">
        <w:t>Growth</w:t>
      </w:r>
      <w:r w:rsidR="004B41A2" w:rsidRPr="00CA47B9">
        <w:t xml:space="preserve"> </w:t>
      </w:r>
      <w:r w:rsidRPr="00CA47B9">
        <w:t>Sub-Sectors,</w:t>
      </w:r>
      <w:r w:rsidR="004B41A2" w:rsidRPr="00CA47B9">
        <w:t xml:space="preserve"> </w:t>
      </w:r>
      <w:r w:rsidR="000D25F4" w:rsidRPr="00CA47B9">
        <w:t>201</w:t>
      </w:r>
      <w:r w:rsidR="002B62FA">
        <w:t>9</w:t>
      </w:r>
      <w:r w:rsidRPr="00CA47B9">
        <w:t>-</w:t>
      </w:r>
      <w:r w:rsidR="000D25F4" w:rsidRPr="00CA47B9">
        <w:t>36</w:t>
      </w:r>
      <w:r w:rsidR="004F20D3" w:rsidRPr="00CA47B9">
        <w:t xml:space="preserve"> – Chichester District</w:t>
      </w:r>
    </w:p>
    <w:p w:rsidR="002B62FA" w:rsidRDefault="002B62FA" w:rsidP="00163B4B">
      <w:pPr>
        <w:pStyle w:val="11Bodytext"/>
        <w:numPr>
          <w:ilvl w:val="0"/>
          <w:numId w:val="0"/>
        </w:numPr>
        <w:spacing w:before="0" w:after="0" w:line="240" w:lineRule="auto"/>
        <w:rPr>
          <w:color w:val="auto"/>
        </w:rPr>
      </w:pPr>
      <w:r>
        <w:rPr>
          <w:noProof/>
          <w:lang w:eastAsia="en-GB"/>
        </w:rPr>
        <w:drawing>
          <wp:inline distT="0" distB="0" distL="0" distR="0" wp14:anchorId="75DD4209" wp14:editId="443B4742">
            <wp:extent cx="6141600" cy="4723200"/>
            <wp:effectExtent l="0" t="0" r="12065" b="20320"/>
            <wp:docPr id="1024" name="Chart 1024" descr="Bart chart comparing the annual growth rates by broad sector between the baseline and growth scenarios" title="Figure 32: Growth Sub-Sectors 2019-36 Chichester District">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D8FB12A-0993-494D-83F9-2CF429F573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1E5136" w:rsidRPr="00CA47B9" w:rsidRDefault="001E5136" w:rsidP="00FC604D">
      <w:pPr>
        <w:pStyle w:val="11Bodytext"/>
        <w:numPr>
          <w:ilvl w:val="0"/>
          <w:numId w:val="0"/>
        </w:numPr>
        <w:spacing w:before="0" w:after="0" w:line="240" w:lineRule="auto"/>
      </w:pPr>
      <w:r w:rsidRPr="00CA47B9">
        <w:t>Source:</w:t>
      </w:r>
      <w:r w:rsidR="004B41A2" w:rsidRPr="00CA47B9">
        <w:t xml:space="preserve"> </w:t>
      </w:r>
      <w:r w:rsidRPr="00CA47B9">
        <w:t>Oxford</w:t>
      </w:r>
      <w:r w:rsidR="004B41A2" w:rsidRPr="00CA47B9">
        <w:t xml:space="preserve"> </w:t>
      </w:r>
      <w:r w:rsidRPr="00CA47B9">
        <w:t>Economics,</w:t>
      </w:r>
      <w:r w:rsidR="004B41A2" w:rsidRPr="00CA47B9">
        <w:t xml:space="preserve"> </w:t>
      </w:r>
      <w:r w:rsidRPr="00CA47B9">
        <w:t>201</w:t>
      </w:r>
      <w:r w:rsidR="001E1093" w:rsidRPr="00CA47B9">
        <w:t>9</w:t>
      </w:r>
    </w:p>
    <w:p w:rsidR="00B0298E" w:rsidRPr="00CA47B9" w:rsidRDefault="00AE0222" w:rsidP="000C05B0">
      <w:pPr>
        <w:pStyle w:val="11Bodytext"/>
        <w:tabs>
          <w:tab w:val="clear" w:pos="2212"/>
          <w:tab w:val="num" w:pos="567"/>
        </w:tabs>
        <w:ind w:left="567" w:hanging="567"/>
      </w:pPr>
      <w:r w:rsidRPr="00CA47B9">
        <w:t>Table</w:t>
      </w:r>
      <w:r w:rsidR="004B41A2" w:rsidRPr="00CA47B9">
        <w:t xml:space="preserve"> </w:t>
      </w:r>
      <w:r w:rsidR="00BD10C9">
        <w:t>1</w:t>
      </w:r>
      <w:r w:rsidR="000C5E9C">
        <w:t>7</w:t>
      </w:r>
      <w:r w:rsidR="004B41A2" w:rsidRPr="00CA47B9">
        <w:t xml:space="preserve"> </w:t>
      </w:r>
      <w:r w:rsidR="00B0298E" w:rsidRPr="00CA47B9">
        <w:t>shows</w:t>
      </w:r>
      <w:r w:rsidR="004B41A2" w:rsidRPr="00CA47B9">
        <w:t xml:space="preserve"> </w:t>
      </w:r>
      <w:r w:rsidR="00B0298E" w:rsidRPr="00CA47B9">
        <w:t>the</w:t>
      </w:r>
      <w:r w:rsidR="004B41A2" w:rsidRPr="00CA47B9">
        <w:t xml:space="preserve"> </w:t>
      </w:r>
      <w:r w:rsidR="00B0298E" w:rsidRPr="00CA47B9">
        <w:t>sectoral</w:t>
      </w:r>
      <w:r w:rsidR="004B41A2" w:rsidRPr="00CA47B9">
        <w:t xml:space="preserve"> </w:t>
      </w:r>
      <w:r w:rsidR="00B0298E" w:rsidRPr="00CA47B9">
        <w:t>jobs</w:t>
      </w:r>
      <w:r w:rsidR="004B41A2" w:rsidRPr="00CA47B9">
        <w:t xml:space="preserve"> </w:t>
      </w:r>
      <w:r w:rsidR="00B0298E" w:rsidRPr="00CA47B9">
        <w:t>growth</w:t>
      </w:r>
      <w:r w:rsidR="004B41A2" w:rsidRPr="00CA47B9">
        <w:t xml:space="preserve"> </w:t>
      </w:r>
      <w:r w:rsidR="00B0298E" w:rsidRPr="00CA47B9">
        <w:t>for</w:t>
      </w:r>
      <w:r w:rsidR="004B41A2" w:rsidRPr="00CA47B9">
        <w:t xml:space="preserve"> </w:t>
      </w:r>
      <w:r w:rsidR="00B0298E" w:rsidRPr="00CA47B9">
        <w:t>the</w:t>
      </w:r>
      <w:r w:rsidR="004B41A2" w:rsidRPr="00CA47B9">
        <w:t xml:space="preserve"> </w:t>
      </w:r>
      <w:r w:rsidR="00B0298E" w:rsidRPr="00CA47B9">
        <w:t>Baseline</w:t>
      </w:r>
      <w:r w:rsidR="004B41A2" w:rsidRPr="00CA47B9">
        <w:t xml:space="preserve"> </w:t>
      </w:r>
      <w:r w:rsidR="00B0298E" w:rsidRPr="00CA47B9">
        <w:t>and</w:t>
      </w:r>
      <w:r w:rsidR="004B41A2" w:rsidRPr="00CA47B9">
        <w:t xml:space="preserve"> </w:t>
      </w:r>
      <w:r w:rsidR="00B0298E" w:rsidRPr="00CA47B9">
        <w:t>the</w:t>
      </w:r>
      <w:r w:rsidR="004B41A2" w:rsidRPr="00CA47B9">
        <w:t xml:space="preserve"> </w:t>
      </w:r>
      <w:r w:rsidR="00B0298E" w:rsidRPr="00CA47B9">
        <w:t>Growth</w:t>
      </w:r>
      <w:r w:rsidR="004B41A2" w:rsidRPr="00CA47B9">
        <w:t xml:space="preserve"> </w:t>
      </w:r>
      <w:r w:rsidR="00B0298E" w:rsidRPr="00CA47B9">
        <w:t>scenarios</w:t>
      </w:r>
      <w:r w:rsidR="004B41A2" w:rsidRPr="00CA47B9">
        <w:t xml:space="preserve"> </w:t>
      </w:r>
      <w:r w:rsidR="00B0298E" w:rsidRPr="00CA47B9">
        <w:t>over</w:t>
      </w:r>
      <w:r w:rsidR="004B41A2" w:rsidRPr="00CA47B9">
        <w:t xml:space="preserve"> </w:t>
      </w:r>
      <w:r w:rsidR="00B0298E" w:rsidRPr="00CA47B9">
        <w:t>the</w:t>
      </w:r>
      <w:r w:rsidR="004B41A2" w:rsidRPr="00CA47B9">
        <w:t xml:space="preserve"> </w:t>
      </w:r>
      <w:r w:rsidR="00B0298E" w:rsidRPr="00CA47B9">
        <w:t>period</w:t>
      </w:r>
      <w:r w:rsidR="004B41A2" w:rsidRPr="00CA47B9">
        <w:t xml:space="preserve"> </w:t>
      </w:r>
      <w:r w:rsidR="00B0298E" w:rsidRPr="00CA47B9">
        <w:t>from</w:t>
      </w:r>
      <w:r w:rsidR="004B41A2" w:rsidRPr="00CA47B9">
        <w:t xml:space="preserve"> </w:t>
      </w:r>
      <w:r w:rsidR="000D25F4" w:rsidRPr="00CA47B9">
        <w:t>201</w:t>
      </w:r>
      <w:r w:rsidR="000C5E9C">
        <w:t>9</w:t>
      </w:r>
      <w:r w:rsidR="00B0298E" w:rsidRPr="00CA47B9">
        <w:t>-36.</w:t>
      </w:r>
      <w:r w:rsidR="004B41A2" w:rsidRPr="00CA47B9">
        <w:t xml:space="preserve"> </w:t>
      </w:r>
      <w:r w:rsidR="00B0298E" w:rsidRPr="00CA47B9">
        <w:t>Both</w:t>
      </w:r>
      <w:r w:rsidR="004B41A2" w:rsidRPr="00CA47B9">
        <w:t xml:space="preserve"> </w:t>
      </w:r>
      <w:r w:rsidR="00B0298E" w:rsidRPr="00CA47B9">
        <w:t>scenarios</w:t>
      </w:r>
      <w:r w:rsidR="004B41A2" w:rsidRPr="00CA47B9">
        <w:t xml:space="preserve"> </w:t>
      </w:r>
      <w:r w:rsidR="00B0298E" w:rsidRPr="00CA47B9">
        <w:t>show</w:t>
      </w:r>
      <w:r w:rsidR="004B41A2" w:rsidRPr="00CA47B9">
        <w:t xml:space="preserve"> </w:t>
      </w:r>
      <w:r w:rsidR="00B0298E" w:rsidRPr="00CA47B9">
        <w:t>the</w:t>
      </w:r>
      <w:r w:rsidR="004B41A2" w:rsidRPr="00CA47B9">
        <w:t xml:space="preserve"> </w:t>
      </w:r>
      <w:r w:rsidR="00B0298E" w:rsidRPr="00CA47B9">
        <w:t>largest</w:t>
      </w:r>
      <w:r w:rsidR="004B41A2" w:rsidRPr="00CA47B9">
        <w:t xml:space="preserve"> </w:t>
      </w:r>
      <w:r w:rsidR="00B0298E" w:rsidRPr="00CA47B9">
        <w:t>growth</w:t>
      </w:r>
      <w:r w:rsidR="004B41A2" w:rsidRPr="00CA47B9">
        <w:t xml:space="preserve"> </w:t>
      </w:r>
      <w:r w:rsidR="00B0298E" w:rsidRPr="00CA47B9">
        <w:t>sectors</w:t>
      </w:r>
      <w:r w:rsidR="004B41A2" w:rsidRPr="00CA47B9">
        <w:t xml:space="preserve"> </w:t>
      </w:r>
      <w:r w:rsidR="00B0298E" w:rsidRPr="00CA47B9">
        <w:t>are</w:t>
      </w:r>
      <w:r w:rsidR="004B41A2" w:rsidRPr="00CA47B9">
        <w:t xml:space="preserve"> </w:t>
      </w:r>
      <w:r w:rsidR="00B0298E" w:rsidRPr="00CA47B9">
        <w:t>Wholesale</w:t>
      </w:r>
      <w:r w:rsidR="004B41A2" w:rsidRPr="00CA47B9">
        <w:t xml:space="preserve"> </w:t>
      </w:r>
      <w:r w:rsidR="00B0298E" w:rsidRPr="00CA47B9">
        <w:t>and</w:t>
      </w:r>
      <w:r w:rsidR="004B41A2" w:rsidRPr="00CA47B9">
        <w:t xml:space="preserve"> </w:t>
      </w:r>
      <w:r w:rsidR="00B0298E" w:rsidRPr="00CA47B9">
        <w:t>retail</w:t>
      </w:r>
      <w:r w:rsidR="004B41A2" w:rsidRPr="00CA47B9">
        <w:t xml:space="preserve"> </w:t>
      </w:r>
      <w:r w:rsidR="00B0298E" w:rsidRPr="00CA47B9">
        <w:t>trade,</w:t>
      </w:r>
      <w:r w:rsidR="004B41A2" w:rsidRPr="00CA47B9">
        <w:t xml:space="preserve"> </w:t>
      </w:r>
      <w:r w:rsidR="00855CA6">
        <w:t>a</w:t>
      </w:r>
      <w:r w:rsidR="00855CA6" w:rsidRPr="00CA47B9">
        <w:t xml:space="preserve">ccommodation </w:t>
      </w:r>
      <w:r w:rsidR="00B0298E" w:rsidRPr="00CA47B9">
        <w:t>and</w:t>
      </w:r>
      <w:r w:rsidR="004B41A2" w:rsidRPr="00CA47B9">
        <w:t xml:space="preserve"> </w:t>
      </w:r>
      <w:r w:rsidR="00B0298E" w:rsidRPr="00CA47B9">
        <w:t>food</w:t>
      </w:r>
      <w:r w:rsidR="004B41A2" w:rsidRPr="00CA47B9">
        <w:t xml:space="preserve"> </w:t>
      </w:r>
      <w:r w:rsidR="00B0298E" w:rsidRPr="00CA47B9">
        <w:t>services,</w:t>
      </w:r>
      <w:r w:rsidR="004B41A2" w:rsidRPr="00CA47B9">
        <w:t xml:space="preserve"> </w:t>
      </w:r>
      <w:r w:rsidR="00B0298E" w:rsidRPr="00CA47B9">
        <w:t>Professional</w:t>
      </w:r>
      <w:r w:rsidR="004B41A2" w:rsidRPr="00CA47B9">
        <w:t xml:space="preserve"> </w:t>
      </w:r>
      <w:r w:rsidR="00B0298E" w:rsidRPr="00CA47B9">
        <w:t>and</w:t>
      </w:r>
      <w:r w:rsidR="004B41A2" w:rsidRPr="00CA47B9">
        <w:t xml:space="preserve"> </w:t>
      </w:r>
      <w:r w:rsidR="00B0298E" w:rsidRPr="00CA47B9">
        <w:t>scientific</w:t>
      </w:r>
      <w:r w:rsidR="004B41A2" w:rsidRPr="00CA47B9">
        <w:t xml:space="preserve"> </w:t>
      </w:r>
      <w:r w:rsidR="00B0298E" w:rsidRPr="00CA47B9">
        <w:t>services,</w:t>
      </w:r>
      <w:r w:rsidR="004B41A2" w:rsidRPr="00CA47B9">
        <w:t xml:space="preserve"> </w:t>
      </w:r>
      <w:r w:rsidR="000D25F4" w:rsidRPr="00CA47B9">
        <w:t>Business</w:t>
      </w:r>
      <w:r w:rsidR="004B41A2" w:rsidRPr="00CA47B9">
        <w:t xml:space="preserve"> </w:t>
      </w:r>
      <w:r w:rsidR="000D25F4" w:rsidRPr="00CA47B9">
        <w:t>Support</w:t>
      </w:r>
      <w:r w:rsidR="004B41A2" w:rsidRPr="00CA47B9">
        <w:t xml:space="preserve"> </w:t>
      </w:r>
      <w:r w:rsidR="000D25F4" w:rsidRPr="00CA47B9">
        <w:t>Services,</w:t>
      </w:r>
      <w:r w:rsidR="004B41A2" w:rsidRPr="00CA47B9">
        <w:t xml:space="preserve"> </w:t>
      </w:r>
      <w:r w:rsidR="000D25F4" w:rsidRPr="00CA47B9">
        <w:t>Education</w:t>
      </w:r>
      <w:r w:rsidR="004B41A2" w:rsidRPr="00CA47B9">
        <w:t xml:space="preserve"> </w:t>
      </w:r>
      <w:r w:rsidR="00B0298E" w:rsidRPr="00CA47B9">
        <w:t>and</w:t>
      </w:r>
      <w:r w:rsidR="004B41A2" w:rsidRPr="00CA47B9">
        <w:t xml:space="preserve"> </w:t>
      </w:r>
      <w:r w:rsidR="00B0298E" w:rsidRPr="00CA47B9">
        <w:t>Health.</w:t>
      </w:r>
      <w:r w:rsidR="004B41A2" w:rsidRPr="00CA47B9">
        <w:t xml:space="preserve"> </w:t>
      </w:r>
    </w:p>
    <w:p w:rsidR="00B0298E" w:rsidRPr="00CA47B9" w:rsidRDefault="00B0298E" w:rsidP="000C05B0">
      <w:pPr>
        <w:pStyle w:val="11Bodytext"/>
        <w:tabs>
          <w:tab w:val="clear" w:pos="2212"/>
          <w:tab w:val="num" w:pos="567"/>
        </w:tabs>
        <w:ind w:left="567" w:hanging="567"/>
      </w:pPr>
      <w:r w:rsidRPr="00CA47B9">
        <w:t>The</w:t>
      </w:r>
      <w:r w:rsidR="004B41A2" w:rsidRPr="00CA47B9">
        <w:t xml:space="preserve"> </w:t>
      </w:r>
      <w:r w:rsidRPr="00CA47B9">
        <w:t>sectors</w:t>
      </w:r>
      <w:r w:rsidR="004B41A2" w:rsidRPr="00CA47B9">
        <w:t xml:space="preserve"> </w:t>
      </w:r>
      <w:r w:rsidRPr="00CA47B9">
        <w:t>which</w:t>
      </w:r>
      <w:r w:rsidR="004B41A2" w:rsidRPr="00CA47B9">
        <w:t xml:space="preserve"> </w:t>
      </w:r>
      <w:r w:rsidRPr="00CA47B9">
        <w:t>are</w:t>
      </w:r>
      <w:r w:rsidR="004B41A2" w:rsidRPr="00CA47B9">
        <w:t xml:space="preserve"> </w:t>
      </w:r>
      <w:r w:rsidRPr="00CA47B9">
        <w:t>uplifted</w:t>
      </w:r>
      <w:r w:rsidR="004B41A2" w:rsidRPr="00CA47B9">
        <w:t xml:space="preserve"> </w:t>
      </w:r>
      <w:r w:rsidRPr="00CA47B9">
        <w:t>in</w:t>
      </w:r>
      <w:r w:rsidR="004B41A2" w:rsidRPr="00CA47B9">
        <w:t xml:space="preserve"> </w:t>
      </w:r>
      <w:r w:rsidRPr="00CA47B9">
        <w:t>the</w:t>
      </w:r>
      <w:r w:rsidR="004B41A2" w:rsidRPr="00CA47B9">
        <w:t xml:space="preserve"> </w:t>
      </w:r>
      <w:r w:rsidRPr="00CA47B9">
        <w:t>Growth</w:t>
      </w:r>
      <w:r w:rsidR="004B41A2" w:rsidRPr="00CA47B9">
        <w:t xml:space="preserve"> </w:t>
      </w:r>
      <w:r w:rsidRPr="00CA47B9">
        <w:t>scenario</w:t>
      </w:r>
      <w:r w:rsidR="00392C9F">
        <w:t xml:space="preserve"> in table 17 below</w:t>
      </w:r>
      <w:r w:rsidR="004B41A2" w:rsidRPr="00CA47B9">
        <w:t xml:space="preserve"> </w:t>
      </w:r>
      <w:r w:rsidRPr="00CA47B9">
        <w:t>are</w:t>
      </w:r>
      <w:r w:rsidR="004B41A2" w:rsidRPr="00CA47B9">
        <w:t xml:space="preserve"> </w:t>
      </w:r>
      <w:r w:rsidRPr="00CA47B9">
        <w:t>highlighted</w:t>
      </w:r>
      <w:r w:rsidR="004B41A2" w:rsidRPr="00CA47B9">
        <w:t xml:space="preserve"> </w:t>
      </w:r>
      <w:r w:rsidRPr="00CA47B9">
        <w:t>in</w:t>
      </w:r>
      <w:r w:rsidR="004B41A2" w:rsidRPr="00CA47B9">
        <w:t xml:space="preserve"> </w:t>
      </w:r>
      <w:r w:rsidRPr="00CA47B9">
        <w:t>green.</w:t>
      </w:r>
      <w:r w:rsidR="004B41A2" w:rsidRPr="00CA47B9">
        <w:t xml:space="preserve"> </w:t>
      </w:r>
      <w:r w:rsidRPr="00CA47B9">
        <w:t>The</w:t>
      </w:r>
      <w:r w:rsidR="004B41A2" w:rsidRPr="00CA47B9">
        <w:t xml:space="preserve"> </w:t>
      </w:r>
      <w:r w:rsidRPr="00CA47B9">
        <w:t>sectors</w:t>
      </w:r>
      <w:r w:rsidR="004B41A2" w:rsidRPr="00CA47B9">
        <w:t xml:space="preserve"> </w:t>
      </w:r>
      <w:r w:rsidRPr="00CA47B9">
        <w:t>with</w:t>
      </w:r>
      <w:r w:rsidR="004B41A2" w:rsidRPr="00CA47B9">
        <w:t xml:space="preserve"> </w:t>
      </w:r>
      <w:r w:rsidRPr="00CA47B9">
        <w:t>the</w:t>
      </w:r>
      <w:r w:rsidR="004B41A2" w:rsidRPr="00CA47B9">
        <w:t xml:space="preserve"> </w:t>
      </w:r>
      <w:r w:rsidRPr="00CA47B9">
        <w:t>largest</w:t>
      </w:r>
      <w:r w:rsidR="004B41A2" w:rsidRPr="00CA47B9">
        <w:t xml:space="preserve"> </w:t>
      </w:r>
      <w:r w:rsidRPr="00CA47B9">
        <w:t>increase</w:t>
      </w:r>
      <w:r w:rsidR="004B41A2" w:rsidRPr="00CA47B9">
        <w:t xml:space="preserve"> </w:t>
      </w:r>
      <w:r w:rsidRPr="00CA47B9">
        <w:t>in</w:t>
      </w:r>
      <w:r w:rsidR="004B41A2" w:rsidRPr="00CA47B9">
        <w:t xml:space="preserve"> </w:t>
      </w:r>
      <w:r w:rsidRPr="00CA47B9">
        <w:t>jobs</w:t>
      </w:r>
      <w:r w:rsidR="004B41A2" w:rsidRPr="00CA47B9">
        <w:t xml:space="preserve"> </w:t>
      </w:r>
      <w:r w:rsidRPr="00CA47B9">
        <w:t>growth</w:t>
      </w:r>
      <w:r w:rsidR="004B41A2" w:rsidRPr="00CA47B9">
        <w:t xml:space="preserve"> </w:t>
      </w:r>
      <w:r w:rsidRPr="00CA47B9">
        <w:t>in</w:t>
      </w:r>
      <w:r w:rsidR="004B41A2" w:rsidRPr="00CA47B9">
        <w:t xml:space="preserve"> </w:t>
      </w:r>
      <w:r w:rsidRPr="00CA47B9">
        <w:t>the</w:t>
      </w:r>
      <w:r w:rsidR="004B41A2" w:rsidRPr="00CA47B9">
        <w:t xml:space="preserve"> </w:t>
      </w:r>
      <w:r w:rsidRPr="00CA47B9">
        <w:lastRenderedPageBreak/>
        <w:t>Growth</w:t>
      </w:r>
      <w:r w:rsidR="004B41A2" w:rsidRPr="00CA47B9">
        <w:t xml:space="preserve"> </w:t>
      </w:r>
      <w:r w:rsidRPr="00CA47B9">
        <w:t>Scenario</w:t>
      </w:r>
      <w:r w:rsidR="004B41A2" w:rsidRPr="00CA47B9">
        <w:t xml:space="preserve"> </w:t>
      </w:r>
      <w:r w:rsidRPr="00CA47B9">
        <w:t>are</w:t>
      </w:r>
      <w:r w:rsidR="004B41A2" w:rsidRPr="00CA47B9">
        <w:t xml:space="preserve"> </w:t>
      </w:r>
      <w:r w:rsidR="000D25F4" w:rsidRPr="00CA47B9">
        <w:t>Wholesale</w:t>
      </w:r>
      <w:r w:rsidR="004B41A2" w:rsidRPr="00CA47B9">
        <w:t xml:space="preserve"> </w:t>
      </w:r>
      <w:r w:rsidR="000D25F4" w:rsidRPr="00CA47B9">
        <w:t>and</w:t>
      </w:r>
      <w:r w:rsidR="004B41A2" w:rsidRPr="00CA47B9">
        <w:t xml:space="preserve"> </w:t>
      </w:r>
      <w:r w:rsidR="000D25F4" w:rsidRPr="00CA47B9">
        <w:t>Retail</w:t>
      </w:r>
      <w:r w:rsidR="004B41A2" w:rsidRPr="00CA47B9">
        <w:t xml:space="preserve"> </w:t>
      </w:r>
      <w:r w:rsidR="000D25F4" w:rsidRPr="00CA47B9">
        <w:t>(</w:t>
      </w:r>
      <w:r w:rsidR="00F21840">
        <w:t>7</w:t>
      </w:r>
      <w:r w:rsidR="000D25F4" w:rsidRPr="00CA47B9">
        <w:t>00</w:t>
      </w:r>
      <w:r w:rsidR="004B41A2" w:rsidRPr="00CA47B9">
        <w:t xml:space="preserve"> </w:t>
      </w:r>
      <w:r w:rsidR="000D25F4" w:rsidRPr="00CA47B9">
        <w:t>additional</w:t>
      </w:r>
      <w:r w:rsidR="004B41A2" w:rsidRPr="00CA47B9">
        <w:t xml:space="preserve"> </w:t>
      </w:r>
      <w:r w:rsidR="000D25F4" w:rsidRPr="00CA47B9">
        <w:t>jobs)</w:t>
      </w:r>
      <w:r w:rsidR="004B41A2" w:rsidRPr="00CA47B9">
        <w:t xml:space="preserve"> </w:t>
      </w:r>
      <w:r w:rsidRPr="00CA47B9">
        <w:t>Accommodation</w:t>
      </w:r>
      <w:r w:rsidR="004B41A2" w:rsidRPr="00CA47B9">
        <w:t xml:space="preserve"> </w:t>
      </w:r>
      <w:r w:rsidRPr="00CA47B9">
        <w:t>and</w:t>
      </w:r>
      <w:r w:rsidR="004B41A2" w:rsidRPr="00CA47B9">
        <w:t xml:space="preserve"> </w:t>
      </w:r>
      <w:r w:rsidRPr="00CA47B9">
        <w:t>food</w:t>
      </w:r>
      <w:r w:rsidR="004B41A2" w:rsidRPr="00CA47B9">
        <w:t xml:space="preserve"> </w:t>
      </w:r>
      <w:r w:rsidRPr="00CA47B9">
        <w:t>services</w:t>
      </w:r>
      <w:r w:rsidR="004B41A2" w:rsidRPr="00CA47B9">
        <w:t xml:space="preserve"> </w:t>
      </w:r>
      <w:r w:rsidRPr="00CA47B9">
        <w:t>(</w:t>
      </w:r>
      <w:r w:rsidR="000D25F4" w:rsidRPr="00CA47B9">
        <w:t>2</w:t>
      </w:r>
      <w:r w:rsidRPr="00CA47B9">
        <w:t>,</w:t>
      </w:r>
      <w:r w:rsidR="00F21840">
        <w:t>0</w:t>
      </w:r>
      <w:r w:rsidRPr="00CA47B9">
        <w:t>00</w:t>
      </w:r>
      <w:r w:rsidR="004B41A2" w:rsidRPr="00CA47B9">
        <w:t xml:space="preserve"> </w:t>
      </w:r>
      <w:r w:rsidRPr="00CA47B9">
        <w:t>additional</w:t>
      </w:r>
      <w:r w:rsidR="004B41A2" w:rsidRPr="00CA47B9">
        <w:t xml:space="preserve"> </w:t>
      </w:r>
      <w:r w:rsidRPr="00CA47B9">
        <w:t>jobs),</w:t>
      </w:r>
      <w:r w:rsidR="004B41A2" w:rsidRPr="00CA47B9">
        <w:t xml:space="preserve"> </w:t>
      </w:r>
      <w:r w:rsidRPr="00CA47B9">
        <w:t>Manufacturing</w:t>
      </w:r>
      <w:r w:rsidR="004B41A2" w:rsidRPr="00CA47B9">
        <w:t xml:space="preserve"> </w:t>
      </w:r>
      <w:r w:rsidRPr="00CA47B9">
        <w:t>(</w:t>
      </w:r>
      <w:r w:rsidR="001E1093" w:rsidRPr="00CA47B9">
        <w:t xml:space="preserve">reduction in forecast losses from </w:t>
      </w:r>
      <w:r w:rsidR="00F21840">
        <w:t>1,4</w:t>
      </w:r>
      <w:r w:rsidR="001E1093" w:rsidRPr="00CA47B9">
        <w:t>00 to</w:t>
      </w:r>
      <w:r w:rsidR="004B41A2" w:rsidRPr="00CA47B9">
        <w:t xml:space="preserve"> </w:t>
      </w:r>
      <w:r w:rsidRPr="00CA47B9">
        <w:t>a</w:t>
      </w:r>
      <w:r w:rsidR="004B41A2" w:rsidRPr="00CA47B9">
        <w:t xml:space="preserve"> </w:t>
      </w:r>
      <w:r w:rsidRPr="00CA47B9">
        <w:t>loss</w:t>
      </w:r>
      <w:r w:rsidR="004B41A2" w:rsidRPr="00CA47B9">
        <w:t xml:space="preserve"> </w:t>
      </w:r>
      <w:r w:rsidRPr="00CA47B9">
        <w:t>of</w:t>
      </w:r>
      <w:r w:rsidR="004B41A2" w:rsidRPr="00CA47B9">
        <w:t xml:space="preserve"> </w:t>
      </w:r>
      <w:r w:rsidR="005512B6">
        <w:t>2</w:t>
      </w:r>
      <w:r w:rsidR="00FD7869" w:rsidRPr="00CA47B9">
        <w:t>00</w:t>
      </w:r>
      <w:r w:rsidRPr="00CA47B9">
        <w:t>),</w:t>
      </w:r>
      <w:r w:rsidR="004B41A2" w:rsidRPr="00CA47B9">
        <w:t xml:space="preserve"> </w:t>
      </w:r>
      <w:r w:rsidRPr="00CA47B9">
        <w:t>and</w:t>
      </w:r>
      <w:r w:rsidR="004B41A2" w:rsidRPr="00CA47B9">
        <w:t xml:space="preserve"> </w:t>
      </w:r>
      <w:r w:rsidRPr="00CA47B9">
        <w:t>Education</w:t>
      </w:r>
      <w:r w:rsidR="004B41A2" w:rsidRPr="00CA47B9">
        <w:t xml:space="preserve"> </w:t>
      </w:r>
      <w:r w:rsidRPr="00CA47B9">
        <w:t>(</w:t>
      </w:r>
      <w:r w:rsidR="00F21840">
        <w:t>8</w:t>
      </w:r>
      <w:r w:rsidR="00FD7869" w:rsidRPr="00CA47B9">
        <w:t>00</w:t>
      </w:r>
      <w:r w:rsidR="004B41A2" w:rsidRPr="00CA47B9">
        <w:t xml:space="preserve"> </w:t>
      </w:r>
      <w:r w:rsidRPr="00CA47B9">
        <w:t>additional</w:t>
      </w:r>
      <w:r w:rsidR="004B41A2" w:rsidRPr="00CA47B9">
        <w:t xml:space="preserve"> </w:t>
      </w:r>
      <w:r w:rsidRPr="00CA47B9">
        <w:t>jobs).</w:t>
      </w:r>
      <w:r w:rsidR="004B41A2" w:rsidRPr="00CA47B9">
        <w:t xml:space="preserve"> </w:t>
      </w:r>
    </w:p>
    <w:p w:rsidR="000D25F4" w:rsidRPr="004F4DBD" w:rsidRDefault="000D25F4" w:rsidP="000C05B0">
      <w:pPr>
        <w:pStyle w:val="11Bodytext"/>
        <w:tabs>
          <w:tab w:val="clear" w:pos="2212"/>
          <w:tab w:val="num" w:pos="567"/>
        </w:tabs>
        <w:ind w:left="567" w:hanging="567"/>
        <w:rPr>
          <w:b/>
        </w:rPr>
      </w:pPr>
      <w:bookmarkStart w:id="118" w:name="_Toc466513521"/>
      <w:bookmarkStart w:id="119" w:name="_Toc471487045"/>
      <w:r w:rsidRPr="00CA47B9">
        <w:t>The</w:t>
      </w:r>
      <w:r w:rsidR="004B41A2" w:rsidRPr="00CA47B9">
        <w:t xml:space="preserve"> </w:t>
      </w:r>
      <w:r w:rsidRPr="00CA47B9">
        <w:t>adjusted</w:t>
      </w:r>
      <w:r w:rsidR="004B41A2" w:rsidRPr="00CA47B9">
        <w:t xml:space="preserve"> </w:t>
      </w:r>
      <w:r w:rsidRPr="00CA47B9">
        <w:t>scenario</w:t>
      </w:r>
      <w:r w:rsidR="004B41A2" w:rsidRPr="00CA47B9">
        <w:t xml:space="preserve"> </w:t>
      </w:r>
      <w:r w:rsidRPr="00CA47B9">
        <w:t>results</w:t>
      </w:r>
      <w:r w:rsidR="004B41A2" w:rsidRPr="00CA47B9">
        <w:t xml:space="preserve"> </w:t>
      </w:r>
      <w:r w:rsidRPr="00CA47B9">
        <w:t>in</w:t>
      </w:r>
      <w:r w:rsidR="004B41A2" w:rsidRPr="00CA47B9">
        <w:t xml:space="preserve"> </w:t>
      </w:r>
      <w:r w:rsidRPr="00CA47B9">
        <w:t>additional</w:t>
      </w:r>
      <w:r w:rsidR="004B41A2" w:rsidRPr="00CA47B9">
        <w:t xml:space="preserve"> </w:t>
      </w:r>
      <w:r w:rsidRPr="00CA47B9">
        <w:t>employment</w:t>
      </w:r>
      <w:r w:rsidR="004B41A2" w:rsidRPr="00CA47B9">
        <w:t xml:space="preserve"> </w:t>
      </w:r>
      <w:r w:rsidRPr="00CA47B9">
        <w:t>growth</w:t>
      </w:r>
      <w:r w:rsidR="004B41A2" w:rsidRPr="00CA47B9">
        <w:t xml:space="preserve"> </w:t>
      </w:r>
      <w:r w:rsidRPr="00CA47B9">
        <w:t>of</w:t>
      </w:r>
      <w:r w:rsidR="004B41A2" w:rsidRPr="00CA47B9">
        <w:t xml:space="preserve"> </w:t>
      </w:r>
      <w:r w:rsidR="00FD7869" w:rsidRPr="00CA47B9">
        <w:t>5,</w:t>
      </w:r>
      <w:r w:rsidR="005512B6">
        <w:t>8</w:t>
      </w:r>
      <w:r w:rsidR="00FD7869" w:rsidRPr="00CA47B9">
        <w:t xml:space="preserve">00 </w:t>
      </w:r>
      <w:r w:rsidRPr="00CA47B9">
        <w:t>jobs</w:t>
      </w:r>
      <w:r w:rsidR="004B41A2" w:rsidRPr="00CA47B9">
        <w:t xml:space="preserve"> </w:t>
      </w:r>
      <w:r w:rsidRPr="00CA47B9">
        <w:t>above</w:t>
      </w:r>
      <w:r w:rsidR="004B41A2" w:rsidRPr="00CA47B9">
        <w:t xml:space="preserve"> </w:t>
      </w:r>
      <w:r w:rsidRPr="00CA47B9">
        <w:t>the</w:t>
      </w:r>
      <w:r w:rsidR="004B41A2" w:rsidRPr="00CA47B9">
        <w:t xml:space="preserve"> </w:t>
      </w:r>
      <w:r w:rsidRPr="00CA47B9">
        <w:t>Baseline</w:t>
      </w:r>
      <w:r w:rsidR="004B41A2" w:rsidRPr="00CA47B9">
        <w:t xml:space="preserve"> </w:t>
      </w:r>
      <w:r w:rsidRPr="00CA47B9">
        <w:t>Scenario</w:t>
      </w:r>
      <w:r w:rsidR="004B41A2" w:rsidRPr="00CA47B9">
        <w:t xml:space="preserve"> </w:t>
      </w:r>
      <w:r w:rsidRPr="00CA47B9">
        <w:t>taking</w:t>
      </w:r>
      <w:r w:rsidR="004B41A2" w:rsidRPr="00CA47B9">
        <w:t xml:space="preserve"> </w:t>
      </w:r>
      <w:r w:rsidRPr="00CA47B9">
        <w:t>the</w:t>
      </w:r>
      <w:r w:rsidR="004B41A2" w:rsidRPr="00CA47B9">
        <w:t xml:space="preserve"> </w:t>
      </w:r>
      <w:r w:rsidRPr="00CA47B9">
        <w:t>total</w:t>
      </w:r>
      <w:r w:rsidR="004B41A2" w:rsidRPr="00CA47B9">
        <w:t xml:space="preserve"> </w:t>
      </w:r>
      <w:r w:rsidRPr="00CA47B9">
        <w:t>jobs</w:t>
      </w:r>
      <w:r w:rsidR="004B41A2" w:rsidRPr="00CA47B9">
        <w:t xml:space="preserve"> </w:t>
      </w:r>
      <w:r w:rsidRPr="00CA47B9">
        <w:t>growth</w:t>
      </w:r>
      <w:r w:rsidR="004B41A2" w:rsidRPr="00CA47B9">
        <w:t xml:space="preserve"> </w:t>
      </w:r>
      <w:r w:rsidRPr="00CA47B9">
        <w:t>to</w:t>
      </w:r>
      <w:r w:rsidR="004B41A2" w:rsidRPr="00CA47B9">
        <w:t xml:space="preserve"> </w:t>
      </w:r>
      <w:r w:rsidRPr="00CA47B9">
        <w:t>around</w:t>
      </w:r>
      <w:r w:rsidR="004B41A2" w:rsidRPr="00CA47B9">
        <w:t xml:space="preserve"> </w:t>
      </w:r>
      <w:r w:rsidR="005512B6">
        <w:t>9,5</w:t>
      </w:r>
      <w:r w:rsidR="00FD7869" w:rsidRPr="00CA47B9">
        <w:t>00</w:t>
      </w:r>
      <w:r w:rsidR="004B41A2" w:rsidRPr="00CA47B9">
        <w:t xml:space="preserve"> </w:t>
      </w:r>
      <w:r w:rsidRPr="00CA47B9">
        <w:t>(201</w:t>
      </w:r>
      <w:r w:rsidR="005512B6">
        <w:t>9</w:t>
      </w:r>
      <w:r w:rsidRPr="00CA47B9">
        <w:t>-36).</w:t>
      </w:r>
      <w:r w:rsidR="004B41A2" w:rsidRPr="00CA47B9">
        <w:t xml:space="preserve"> </w:t>
      </w:r>
      <w:r w:rsidRPr="00CA47B9">
        <w:t>This</w:t>
      </w:r>
      <w:r w:rsidR="004B41A2" w:rsidRPr="00CA47B9">
        <w:t xml:space="preserve"> </w:t>
      </w:r>
      <w:r w:rsidRPr="00CA47B9">
        <w:t>represents</w:t>
      </w:r>
      <w:r w:rsidR="004B41A2" w:rsidRPr="00CA47B9">
        <w:t xml:space="preserve"> </w:t>
      </w:r>
      <w:r w:rsidRPr="00CA47B9">
        <w:t>a</w:t>
      </w:r>
      <w:r w:rsidR="004B41A2" w:rsidRPr="00CA47B9">
        <w:t xml:space="preserve"> </w:t>
      </w:r>
      <w:r w:rsidRPr="00CA47B9">
        <w:t>growth</w:t>
      </w:r>
      <w:r w:rsidR="004B41A2" w:rsidRPr="00CA47B9">
        <w:t xml:space="preserve"> </w:t>
      </w:r>
      <w:r w:rsidRPr="00CA47B9">
        <w:t>rate</w:t>
      </w:r>
      <w:r w:rsidR="004B41A2" w:rsidRPr="00CA47B9">
        <w:t xml:space="preserve"> </w:t>
      </w:r>
      <w:r w:rsidRPr="00CA47B9">
        <w:t>of</w:t>
      </w:r>
      <w:r w:rsidR="004B41A2" w:rsidRPr="00CA47B9">
        <w:t xml:space="preserve"> </w:t>
      </w:r>
      <w:r w:rsidRPr="00CA47B9">
        <w:t>0.</w:t>
      </w:r>
      <w:r w:rsidR="00F21840">
        <w:t>7</w:t>
      </w:r>
      <w:r w:rsidRPr="00CA47B9">
        <w:t>%</w:t>
      </w:r>
      <w:r w:rsidR="004B41A2" w:rsidRPr="00CA47B9">
        <w:t xml:space="preserve"> </w:t>
      </w:r>
      <w:r w:rsidRPr="00CA47B9">
        <w:t>pa,</w:t>
      </w:r>
      <w:r w:rsidR="004B41A2" w:rsidRPr="00CA47B9">
        <w:t xml:space="preserve"> </w:t>
      </w:r>
      <w:r w:rsidRPr="00CA47B9">
        <w:t>up</w:t>
      </w:r>
      <w:r w:rsidR="004B41A2" w:rsidRPr="00CA47B9">
        <w:t xml:space="preserve"> </w:t>
      </w:r>
      <w:r w:rsidRPr="00CA47B9">
        <w:t>from</w:t>
      </w:r>
      <w:r w:rsidR="004B41A2" w:rsidRPr="00CA47B9">
        <w:t xml:space="preserve"> </w:t>
      </w:r>
      <w:r w:rsidRPr="00CA47B9">
        <w:t>0.</w:t>
      </w:r>
      <w:r w:rsidR="00FB0B9F">
        <w:t>3</w:t>
      </w:r>
      <w:r w:rsidRPr="00CA47B9">
        <w:t>%</w:t>
      </w:r>
      <w:r w:rsidR="004B41A2" w:rsidRPr="00CA47B9">
        <w:t xml:space="preserve"> </w:t>
      </w:r>
      <w:r w:rsidRPr="00CA47B9">
        <w:t>pa</w:t>
      </w:r>
      <w:r w:rsidR="004B41A2" w:rsidRPr="00CA47B9">
        <w:t xml:space="preserve"> </w:t>
      </w:r>
      <w:r w:rsidRPr="00CA47B9">
        <w:t>in</w:t>
      </w:r>
      <w:r w:rsidR="004B41A2" w:rsidRPr="00CA47B9">
        <w:t xml:space="preserve"> </w:t>
      </w:r>
      <w:r w:rsidRPr="00CA47B9">
        <w:t>the</w:t>
      </w:r>
      <w:r w:rsidR="004B41A2" w:rsidRPr="00CA47B9">
        <w:t xml:space="preserve"> </w:t>
      </w:r>
      <w:r w:rsidRPr="00CA47B9">
        <w:t>Baseline</w:t>
      </w:r>
      <w:r w:rsidR="004B41A2" w:rsidRPr="00CA47B9">
        <w:t xml:space="preserve"> </w:t>
      </w:r>
      <w:r w:rsidRPr="00CA47B9">
        <w:t>Scenario.</w:t>
      </w:r>
      <w:r w:rsidR="004B41A2" w:rsidRPr="00CA47B9">
        <w:t xml:space="preserve"> </w:t>
      </w:r>
      <w:r w:rsidRPr="00CA47B9">
        <w:t>This</w:t>
      </w:r>
      <w:r w:rsidR="004B41A2" w:rsidRPr="00CA47B9">
        <w:t xml:space="preserve"> </w:t>
      </w:r>
      <w:r w:rsidRPr="00CA47B9">
        <w:t>compares</w:t>
      </w:r>
      <w:r w:rsidR="004B41A2" w:rsidRPr="00CA47B9">
        <w:t xml:space="preserve"> </w:t>
      </w:r>
      <w:r w:rsidRPr="00CA47B9">
        <w:t>to</w:t>
      </w:r>
      <w:r w:rsidR="004B41A2" w:rsidRPr="00CA47B9">
        <w:t xml:space="preserve"> </w:t>
      </w:r>
      <w:r w:rsidRPr="00CA47B9">
        <w:t>a</w:t>
      </w:r>
      <w:r w:rsidR="004B41A2" w:rsidRPr="00CA47B9">
        <w:t xml:space="preserve"> </w:t>
      </w:r>
      <w:r w:rsidRPr="00CA47B9">
        <w:t>regional</w:t>
      </w:r>
      <w:r w:rsidR="004B41A2" w:rsidRPr="00CA47B9">
        <w:t xml:space="preserve"> </w:t>
      </w:r>
      <w:r w:rsidRPr="00CA47B9">
        <w:t>growth</w:t>
      </w:r>
      <w:r w:rsidR="004B41A2" w:rsidRPr="00CA47B9">
        <w:t xml:space="preserve"> </w:t>
      </w:r>
      <w:r w:rsidRPr="00CA47B9">
        <w:t>rate</w:t>
      </w:r>
      <w:r w:rsidR="004B41A2" w:rsidRPr="00CA47B9">
        <w:t xml:space="preserve"> </w:t>
      </w:r>
      <w:r w:rsidRPr="00CA47B9">
        <w:t>of</w:t>
      </w:r>
      <w:r w:rsidR="004B41A2" w:rsidRPr="00CA47B9">
        <w:t xml:space="preserve"> </w:t>
      </w:r>
      <w:r w:rsidRPr="00CA47B9">
        <w:t>0.</w:t>
      </w:r>
      <w:r w:rsidR="00F21840">
        <w:t>4</w:t>
      </w:r>
      <w:r w:rsidRPr="00CA47B9">
        <w:t>%</w:t>
      </w:r>
      <w:r w:rsidR="004B41A2" w:rsidRPr="00CA47B9">
        <w:t xml:space="preserve"> </w:t>
      </w:r>
      <w:r w:rsidRPr="00CA47B9">
        <w:t>pa.</w:t>
      </w:r>
      <w:r w:rsidR="004B41A2" w:rsidRPr="00CA47B9">
        <w:t xml:space="preserve"> </w:t>
      </w:r>
      <w:r w:rsidRPr="00CA47B9">
        <w:t>However,</w:t>
      </w:r>
      <w:r w:rsidR="004B41A2" w:rsidRPr="00CA47B9">
        <w:t xml:space="preserve"> </w:t>
      </w:r>
      <w:r w:rsidRPr="00CA47B9">
        <w:t>when</w:t>
      </w:r>
      <w:r w:rsidR="004B41A2" w:rsidRPr="00CA47B9">
        <w:t xml:space="preserve"> </w:t>
      </w:r>
      <w:r w:rsidRPr="00CA47B9">
        <w:t>compared</w:t>
      </w:r>
      <w:r w:rsidR="004B41A2" w:rsidRPr="00CA47B9">
        <w:t xml:space="preserve"> </w:t>
      </w:r>
      <w:r w:rsidRPr="00CA47B9">
        <w:t>to</w:t>
      </w:r>
      <w:r w:rsidR="004B41A2" w:rsidRPr="00CA47B9">
        <w:t xml:space="preserve"> </w:t>
      </w:r>
      <w:r w:rsidRPr="00CA47B9">
        <w:t>historic</w:t>
      </w:r>
      <w:r w:rsidR="004B41A2" w:rsidRPr="00CA47B9">
        <w:t xml:space="preserve"> </w:t>
      </w:r>
      <w:r w:rsidRPr="00CA47B9">
        <w:t>trends</w:t>
      </w:r>
      <w:r w:rsidR="004B41A2" w:rsidRPr="00CA47B9">
        <w:t xml:space="preserve"> </w:t>
      </w:r>
      <w:r w:rsidRPr="00CA47B9">
        <w:t>both</w:t>
      </w:r>
      <w:r w:rsidR="004B41A2" w:rsidRPr="00CA47B9">
        <w:t xml:space="preserve"> </w:t>
      </w:r>
      <w:r w:rsidRPr="00CA47B9">
        <w:t>the</w:t>
      </w:r>
      <w:r w:rsidR="004B41A2" w:rsidRPr="00CA47B9">
        <w:t xml:space="preserve"> </w:t>
      </w:r>
      <w:r w:rsidRPr="00CA47B9">
        <w:t>Growth</w:t>
      </w:r>
      <w:r w:rsidR="004B41A2" w:rsidRPr="00CA47B9">
        <w:t xml:space="preserve"> </w:t>
      </w:r>
      <w:r w:rsidRPr="00CA47B9">
        <w:t>and</w:t>
      </w:r>
      <w:r w:rsidR="004B41A2" w:rsidRPr="00CA47B9">
        <w:t xml:space="preserve"> </w:t>
      </w:r>
      <w:r w:rsidRPr="00CA47B9">
        <w:t>the</w:t>
      </w:r>
      <w:r w:rsidR="004B41A2" w:rsidRPr="00CA47B9">
        <w:t xml:space="preserve"> </w:t>
      </w:r>
      <w:r w:rsidRPr="00CA47B9">
        <w:t>Baseline</w:t>
      </w:r>
      <w:r w:rsidR="004B41A2" w:rsidRPr="00CA47B9">
        <w:t xml:space="preserve"> </w:t>
      </w:r>
      <w:r w:rsidRPr="00CA47B9">
        <w:t>scenarios</w:t>
      </w:r>
      <w:r w:rsidR="004B41A2" w:rsidRPr="00CA47B9">
        <w:t xml:space="preserve"> </w:t>
      </w:r>
      <w:r w:rsidRPr="00CA47B9">
        <w:t>are</w:t>
      </w:r>
      <w:r w:rsidR="004B41A2" w:rsidRPr="00CA47B9">
        <w:t xml:space="preserve"> </w:t>
      </w:r>
      <w:r w:rsidRPr="00CA47B9">
        <w:t>lower</w:t>
      </w:r>
      <w:r w:rsidR="004B41A2" w:rsidRPr="00CA47B9">
        <w:t xml:space="preserve"> </w:t>
      </w:r>
      <w:r w:rsidRPr="00CA47B9">
        <w:t>than</w:t>
      </w:r>
      <w:r w:rsidR="004B41A2" w:rsidRPr="00CA47B9">
        <w:t xml:space="preserve"> </w:t>
      </w:r>
      <w:r w:rsidRPr="00CA47B9">
        <w:t>the</w:t>
      </w:r>
      <w:r w:rsidR="004B41A2" w:rsidRPr="00CA47B9">
        <w:t xml:space="preserve"> </w:t>
      </w:r>
      <w:r w:rsidRPr="00CA47B9">
        <w:t>growth</w:t>
      </w:r>
      <w:r w:rsidR="004B41A2" w:rsidRPr="00CA47B9">
        <w:t xml:space="preserve"> </w:t>
      </w:r>
      <w:r w:rsidRPr="00CA47B9">
        <w:t>rate</w:t>
      </w:r>
      <w:r w:rsidR="004B41A2" w:rsidRPr="00CA47B9">
        <w:t xml:space="preserve"> </w:t>
      </w:r>
      <w:r w:rsidRPr="00CA47B9">
        <w:t>seen</w:t>
      </w:r>
      <w:r w:rsidR="004B41A2" w:rsidRPr="00CA47B9">
        <w:t xml:space="preserve"> </w:t>
      </w:r>
      <w:r w:rsidRPr="00CA47B9">
        <w:t>over</w:t>
      </w:r>
      <w:r w:rsidR="004B41A2" w:rsidRPr="00CA47B9">
        <w:t xml:space="preserve"> </w:t>
      </w:r>
      <w:r w:rsidRPr="00CA47B9">
        <w:t>the</w:t>
      </w:r>
      <w:r w:rsidR="004B41A2" w:rsidRPr="00CA47B9">
        <w:t xml:space="preserve"> </w:t>
      </w:r>
      <w:r w:rsidRPr="00CA47B9">
        <w:t>previous</w:t>
      </w:r>
      <w:r w:rsidR="004B41A2" w:rsidRPr="00CA47B9">
        <w:t xml:space="preserve"> </w:t>
      </w:r>
      <w:r w:rsidRPr="00CA47B9">
        <w:t>economic</w:t>
      </w:r>
      <w:r w:rsidR="004B41A2" w:rsidRPr="00CA47B9">
        <w:t xml:space="preserve"> </w:t>
      </w:r>
      <w:r w:rsidRPr="00CA47B9">
        <w:t>cycle</w:t>
      </w:r>
      <w:r w:rsidR="004B41A2" w:rsidRPr="00CA47B9">
        <w:t xml:space="preserve"> </w:t>
      </w:r>
      <w:r w:rsidRPr="00CA47B9">
        <w:t>(1.</w:t>
      </w:r>
      <w:r w:rsidR="00F21840">
        <w:t>6</w:t>
      </w:r>
      <w:r w:rsidRPr="00CA47B9">
        <w:t>%</w:t>
      </w:r>
      <w:r w:rsidR="004B41A2" w:rsidRPr="00CA47B9">
        <w:t xml:space="preserve"> </w:t>
      </w:r>
      <w:r w:rsidRPr="00CA47B9">
        <w:t>pa</w:t>
      </w:r>
      <w:r w:rsidR="004B41A2" w:rsidRPr="00CA47B9">
        <w:t xml:space="preserve"> </w:t>
      </w:r>
      <w:r w:rsidRPr="00CA47B9">
        <w:t>in</w:t>
      </w:r>
      <w:r w:rsidR="004B41A2" w:rsidRPr="00CA47B9">
        <w:t xml:space="preserve"> </w:t>
      </w:r>
      <w:r w:rsidRPr="00CA47B9">
        <w:t>Chichester</w:t>
      </w:r>
      <w:r w:rsidR="004B41A2" w:rsidRPr="00CA47B9">
        <w:t xml:space="preserve"> </w:t>
      </w:r>
      <w:r w:rsidRPr="00CA47B9">
        <w:t>and</w:t>
      </w:r>
      <w:r w:rsidR="004B41A2" w:rsidRPr="00CA47B9">
        <w:t xml:space="preserve"> </w:t>
      </w:r>
      <w:r w:rsidRPr="00CA47B9">
        <w:t>1.1%</w:t>
      </w:r>
      <w:r w:rsidR="004B41A2" w:rsidRPr="00CA47B9">
        <w:t xml:space="preserve"> </w:t>
      </w:r>
      <w:r w:rsidRPr="00CA47B9">
        <w:t>across</w:t>
      </w:r>
      <w:r w:rsidR="004B41A2" w:rsidRPr="00CA47B9">
        <w:t xml:space="preserve"> </w:t>
      </w:r>
      <w:r w:rsidRPr="00CA47B9">
        <w:t>the</w:t>
      </w:r>
      <w:r w:rsidR="004B41A2" w:rsidRPr="00CA47B9">
        <w:t xml:space="preserve"> </w:t>
      </w:r>
      <w:r w:rsidRPr="00CA47B9">
        <w:t>South</w:t>
      </w:r>
      <w:r w:rsidR="004B41A2" w:rsidRPr="00CA47B9">
        <w:t xml:space="preserve"> </w:t>
      </w:r>
      <w:r w:rsidRPr="00CA47B9">
        <w:t>East).</w:t>
      </w:r>
      <w:r w:rsidR="004B41A2" w:rsidRPr="00CA47B9">
        <w:t xml:space="preserve"> </w:t>
      </w:r>
    </w:p>
    <w:p w:rsidR="00B0298E" w:rsidRPr="00CA47B9" w:rsidRDefault="00B0298E" w:rsidP="00FC604D">
      <w:pPr>
        <w:pStyle w:val="Tableheading"/>
        <w:tabs>
          <w:tab w:val="clear" w:pos="794"/>
          <w:tab w:val="clear" w:pos="1843"/>
          <w:tab w:val="left" w:pos="0"/>
        </w:tabs>
        <w:ind w:left="0" w:firstLine="0"/>
      </w:pPr>
      <w:r w:rsidRPr="00CA47B9">
        <w:t>Jobs</w:t>
      </w:r>
      <w:r w:rsidR="004B41A2" w:rsidRPr="00CA47B9">
        <w:t xml:space="preserve"> </w:t>
      </w:r>
      <w:r w:rsidRPr="00CA47B9">
        <w:t>Growth</w:t>
      </w:r>
      <w:r w:rsidR="004B41A2" w:rsidRPr="00CA47B9">
        <w:t xml:space="preserve"> </w:t>
      </w:r>
      <w:r w:rsidRPr="00CA47B9">
        <w:t>by</w:t>
      </w:r>
      <w:r w:rsidR="004B41A2" w:rsidRPr="00CA47B9">
        <w:t xml:space="preserve"> </w:t>
      </w:r>
      <w:r w:rsidRPr="00CA47B9">
        <w:t>Sector,</w:t>
      </w:r>
      <w:r w:rsidR="004B41A2" w:rsidRPr="00CA47B9">
        <w:t xml:space="preserve"> </w:t>
      </w:r>
      <w:r w:rsidRPr="00CA47B9">
        <w:t>Baseline</w:t>
      </w:r>
      <w:r w:rsidR="004B41A2" w:rsidRPr="00CA47B9">
        <w:t xml:space="preserve"> </w:t>
      </w:r>
      <w:r w:rsidRPr="00CA47B9">
        <w:t>and</w:t>
      </w:r>
      <w:r w:rsidR="004B41A2" w:rsidRPr="00CA47B9">
        <w:t xml:space="preserve"> </w:t>
      </w:r>
      <w:r w:rsidRPr="00CA47B9">
        <w:t>Growth</w:t>
      </w:r>
      <w:r w:rsidR="004B41A2" w:rsidRPr="00CA47B9">
        <w:t xml:space="preserve"> </w:t>
      </w:r>
      <w:r w:rsidRPr="00CA47B9">
        <w:t>Scenario,</w:t>
      </w:r>
      <w:r w:rsidR="004B41A2" w:rsidRPr="00CA47B9">
        <w:t xml:space="preserve"> </w:t>
      </w:r>
      <w:r w:rsidR="000D25F4" w:rsidRPr="00CA47B9">
        <w:t>201</w:t>
      </w:r>
      <w:r w:rsidR="00A6485E">
        <w:t>9</w:t>
      </w:r>
      <w:r w:rsidRPr="00CA47B9">
        <w:t>-2036</w:t>
      </w:r>
      <w:bookmarkEnd w:id="118"/>
      <w:bookmarkEnd w:id="119"/>
      <w:r w:rsidR="004B41A2" w:rsidRPr="00CA47B9">
        <w:t xml:space="preserve"> </w:t>
      </w:r>
    </w:p>
    <w:tbl>
      <w:tblPr>
        <w:tblStyle w:val="Style1"/>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17: Jobs Growth by Sector Baseline and Growth Scenario 2019-2036"/>
      </w:tblPr>
      <w:tblGrid>
        <w:gridCol w:w="3688"/>
        <w:gridCol w:w="1701"/>
        <w:gridCol w:w="1275"/>
        <w:gridCol w:w="2980"/>
      </w:tblGrid>
      <w:tr w:rsidR="00595370" w:rsidRPr="00F276CF" w:rsidTr="00FC604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12" w:type="pct"/>
            <w:noWrap/>
          </w:tcPr>
          <w:p w:rsidR="00595370" w:rsidRPr="00F276CF" w:rsidRDefault="00595370" w:rsidP="004F4DBD">
            <w:pPr>
              <w:pStyle w:val="TableBodytext"/>
              <w:keepNext/>
              <w:spacing w:before="0" w:after="0" w:line="240" w:lineRule="auto"/>
              <w:rPr>
                <w:rFonts w:ascii="Arial Narrow" w:hAnsi="Arial Narrow" w:cs="Arial"/>
                <w:b/>
                <w:bCs/>
                <w:sz w:val="24"/>
                <w:szCs w:val="24"/>
              </w:rPr>
            </w:pPr>
            <w:r w:rsidRPr="00F276CF">
              <w:rPr>
                <w:rFonts w:ascii="Arial Narrow" w:hAnsi="Arial Narrow" w:cs="Arial"/>
                <w:b/>
                <w:bCs/>
                <w:sz w:val="24"/>
                <w:szCs w:val="24"/>
              </w:rPr>
              <w:t>Sector</w:t>
            </w:r>
          </w:p>
        </w:tc>
        <w:tc>
          <w:tcPr>
            <w:tcW w:w="882" w:type="pct"/>
            <w:noWrap/>
          </w:tcPr>
          <w:p w:rsidR="00595370" w:rsidRPr="00F276CF" w:rsidRDefault="00595370" w:rsidP="004F4DBD">
            <w:pPr>
              <w:pStyle w:val="TableBodytext"/>
              <w:keepNext/>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b/>
                <w:bCs/>
                <w:sz w:val="24"/>
                <w:szCs w:val="24"/>
              </w:rPr>
            </w:pPr>
            <w:r w:rsidRPr="00F276CF">
              <w:rPr>
                <w:rFonts w:ascii="Arial Narrow" w:hAnsi="Arial Narrow" w:cs="Arial"/>
                <w:b/>
                <w:bCs/>
                <w:sz w:val="24"/>
                <w:szCs w:val="24"/>
              </w:rPr>
              <w:t>Baseline Scenario</w:t>
            </w:r>
          </w:p>
        </w:tc>
        <w:tc>
          <w:tcPr>
            <w:tcW w:w="661" w:type="pct"/>
          </w:tcPr>
          <w:p w:rsidR="00595370" w:rsidRPr="00F276CF" w:rsidRDefault="00595370" w:rsidP="004F4DBD">
            <w:pPr>
              <w:pStyle w:val="TableBodytext"/>
              <w:keepNext/>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b/>
                <w:bCs/>
                <w:sz w:val="24"/>
                <w:szCs w:val="24"/>
              </w:rPr>
            </w:pPr>
            <w:r w:rsidRPr="00F276CF">
              <w:rPr>
                <w:rFonts w:ascii="Arial Narrow" w:hAnsi="Arial Narrow" w:cs="Arial"/>
                <w:b/>
                <w:bCs/>
                <w:sz w:val="24"/>
                <w:szCs w:val="24"/>
              </w:rPr>
              <w:t>Growth Scenario</w:t>
            </w:r>
          </w:p>
        </w:tc>
        <w:tc>
          <w:tcPr>
            <w:tcW w:w="1546" w:type="pct"/>
          </w:tcPr>
          <w:p w:rsidR="00595370" w:rsidRPr="00F276CF" w:rsidRDefault="00595370" w:rsidP="004F4DBD">
            <w:pPr>
              <w:pStyle w:val="TableBodytext"/>
              <w:keepNext/>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b/>
                <w:bCs/>
                <w:sz w:val="24"/>
                <w:szCs w:val="24"/>
              </w:rPr>
            </w:pPr>
            <w:r w:rsidRPr="00F276CF">
              <w:rPr>
                <w:rFonts w:ascii="Arial Narrow" w:hAnsi="Arial Narrow" w:cs="Arial"/>
                <w:b/>
                <w:bCs/>
                <w:sz w:val="24"/>
                <w:szCs w:val="24"/>
              </w:rPr>
              <w:t>Justification</w:t>
            </w:r>
          </w:p>
        </w:tc>
      </w:tr>
      <w:tr w:rsidR="00586E73" w:rsidRPr="00F276CF" w:rsidTr="00FC604D">
        <w:tc>
          <w:tcPr>
            <w:cnfStyle w:val="001000000000" w:firstRow="0" w:lastRow="0" w:firstColumn="1" w:lastColumn="0" w:oddVBand="0" w:evenVBand="0" w:oddHBand="0" w:evenHBand="0" w:firstRowFirstColumn="0" w:firstRowLastColumn="0" w:lastRowFirstColumn="0" w:lastRowLastColumn="0"/>
            <w:tcW w:w="1912" w:type="pct"/>
            <w:shd w:val="clear" w:color="auto" w:fill="92D050"/>
            <w:noWrap/>
          </w:tcPr>
          <w:p w:rsidR="00586E73" w:rsidRPr="00F276CF" w:rsidRDefault="00586E73" w:rsidP="004F4DBD">
            <w:pPr>
              <w:keepNext/>
              <w:spacing w:line="240" w:lineRule="auto"/>
              <w:rPr>
                <w:rFonts w:ascii="Arial Narrow" w:hAnsi="Arial Narrow" w:cs="Arial"/>
                <w:bCs/>
                <w:sz w:val="24"/>
                <w:szCs w:val="24"/>
              </w:rPr>
            </w:pPr>
            <w:r w:rsidRPr="00F276CF">
              <w:rPr>
                <w:rFonts w:ascii="Arial Narrow" w:hAnsi="Arial Narrow" w:cs="Arial"/>
                <w:bCs/>
                <w:sz w:val="24"/>
                <w:szCs w:val="24"/>
              </w:rPr>
              <w:t>Agriculture and Mining</w:t>
            </w:r>
          </w:p>
        </w:tc>
        <w:tc>
          <w:tcPr>
            <w:tcW w:w="882" w:type="pct"/>
            <w:shd w:val="clear" w:color="auto" w:fill="92D050"/>
            <w:noWrap/>
          </w:tcPr>
          <w:p w:rsidR="00586E73" w:rsidRPr="00F276CF" w:rsidRDefault="00586E73" w:rsidP="004F4DBD">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F276CF">
              <w:rPr>
                <w:rFonts w:ascii="Arial Narrow" w:hAnsi="Arial Narrow"/>
                <w:sz w:val="24"/>
                <w:szCs w:val="24"/>
              </w:rPr>
              <w:t>-200</w:t>
            </w:r>
          </w:p>
        </w:tc>
        <w:tc>
          <w:tcPr>
            <w:tcW w:w="661" w:type="pct"/>
            <w:shd w:val="clear" w:color="auto" w:fill="92D050"/>
          </w:tcPr>
          <w:p w:rsidR="00586E73" w:rsidRPr="00F276CF" w:rsidRDefault="00586E73" w:rsidP="004F4DBD">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F276CF">
              <w:rPr>
                <w:rFonts w:ascii="Arial Narrow" w:hAnsi="Arial Narrow"/>
                <w:sz w:val="24"/>
                <w:szCs w:val="24"/>
              </w:rPr>
              <w:t>-100</w:t>
            </w:r>
          </w:p>
        </w:tc>
        <w:tc>
          <w:tcPr>
            <w:tcW w:w="1546" w:type="pct"/>
            <w:shd w:val="clear" w:color="auto" w:fill="92D050"/>
          </w:tcPr>
          <w:p w:rsidR="00586E73" w:rsidRPr="00F276CF" w:rsidRDefault="00586E73" w:rsidP="004F4DBD">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F276CF">
              <w:rPr>
                <w:rFonts w:ascii="Arial Narrow" w:hAnsi="Arial Narrow" w:cs="Arial"/>
                <w:bCs/>
                <w:sz w:val="24"/>
                <w:szCs w:val="24"/>
              </w:rPr>
              <w:t xml:space="preserve">Growth in </w:t>
            </w:r>
            <w:r w:rsidR="00855CA6" w:rsidRPr="00F276CF">
              <w:rPr>
                <w:rFonts w:ascii="Arial Narrow" w:hAnsi="Arial Narrow" w:cs="Arial"/>
                <w:bCs/>
                <w:sz w:val="24"/>
                <w:szCs w:val="24"/>
              </w:rPr>
              <w:t xml:space="preserve">the </w:t>
            </w:r>
            <w:r w:rsidRPr="00F276CF">
              <w:rPr>
                <w:rFonts w:ascii="Arial Narrow" w:hAnsi="Arial Narrow" w:cs="Arial"/>
                <w:bCs/>
                <w:sz w:val="24"/>
                <w:szCs w:val="24"/>
              </w:rPr>
              <w:t>horticultural sector</w:t>
            </w:r>
          </w:p>
        </w:tc>
      </w:tr>
      <w:tr w:rsidR="00586E73" w:rsidRPr="00F276CF" w:rsidTr="00FC604D">
        <w:tc>
          <w:tcPr>
            <w:cnfStyle w:val="001000000000" w:firstRow="0" w:lastRow="0" w:firstColumn="1" w:lastColumn="0" w:oddVBand="0" w:evenVBand="0" w:oddHBand="0" w:evenHBand="0" w:firstRowFirstColumn="0" w:firstRowLastColumn="0" w:lastRowFirstColumn="0" w:lastRowLastColumn="0"/>
            <w:tcW w:w="1912" w:type="pct"/>
            <w:shd w:val="clear" w:color="auto" w:fill="92D050"/>
            <w:noWrap/>
          </w:tcPr>
          <w:p w:rsidR="00586E73" w:rsidRPr="00F276CF" w:rsidRDefault="00586E73" w:rsidP="004F4DBD">
            <w:pPr>
              <w:keepNext/>
              <w:spacing w:line="240" w:lineRule="auto"/>
              <w:rPr>
                <w:rFonts w:ascii="Arial Narrow" w:hAnsi="Arial Narrow" w:cs="Arial"/>
                <w:bCs/>
                <w:sz w:val="24"/>
                <w:szCs w:val="24"/>
              </w:rPr>
            </w:pPr>
            <w:r w:rsidRPr="00F276CF">
              <w:rPr>
                <w:rFonts w:ascii="Arial Narrow" w:hAnsi="Arial Narrow" w:cs="Arial"/>
                <w:bCs/>
                <w:sz w:val="24"/>
                <w:szCs w:val="24"/>
              </w:rPr>
              <w:t>Manufacturing</w:t>
            </w:r>
          </w:p>
        </w:tc>
        <w:tc>
          <w:tcPr>
            <w:tcW w:w="882" w:type="pct"/>
            <w:shd w:val="clear" w:color="auto" w:fill="92D050"/>
            <w:noWrap/>
          </w:tcPr>
          <w:p w:rsidR="00586E73" w:rsidRPr="00F276CF" w:rsidRDefault="00586E73" w:rsidP="004F4DBD">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F276CF">
              <w:rPr>
                <w:rFonts w:ascii="Arial Narrow" w:hAnsi="Arial Narrow"/>
                <w:sz w:val="24"/>
                <w:szCs w:val="24"/>
              </w:rPr>
              <w:t>-1,400</w:t>
            </w:r>
          </w:p>
        </w:tc>
        <w:tc>
          <w:tcPr>
            <w:tcW w:w="661" w:type="pct"/>
            <w:shd w:val="clear" w:color="auto" w:fill="92D050"/>
          </w:tcPr>
          <w:p w:rsidR="00586E73" w:rsidRPr="00F276CF" w:rsidRDefault="00586E73" w:rsidP="004F4DBD">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F276CF">
              <w:rPr>
                <w:rFonts w:ascii="Arial Narrow" w:hAnsi="Arial Narrow"/>
                <w:sz w:val="24"/>
                <w:szCs w:val="24"/>
              </w:rPr>
              <w:t>-200</w:t>
            </w:r>
          </w:p>
        </w:tc>
        <w:tc>
          <w:tcPr>
            <w:tcW w:w="1546" w:type="pct"/>
            <w:shd w:val="clear" w:color="auto" w:fill="92D050"/>
          </w:tcPr>
          <w:p w:rsidR="00586E73" w:rsidRPr="00F276CF" w:rsidRDefault="00586E73" w:rsidP="004F4DBD">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F276CF">
              <w:rPr>
                <w:rFonts w:ascii="Arial Narrow" w:hAnsi="Arial Narrow" w:cs="Arial"/>
                <w:bCs/>
                <w:sz w:val="24"/>
                <w:szCs w:val="24"/>
              </w:rPr>
              <w:t>Full return to historic trend for automotive manufacturing</w:t>
            </w:r>
          </w:p>
        </w:tc>
      </w:tr>
      <w:tr w:rsidR="00586E73" w:rsidRPr="00F276CF" w:rsidTr="00FC604D">
        <w:tc>
          <w:tcPr>
            <w:cnfStyle w:val="001000000000" w:firstRow="0" w:lastRow="0" w:firstColumn="1" w:lastColumn="0" w:oddVBand="0" w:evenVBand="0" w:oddHBand="0" w:evenHBand="0" w:firstRowFirstColumn="0" w:firstRowLastColumn="0" w:lastRowFirstColumn="0" w:lastRowLastColumn="0"/>
            <w:tcW w:w="1912" w:type="pct"/>
            <w:noWrap/>
          </w:tcPr>
          <w:p w:rsidR="00586E73" w:rsidRPr="00F276CF" w:rsidRDefault="00586E73" w:rsidP="004F4DBD">
            <w:pPr>
              <w:keepNext/>
              <w:spacing w:line="240" w:lineRule="auto"/>
              <w:rPr>
                <w:rFonts w:ascii="Arial Narrow" w:hAnsi="Arial Narrow" w:cs="Arial"/>
                <w:bCs/>
                <w:sz w:val="24"/>
                <w:szCs w:val="24"/>
              </w:rPr>
            </w:pPr>
            <w:r w:rsidRPr="00F276CF">
              <w:rPr>
                <w:rFonts w:ascii="Arial Narrow" w:hAnsi="Arial Narrow" w:cs="Arial"/>
                <w:bCs/>
                <w:sz w:val="24"/>
                <w:szCs w:val="24"/>
              </w:rPr>
              <w:t>Utilities</w:t>
            </w:r>
          </w:p>
        </w:tc>
        <w:tc>
          <w:tcPr>
            <w:tcW w:w="882" w:type="pct"/>
            <w:noWrap/>
          </w:tcPr>
          <w:p w:rsidR="00586E73" w:rsidRPr="00F276CF" w:rsidRDefault="00586E73" w:rsidP="004F4DBD">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F276CF">
              <w:rPr>
                <w:rFonts w:ascii="Arial Narrow" w:hAnsi="Arial Narrow"/>
                <w:sz w:val="24"/>
                <w:szCs w:val="24"/>
              </w:rPr>
              <w:t>-100</w:t>
            </w:r>
          </w:p>
        </w:tc>
        <w:tc>
          <w:tcPr>
            <w:tcW w:w="661" w:type="pct"/>
          </w:tcPr>
          <w:p w:rsidR="00586E73" w:rsidRPr="00F276CF" w:rsidRDefault="00586E73" w:rsidP="004F4DBD">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F276CF">
              <w:rPr>
                <w:rFonts w:ascii="Arial Narrow" w:hAnsi="Arial Narrow"/>
                <w:sz w:val="24"/>
                <w:szCs w:val="24"/>
              </w:rPr>
              <w:t>-100</w:t>
            </w:r>
          </w:p>
        </w:tc>
        <w:tc>
          <w:tcPr>
            <w:tcW w:w="1546" w:type="pct"/>
          </w:tcPr>
          <w:p w:rsidR="00586E73" w:rsidRPr="00F276CF" w:rsidRDefault="00586E73" w:rsidP="004F4DBD">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p>
        </w:tc>
      </w:tr>
      <w:tr w:rsidR="00586E73" w:rsidRPr="00F276CF" w:rsidTr="00FC604D">
        <w:tc>
          <w:tcPr>
            <w:cnfStyle w:val="001000000000" w:firstRow="0" w:lastRow="0" w:firstColumn="1" w:lastColumn="0" w:oddVBand="0" w:evenVBand="0" w:oddHBand="0" w:evenHBand="0" w:firstRowFirstColumn="0" w:firstRowLastColumn="0" w:lastRowFirstColumn="0" w:lastRowLastColumn="0"/>
            <w:tcW w:w="1912" w:type="pct"/>
            <w:noWrap/>
          </w:tcPr>
          <w:p w:rsidR="00586E73" w:rsidRPr="00F276CF" w:rsidRDefault="00586E73" w:rsidP="004F4DBD">
            <w:pPr>
              <w:keepNext/>
              <w:spacing w:line="240" w:lineRule="auto"/>
              <w:rPr>
                <w:rFonts w:ascii="Arial Narrow" w:hAnsi="Arial Narrow" w:cs="Arial"/>
                <w:bCs/>
                <w:sz w:val="24"/>
                <w:szCs w:val="24"/>
              </w:rPr>
            </w:pPr>
            <w:r w:rsidRPr="00F276CF">
              <w:rPr>
                <w:rFonts w:ascii="Arial Narrow" w:hAnsi="Arial Narrow" w:cs="Arial"/>
                <w:bCs/>
                <w:sz w:val="24"/>
                <w:szCs w:val="24"/>
              </w:rPr>
              <w:t>Construction</w:t>
            </w:r>
          </w:p>
        </w:tc>
        <w:tc>
          <w:tcPr>
            <w:tcW w:w="882" w:type="pct"/>
            <w:noWrap/>
          </w:tcPr>
          <w:p w:rsidR="00586E73" w:rsidRPr="00F276CF" w:rsidRDefault="00586E73" w:rsidP="004F4DBD">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F276CF">
              <w:rPr>
                <w:rFonts w:ascii="Arial Narrow" w:hAnsi="Arial Narrow"/>
                <w:sz w:val="24"/>
                <w:szCs w:val="24"/>
              </w:rPr>
              <w:t>600</w:t>
            </w:r>
          </w:p>
        </w:tc>
        <w:tc>
          <w:tcPr>
            <w:tcW w:w="661" w:type="pct"/>
          </w:tcPr>
          <w:p w:rsidR="00586E73" w:rsidRPr="00F276CF" w:rsidRDefault="00586E73" w:rsidP="004F4DBD">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F276CF">
              <w:rPr>
                <w:rFonts w:ascii="Arial Narrow" w:hAnsi="Arial Narrow"/>
                <w:sz w:val="24"/>
                <w:szCs w:val="24"/>
              </w:rPr>
              <w:t>600</w:t>
            </w:r>
          </w:p>
        </w:tc>
        <w:tc>
          <w:tcPr>
            <w:tcW w:w="1546" w:type="pct"/>
          </w:tcPr>
          <w:p w:rsidR="00586E73" w:rsidRPr="00F276CF" w:rsidRDefault="00586E73" w:rsidP="004F4DBD">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p>
        </w:tc>
      </w:tr>
      <w:tr w:rsidR="00586E73" w:rsidRPr="00F276CF" w:rsidTr="00FC604D">
        <w:tc>
          <w:tcPr>
            <w:cnfStyle w:val="001000000000" w:firstRow="0" w:lastRow="0" w:firstColumn="1" w:lastColumn="0" w:oddVBand="0" w:evenVBand="0" w:oddHBand="0" w:evenHBand="0" w:firstRowFirstColumn="0" w:firstRowLastColumn="0" w:lastRowFirstColumn="0" w:lastRowLastColumn="0"/>
            <w:tcW w:w="1912" w:type="pct"/>
            <w:shd w:val="clear" w:color="auto" w:fill="92D050"/>
            <w:noWrap/>
          </w:tcPr>
          <w:p w:rsidR="00586E73" w:rsidRPr="00F276CF" w:rsidRDefault="00586E73" w:rsidP="004F4DBD">
            <w:pPr>
              <w:keepNext/>
              <w:spacing w:line="240" w:lineRule="auto"/>
              <w:rPr>
                <w:rFonts w:ascii="Arial Narrow" w:hAnsi="Arial Narrow" w:cs="Arial"/>
                <w:bCs/>
                <w:sz w:val="24"/>
                <w:szCs w:val="24"/>
              </w:rPr>
            </w:pPr>
            <w:r w:rsidRPr="00F276CF">
              <w:rPr>
                <w:rFonts w:ascii="Arial Narrow" w:hAnsi="Arial Narrow" w:cs="Arial"/>
                <w:bCs/>
                <w:sz w:val="24"/>
                <w:szCs w:val="24"/>
              </w:rPr>
              <w:t>Wholesale and Retail Trade</w:t>
            </w:r>
          </w:p>
        </w:tc>
        <w:tc>
          <w:tcPr>
            <w:tcW w:w="882" w:type="pct"/>
            <w:shd w:val="clear" w:color="auto" w:fill="92D050"/>
            <w:noWrap/>
          </w:tcPr>
          <w:p w:rsidR="00586E73" w:rsidRPr="00F276CF" w:rsidRDefault="00586E73" w:rsidP="004F4DBD">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F276CF">
              <w:rPr>
                <w:rFonts w:ascii="Arial Narrow" w:hAnsi="Arial Narrow"/>
                <w:sz w:val="24"/>
                <w:szCs w:val="24"/>
              </w:rPr>
              <w:t>200</w:t>
            </w:r>
          </w:p>
        </w:tc>
        <w:tc>
          <w:tcPr>
            <w:tcW w:w="661" w:type="pct"/>
            <w:shd w:val="clear" w:color="auto" w:fill="92D050"/>
          </w:tcPr>
          <w:p w:rsidR="00586E73" w:rsidRPr="00F276CF" w:rsidRDefault="00586E73" w:rsidP="004F4DBD">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F276CF">
              <w:rPr>
                <w:rFonts w:ascii="Arial Narrow" w:hAnsi="Arial Narrow"/>
                <w:sz w:val="24"/>
                <w:szCs w:val="24"/>
              </w:rPr>
              <w:t>900</w:t>
            </w:r>
          </w:p>
        </w:tc>
        <w:tc>
          <w:tcPr>
            <w:tcW w:w="1546" w:type="pct"/>
            <w:shd w:val="clear" w:color="auto" w:fill="92D050"/>
          </w:tcPr>
          <w:p w:rsidR="00586E73" w:rsidRPr="00F276CF" w:rsidRDefault="00586E73" w:rsidP="004F4DBD">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F276CF">
              <w:rPr>
                <w:rFonts w:ascii="Arial Narrow" w:hAnsi="Arial Narrow" w:cs="Arial"/>
                <w:bCs/>
                <w:sz w:val="24"/>
                <w:szCs w:val="24"/>
              </w:rPr>
              <w:t>Half return to historic trend</w:t>
            </w:r>
          </w:p>
        </w:tc>
      </w:tr>
      <w:tr w:rsidR="00586E73" w:rsidRPr="00F276CF" w:rsidTr="00FC604D">
        <w:tc>
          <w:tcPr>
            <w:cnfStyle w:val="001000000000" w:firstRow="0" w:lastRow="0" w:firstColumn="1" w:lastColumn="0" w:oddVBand="0" w:evenVBand="0" w:oddHBand="0" w:evenHBand="0" w:firstRowFirstColumn="0" w:firstRowLastColumn="0" w:lastRowFirstColumn="0" w:lastRowLastColumn="0"/>
            <w:tcW w:w="1912" w:type="pct"/>
            <w:shd w:val="clear" w:color="auto" w:fill="92D050"/>
            <w:noWrap/>
          </w:tcPr>
          <w:p w:rsidR="00586E73" w:rsidRPr="00F276CF" w:rsidRDefault="00586E73" w:rsidP="004F4DBD">
            <w:pPr>
              <w:keepNext/>
              <w:spacing w:line="240" w:lineRule="auto"/>
              <w:rPr>
                <w:rFonts w:ascii="Arial Narrow" w:hAnsi="Arial Narrow" w:cs="Arial"/>
                <w:bCs/>
                <w:sz w:val="24"/>
                <w:szCs w:val="24"/>
              </w:rPr>
            </w:pPr>
            <w:r w:rsidRPr="00F276CF">
              <w:rPr>
                <w:rFonts w:ascii="Arial Narrow" w:hAnsi="Arial Narrow" w:cs="Arial"/>
                <w:bCs/>
                <w:sz w:val="24"/>
                <w:szCs w:val="24"/>
              </w:rPr>
              <w:t>Transport, Warehouse and Postal</w:t>
            </w:r>
          </w:p>
        </w:tc>
        <w:tc>
          <w:tcPr>
            <w:tcW w:w="882" w:type="pct"/>
            <w:shd w:val="clear" w:color="auto" w:fill="92D050"/>
            <w:noWrap/>
          </w:tcPr>
          <w:p w:rsidR="00586E73" w:rsidRPr="00F276CF" w:rsidRDefault="00586E73" w:rsidP="004F4DBD">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F276CF">
              <w:rPr>
                <w:rFonts w:ascii="Arial Narrow" w:hAnsi="Arial Narrow"/>
                <w:sz w:val="24"/>
                <w:szCs w:val="24"/>
              </w:rPr>
              <w:t>-</w:t>
            </w:r>
          </w:p>
        </w:tc>
        <w:tc>
          <w:tcPr>
            <w:tcW w:w="661" w:type="pct"/>
            <w:shd w:val="clear" w:color="auto" w:fill="92D050"/>
          </w:tcPr>
          <w:p w:rsidR="00586E73" w:rsidRPr="00F276CF" w:rsidRDefault="00586E73" w:rsidP="004F4DBD">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F276CF">
              <w:rPr>
                <w:rFonts w:ascii="Arial Narrow" w:hAnsi="Arial Narrow"/>
                <w:sz w:val="24"/>
                <w:szCs w:val="24"/>
              </w:rPr>
              <w:t>100</w:t>
            </w:r>
          </w:p>
        </w:tc>
        <w:tc>
          <w:tcPr>
            <w:tcW w:w="1546" w:type="pct"/>
            <w:shd w:val="clear" w:color="auto" w:fill="92D050"/>
          </w:tcPr>
          <w:p w:rsidR="00586E73" w:rsidRPr="00F276CF" w:rsidRDefault="00AD7DEA" w:rsidP="004F4DBD">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F276CF">
              <w:rPr>
                <w:rFonts w:ascii="Arial Narrow" w:hAnsi="Arial Narrow" w:cs="Arial"/>
                <w:bCs/>
                <w:sz w:val="24"/>
                <w:szCs w:val="24"/>
              </w:rPr>
              <w:t>Quarter return to historic trend</w:t>
            </w:r>
          </w:p>
        </w:tc>
      </w:tr>
      <w:tr w:rsidR="00586E73" w:rsidRPr="00F276CF" w:rsidTr="00FC604D">
        <w:tc>
          <w:tcPr>
            <w:cnfStyle w:val="001000000000" w:firstRow="0" w:lastRow="0" w:firstColumn="1" w:lastColumn="0" w:oddVBand="0" w:evenVBand="0" w:oddHBand="0" w:evenHBand="0" w:firstRowFirstColumn="0" w:firstRowLastColumn="0" w:lastRowFirstColumn="0" w:lastRowLastColumn="0"/>
            <w:tcW w:w="1912" w:type="pct"/>
            <w:shd w:val="clear" w:color="auto" w:fill="92D050"/>
            <w:noWrap/>
          </w:tcPr>
          <w:p w:rsidR="00586E73" w:rsidRPr="00F276CF" w:rsidRDefault="00586E73" w:rsidP="004F4DBD">
            <w:pPr>
              <w:keepNext/>
              <w:spacing w:line="240" w:lineRule="auto"/>
              <w:rPr>
                <w:rFonts w:ascii="Arial Narrow" w:hAnsi="Arial Narrow" w:cs="Arial"/>
                <w:bCs/>
                <w:sz w:val="24"/>
                <w:szCs w:val="24"/>
              </w:rPr>
            </w:pPr>
            <w:r w:rsidRPr="00F276CF">
              <w:rPr>
                <w:rFonts w:ascii="Arial Narrow" w:hAnsi="Arial Narrow" w:cs="Arial"/>
                <w:bCs/>
                <w:sz w:val="24"/>
                <w:szCs w:val="24"/>
              </w:rPr>
              <w:t>Accommodation and Food and Beverage Services</w:t>
            </w:r>
          </w:p>
        </w:tc>
        <w:tc>
          <w:tcPr>
            <w:tcW w:w="882" w:type="pct"/>
            <w:shd w:val="clear" w:color="auto" w:fill="92D050"/>
            <w:noWrap/>
          </w:tcPr>
          <w:p w:rsidR="00586E73" w:rsidRPr="00F276CF" w:rsidRDefault="00586E73" w:rsidP="004F4DBD">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F276CF">
              <w:rPr>
                <w:rFonts w:ascii="Arial Narrow" w:hAnsi="Arial Narrow"/>
                <w:sz w:val="24"/>
                <w:szCs w:val="24"/>
              </w:rPr>
              <w:t>500</w:t>
            </w:r>
          </w:p>
        </w:tc>
        <w:tc>
          <w:tcPr>
            <w:tcW w:w="661" w:type="pct"/>
            <w:shd w:val="clear" w:color="auto" w:fill="92D050"/>
          </w:tcPr>
          <w:p w:rsidR="00586E73" w:rsidRPr="00F276CF" w:rsidRDefault="00586E73" w:rsidP="004F4DBD">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F276CF">
              <w:rPr>
                <w:rFonts w:ascii="Arial Narrow" w:hAnsi="Arial Narrow"/>
                <w:sz w:val="24"/>
                <w:szCs w:val="24"/>
              </w:rPr>
              <w:t>2,500</w:t>
            </w:r>
          </w:p>
        </w:tc>
        <w:tc>
          <w:tcPr>
            <w:tcW w:w="1546" w:type="pct"/>
            <w:shd w:val="clear" w:color="auto" w:fill="92D050"/>
          </w:tcPr>
          <w:p w:rsidR="00586E73" w:rsidRPr="00F276CF" w:rsidRDefault="00586E73" w:rsidP="004F4DBD">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F276CF">
              <w:rPr>
                <w:rFonts w:ascii="Arial Narrow" w:hAnsi="Arial Narrow" w:cs="Arial"/>
                <w:bCs/>
                <w:sz w:val="24"/>
                <w:szCs w:val="24"/>
              </w:rPr>
              <w:t>Half return to historic trend</w:t>
            </w:r>
          </w:p>
        </w:tc>
      </w:tr>
      <w:tr w:rsidR="00586E73" w:rsidRPr="00F276CF" w:rsidTr="00FC604D">
        <w:tc>
          <w:tcPr>
            <w:cnfStyle w:val="001000000000" w:firstRow="0" w:lastRow="0" w:firstColumn="1" w:lastColumn="0" w:oddVBand="0" w:evenVBand="0" w:oddHBand="0" w:evenHBand="0" w:firstRowFirstColumn="0" w:firstRowLastColumn="0" w:lastRowFirstColumn="0" w:lastRowLastColumn="0"/>
            <w:tcW w:w="1912" w:type="pct"/>
            <w:shd w:val="clear" w:color="auto" w:fill="92D050"/>
            <w:noWrap/>
          </w:tcPr>
          <w:p w:rsidR="00586E73" w:rsidRPr="00F276CF" w:rsidRDefault="00586E73" w:rsidP="004F4DBD">
            <w:pPr>
              <w:keepNext/>
              <w:spacing w:line="240" w:lineRule="auto"/>
              <w:rPr>
                <w:rFonts w:ascii="Arial Narrow" w:hAnsi="Arial Narrow" w:cs="Arial"/>
                <w:bCs/>
                <w:sz w:val="24"/>
                <w:szCs w:val="24"/>
              </w:rPr>
            </w:pPr>
            <w:r w:rsidRPr="00F276CF">
              <w:rPr>
                <w:rFonts w:ascii="Arial Narrow" w:hAnsi="Arial Narrow" w:cs="Arial"/>
                <w:bCs/>
                <w:sz w:val="24"/>
                <w:szCs w:val="24"/>
              </w:rPr>
              <w:t>Media and IT</w:t>
            </w:r>
          </w:p>
        </w:tc>
        <w:tc>
          <w:tcPr>
            <w:tcW w:w="882" w:type="pct"/>
            <w:shd w:val="clear" w:color="auto" w:fill="92D050"/>
            <w:noWrap/>
          </w:tcPr>
          <w:p w:rsidR="00586E73" w:rsidRPr="00F276CF" w:rsidRDefault="00586E73" w:rsidP="004F4DBD">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F276CF">
              <w:rPr>
                <w:rFonts w:ascii="Arial Narrow" w:hAnsi="Arial Narrow"/>
                <w:sz w:val="24"/>
                <w:szCs w:val="24"/>
              </w:rPr>
              <w:t>100</w:t>
            </w:r>
          </w:p>
        </w:tc>
        <w:tc>
          <w:tcPr>
            <w:tcW w:w="661" w:type="pct"/>
            <w:shd w:val="clear" w:color="auto" w:fill="92D050"/>
          </w:tcPr>
          <w:p w:rsidR="00586E73" w:rsidRPr="00F276CF" w:rsidRDefault="00586E73" w:rsidP="004F4DBD">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F276CF">
              <w:rPr>
                <w:rFonts w:ascii="Arial Narrow" w:hAnsi="Arial Narrow"/>
                <w:sz w:val="24"/>
                <w:szCs w:val="24"/>
              </w:rPr>
              <w:t>400</w:t>
            </w:r>
          </w:p>
        </w:tc>
        <w:tc>
          <w:tcPr>
            <w:tcW w:w="1546" w:type="pct"/>
            <w:shd w:val="clear" w:color="auto" w:fill="92D050"/>
          </w:tcPr>
          <w:p w:rsidR="00586E73" w:rsidRPr="00F276CF" w:rsidRDefault="00586E73" w:rsidP="004F4DBD">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F276CF">
              <w:rPr>
                <w:rFonts w:ascii="Arial Narrow" w:hAnsi="Arial Narrow" w:cs="Arial"/>
                <w:bCs/>
                <w:sz w:val="24"/>
                <w:szCs w:val="24"/>
              </w:rPr>
              <w:t>Quarter return to historic trend</w:t>
            </w:r>
          </w:p>
        </w:tc>
      </w:tr>
      <w:tr w:rsidR="00586E73" w:rsidRPr="00F276CF" w:rsidTr="00FC604D">
        <w:tc>
          <w:tcPr>
            <w:cnfStyle w:val="001000000000" w:firstRow="0" w:lastRow="0" w:firstColumn="1" w:lastColumn="0" w:oddVBand="0" w:evenVBand="0" w:oddHBand="0" w:evenHBand="0" w:firstRowFirstColumn="0" w:firstRowLastColumn="0" w:lastRowFirstColumn="0" w:lastRowLastColumn="0"/>
            <w:tcW w:w="1912" w:type="pct"/>
            <w:shd w:val="clear" w:color="auto" w:fill="92D050"/>
            <w:noWrap/>
          </w:tcPr>
          <w:p w:rsidR="00586E73" w:rsidRPr="00F276CF" w:rsidRDefault="00586E73" w:rsidP="004F4DBD">
            <w:pPr>
              <w:keepNext/>
              <w:spacing w:line="240" w:lineRule="auto"/>
              <w:rPr>
                <w:rFonts w:ascii="Arial Narrow" w:hAnsi="Arial Narrow" w:cs="Arial"/>
                <w:bCs/>
                <w:sz w:val="24"/>
                <w:szCs w:val="24"/>
              </w:rPr>
            </w:pPr>
            <w:r w:rsidRPr="00F276CF">
              <w:rPr>
                <w:rFonts w:ascii="Arial Narrow" w:hAnsi="Arial Narrow" w:cs="Arial"/>
                <w:bCs/>
                <w:sz w:val="24"/>
                <w:szCs w:val="24"/>
              </w:rPr>
              <w:t>Professional and Scientific Services</w:t>
            </w:r>
          </w:p>
        </w:tc>
        <w:tc>
          <w:tcPr>
            <w:tcW w:w="882" w:type="pct"/>
            <w:shd w:val="clear" w:color="auto" w:fill="92D050"/>
            <w:noWrap/>
          </w:tcPr>
          <w:p w:rsidR="00586E73" w:rsidRPr="00F276CF" w:rsidRDefault="00586E73" w:rsidP="004F4DBD">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F276CF">
              <w:rPr>
                <w:rFonts w:ascii="Arial Narrow" w:hAnsi="Arial Narrow"/>
                <w:sz w:val="24"/>
                <w:szCs w:val="24"/>
              </w:rPr>
              <w:t>1,100</w:t>
            </w:r>
          </w:p>
        </w:tc>
        <w:tc>
          <w:tcPr>
            <w:tcW w:w="661" w:type="pct"/>
            <w:shd w:val="clear" w:color="auto" w:fill="92D050"/>
          </w:tcPr>
          <w:p w:rsidR="00586E73" w:rsidRPr="00F276CF" w:rsidRDefault="00586E73" w:rsidP="004F4DBD">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F276CF">
              <w:rPr>
                <w:rFonts w:ascii="Arial Narrow" w:hAnsi="Arial Narrow"/>
                <w:sz w:val="24"/>
                <w:szCs w:val="24"/>
              </w:rPr>
              <w:t>1,400</w:t>
            </w:r>
          </w:p>
        </w:tc>
        <w:tc>
          <w:tcPr>
            <w:tcW w:w="1546" w:type="pct"/>
            <w:shd w:val="clear" w:color="auto" w:fill="92D050"/>
          </w:tcPr>
          <w:p w:rsidR="00586E73" w:rsidRPr="00F276CF" w:rsidRDefault="00586E73" w:rsidP="004F4DBD">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F276CF">
              <w:rPr>
                <w:rFonts w:ascii="Arial Narrow" w:hAnsi="Arial Narrow" w:cs="Arial"/>
                <w:bCs/>
                <w:sz w:val="24"/>
                <w:szCs w:val="24"/>
              </w:rPr>
              <w:t>Half return to historic trend</w:t>
            </w:r>
          </w:p>
        </w:tc>
      </w:tr>
      <w:tr w:rsidR="00586E73" w:rsidRPr="00F276CF" w:rsidTr="00FC604D">
        <w:tc>
          <w:tcPr>
            <w:cnfStyle w:val="001000000000" w:firstRow="0" w:lastRow="0" w:firstColumn="1" w:lastColumn="0" w:oddVBand="0" w:evenVBand="0" w:oddHBand="0" w:evenHBand="0" w:firstRowFirstColumn="0" w:firstRowLastColumn="0" w:lastRowFirstColumn="0" w:lastRowLastColumn="0"/>
            <w:tcW w:w="1912" w:type="pct"/>
            <w:shd w:val="clear" w:color="auto" w:fill="92D050"/>
            <w:noWrap/>
          </w:tcPr>
          <w:p w:rsidR="00586E73" w:rsidRPr="00F276CF" w:rsidRDefault="00586E73" w:rsidP="004F4DBD">
            <w:pPr>
              <w:keepNext/>
              <w:spacing w:line="240" w:lineRule="auto"/>
              <w:rPr>
                <w:rFonts w:ascii="Arial Narrow" w:hAnsi="Arial Narrow" w:cs="Arial"/>
                <w:bCs/>
                <w:sz w:val="24"/>
                <w:szCs w:val="24"/>
              </w:rPr>
            </w:pPr>
            <w:r w:rsidRPr="00F276CF">
              <w:rPr>
                <w:rFonts w:ascii="Arial Narrow" w:hAnsi="Arial Narrow" w:cs="Arial"/>
                <w:bCs/>
                <w:sz w:val="24"/>
                <w:szCs w:val="24"/>
              </w:rPr>
              <w:t>Business Support Services</w:t>
            </w:r>
          </w:p>
        </w:tc>
        <w:tc>
          <w:tcPr>
            <w:tcW w:w="882" w:type="pct"/>
            <w:shd w:val="clear" w:color="auto" w:fill="92D050"/>
            <w:noWrap/>
          </w:tcPr>
          <w:p w:rsidR="00586E73" w:rsidRPr="00F276CF" w:rsidRDefault="00586E73" w:rsidP="004F4DBD">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F276CF">
              <w:rPr>
                <w:rFonts w:ascii="Arial Narrow" w:hAnsi="Arial Narrow"/>
                <w:sz w:val="24"/>
                <w:szCs w:val="24"/>
              </w:rPr>
              <w:t>800</w:t>
            </w:r>
          </w:p>
        </w:tc>
        <w:tc>
          <w:tcPr>
            <w:tcW w:w="661" w:type="pct"/>
            <w:shd w:val="clear" w:color="auto" w:fill="92D050"/>
          </w:tcPr>
          <w:p w:rsidR="00586E73" w:rsidRPr="00F276CF" w:rsidRDefault="00586E73" w:rsidP="004F4DBD">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F276CF">
              <w:rPr>
                <w:rFonts w:ascii="Arial Narrow" w:hAnsi="Arial Narrow"/>
                <w:sz w:val="24"/>
                <w:szCs w:val="24"/>
              </w:rPr>
              <w:t>900</w:t>
            </w:r>
          </w:p>
        </w:tc>
        <w:tc>
          <w:tcPr>
            <w:tcW w:w="1546" w:type="pct"/>
            <w:shd w:val="clear" w:color="auto" w:fill="92D050"/>
          </w:tcPr>
          <w:p w:rsidR="00586E73" w:rsidRPr="00F276CF" w:rsidRDefault="00586E73" w:rsidP="004F4DBD">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F276CF">
              <w:rPr>
                <w:rFonts w:ascii="Arial Narrow" w:hAnsi="Arial Narrow" w:cs="Arial"/>
                <w:bCs/>
                <w:sz w:val="24"/>
                <w:szCs w:val="24"/>
              </w:rPr>
              <w:t>Half return to historic trend</w:t>
            </w:r>
          </w:p>
        </w:tc>
      </w:tr>
      <w:tr w:rsidR="00586E73" w:rsidRPr="00F276CF" w:rsidTr="00FC604D">
        <w:tc>
          <w:tcPr>
            <w:cnfStyle w:val="001000000000" w:firstRow="0" w:lastRow="0" w:firstColumn="1" w:lastColumn="0" w:oddVBand="0" w:evenVBand="0" w:oddHBand="0" w:evenHBand="0" w:firstRowFirstColumn="0" w:firstRowLastColumn="0" w:lastRowFirstColumn="0" w:lastRowLastColumn="0"/>
            <w:tcW w:w="1912" w:type="pct"/>
            <w:noWrap/>
          </w:tcPr>
          <w:p w:rsidR="00586E73" w:rsidRPr="00F276CF" w:rsidRDefault="00586E73" w:rsidP="004F4DBD">
            <w:pPr>
              <w:keepNext/>
              <w:spacing w:line="240" w:lineRule="auto"/>
              <w:rPr>
                <w:rFonts w:ascii="Arial Narrow" w:hAnsi="Arial Narrow" w:cs="Arial"/>
                <w:bCs/>
                <w:sz w:val="24"/>
                <w:szCs w:val="24"/>
              </w:rPr>
            </w:pPr>
            <w:r w:rsidRPr="00F276CF">
              <w:rPr>
                <w:rFonts w:ascii="Arial Narrow" w:hAnsi="Arial Narrow" w:cs="Arial"/>
                <w:bCs/>
                <w:sz w:val="24"/>
                <w:szCs w:val="24"/>
              </w:rPr>
              <w:t>Public Administration and Defence</w:t>
            </w:r>
          </w:p>
        </w:tc>
        <w:tc>
          <w:tcPr>
            <w:tcW w:w="882" w:type="pct"/>
            <w:noWrap/>
          </w:tcPr>
          <w:p w:rsidR="00586E73" w:rsidRPr="00F276CF" w:rsidRDefault="00586E73" w:rsidP="004F4DBD">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F276CF">
              <w:rPr>
                <w:rFonts w:ascii="Arial Narrow" w:hAnsi="Arial Narrow"/>
                <w:sz w:val="24"/>
                <w:szCs w:val="24"/>
              </w:rPr>
              <w:t>-300</w:t>
            </w:r>
          </w:p>
        </w:tc>
        <w:tc>
          <w:tcPr>
            <w:tcW w:w="661" w:type="pct"/>
          </w:tcPr>
          <w:p w:rsidR="00586E73" w:rsidRPr="00F276CF" w:rsidRDefault="00586E73" w:rsidP="004F4DBD">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F276CF">
              <w:rPr>
                <w:rFonts w:ascii="Arial Narrow" w:hAnsi="Arial Narrow"/>
                <w:sz w:val="24"/>
                <w:szCs w:val="24"/>
              </w:rPr>
              <w:t>-300</w:t>
            </w:r>
          </w:p>
        </w:tc>
        <w:tc>
          <w:tcPr>
            <w:tcW w:w="1546" w:type="pct"/>
          </w:tcPr>
          <w:p w:rsidR="00586E73" w:rsidRPr="00F276CF" w:rsidRDefault="00586E73" w:rsidP="004F4DBD">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p>
        </w:tc>
      </w:tr>
      <w:tr w:rsidR="00586E73" w:rsidRPr="00F276CF" w:rsidTr="00FC604D">
        <w:tc>
          <w:tcPr>
            <w:cnfStyle w:val="001000000000" w:firstRow="0" w:lastRow="0" w:firstColumn="1" w:lastColumn="0" w:oddVBand="0" w:evenVBand="0" w:oddHBand="0" w:evenHBand="0" w:firstRowFirstColumn="0" w:firstRowLastColumn="0" w:lastRowFirstColumn="0" w:lastRowLastColumn="0"/>
            <w:tcW w:w="1912" w:type="pct"/>
            <w:shd w:val="clear" w:color="auto" w:fill="92D050"/>
            <w:noWrap/>
          </w:tcPr>
          <w:p w:rsidR="00586E73" w:rsidRPr="00F276CF" w:rsidRDefault="00586E73" w:rsidP="004F4DBD">
            <w:pPr>
              <w:keepNext/>
              <w:spacing w:line="240" w:lineRule="auto"/>
              <w:rPr>
                <w:rFonts w:ascii="Arial Narrow" w:hAnsi="Arial Narrow" w:cs="Arial"/>
                <w:bCs/>
                <w:sz w:val="24"/>
                <w:szCs w:val="24"/>
              </w:rPr>
            </w:pPr>
            <w:r w:rsidRPr="00F276CF">
              <w:rPr>
                <w:rFonts w:ascii="Arial Narrow" w:hAnsi="Arial Narrow" w:cs="Arial"/>
                <w:bCs/>
                <w:sz w:val="24"/>
                <w:szCs w:val="24"/>
              </w:rPr>
              <w:t>Education</w:t>
            </w:r>
          </w:p>
        </w:tc>
        <w:tc>
          <w:tcPr>
            <w:tcW w:w="882" w:type="pct"/>
            <w:shd w:val="clear" w:color="auto" w:fill="92D050"/>
            <w:noWrap/>
          </w:tcPr>
          <w:p w:rsidR="00586E73" w:rsidRPr="00F276CF" w:rsidRDefault="00586E73" w:rsidP="004F4DBD">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F276CF">
              <w:rPr>
                <w:rFonts w:ascii="Arial Narrow" w:hAnsi="Arial Narrow"/>
                <w:sz w:val="24"/>
                <w:szCs w:val="24"/>
              </w:rPr>
              <w:t>200</w:t>
            </w:r>
          </w:p>
        </w:tc>
        <w:tc>
          <w:tcPr>
            <w:tcW w:w="661" w:type="pct"/>
            <w:shd w:val="clear" w:color="auto" w:fill="92D050"/>
          </w:tcPr>
          <w:p w:rsidR="00586E73" w:rsidRPr="00F276CF" w:rsidRDefault="00586E73" w:rsidP="004F4DBD">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F276CF">
              <w:rPr>
                <w:rFonts w:ascii="Arial Narrow" w:hAnsi="Arial Narrow"/>
                <w:sz w:val="24"/>
                <w:szCs w:val="24"/>
              </w:rPr>
              <w:t>1,000</w:t>
            </w:r>
          </w:p>
        </w:tc>
        <w:tc>
          <w:tcPr>
            <w:tcW w:w="1546" w:type="pct"/>
            <w:shd w:val="clear" w:color="auto" w:fill="92D050"/>
          </w:tcPr>
          <w:p w:rsidR="00586E73" w:rsidRPr="00F276CF" w:rsidRDefault="00586E73" w:rsidP="004F4DBD">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F276CF">
              <w:rPr>
                <w:rFonts w:ascii="Arial Narrow" w:hAnsi="Arial Narrow" w:cs="Arial"/>
                <w:bCs/>
                <w:sz w:val="24"/>
                <w:szCs w:val="24"/>
              </w:rPr>
              <w:t>Half return to historic trend</w:t>
            </w:r>
          </w:p>
        </w:tc>
      </w:tr>
      <w:tr w:rsidR="00586E73" w:rsidRPr="00F276CF" w:rsidTr="00FC604D">
        <w:tc>
          <w:tcPr>
            <w:cnfStyle w:val="001000000000" w:firstRow="0" w:lastRow="0" w:firstColumn="1" w:lastColumn="0" w:oddVBand="0" w:evenVBand="0" w:oddHBand="0" w:evenHBand="0" w:firstRowFirstColumn="0" w:firstRowLastColumn="0" w:lastRowFirstColumn="0" w:lastRowLastColumn="0"/>
            <w:tcW w:w="1912" w:type="pct"/>
            <w:noWrap/>
          </w:tcPr>
          <w:p w:rsidR="00586E73" w:rsidRPr="00F276CF" w:rsidRDefault="00586E73" w:rsidP="004F4DBD">
            <w:pPr>
              <w:keepNext/>
              <w:spacing w:line="240" w:lineRule="auto"/>
              <w:rPr>
                <w:rFonts w:ascii="Arial Narrow" w:hAnsi="Arial Narrow" w:cs="Arial"/>
                <w:bCs/>
                <w:sz w:val="24"/>
                <w:szCs w:val="24"/>
              </w:rPr>
            </w:pPr>
            <w:r w:rsidRPr="00F276CF">
              <w:rPr>
                <w:rFonts w:ascii="Arial Narrow" w:hAnsi="Arial Narrow" w:cs="Arial"/>
                <w:bCs/>
                <w:sz w:val="24"/>
                <w:szCs w:val="24"/>
              </w:rPr>
              <w:t>Health</w:t>
            </w:r>
          </w:p>
        </w:tc>
        <w:tc>
          <w:tcPr>
            <w:tcW w:w="882" w:type="pct"/>
            <w:noWrap/>
          </w:tcPr>
          <w:p w:rsidR="00586E73" w:rsidRPr="00F276CF" w:rsidRDefault="00586E73" w:rsidP="004F4DBD">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F276CF">
              <w:rPr>
                <w:rFonts w:ascii="Arial Narrow" w:hAnsi="Arial Narrow"/>
                <w:sz w:val="24"/>
                <w:szCs w:val="24"/>
              </w:rPr>
              <w:t>1,200</w:t>
            </w:r>
          </w:p>
        </w:tc>
        <w:tc>
          <w:tcPr>
            <w:tcW w:w="661" w:type="pct"/>
          </w:tcPr>
          <w:p w:rsidR="00586E73" w:rsidRPr="00F276CF" w:rsidRDefault="00586E73" w:rsidP="004F4DBD">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F276CF">
              <w:rPr>
                <w:rFonts w:ascii="Arial Narrow" w:hAnsi="Arial Narrow"/>
                <w:sz w:val="24"/>
                <w:szCs w:val="24"/>
              </w:rPr>
              <w:t>1,200</w:t>
            </w:r>
          </w:p>
        </w:tc>
        <w:tc>
          <w:tcPr>
            <w:tcW w:w="1546" w:type="pct"/>
          </w:tcPr>
          <w:p w:rsidR="00586E73" w:rsidRPr="00F276CF" w:rsidRDefault="00586E73" w:rsidP="004F4DBD">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p>
        </w:tc>
      </w:tr>
      <w:tr w:rsidR="00586E73" w:rsidRPr="00F276CF" w:rsidTr="00FC604D">
        <w:tc>
          <w:tcPr>
            <w:cnfStyle w:val="001000000000" w:firstRow="0" w:lastRow="0" w:firstColumn="1" w:lastColumn="0" w:oddVBand="0" w:evenVBand="0" w:oddHBand="0" w:evenHBand="0" w:firstRowFirstColumn="0" w:firstRowLastColumn="0" w:lastRowFirstColumn="0" w:lastRowLastColumn="0"/>
            <w:tcW w:w="1912" w:type="pct"/>
            <w:noWrap/>
          </w:tcPr>
          <w:p w:rsidR="00586E73" w:rsidRPr="00F276CF" w:rsidRDefault="00586E73" w:rsidP="004F4DBD">
            <w:pPr>
              <w:keepNext/>
              <w:spacing w:line="240" w:lineRule="auto"/>
              <w:rPr>
                <w:rFonts w:ascii="Arial Narrow" w:hAnsi="Arial Narrow" w:cs="Arial"/>
                <w:bCs/>
                <w:sz w:val="24"/>
                <w:szCs w:val="24"/>
              </w:rPr>
            </w:pPr>
            <w:r w:rsidRPr="00F276CF">
              <w:rPr>
                <w:rFonts w:ascii="Arial Narrow" w:hAnsi="Arial Narrow" w:cs="Arial"/>
                <w:bCs/>
                <w:sz w:val="24"/>
                <w:szCs w:val="24"/>
              </w:rPr>
              <w:t>Creative and Recreation</w:t>
            </w:r>
          </w:p>
        </w:tc>
        <w:tc>
          <w:tcPr>
            <w:tcW w:w="882" w:type="pct"/>
            <w:noWrap/>
          </w:tcPr>
          <w:p w:rsidR="00586E73" w:rsidRPr="00F276CF" w:rsidRDefault="00586E73" w:rsidP="004F4DBD">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F276CF">
              <w:rPr>
                <w:rFonts w:ascii="Arial Narrow" w:hAnsi="Arial Narrow"/>
                <w:sz w:val="24"/>
                <w:szCs w:val="24"/>
              </w:rPr>
              <w:t>600</w:t>
            </w:r>
          </w:p>
        </w:tc>
        <w:tc>
          <w:tcPr>
            <w:tcW w:w="661" w:type="pct"/>
          </w:tcPr>
          <w:p w:rsidR="00586E73" w:rsidRPr="00F276CF" w:rsidRDefault="00586E73" w:rsidP="004F4DBD">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F276CF">
              <w:rPr>
                <w:rFonts w:ascii="Arial Narrow" w:hAnsi="Arial Narrow"/>
                <w:sz w:val="24"/>
                <w:szCs w:val="24"/>
              </w:rPr>
              <w:t>600</w:t>
            </w:r>
          </w:p>
        </w:tc>
        <w:tc>
          <w:tcPr>
            <w:tcW w:w="1546" w:type="pct"/>
          </w:tcPr>
          <w:p w:rsidR="00586E73" w:rsidRPr="00F276CF" w:rsidRDefault="00586E73" w:rsidP="004F4DBD">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p>
        </w:tc>
      </w:tr>
      <w:tr w:rsidR="00586E73" w:rsidRPr="00F276CF" w:rsidTr="00FC604D">
        <w:tc>
          <w:tcPr>
            <w:cnfStyle w:val="001000000000" w:firstRow="0" w:lastRow="0" w:firstColumn="1" w:lastColumn="0" w:oddVBand="0" w:evenVBand="0" w:oddHBand="0" w:evenHBand="0" w:firstRowFirstColumn="0" w:firstRowLastColumn="0" w:lastRowFirstColumn="0" w:lastRowLastColumn="0"/>
            <w:tcW w:w="1912" w:type="pct"/>
            <w:noWrap/>
          </w:tcPr>
          <w:p w:rsidR="00586E73" w:rsidRPr="00F276CF" w:rsidRDefault="00586E73" w:rsidP="004F4DBD">
            <w:pPr>
              <w:pStyle w:val="TableBodytext"/>
              <w:keepNext/>
              <w:spacing w:before="0" w:after="0" w:line="240" w:lineRule="auto"/>
              <w:rPr>
                <w:rFonts w:ascii="Arial Narrow" w:hAnsi="Arial Narrow" w:cs="Arial"/>
                <w:bCs/>
                <w:sz w:val="24"/>
                <w:szCs w:val="24"/>
              </w:rPr>
            </w:pPr>
            <w:r w:rsidRPr="00F276CF">
              <w:rPr>
                <w:rFonts w:ascii="Arial Narrow" w:hAnsi="Arial Narrow" w:cs="Arial"/>
                <w:bCs/>
                <w:sz w:val="24"/>
                <w:szCs w:val="24"/>
              </w:rPr>
              <w:t>Other</w:t>
            </w:r>
          </w:p>
        </w:tc>
        <w:tc>
          <w:tcPr>
            <w:tcW w:w="882" w:type="pct"/>
            <w:noWrap/>
          </w:tcPr>
          <w:p w:rsidR="00586E73" w:rsidRPr="00F276CF" w:rsidRDefault="00586E73" w:rsidP="004F4DBD">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F276CF">
              <w:rPr>
                <w:rFonts w:ascii="Arial Narrow" w:hAnsi="Arial Narrow"/>
                <w:sz w:val="24"/>
                <w:szCs w:val="24"/>
              </w:rPr>
              <w:t>100</w:t>
            </w:r>
          </w:p>
        </w:tc>
        <w:tc>
          <w:tcPr>
            <w:tcW w:w="661" w:type="pct"/>
          </w:tcPr>
          <w:p w:rsidR="00586E73" w:rsidRPr="00F276CF" w:rsidRDefault="00586E73" w:rsidP="004F4DBD">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F276CF">
              <w:rPr>
                <w:rFonts w:ascii="Arial Narrow" w:hAnsi="Arial Narrow"/>
                <w:sz w:val="24"/>
                <w:szCs w:val="24"/>
              </w:rPr>
              <w:t>100</w:t>
            </w:r>
          </w:p>
        </w:tc>
        <w:tc>
          <w:tcPr>
            <w:tcW w:w="1546" w:type="pct"/>
          </w:tcPr>
          <w:p w:rsidR="00586E73" w:rsidRPr="00F276CF" w:rsidRDefault="00586E73" w:rsidP="004F4DBD">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p>
        </w:tc>
      </w:tr>
      <w:tr w:rsidR="00586E73" w:rsidRPr="00F276CF" w:rsidTr="00FC604D">
        <w:tc>
          <w:tcPr>
            <w:cnfStyle w:val="001000000000" w:firstRow="0" w:lastRow="0" w:firstColumn="1" w:lastColumn="0" w:oddVBand="0" w:evenVBand="0" w:oddHBand="0" w:evenHBand="0" w:firstRowFirstColumn="0" w:firstRowLastColumn="0" w:lastRowFirstColumn="0" w:lastRowLastColumn="0"/>
            <w:tcW w:w="1912" w:type="pct"/>
            <w:shd w:val="clear" w:color="auto" w:fill="auto"/>
            <w:noWrap/>
          </w:tcPr>
          <w:p w:rsidR="00586E73" w:rsidRPr="00F276CF" w:rsidRDefault="00586E73" w:rsidP="004F4DBD">
            <w:pPr>
              <w:pStyle w:val="TableBodytext"/>
              <w:keepNext/>
              <w:spacing w:before="0" w:after="0" w:line="240" w:lineRule="auto"/>
              <w:rPr>
                <w:rFonts w:ascii="Arial Narrow" w:hAnsi="Arial Narrow" w:cs="Arial"/>
                <w:bCs/>
                <w:sz w:val="24"/>
                <w:szCs w:val="24"/>
              </w:rPr>
            </w:pPr>
            <w:r w:rsidRPr="00F276CF">
              <w:rPr>
                <w:rFonts w:ascii="Arial Narrow" w:hAnsi="Arial Narrow" w:cs="Arial"/>
                <w:bCs/>
                <w:sz w:val="24"/>
                <w:szCs w:val="24"/>
              </w:rPr>
              <w:t>Total</w:t>
            </w:r>
          </w:p>
        </w:tc>
        <w:tc>
          <w:tcPr>
            <w:tcW w:w="882" w:type="pct"/>
            <w:shd w:val="clear" w:color="auto" w:fill="auto"/>
            <w:noWrap/>
          </w:tcPr>
          <w:p w:rsidR="00586E73" w:rsidRPr="00F276CF" w:rsidRDefault="00586E73" w:rsidP="004F4DBD">
            <w:pPr>
              <w:keepNext/>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F276CF">
              <w:rPr>
                <w:rFonts w:ascii="Arial Narrow" w:hAnsi="Arial Narrow"/>
                <w:sz w:val="24"/>
                <w:szCs w:val="24"/>
              </w:rPr>
              <w:t>3,700</w:t>
            </w:r>
          </w:p>
        </w:tc>
        <w:tc>
          <w:tcPr>
            <w:tcW w:w="661" w:type="pct"/>
            <w:shd w:val="clear" w:color="auto" w:fill="auto"/>
          </w:tcPr>
          <w:p w:rsidR="00586E73" w:rsidRPr="00F276CF" w:rsidRDefault="00586E73" w:rsidP="004F4DBD">
            <w:pPr>
              <w:keepNext/>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F276CF">
              <w:rPr>
                <w:rFonts w:ascii="Arial Narrow" w:hAnsi="Arial Narrow"/>
                <w:sz w:val="24"/>
                <w:szCs w:val="24"/>
              </w:rPr>
              <w:t>9,500</w:t>
            </w:r>
          </w:p>
        </w:tc>
        <w:tc>
          <w:tcPr>
            <w:tcW w:w="1546" w:type="pct"/>
            <w:shd w:val="clear" w:color="auto" w:fill="auto"/>
          </w:tcPr>
          <w:p w:rsidR="00586E73" w:rsidRPr="00F276CF" w:rsidRDefault="00586E73" w:rsidP="004F4DBD">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p>
        </w:tc>
      </w:tr>
    </w:tbl>
    <w:p w:rsidR="00B0298E" w:rsidRPr="00F276CF" w:rsidRDefault="00B0298E" w:rsidP="00FC604D">
      <w:pPr>
        <w:rPr>
          <w:rFonts w:asciiTheme="minorHAnsi" w:hAnsiTheme="minorHAnsi" w:cstheme="minorHAnsi"/>
          <w:color w:val="auto"/>
          <w:sz w:val="24"/>
          <w:szCs w:val="24"/>
        </w:rPr>
      </w:pPr>
      <w:r w:rsidRPr="00F276CF">
        <w:rPr>
          <w:rFonts w:asciiTheme="minorHAnsi" w:hAnsiTheme="minorHAnsi" w:cstheme="minorHAnsi"/>
          <w:color w:val="auto"/>
          <w:sz w:val="24"/>
          <w:szCs w:val="24"/>
        </w:rPr>
        <w:t>Source:</w:t>
      </w:r>
      <w:r w:rsidR="004B41A2" w:rsidRPr="00F276CF">
        <w:rPr>
          <w:rFonts w:asciiTheme="minorHAnsi" w:hAnsiTheme="minorHAnsi" w:cstheme="minorHAnsi"/>
          <w:color w:val="auto"/>
          <w:sz w:val="24"/>
          <w:szCs w:val="24"/>
        </w:rPr>
        <w:t xml:space="preserve"> </w:t>
      </w:r>
      <w:r w:rsidRPr="00F276CF">
        <w:rPr>
          <w:rFonts w:asciiTheme="minorHAnsi" w:hAnsiTheme="minorHAnsi" w:cstheme="minorHAnsi"/>
          <w:color w:val="auto"/>
          <w:sz w:val="24"/>
          <w:szCs w:val="24"/>
        </w:rPr>
        <w:t>Oxford</w:t>
      </w:r>
      <w:r w:rsidR="004B41A2" w:rsidRPr="00F276CF">
        <w:rPr>
          <w:rFonts w:asciiTheme="minorHAnsi" w:hAnsiTheme="minorHAnsi" w:cstheme="minorHAnsi"/>
          <w:color w:val="auto"/>
          <w:sz w:val="24"/>
          <w:szCs w:val="24"/>
        </w:rPr>
        <w:t xml:space="preserve"> </w:t>
      </w:r>
      <w:r w:rsidRPr="00F276CF">
        <w:rPr>
          <w:rFonts w:asciiTheme="minorHAnsi" w:hAnsiTheme="minorHAnsi" w:cstheme="minorHAnsi"/>
          <w:color w:val="auto"/>
          <w:sz w:val="24"/>
          <w:szCs w:val="24"/>
        </w:rPr>
        <w:t>Econometrics</w:t>
      </w:r>
      <w:r w:rsidR="004B41A2" w:rsidRPr="00F276CF">
        <w:rPr>
          <w:rFonts w:asciiTheme="minorHAnsi" w:hAnsiTheme="minorHAnsi" w:cstheme="minorHAnsi"/>
          <w:color w:val="auto"/>
          <w:sz w:val="24"/>
          <w:szCs w:val="24"/>
        </w:rPr>
        <w:t xml:space="preserve"> </w:t>
      </w:r>
      <w:r w:rsidRPr="00F276CF">
        <w:rPr>
          <w:rFonts w:asciiTheme="minorHAnsi" w:hAnsiTheme="minorHAnsi" w:cstheme="minorHAnsi"/>
          <w:color w:val="auto"/>
          <w:sz w:val="24"/>
          <w:szCs w:val="24"/>
        </w:rPr>
        <w:t>and</w:t>
      </w:r>
      <w:r w:rsidR="004B41A2" w:rsidRPr="00F276CF">
        <w:rPr>
          <w:rFonts w:asciiTheme="minorHAnsi" w:hAnsiTheme="minorHAnsi" w:cstheme="minorHAnsi"/>
          <w:color w:val="auto"/>
          <w:sz w:val="24"/>
          <w:szCs w:val="24"/>
        </w:rPr>
        <w:t xml:space="preserve"> </w:t>
      </w:r>
      <w:r w:rsidRPr="00F276CF">
        <w:rPr>
          <w:rFonts w:asciiTheme="minorHAnsi" w:hAnsiTheme="minorHAnsi" w:cstheme="minorHAnsi"/>
          <w:color w:val="auto"/>
          <w:sz w:val="24"/>
          <w:szCs w:val="24"/>
        </w:rPr>
        <w:t>GL</w:t>
      </w:r>
      <w:r w:rsidR="004B41A2" w:rsidRPr="00F276CF">
        <w:rPr>
          <w:rFonts w:asciiTheme="minorHAnsi" w:hAnsiTheme="minorHAnsi" w:cstheme="minorHAnsi"/>
          <w:color w:val="auto"/>
          <w:sz w:val="24"/>
          <w:szCs w:val="24"/>
        </w:rPr>
        <w:t xml:space="preserve"> </w:t>
      </w:r>
      <w:r w:rsidRPr="00F276CF">
        <w:rPr>
          <w:rFonts w:asciiTheme="minorHAnsi" w:hAnsiTheme="minorHAnsi" w:cstheme="minorHAnsi"/>
          <w:color w:val="auto"/>
          <w:sz w:val="24"/>
          <w:szCs w:val="24"/>
        </w:rPr>
        <w:t>Hearn,</w:t>
      </w:r>
      <w:r w:rsidR="004B41A2" w:rsidRPr="00F276CF">
        <w:rPr>
          <w:rFonts w:asciiTheme="minorHAnsi" w:hAnsiTheme="minorHAnsi" w:cstheme="minorHAnsi"/>
          <w:color w:val="auto"/>
          <w:sz w:val="24"/>
          <w:szCs w:val="24"/>
        </w:rPr>
        <w:t xml:space="preserve"> </w:t>
      </w:r>
      <w:r w:rsidRPr="00F276CF">
        <w:rPr>
          <w:rFonts w:asciiTheme="minorHAnsi" w:hAnsiTheme="minorHAnsi" w:cstheme="minorHAnsi"/>
          <w:color w:val="auto"/>
          <w:sz w:val="24"/>
          <w:szCs w:val="24"/>
        </w:rPr>
        <w:t>201</w:t>
      </w:r>
      <w:r w:rsidR="00B50862" w:rsidRPr="00F276CF">
        <w:rPr>
          <w:rFonts w:asciiTheme="minorHAnsi" w:hAnsiTheme="minorHAnsi" w:cstheme="minorHAnsi"/>
          <w:color w:val="auto"/>
          <w:sz w:val="24"/>
          <w:szCs w:val="24"/>
        </w:rPr>
        <w:t>9</w:t>
      </w:r>
      <w:r w:rsidR="004B41A2" w:rsidRPr="00F276CF">
        <w:rPr>
          <w:rFonts w:asciiTheme="minorHAnsi" w:hAnsiTheme="minorHAnsi" w:cstheme="minorHAnsi"/>
          <w:color w:val="auto"/>
          <w:sz w:val="24"/>
          <w:szCs w:val="24"/>
        </w:rPr>
        <w:t xml:space="preserve"> </w:t>
      </w:r>
      <w:r w:rsidRPr="00F276CF">
        <w:rPr>
          <w:rFonts w:asciiTheme="minorHAnsi" w:hAnsiTheme="minorHAnsi" w:cstheme="minorHAnsi"/>
          <w:color w:val="auto"/>
          <w:sz w:val="24"/>
          <w:szCs w:val="24"/>
        </w:rPr>
        <w:t>(numbers</w:t>
      </w:r>
      <w:r w:rsidR="004B41A2" w:rsidRPr="00F276CF">
        <w:rPr>
          <w:rFonts w:asciiTheme="minorHAnsi" w:hAnsiTheme="minorHAnsi" w:cstheme="minorHAnsi"/>
          <w:color w:val="auto"/>
          <w:sz w:val="24"/>
          <w:szCs w:val="24"/>
        </w:rPr>
        <w:t xml:space="preserve"> </w:t>
      </w:r>
      <w:r w:rsidRPr="00F276CF">
        <w:rPr>
          <w:rFonts w:asciiTheme="minorHAnsi" w:hAnsiTheme="minorHAnsi" w:cstheme="minorHAnsi"/>
          <w:color w:val="auto"/>
          <w:sz w:val="24"/>
          <w:szCs w:val="24"/>
        </w:rPr>
        <w:t>may</w:t>
      </w:r>
      <w:r w:rsidR="004B41A2" w:rsidRPr="00F276CF">
        <w:rPr>
          <w:rFonts w:asciiTheme="minorHAnsi" w:hAnsiTheme="minorHAnsi" w:cstheme="minorHAnsi"/>
          <w:color w:val="auto"/>
          <w:sz w:val="24"/>
          <w:szCs w:val="24"/>
        </w:rPr>
        <w:t xml:space="preserve"> </w:t>
      </w:r>
      <w:r w:rsidRPr="00F276CF">
        <w:rPr>
          <w:rFonts w:asciiTheme="minorHAnsi" w:hAnsiTheme="minorHAnsi" w:cstheme="minorHAnsi"/>
          <w:color w:val="auto"/>
          <w:sz w:val="24"/>
          <w:szCs w:val="24"/>
        </w:rPr>
        <w:t>not</w:t>
      </w:r>
      <w:r w:rsidR="004B41A2" w:rsidRPr="00F276CF">
        <w:rPr>
          <w:rFonts w:asciiTheme="minorHAnsi" w:hAnsiTheme="minorHAnsi" w:cstheme="minorHAnsi"/>
          <w:color w:val="auto"/>
          <w:sz w:val="24"/>
          <w:szCs w:val="24"/>
        </w:rPr>
        <w:t xml:space="preserve"> </w:t>
      </w:r>
      <w:r w:rsidRPr="00F276CF">
        <w:rPr>
          <w:rFonts w:asciiTheme="minorHAnsi" w:hAnsiTheme="minorHAnsi" w:cstheme="minorHAnsi"/>
          <w:color w:val="auto"/>
          <w:sz w:val="24"/>
          <w:szCs w:val="24"/>
        </w:rPr>
        <w:t>sum</w:t>
      </w:r>
      <w:r w:rsidR="004B41A2" w:rsidRPr="00F276CF">
        <w:rPr>
          <w:rFonts w:asciiTheme="minorHAnsi" w:hAnsiTheme="minorHAnsi" w:cstheme="minorHAnsi"/>
          <w:color w:val="auto"/>
          <w:sz w:val="24"/>
          <w:szCs w:val="24"/>
        </w:rPr>
        <w:t xml:space="preserve"> </w:t>
      </w:r>
      <w:r w:rsidRPr="00F276CF">
        <w:rPr>
          <w:rFonts w:asciiTheme="minorHAnsi" w:hAnsiTheme="minorHAnsi" w:cstheme="minorHAnsi"/>
          <w:color w:val="auto"/>
          <w:sz w:val="24"/>
          <w:szCs w:val="24"/>
        </w:rPr>
        <w:t>due</w:t>
      </w:r>
      <w:r w:rsidR="004B41A2" w:rsidRPr="00F276CF">
        <w:rPr>
          <w:rFonts w:asciiTheme="minorHAnsi" w:hAnsiTheme="minorHAnsi" w:cstheme="minorHAnsi"/>
          <w:color w:val="auto"/>
          <w:sz w:val="24"/>
          <w:szCs w:val="24"/>
        </w:rPr>
        <w:t xml:space="preserve"> </w:t>
      </w:r>
      <w:r w:rsidRPr="00F276CF">
        <w:rPr>
          <w:rFonts w:asciiTheme="minorHAnsi" w:hAnsiTheme="minorHAnsi" w:cstheme="minorHAnsi"/>
          <w:color w:val="auto"/>
          <w:sz w:val="24"/>
          <w:szCs w:val="24"/>
        </w:rPr>
        <w:t>to</w:t>
      </w:r>
      <w:r w:rsidR="004B41A2" w:rsidRPr="00F276CF">
        <w:rPr>
          <w:rFonts w:asciiTheme="minorHAnsi" w:hAnsiTheme="minorHAnsi" w:cstheme="minorHAnsi"/>
          <w:color w:val="auto"/>
          <w:sz w:val="24"/>
          <w:szCs w:val="24"/>
        </w:rPr>
        <w:t xml:space="preserve"> </w:t>
      </w:r>
      <w:r w:rsidRPr="00F276CF">
        <w:rPr>
          <w:rFonts w:asciiTheme="minorHAnsi" w:hAnsiTheme="minorHAnsi" w:cstheme="minorHAnsi"/>
          <w:color w:val="auto"/>
          <w:sz w:val="24"/>
          <w:szCs w:val="24"/>
        </w:rPr>
        <w:t>rounding)</w:t>
      </w:r>
    </w:p>
    <w:p w:rsidR="0087796B" w:rsidRPr="0087796B" w:rsidRDefault="0087796B" w:rsidP="000C05B0">
      <w:pPr>
        <w:pStyle w:val="11Bodytext"/>
        <w:tabs>
          <w:tab w:val="clear" w:pos="2212"/>
          <w:tab w:val="num" w:pos="567"/>
        </w:tabs>
        <w:ind w:left="567" w:hanging="567"/>
        <w:rPr>
          <w:b/>
        </w:rPr>
      </w:pPr>
      <w:r>
        <w:t>Overall jobs growth is therefore focused on:</w:t>
      </w:r>
    </w:p>
    <w:p w:rsidR="00B432DA" w:rsidRDefault="00B432DA" w:rsidP="00901C92">
      <w:pPr>
        <w:pStyle w:val="Bulletblackplain"/>
      </w:pPr>
      <w:r>
        <w:t xml:space="preserve">Professional and Scientific Services (1,400) primarily </w:t>
      </w:r>
      <w:r w:rsidR="00855CA6">
        <w:t>office-</w:t>
      </w:r>
      <w:r>
        <w:t>based activities.</w:t>
      </w:r>
    </w:p>
    <w:p w:rsidR="0087796B" w:rsidRDefault="00676170" w:rsidP="00901C92">
      <w:pPr>
        <w:pStyle w:val="Bulletblackplain"/>
      </w:pPr>
      <w:r>
        <w:t>Construction (</w:t>
      </w:r>
      <w:r w:rsidR="00F21840">
        <w:t>6</w:t>
      </w:r>
      <w:r>
        <w:t xml:space="preserve">00 jobs) typically </w:t>
      </w:r>
      <w:r w:rsidR="004E2253">
        <w:t>self-employed</w:t>
      </w:r>
      <w:r>
        <w:t xml:space="preserve"> or smaller firms.</w:t>
      </w:r>
    </w:p>
    <w:p w:rsidR="00676170" w:rsidRDefault="00676170" w:rsidP="00901C92">
      <w:pPr>
        <w:pStyle w:val="Bulletblackplain"/>
      </w:pPr>
      <w:r>
        <w:t>Wholesale</w:t>
      </w:r>
      <w:r w:rsidR="00855CA6">
        <w:t>/</w:t>
      </w:r>
      <w:r>
        <w:t>retail (</w:t>
      </w:r>
      <w:r w:rsidR="00F21840">
        <w:t>9</w:t>
      </w:r>
      <w:r>
        <w:t xml:space="preserve">00 jobs) working in the retail sector in town centres often </w:t>
      </w:r>
      <w:r w:rsidR="00855CA6">
        <w:t>part-</w:t>
      </w:r>
      <w:r>
        <w:t>time roles.</w:t>
      </w:r>
    </w:p>
    <w:p w:rsidR="00676170" w:rsidRDefault="00676170" w:rsidP="00901C92">
      <w:pPr>
        <w:pStyle w:val="Bulletblackplain"/>
      </w:pPr>
      <w:r>
        <w:lastRenderedPageBreak/>
        <w:t>Accommodation and food</w:t>
      </w:r>
      <w:r w:rsidR="00855CA6">
        <w:t>/</w:t>
      </w:r>
      <w:r>
        <w:t xml:space="preserve">beverage </w:t>
      </w:r>
      <w:r w:rsidR="00F21840">
        <w:t xml:space="preserve">(2,500 jobs) </w:t>
      </w:r>
      <w:r>
        <w:t xml:space="preserve">working in the tourism industry, often </w:t>
      </w:r>
      <w:r w:rsidR="00855CA6">
        <w:t>part-</w:t>
      </w:r>
      <w:r>
        <w:t>time roles.</w:t>
      </w:r>
    </w:p>
    <w:p w:rsidR="00676170" w:rsidRDefault="00676170" w:rsidP="00901C92">
      <w:pPr>
        <w:pStyle w:val="Bulletblackplain"/>
      </w:pPr>
      <w:r>
        <w:t>Media and IT (</w:t>
      </w:r>
      <w:r w:rsidR="00F21840">
        <w:t>4</w:t>
      </w:r>
      <w:r>
        <w:t xml:space="preserve">00) creative industries and </w:t>
      </w:r>
      <w:r w:rsidR="00855CA6">
        <w:t>technology-</w:t>
      </w:r>
      <w:r>
        <w:t>based roles.</w:t>
      </w:r>
    </w:p>
    <w:p w:rsidR="00676170" w:rsidRDefault="00676170" w:rsidP="00901C92">
      <w:pPr>
        <w:pStyle w:val="Bulletblackplain"/>
      </w:pPr>
      <w:r>
        <w:t>Education (</w:t>
      </w:r>
      <w:r w:rsidR="00F21840">
        <w:t>1,0</w:t>
      </w:r>
      <w:r>
        <w:t>00) in public sector roles.</w:t>
      </w:r>
    </w:p>
    <w:p w:rsidR="00676170" w:rsidRDefault="00676170" w:rsidP="00901C92">
      <w:pPr>
        <w:pStyle w:val="Bulletblackplain"/>
      </w:pPr>
      <w:r>
        <w:t>Health (</w:t>
      </w:r>
      <w:r w:rsidR="00F21840">
        <w:t>1,2</w:t>
      </w:r>
      <w:r>
        <w:t>00) primarily related to an increase in an ageing population and care roles</w:t>
      </w:r>
      <w:r w:rsidR="00392C9F">
        <w:t xml:space="preserve"> at hospitals and health centres</w:t>
      </w:r>
      <w:r>
        <w:t>.</w:t>
      </w:r>
    </w:p>
    <w:p w:rsidR="00676170" w:rsidRPr="0087796B" w:rsidRDefault="00676170" w:rsidP="00901C92">
      <w:pPr>
        <w:pStyle w:val="Bulletblackplain"/>
      </w:pPr>
      <w:r>
        <w:t>Creative and recreation (</w:t>
      </w:r>
      <w:r w:rsidR="00F21840">
        <w:t>6</w:t>
      </w:r>
      <w:r>
        <w:t xml:space="preserve">00) a range of roles in creative </w:t>
      </w:r>
      <w:r w:rsidR="00855CA6">
        <w:t>industries</w:t>
      </w:r>
      <w:r>
        <w:t>, arts and leisure</w:t>
      </w:r>
      <w:r w:rsidR="00855CA6">
        <w:t>/</w:t>
      </w:r>
      <w:r>
        <w:t>sports.</w:t>
      </w:r>
    </w:p>
    <w:p w:rsidR="007C737D" w:rsidRPr="00A77436" w:rsidRDefault="000D25F4" w:rsidP="000C05B0">
      <w:pPr>
        <w:pStyle w:val="11Bodytext"/>
        <w:tabs>
          <w:tab w:val="clear" w:pos="2212"/>
          <w:tab w:val="num" w:pos="567"/>
        </w:tabs>
        <w:ind w:left="567" w:hanging="567"/>
        <w:rPr>
          <w:b/>
        </w:rPr>
      </w:pPr>
      <w:r w:rsidRPr="00CA47B9">
        <w:t>The</w:t>
      </w:r>
      <w:r w:rsidR="004B41A2" w:rsidRPr="00CA47B9">
        <w:t xml:space="preserve"> </w:t>
      </w:r>
      <w:r w:rsidRPr="00CA47B9">
        <w:t>Growth</w:t>
      </w:r>
      <w:r w:rsidR="004B41A2" w:rsidRPr="00CA47B9">
        <w:t xml:space="preserve"> </w:t>
      </w:r>
      <w:r w:rsidRPr="00CA47B9">
        <w:t>Scenario</w:t>
      </w:r>
      <w:r w:rsidR="004B41A2" w:rsidRPr="00CA47B9">
        <w:t xml:space="preserve"> </w:t>
      </w:r>
      <w:r w:rsidRPr="00CA47B9">
        <w:t>has</w:t>
      </w:r>
      <w:r w:rsidR="004B41A2" w:rsidRPr="00CA47B9">
        <w:t xml:space="preserve"> </w:t>
      </w:r>
      <w:r w:rsidRPr="00CA47B9">
        <w:t>considered</w:t>
      </w:r>
      <w:r w:rsidR="004B41A2" w:rsidRPr="00CA47B9">
        <w:t xml:space="preserve"> </w:t>
      </w:r>
      <w:r w:rsidRPr="00CA47B9">
        <w:t>the</w:t>
      </w:r>
      <w:r w:rsidR="004B41A2" w:rsidRPr="00CA47B9">
        <w:t xml:space="preserve"> </w:t>
      </w:r>
      <w:r w:rsidRPr="00CA47B9">
        <w:t>sectors</w:t>
      </w:r>
      <w:r w:rsidR="004B41A2" w:rsidRPr="00CA47B9">
        <w:t xml:space="preserve"> </w:t>
      </w:r>
      <w:r w:rsidRPr="00CA47B9">
        <w:t>which,</w:t>
      </w:r>
      <w:r w:rsidR="004B41A2" w:rsidRPr="00CA47B9">
        <w:t xml:space="preserve"> </w:t>
      </w:r>
      <w:r w:rsidRPr="00CA47B9">
        <w:t>given</w:t>
      </w:r>
      <w:r w:rsidR="004B41A2" w:rsidRPr="00CA47B9">
        <w:t xml:space="preserve"> </w:t>
      </w:r>
      <w:r w:rsidRPr="00CA47B9">
        <w:t>the</w:t>
      </w:r>
      <w:r w:rsidR="004B41A2" w:rsidRPr="00CA47B9">
        <w:t xml:space="preserve"> </w:t>
      </w:r>
      <w:r w:rsidRPr="00CA47B9">
        <w:t>local</w:t>
      </w:r>
      <w:r w:rsidR="004B41A2" w:rsidRPr="00CA47B9">
        <w:t xml:space="preserve"> </w:t>
      </w:r>
      <w:r w:rsidRPr="00CA47B9">
        <w:t>economic</w:t>
      </w:r>
      <w:r w:rsidR="004B41A2" w:rsidRPr="00CA47B9">
        <w:t xml:space="preserve"> </w:t>
      </w:r>
      <w:r w:rsidRPr="00CA47B9">
        <w:t>drivers</w:t>
      </w:r>
      <w:r w:rsidR="004B41A2" w:rsidRPr="00CA47B9">
        <w:t xml:space="preserve"> </w:t>
      </w:r>
      <w:r w:rsidRPr="00CA47B9">
        <w:t>in</w:t>
      </w:r>
      <w:r w:rsidR="004B41A2" w:rsidRPr="00CA47B9">
        <w:t xml:space="preserve"> </w:t>
      </w:r>
      <w:r w:rsidRPr="00CA47B9">
        <w:t>Chichester</w:t>
      </w:r>
      <w:r w:rsidR="004B41A2" w:rsidRPr="00CA47B9">
        <w:t xml:space="preserve"> </w:t>
      </w:r>
      <w:r w:rsidRPr="00CA47B9">
        <w:t>District</w:t>
      </w:r>
      <w:r w:rsidR="004B41A2" w:rsidRPr="00CA47B9">
        <w:t xml:space="preserve"> </w:t>
      </w:r>
      <w:r w:rsidRPr="00CA47B9">
        <w:t>and</w:t>
      </w:r>
      <w:r w:rsidR="004B41A2" w:rsidRPr="00CA47B9">
        <w:t xml:space="preserve"> </w:t>
      </w:r>
      <w:r w:rsidRPr="00CA47B9">
        <w:t>across</w:t>
      </w:r>
      <w:r w:rsidR="004B41A2" w:rsidRPr="00CA47B9">
        <w:t xml:space="preserve"> </w:t>
      </w:r>
      <w:r w:rsidRPr="00CA47B9">
        <w:t>the</w:t>
      </w:r>
      <w:r w:rsidR="004B41A2" w:rsidRPr="00CA47B9">
        <w:t xml:space="preserve"> </w:t>
      </w:r>
      <w:r w:rsidRPr="00CA47B9">
        <w:t>LEP</w:t>
      </w:r>
      <w:r w:rsidR="004B41A2" w:rsidRPr="00CA47B9">
        <w:t xml:space="preserve"> </w:t>
      </w:r>
      <w:r w:rsidRPr="00CA47B9">
        <w:t>area,</w:t>
      </w:r>
      <w:r w:rsidR="004B41A2" w:rsidRPr="00CA47B9">
        <w:t xml:space="preserve"> </w:t>
      </w:r>
      <w:r w:rsidRPr="00CA47B9">
        <w:t>would</w:t>
      </w:r>
      <w:r w:rsidR="004B41A2" w:rsidRPr="00CA47B9">
        <w:t xml:space="preserve"> </w:t>
      </w:r>
      <w:r w:rsidRPr="00CA47B9">
        <w:t>be</w:t>
      </w:r>
      <w:r w:rsidR="004B41A2" w:rsidRPr="00CA47B9">
        <w:t xml:space="preserve"> </w:t>
      </w:r>
      <w:r w:rsidRPr="00CA47B9">
        <w:t>expected</w:t>
      </w:r>
      <w:r w:rsidR="004B41A2" w:rsidRPr="00CA47B9">
        <w:t xml:space="preserve"> </w:t>
      </w:r>
      <w:r w:rsidRPr="00CA47B9">
        <w:t>to</w:t>
      </w:r>
      <w:r w:rsidR="004B41A2" w:rsidRPr="00CA47B9">
        <w:t xml:space="preserve"> </w:t>
      </w:r>
      <w:r w:rsidRPr="00CA47B9">
        <w:t>see</w:t>
      </w:r>
      <w:r w:rsidR="004B41A2" w:rsidRPr="00CA47B9">
        <w:t xml:space="preserve"> </w:t>
      </w:r>
      <w:r w:rsidR="00855CA6">
        <w:t xml:space="preserve">a </w:t>
      </w:r>
      <w:r w:rsidRPr="00CA47B9">
        <w:t>strong</w:t>
      </w:r>
      <w:r w:rsidR="004B41A2" w:rsidRPr="00CA47B9">
        <w:t xml:space="preserve"> </w:t>
      </w:r>
      <w:r w:rsidRPr="00CA47B9">
        <w:t>future</w:t>
      </w:r>
      <w:r w:rsidR="004B41A2" w:rsidRPr="00CA47B9">
        <w:t xml:space="preserve"> </w:t>
      </w:r>
      <w:r w:rsidRPr="00CA47B9">
        <w:t>performance.</w:t>
      </w:r>
      <w:r w:rsidR="004B41A2" w:rsidRPr="00CA47B9">
        <w:t xml:space="preserve"> </w:t>
      </w:r>
      <w:r w:rsidRPr="00CA47B9">
        <w:t>The</w:t>
      </w:r>
      <w:r w:rsidR="004B41A2" w:rsidRPr="00CA47B9">
        <w:t xml:space="preserve"> </w:t>
      </w:r>
      <w:r w:rsidRPr="00CA47B9">
        <w:t>baseline</w:t>
      </w:r>
      <w:r w:rsidR="004B41A2" w:rsidRPr="00CA47B9">
        <w:t xml:space="preserve"> </w:t>
      </w:r>
      <w:r w:rsidRPr="00CA47B9">
        <w:t>was</w:t>
      </w:r>
      <w:r w:rsidR="004B41A2" w:rsidRPr="00CA47B9">
        <w:t xml:space="preserve"> </w:t>
      </w:r>
      <w:r w:rsidRPr="00CA47B9">
        <w:t>assessed</w:t>
      </w:r>
      <w:r w:rsidR="004B41A2" w:rsidRPr="00CA47B9">
        <w:t xml:space="preserve"> </w:t>
      </w:r>
      <w:r w:rsidRPr="00CA47B9">
        <w:t>to</w:t>
      </w:r>
      <w:r w:rsidR="004B41A2" w:rsidRPr="00CA47B9">
        <w:t xml:space="preserve"> </w:t>
      </w:r>
      <w:r w:rsidRPr="00CA47B9">
        <w:t>consider</w:t>
      </w:r>
      <w:r w:rsidR="004B41A2" w:rsidRPr="00CA47B9">
        <w:t xml:space="preserve"> </w:t>
      </w:r>
      <w:r w:rsidRPr="00CA47B9">
        <w:t>how</w:t>
      </w:r>
      <w:r w:rsidR="004B41A2" w:rsidRPr="00CA47B9">
        <w:t xml:space="preserve"> </w:t>
      </w:r>
      <w:r w:rsidRPr="00CA47B9">
        <w:t>the</w:t>
      </w:r>
      <w:r w:rsidR="004B41A2" w:rsidRPr="00CA47B9">
        <w:t xml:space="preserve"> </w:t>
      </w:r>
      <w:r w:rsidRPr="00CA47B9">
        <w:t>growth</w:t>
      </w:r>
      <w:r w:rsidR="004B41A2" w:rsidRPr="00CA47B9">
        <w:t xml:space="preserve"> </w:t>
      </w:r>
      <w:r w:rsidRPr="00CA47B9">
        <w:t>sectors</w:t>
      </w:r>
      <w:r w:rsidR="004B41A2" w:rsidRPr="00CA47B9">
        <w:t xml:space="preserve"> </w:t>
      </w:r>
      <w:r w:rsidRPr="00CA47B9">
        <w:t>were</w:t>
      </w:r>
      <w:r w:rsidR="004B41A2" w:rsidRPr="00CA47B9">
        <w:t xml:space="preserve"> </w:t>
      </w:r>
      <w:r w:rsidRPr="00CA47B9">
        <w:t>forecast</w:t>
      </w:r>
      <w:r w:rsidR="004B41A2" w:rsidRPr="00CA47B9">
        <w:t xml:space="preserve"> </w:t>
      </w:r>
      <w:r w:rsidRPr="00CA47B9">
        <w:t>to</w:t>
      </w:r>
      <w:r w:rsidR="004B41A2" w:rsidRPr="00CA47B9">
        <w:t xml:space="preserve"> </w:t>
      </w:r>
      <w:r w:rsidRPr="00CA47B9">
        <w:t>grow</w:t>
      </w:r>
      <w:r w:rsidR="004B41A2" w:rsidRPr="00CA47B9">
        <w:t xml:space="preserve"> </w:t>
      </w:r>
      <w:r w:rsidRPr="00CA47B9">
        <w:t>over</w:t>
      </w:r>
      <w:r w:rsidR="004B41A2" w:rsidRPr="00CA47B9">
        <w:t xml:space="preserve"> </w:t>
      </w:r>
      <w:r w:rsidRPr="00CA47B9">
        <w:t>the</w:t>
      </w:r>
      <w:r w:rsidR="004B41A2" w:rsidRPr="00CA47B9">
        <w:t xml:space="preserve"> </w:t>
      </w:r>
      <w:r w:rsidRPr="00CA47B9">
        <w:t>period</w:t>
      </w:r>
      <w:r w:rsidR="004B41A2" w:rsidRPr="00CA47B9">
        <w:t xml:space="preserve"> </w:t>
      </w:r>
      <w:r w:rsidRPr="00CA47B9">
        <w:t>from</w:t>
      </w:r>
      <w:r w:rsidR="004B41A2" w:rsidRPr="00CA47B9">
        <w:t xml:space="preserve"> </w:t>
      </w:r>
      <w:r w:rsidRPr="00CA47B9">
        <w:t>201</w:t>
      </w:r>
      <w:r w:rsidR="00FB0B9F">
        <w:t>9</w:t>
      </w:r>
      <w:r w:rsidRPr="00CA47B9">
        <w:t>-36</w:t>
      </w:r>
      <w:r w:rsidR="004B41A2" w:rsidRPr="00CA47B9">
        <w:t xml:space="preserve"> </w:t>
      </w:r>
      <w:r w:rsidRPr="00CA47B9">
        <w:t>and</w:t>
      </w:r>
      <w:r w:rsidR="004B41A2" w:rsidRPr="00CA47B9">
        <w:t xml:space="preserve"> </w:t>
      </w:r>
      <w:r w:rsidRPr="00CA47B9">
        <w:t>adjustments</w:t>
      </w:r>
      <w:r w:rsidR="004B41A2" w:rsidRPr="00CA47B9">
        <w:t xml:space="preserve"> </w:t>
      </w:r>
      <w:r w:rsidRPr="00CA47B9">
        <w:t>have</w:t>
      </w:r>
      <w:r w:rsidR="004B41A2" w:rsidRPr="00CA47B9">
        <w:t xml:space="preserve"> </w:t>
      </w:r>
      <w:r w:rsidRPr="00CA47B9">
        <w:t>been</w:t>
      </w:r>
      <w:r w:rsidR="004B41A2" w:rsidRPr="00CA47B9">
        <w:t xml:space="preserve"> </w:t>
      </w:r>
      <w:r w:rsidRPr="00CA47B9">
        <w:t>made</w:t>
      </w:r>
      <w:r w:rsidR="004B41A2" w:rsidRPr="00CA47B9">
        <w:t xml:space="preserve"> </w:t>
      </w:r>
      <w:r w:rsidRPr="00CA47B9">
        <w:t>where</w:t>
      </w:r>
      <w:r w:rsidR="004B41A2" w:rsidRPr="00CA47B9">
        <w:t xml:space="preserve"> </w:t>
      </w:r>
      <w:r w:rsidRPr="00CA47B9">
        <w:t>appropriate.</w:t>
      </w:r>
      <w:r w:rsidR="004B41A2" w:rsidRPr="00CA47B9">
        <w:t xml:space="preserve"> </w:t>
      </w:r>
      <w:r w:rsidR="00B432DA">
        <w:t>T</w:t>
      </w:r>
      <w:r w:rsidRPr="00CA47B9">
        <w:t>hese</w:t>
      </w:r>
      <w:r w:rsidR="004B41A2" w:rsidRPr="00CA47B9">
        <w:t xml:space="preserve"> </w:t>
      </w:r>
      <w:r w:rsidRPr="00CA47B9">
        <w:t>adjustments</w:t>
      </w:r>
      <w:r w:rsidR="004B41A2" w:rsidRPr="00CA47B9">
        <w:t xml:space="preserve"> </w:t>
      </w:r>
      <w:r w:rsidRPr="00CA47B9">
        <w:t>have</w:t>
      </w:r>
      <w:r w:rsidR="004B41A2" w:rsidRPr="00CA47B9">
        <w:t xml:space="preserve"> </w:t>
      </w:r>
      <w:r w:rsidRPr="00CA47B9">
        <w:t>been</w:t>
      </w:r>
      <w:r w:rsidR="004B41A2" w:rsidRPr="00CA47B9">
        <w:t xml:space="preserve"> </w:t>
      </w:r>
      <w:r w:rsidRPr="00CA47B9">
        <w:t>informed</w:t>
      </w:r>
      <w:r w:rsidR="004B41A2" w:rsidRPr="00CA47B9">
        <w:t xml:space="preserve"> </w:t>
      </w:r>
      <w:r w:rsidRPr="00CA47B9">
        <w:t>by</w:t>
      </w:r>
      <w:r w:rsidR="004B41A2" w:rsidRPr="00CA47B9">
        <w:t xml:space="preserve"> </w:t>
      </w:r>
      <w:r w:rsidRPr="00CA47B9">
        <w:t>sectoral</w:t>
      </w:r>
      <w:r w:rsidR="004B41A2" w:rsidRPr="00CA47B9">
        <w:t xml:space="preserve"> </w:t>
      </w:r>
      <w:r w:rsidRPr="00CA47B9">
        <w:t>performance</w:t>
      </w:r>
      <w:r w:rsidR="004B41A2" w:rsidRPr="00CA47B9">
        <w:t xml:space="preserve"> </w:t>
      </w:r>
      <w:r w:rsidRPr="00CA47B9">
        <w:t>in</w:t>
      </w:r>
      <w:r w:rsidR="004B41A2" w:rsidRPr="00CA47B9">
        <w:t xml:space="preserve"> </w:t>
      </w:r>
      <w:r w:rsidRPr="00CA47B9">
        <w:t>Chichester</w:t>
      </w:r>
      <w:r w:rsidR="004B41A2" w:rsidRPr="00CA47B9">
        <w:t xml:space="preserve"> </w:t>
      </w:r>
      <w:r w:rsidR="00D837A2">
        <w:t>D</w:t>
      </w:r>
      <w:r w:rsidRPr="00CA47B9">
        <w:t>istrict</w:t>
      </w:r>
      <w:r w:rsidR="004B41A2" w:rsidRPr="00CA47B9">
        <w:t xml:space="preserve"> </w:t>
      </w:r>
      <w:r w:rsidRPr="00CA47B9">
        <w:t>and</w:t>
      </w:r>
      <w:r w:rsidR="004B41A2" w:rsidRPr="00CA47B9">
        <w:t xml:space="preserve"> </w:t>
      </w:r>
      <w:r w:rsidRPr="00CA47B9">
        <w:t>the</w:t>
      </w:r>
      <w:r w:rsidR="004B41A2" w:rsidRPr="00CA47B9">
        <w:t xml:space="preserve"> </w:t>
      </w:r>
      <w:r w:rsidRPr="00CA47B9">
        <w:t>South</w:t>
      </w:r>
      <w:r w:rsidR="004B41A2" w:rsidRPr="00CA47B9">
        <w:t xml:space="preserve"> </w:t>
      </w:r>
      <w:r w:rsidRPr="00CA47B9">
        <w:t>East</w:t>
      </w:r>
      <w:r w:rsidR="004B41A2" w:rsidRPr="00CA47B9">
        <w:t xml:space="preserve"> </w:t>
      </w:r>
      <w:r w:rsidRPr="00CA47B9">
        <w:t>over</w:t>
      </w:r>
      <w:r w:rsidR="004B41A2" w:rsidRPr="00CA47B9">
        <w:t xml:space="preserve"> </w:t>
      </w:r>
      <w:r w:rsidRPr="00CA47B9">
        <w:t>the</w:t>
      </w:r>
      <w:r w:rsidR="004B41A2" w:rsidRPr="00CA47B9">
        <w:t xml:space="preserve"> </w:t>
      </w:r>
      <w:r w:rsidRPr="00CA47B9">
        <w:t>last</w:t>
      </w:r>
      <w:r w:rsidR="004B41A2" w:rsidRPr="00CA47B9">
        <w:t xml:space="preserve"> </w:t>
      </w:r>
      <w:r w:rsidRPr="00CA47B9">
        <w:t>full</w:t>
      </w:r>
      <w:r w:rsidR="004B41A2" w:rsidRPr="00CA47B9">
        <w:t xml:space="preserve"> </w:t>
      </w:r>
      <w:r w:rsidRPr="00CA47B9">
        <w:t>economic</w:t>
      </w:r>
      <w:r w:rsidR="004B41A2" w:rsidRPr="00CA47B9">
        <w:t xml:space="preserve"> </w:t>
      </w:r>
      <w:r w:rsidRPr="00CA47B9">
        <w:t>cycle</w:t>
      </w:r>
      <w:r w:rsidR="004B41A2" w:rsidRPr="00CA47B9">
        <w:t xml:space="preserve"> </w:t>
      </w:r>
      <w:r w:rsidRPr="00CA47B9">
        <w:t>(1993-2010)</w:t>
      </w:r>
      <w:r w:rsidR="004B41A2" w:rsidRPr="00CA47B9">
        <w:t xml:space="preserve"> </w:t>
      </w:r>
      <w:r w:rsidRPr="00CA47B9">
        <w:t>to</w:t>
      </w:r>
      <w:r w:rsidR="004B41A2" w:rsidRPr="00CA47B9">
        <w:t xml:space="preserve"> </w:t>
      </w:r>
      <w:r w:rsidRPr="00CA47B9">
        <w:t>ensure</w:t>
      </w:r>
      <w:r w:rsidR="004B41A2" w:rsidRPr="00CA47B9">
        <w:t xml:space="preserve"> </w:t>
      </w:r>
      <w:r w:rsidRPr="00CA47B9">
        <w:t>the</w:t>
      </w:r>
      <w:r w:rsidR="004B41A2" w:rsidRPr="00CA47B9">
        <w:t xml:space="preserve"> </w:t>
      </w:r>
      <w:r w:rsidRPr="00CA47B9">
        <w:t>scale</w:t>
      </w:r>
      <w:r w:rsidR="004B41A2" w:rsidRPr="00CA47B9">
        <w:t xml:space="preserve"> </w:t>
      </w:r>
      <w:r w:rsidRPr="00CA47B9">
        <w:t>of</w:t>
      </w:r>
      <w:r w:rsidR="004B41A2" w:rsidRPr="00CA47B9">
        <w:t xml:space="preserve"> </w:t>
      </w:r>
      <w:r w:rsidRPr="00CA47B9">
        <w:t>growth</w:t>
      </w:r>
      <w:r w:rsidR="004B41A2" w:rsidRPr="00CA47B9">
        <w:t xml:space="preserve"> </w:t>
      </w:r>
      <w:r w:rsidRPr="00CA47B9">
        <w:t>is</w:t>
      </w:r>
      <w:r w:rsidR="004B41A2" w:rsidRPr="00CA47B9">
        <w:t xml:space="preserve"> </w:t>
      </w:r>
      <w:r w:rsidRPr="00CA47B9">
        <w:t>reasonable.</w:t>
      </w:r>
      <w:r w:rsidR="004B41A2" w:rsidRPr="00CA47B9">
        <w:t xml:space="preserve"> </w:t>
      </w:r>
      <w:r w:rsidRPr="00CA47B9">
        <w:t>The</w:t>
      </w:r>
      <w:r w:rsidR="004B41A2" w:rsidRPr="00CA47B9">
        <w:t xml:space="preserve"> </w:t>
      </w:r>
      <w:r w:rsidRPr="00CA47B9">
        <w:t>one</w:t>
      </w:r>
      <w:r w:rsidR="004B41A2" w:rsidRPr="00CA47B9">
        <w:t xml:space="preserve"> </w:t>
      </w:r>
      <w:r w:rsidRPr="00CA47B9">
        <w:t>exception</w:t>
      </w:r>
      <w:r w:rsidR="004B41A2" w:rsidRPr="00CA47B9">
        <w:t xml:space="preserve"> </w:t>
      </w:r>
      <w:r w:rsidRPr="00CA47B9">
        <w:t>is</w:t>
      </w:r>
      <w:r w:rsidR="004B41A2" w:rsidRPr="00CA47B9">
        <w:t xml:space="preserve"> </w:t>
      </w:r>
      <w:r w:rsidRPr="00CA47B9">
        <w:t>the</w:t>
      </w:r>
      <w:r w:rsidR="004B41A2" w:rsidRPr="00CA47B9">
        <w:t xml:space="preserve"> </w:t>
      </w:r>
      <w:r w:rsidRPr="00CA47B9">
        <w:t>Agriculture</w:t>
      </w:r>
      <w:r w:rsidR="004B41A2" w:rsidRPr="00CA47B9">
        <w:t xml:space="preserve"> </w:t>
      </w:r>
      <w:r w:rsidRPr="00CA47B9">
        <w:t>and</w:t>
      </w:r>
      <w:r w:rsidR="004B41A2" w:rsidRPr="00CA47B9">
        <w:t xml:space="preserve"> </w:t>
      </w:r>
      <w:r w:rsidRPr="00CA47B9">
        <w:t>Mining</w:t>
      </w:r>
      <w:r w:rsidR="004B41A2" w:rsidRPr="00CA47B9">
        <w:t xml:space="preserve"> </w:t>
      </w:r>
      <w:r w:rsidRPr="00CA47B9">
        <w:t>sector</w:t>
      </w:r>
      <w:r w:rsidR="004B41A2" w:rsidRPr="00CA47B9">
        <w:t xml:space="preserve"> </w:t>
      </w:r>
      <w:r w:rsidRPr="00CA47B9">
        <w:t>where</w:t>
      </w:r>
      <w:r w:rsidR="004B41A2" w:rsidRPr="00CA47B9">
        <w:t xml:space="preserve"> </w:t>
      </w:r>
      <w:r w:rsidRPr="00CA47B9">
        <w:t>an</w:t>
      </w:r>
      <w:r w:rsidR="004B41A2" w:rsidRPr="00CA47B9">
        <w:t xml:space="preserve"> </w:t>
      </w:r>
      <w:r w:rsidRPr="00CA47B9">
        <w:t>adjustment</w:t>
      </w:r>
      <w:r w:rsidR="004B41A2" w:rsidRPr="00CA47B9">
        <w:t xml:space="preserve"> </w:t>
      </w:r>
      <w:r w:rsidRPr="00CA47B9">
        <w:t>arresting</w:t>
      </w:r>
      <w:r w:rsidR="004B41A2" w:rsidRPr="00CA47B9">
        <w:t xml:space="preserve"> </w:t>
      </w:r>
      <w:r w:rsidRPr="00CA47B9">
        <w:t>the</w:t>
      </w:r>
      <w:r w:rsidR="004B41A2" w:rsidRPr="00CA47B9">
        <w:t xml:space="preserve"> </w:t>
      </w:r>
      <w:r w:rsidRPr="00CA47B9">
        <w:t>decline</w:t>
      </w:r>
      <w:r w:rsidR="004B41A2" w:rsidRPr="00CA47B9">
        <w:t xml:space="preserve"> </w:t>
      </w:r>
      <w:r w:rsidRPr="00CA47B9">
        <w:t>in</w:t>
      </w:r>
      <w:r w:rsidR="004B41A2" w:rsidRPr="00CA47B9">
        <w:t xml:space="preserve"> </w:t>
      </w:r>
      <w:r w:rsidRPr="00CA47B9">
        <w:t>jobs</w:t>
      </w:r>
      <w:r w:rsidR="004B41A2" w:rsidRPr="00CA47B9">
        <w:t xml:space="preserve"> </w:t>
      </w:r>
      <w:r w:rsidRPr="00CA47B9">
        <w:t>was</w:t>
      </w:r>
      <w:r w:rsidR="004B41A2" w:rsidRPr="00CA47B9">
        <w:t xml:space="preserve"> </w:t>
      </w:r>
      <w:r w:rsidRPr="00CA47B9">
        <w:t>informed</w:t>
      </w:r>
      <w:r w:rsidR="004B41A2" w:rsidRPr="00CA47B9">
        <w:t xml:space="preserve"> </w:t>
      </w:r>
      <w:r w:rsidRPr="00CA47B9">
        <w:t>by</w:t>
      </w:r>
      <w:r w:rsidR="004B41A2" w:rsidRPr="00CA47B9">
        <w:t xml:space="preserve"> </w:t>
      </w:r>
      <w:r w:rsidRPr="00CA47B9">
        <w:t>stakeholder</w:t>
      </w:r>
      <w:r w:rsidR="004B41A2" w:rsidRPr="00CA47B9">
        <w:t xml:space="preserve"> </w:t>
      </w:r>
      <w:r w:rsidRPr="00CA47B9">
        <w:t>engagement.</w:t>
      </w:r>
    </w:p>
    <w:p w:rsidR="004C78CC" w:rsidRPr="00CA47B9" w:rsidRDefault="004C78CC" w:rsidP="00FC604D">
      <w:pPr>
        <w:pStyle w:val="Tableheading"/>
        <w:tabs>
          <w:tab w:val="clear" w:pos="794"/>
          <w:tab w:val="clear" w:pos="1843"/>
          <w:tab w:val="left" w:pos="0"/>
        </w:tabs>
        <w:ind w:left="0" w:firstLine="0"/>
      </w:pPr>
      <w:r w:rsidRPr="00CA47B9">
        <w:t>Employment</w:t>
      </w:r>
      <w:r w:rsidR="004B41A2" w:rsidRPr="00CA47B9">
        <w:t xml:space="preserve"> </w:t>
      </w:r>
      <w:r w:rsidRPr="00CA47B9">
        <w:t>Growth</w:t>
      </w:r>
      <w:r w:rsidR="004B41A2" w:rsidRPr="00CA47B9">
        <w:t xml:space="preserve"> </w:t>
      </w:r>
      <w:r w:rsidRPr="00CA47B9">
        <w:t>Scenarios</w:t>
      </w:r>
      <w:r w:rsidR="004B41A2" w:rsidRPr="00CA47B9">
        <w:t xml:space="preserve"> </w:t>
      </w:r>
      <w:r w:rsidRPr="00CA47B9">
        <w:t>Comparison</w:t>
      </w:r>
      <w:r w:rsidR="004B41A2" w:rsidRPr="00CA47B9">
        <w:t xml:space="preserve"> </w:t>
      </w:r>
    </w:p>
    <w:tbl>
      <w:tblPr>
        <w:tblStyle w:val="GLHearntable1"/>
        <w:tblpPr w:leftFromText="180" w:rightFromText="180" w:vertAnchor="text" w:horzAnchor="margin" w:tblpXSpec="center" w:tblpY="24"/>
        <w:tblW w:w="489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8: Employment Growth Scenarios Comparison"/>
      </w:tblPr>
      <w:tblGrid>
        <w:gridCol w:w="2791"/>
        <w:gridCol w:w="2417"/>
        <w:gridCol w:w="2074"/>
        <w:gridCol w:w="2348"/>
      </w:tblGrid>
      <w:tr w:rsidR="00A77436" w:rsidRPr="00F276CF" w:rsidTr="00D339A0">
        <w:trPr>
          <w:cnfStyle w:val="100000000000" w:firstRow="1" w:lastRow="0" w:firstColumn="0" w:lastColumn="0" w:oddVBand="0" w:evenVBand="0" w:oddHBand="0" w:evenHBand="0" w:firstRowFirstColumn="0" w:firstRowLastColumn="0" w:lastRowFirstColumn="0" w:lastRowLastColumn="0"/>
          <w:trHeight w:val="502"/>
          <w:tblHeader/>
        </w:trPr>
        <w:tc>
          <w:tcPr>
            <w:cnfStyle w:val="001000000000" w:firstRow="0" w:lastRow="0" w:firstColumn="1" w:lastColumn="0" w:oddVBand="0" w:evenVBand="0" w:oddHBand="0" w:evenHBand="0" w:firstRowFirstColumn="0" w:firstRowLastColumn="0" w:lastRowFirstColumn="0" w:lastRowLastColumn="0"/>
            <w:tcW w:w="1449" w:type="pct"/>
            <w:noWrap/>
            <w:hideMark/>
          </w:tcPr>
          <w:p w:rsidR="00A77436" w:rsidRPr="00F276CF" w:rsidRDefault="00A77436" w:rsidP="00A77436">
            <w:pPr>
              <w:rPr>
                <w:rFonts w:ascii="Arial Narrow" w:eastAsia="Times New Roman" w:hAnsi="Arial Narrow"/>
                <w:color w:val="FFFFFF"/>
                <w:sz w:val="24"/>
                <w:szCs w:val="24"/>
                <w:lang w:eastAsia="en-GB"/>
              </w:rPr>
            </w:pPr>
            <w:r w:rsidRPr="00F276CF">
              <w:rPr>
                <w:rFonts w:ascii="Arial Narrow" w:eastAsia="Times New Roman" w:hAnsi="Arial Narrow"/>
                <w:color w:val="FFFFFF"/>
                <w:sz w:val="24"/>
                <w:szCs w:val="24"/>
                <w:lang w:eastAsia="en-GB"/>
              </w:rPr>
              <w:t> </w:t>
            </w:r>
          </w:p>
        </w:tc>
        <w:tc>
          <w:tcPr>
            <w:tcW w:w="1255" w:type="pct"/>
            <w:hideMark/>
          </w:tcPr>
          <w:p w:rsidR="00A77436" w:rsidRPr="00F276CF" w:rsidRDefault="00A77436" w:rsidP="00A77436">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FFFFFF"/>
                <w:sz w:val="24"/>
                <w:szCs w:val="24"/>
                <w:lang w:eastAsia="en-GB"/>
              </w:rPr>
            </w:pPr>
            <w:r w:rsidRPr="00F276CF">
              <w:rPr>
                <w:rFonts w:ascii="Arial Narrow" w:eastAsia="Times New Roman" w:hAnsi="Arial Narrow"/>
                <w:bCs/>
                <w:color w:val="FFFFFF"/>
                <w:sz w:val="24"/>
                <w:szCs w:val="24"/>
                <w:lang w:eastAsia="en-GB"/>
              </w:rPr>
              <w:t>1993-2010</w:t>
            </w:r>
          </w:p>
        </w:tc>
        <w:tc>
          <w:tcPr>
            <w:tcW w:w="1077" w:type="pct"/>
            <w:noWrap/>
            <w:hideMark/>
          </w:tcPr>
          <w:p w:rsidR="00A77436" w:rsidRPr="00F276CF" w:rsidRDefault="00A77436" w:rsidP="00A77436">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FFFFFF"/>
                <w:sz w:val="24"/>
                <w:szCs w:val="24"/>
                <w:lang w:eastAsia="en-GB"/>
              </w:rPr>
            </w:pPr>
            <w:r w:rsidRPr="00F276CF">
              <w:rPr>
                <w:rFonts w:ascii="Arial Narrow" w:eastAsia="Times New Roman" w:hAnsi="Arial Narrow"/>
                <w:bCs/>
                <w:color w:val="FFFFFF"/>
                <w:sz w:val="24"/>
                <w:szCs w:val="24"/>
                <w:lang w:eastAsia="en-GB"/>
              </w:rPr>
              <w:t>2019-36</w:t>
            </w:r>
          </w:p>
        </w:tc>
        <w:tc>
          <w:tcPr>
            <w:tcW w:w="1219" w:type="pct"/>
            <w:hideMark/>
          </w:tcPr>
          <w:p w:rsidR="00A77436" w:rsidRPr="00F276CF" w:rsidRDefault="00A77436" w:rsidP="00A77436">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FFFFFF"/>
                <w:sz w:val="24"/>
                <w:szCs w:val="24"/>
                <w:lang w:eastAsia="en-GB"/>
              </w:rPr>
            </w:pPr>
            <w:r w:rsidRPr="00F276CF">
              <w:rPr>
                <w:rFonts w:ascii="Arial Narrow" w:eastAsia="Times New Roman" w:hAnsi="Arial Narrow"/>
                <w:bCs/>
                <w:color w:val="FFFFFF"/>
                <w:sz w:val="24"/>
                <w:szCs w:val="24"/>
                <w:lang w:eastAsia="en-GB"/>
              </w:rPr>
              <w:t>2019-36</w:t>
            </w:r>
          </w:p>
        </w:tc>
      </w:tr>
      <w:tr w:rsidR="00A77436" w:rsidRPr="00F276CF" w:rsidTr="00D339A0">
        <w:trPr>
          <w:trHeight w:val="258"/>
        </w:trPr>
        <w:tc>
          <w:tcPr>
            <w:cnfStyle w:val="001000000000" w:firstRow="0" w:lastRow="0" w:firstColumn="1" w:lastColumn="0" w:oddVBand="0" w:evenVBand="0" w:oddHBand="0" w:evenHBand="0" w:firstRowFirstColumn="0" w:firstRowLastColumn="0" w:lastRowFirstColumn="0" w:lastRowLastColumn="0"/>
            <w:tcW w:w="1449" w:type="pct"/>
            <w:shd w:val="clear" w:color="auto" w:fill="0093D5" w:themeFill="accent2"/>
            <w:noWrap/>
            <w:hideMark/>
          </w:tcPr>
          <w:p w:rsidR="00A77436" w:rsidRPr="00F276CF" w:rsidRDefault="00A77436" w:rsidP="002C72FE">
            <w:pPr>
              <w:rPr>
                <w:rFonts w:ascii="Arial Narrow" w:eastAsia="Times New Roman" w:hAnsi="Arial Narrow"/>
                <w:color w:val="FFFFFF"/>
                <w:sz w:val="24"/>
                <w:szCs w:val="24"/>
                <w:lang w:eastAsia="en-GB"/>
              </w:rPr>
            </w:pPr>
            <w:r w:rsidRPr="00F276CF">
              <w:rPr>
                <w:rFonts w:ascii="Arial Narrow" w:eastAsia="Times New Roman" w:hAnsi="Arial Narrow"/>
                <w:color w:val="FFFFFF"/>
                <w:sz w:val="24"/>
                <w:szCs w:val="24"/>
                <w:lang w:eastAsia="en-GB"/>
              </w:rPr>
              <w:t> </w:t>
            </w:r>
          </w:p>
        </w:tc>
        <w:tc>
          <w:tcPr>
            <w:tcW w:w="1255" w:type="pct"/>
            <w:shd w:val="clear" w:color="auto" w:fill="0093D5" w:themeFill="accent2"/>
            <w:noWrap/>
            <w:hideMark/>
          </w:tcPr>
          <w:p w:rsidR="00A77436" w:rsidRPr="00F276CF" w:rsidRDefault="00A77436" w:rsidP="00A77436">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FFFFFF"/>
                <w:sz w:val="24"/>
                <w:szCs w:val="24"/>
                <w:lang w:eastAsia="en-GB"/>
              </w:rPr>
            </w:pPr>
            <w:r w:rsidRPr="00F276CF">
              <w:rPr>
                <w:rFonts w:ascii="Arial Narrow" w:eastAsia="Times New Roman" w:hAnsi="Arial Narrow"/>
                <w:b/>
                <w:bCs/>
                <w:color w:val="FFFFFF"/>
                <w:sz w:val="24"/>
                <w:szCs w:val="24"/>
                <w:lang w:eastAsia="en-GB"/>
              </w:rPr>
              <w:t>Growth Per Annum</w:t>
            </w:r>
          </w:p>
        </w:tc>
        <w:tc>
          <w:tcPr>
            <w:tcW w:w="1077" w:type="pct"/>
            <w:shd w:val="clear" w:color="auto" w:fill="0093D5" w:themeFill="accent2"/>
            <w:noWrap/>
            <w:hideMark/>
          </w:tcPr>
          <w:p w:rsidR="00A77436" w:rsidRPr="00F276CF" w:rsidRDefault="00A77436" w:rsidP="00A77436">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FFFFFF"/>
                <w:sz w:val="24"/>
                <w:szCs w:val="24"/>
                <w:lang w:eastAsia="en-GB"/>
              </w:rPr>
            </w:pPr>
            <w:r w:rsidRPr="00F276CF">
              <w:rPr>
                <w:rFonts w:ascii="Arial Narrow" w:eastAsia="Times New Roman" w:hAnsi="Arial Narrow"/>
                <w:b/>
                <w:bCs/>
                <w:color w:val="FFFFFF"/>
                <w:sz w:val="24"/>
                <w:szCs w:val="24"/>
                <w:lang w:eastAsia="en-GB"/>
              </w:rPr>
              <w:t>Jobs Growth</w:t>
            </w:r>
          </w:p>
        </w:tc>
        <w:tc>
          <w:tcPr>
            <w:tcW w:w="1219" w:type="pct"/>
            <w:shd w:val="clear" w:color="auto" w:fill="0093D5" w:themeFill="accent2"/>
            <w:noWrap/>
            <w:hideMark/>
          </w:tcPr>
          <w:p w:rsidR="00A77436" w:rsidRPr="00F276CF" w:rsidRDefault="00A77436" w:rsidP="00A77436">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FFFFFF"/>
                <w:sz w:val="24"/>
                <w:szCs w:val="24"/>
                <w:lang w:eastAsia="en-GB"/>
              </w:rPr>
            </w:pPr>
            <w:r w:rsidRPr="00F276CF">
              <w:rPr>
                <w:rFonts w:ascii="Arial Narrow" w:eastAsia="Times New Roman" w:hAnsi="Arial Narrow"/>
                <w:b/>
                <w:bCs/>
                <w:color w:val="FFFFFF"/>
                <w:sz w:val="24"/>
                <w:szCs w:val="24"/>
                <w:lang w:eastAsia="en-GB"/>
              </w:rPr>
              <w:t>Growth Per Annum</w:t>
            </w:r>
          </w:p>
        </w:tc>
      </w:tr>
      <w:tr w:rsidR="00A77436" w:rsidRPr="00F276CF" w:rsidTr="00D339A0">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449" w:type="pct"/>
            <w:shd w:val="clear" w:color="auto" w:fill="auto"/>
            <w:noWrap/>
            <w:hideMark/>
          </w:tcPr>
          <w:p w:rsidR="00A77436" w:rsidRPr="00F276CF" w:rsidRDefault="00A77436" w:rsidP="002C72FE">
            <w:pPr>
              <w:rPr>
                <w:rFonts w:ascii="Arial Narrow" w:eastAsia="Times New Roman" w:hAnsi="Arial Narrow"/>
                <w:b w:val="0"/>
                <w:color w:val="auto"/>
                <w:sz w:val="24"/>
                <w:szCs w:val="24"/>
                <w:lang w:eastAsia="en-GB"/>
              </w:rPr>
            </w:pPr>
            <w:r w:rsidRPr="00F276CF">
              <w:rPr>
                <w:rFonts w:ascii="Arial Narrow" w:eastAsia="Times New Roman" w:hAnsi="Arial Narrow"/>
                <w:color w:val="auto"/>
                <w:sz w:val="24"/>
                <w:szCs w:val="24"/>
                <w:lang w:eastAsia="en-GB"/>
              </w:rPr>
              <w:t xml:space="preserve">Chichester Baseline </w:t>
            </w:r>
          </w:p>
        </w:tc>
        <w:tc>
          <w:tcPr>
            <w:tcW w:w="1255" w:type="pct"/>
            <w:shd w:val="clear" w:color="auto" w:fill="auto"/>
            <w:noWrap/>
            <w:hideMark/>
          </w:tcPr>
          <w:p w:rsidR="00A77436" w:rsidRPr="00F276CF" w:rsidRDefault="00A77436" w:rsidP="00A77436">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auto"/>
                <w:sz w:val="24"/>
                <w:szCs w:val="24"/>
                <w:lang w:eastAsia="en-GB"/>
              </w:rPr>
            </w:pPr>
            <w:r w:rsidRPr="00F276CF">
              <w:rPr>
                <w:rFonts w:ascii="Arial Narrow" w:eastAsia="Times New Roman" w:hAnsi="Arial Narrow"/>
                <w:color w:val="auto"/>
                <w:sz w:val="24"/>
                <w:szCs w:val="24"/>
                <w:lang w:eastAsia="en-GB"/>
              </w:rPr>
              <w:t>1.6%</w:t>
            </w:r>
          </w:p>
        </w:tc>
        <w:tc>
          <w:tcPr>
            <w:tcW w:w="1077" w:type="pct"/>
            <w:shd w:val="clear" w:color="auto" w:fill="auto"/>
            <w:noWrap/>
            <w:hideMark/>
          </w:tcPr>
          <w:p w:rsidR="00A77436" w:rsidRPr="00F276CF" w:rsidRDefault="00A77436" w:rsidP="00A77436">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auto"/>
                <w:sz w:val="24"/>
                <w:szCs w:val="24"/>
                <w:lang w:eastAsia="en-GB"/>
              </w:rPr>
            </w:pPr>
            <w:r w:rsidRPr="00F276CF">
              <w:rPr>
                <w:rFonts w:ascii="Arial Narrow" w:eastAsia="Times New Roman" w:hAnsi="Arial Narrow"/>
                <w:color w:val="auto"/>
                <w:sz w:val="24"/>
                <w:szCs w:val="24"/>
                <w:lang w:eastAsia="en-GB"/>
              </w:rPr>
              <w:t>3,655</w:t>
            </w:r>
          </w:p>
        </w:tc>
        <w:tc>
          <w:tcPr>
            <w:tcW w:w="1219" w:type="pct"/>
            <w:shd w:val="clear" w:color="auto" w:fill="auto"/>
            <w:noWrap/>
            <w:hideMark/>
          </w:tcPr>
          <w:p w:rsidR="00A77436" w:rsidRPr="00F276CF" w:rsidRDefault="00A77436" w:rsidP="00A77436">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auto"/>
                <w:sz w:val="24"/>
                <w:szCs w:val="24"/>
                <w:lang w:eastAsia="en-GB"/>
              </w:rPr>
            </w:pPr>
            <w:r w:rsidRPr="00F276CF">
              <w:rPr>
                <w:rFonts w:ascii="Arial Narrow" w:eastAsia="Times New Roman" w:hAnsi="Arial Narrow"/>
                <w:color w:val="auto"/>
                <w:sz w:val="24"/>
                <w:szCs w:val="24"/>
                <w:lang w:eastAsia="en-GB"/>
              </w:rPr>
              <w:t>0.3%</w:t>
            </w:r>
          </w:p>
        </w:tc>
      </w:tr>
      <w:tr w:rsidR="00A77436" w:rsidRPr="00F276CF" w:rsidTr="00D339A0">
        <w:trPr>
          <w:trHeight w:val="258"/>
        </w:trPr>
        <w:tc>
          <w:tcPr>
            <w:cnfStyle w:val="001000000000" w:firstRow="0" w:lastRow="0" w:firstColumn="1" w:lastColumn="0" w:oddVBand="0" w:evenVBand="0" w:oddHBand="0" w:evenHBand="0" w:firstRowFirstColumn="0" w:firstRowLastColumn="0" w:lastRowFirstColumn="0" w:lastRowLastColumn="0"/>
            <w:tcW w:w="1449" w:type="pct"/>
            <w:noWrap/>
            <w:hideMark/>
          </w:tcPr>
          <w:p w:rsidR="00A77436" w:rsidRPr="00F276CF" w:rsidRDefault="00A77436" w:rsidP="002C72FE">
            <w:pPr>
              <w:rPr>
                <w:rFonts w:ascii="Arial Narrow" w:eastAsia="Times New Roman" w:hAnsi="Arial Narrow"/>
                <w:b w:val="0"/>
                <w:color w:val="auto"/>
                <w:sz w:val="24"/>
                <w:szCs w:val="24"/>
                <w:lang w:eastAsia="en-GB"/>
              </w:rPr>
            </w:pPr>
            <w:r w:rsidRPr="00F276CF">
              <w:rPr>
                <w:rFonts w:ascii="Arial Narrow" w:eastAsia="Times New Roman" w:hAnsi="Arial Narrow"/>
                <w:color w:val="auto"/>
                <w:sz w:val="24"/>
                <w:szCs w:val="24"/>
                <w:lang w:eastAsia="en-GB"/>
              </w:rPr>
              <w:t xml:space="preserve">Chichester </w:t>
            </w:r>
            <w:r w:rsidR="00EF3749" w:rsidRPr="00F276CF">
              <w:rPr>
                <w:rFonts w:ascii="Arial Narrow" w:eastAsia="Times New Roman" w:hAnsi="Arial Narrow"/>
                <w:color w:val="auto"/>
                <w:sz w:val="24"/>
                <w:szCs w:val="24"/>
                <w:lang w:eastAsia="en-GB"/>
              </w:rPr>
              <w:t xml:space="preserve">Growth </w:t>
            </w:r>
          </w:p>
        </w:tc>
        <w:tc>
          <w:tcPr>
            <w:tcW w:w="1255" w:type="pct"/>
            <w:noWrap/>
            <w:hideMark/>
          </w:tcPr>
          <w:p w:rsidR="00A77436" w:rsidRPr="00F276CF" w:rsidRDefault="00A77436" w:rsidP="00A77436">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auto"/>
                <w:sz w:val="24"/>
                <w:szCs w:val="24"/>
                <w:lang w:eastAsia="en-GB"/>
              </w:rPr>
            </w:pPr>
            <w:r w:rsidRPr="00F276CF">
              <w:rPr>
                <w:rFonts w:ascii="Arial Narrow" w:eastAsia="Times New Roman" w:hAnsi="Arial Narrow"/>
                <w:color w:val="auto"/>
                <w:sz w:val="24"/>
                <w:szCs w:val="24"/>
                <w:lang w:eastAsia="en-GB"/>
              </w:rPr>
              <w:t>1.6%</w:t>
            </w:r>
          </w:p>
        </w:tc>
        <w:tc>
          <w:tcPr>
            <w:tcW w:w="1077" w:type="pct"/>
            <w:noWrap/>
            <w:hideMark/>
          </w:tcPr>
          <w:p w:rsidR="00A77436" w:rsidRPr="00F276CF" w:rsidRDefault="00A77436" w:rsidP="00A77436">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auto"/>
                <w:sz w:val="24"/>
                <w:szCs w:val="24"/>
                <w:lang w:eastAsia="en-GB"/>
              </w:rPr>
            </w:pPr>
            <w:r w:rsidRPr="00F276CF">
              <w:rPr>
                <w:rFonts w:ascii="Arial Narrow" w:eastAsia="Times New Roman" w:hAnsi="Arial Narrow"/>
                <w:color w:val="auto"/>
                <w:sz w:val="24"/>
                <w:szCs w:val="24"/>
                <w:lang w:eastAsia="en-GB"/>
              </w:rPr>
              <w:t>9,511</w:t>
            </w:r>
          </w:p>
        </w:tc>
        <w:tc>
          <w:tcPr>
            <w:tcW w:w="1219" w:type="pct"/>
            <w:noWrap/>
            <w:hideMark/>
          </w:tcPr>
          <w:p w:rsidR="00A77436" w:rsidRPr="00F276CF" w:rsidRDefault="00A77436" w:rsidP="00A77436">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auto"/>
                <w:sz w:val="24"/>
                <w:szCs w:val="24"/>
                <w:lang w:eastAsia="en-GB"/>
              </w:rPr>
            </w:pPr>
            <w:r w:rsidRPr="00F276CF">
              <w:rPr>
                <w:rFonts w:ascii="Arial Narrow" w:eastAsia="Times New Roman" w:hAnsi="Arial Narrow"/>
                <w:color w:val="auto"/>
                <w:sz w:val="24"/>
                <w:szCs w:val="24"/>
                <w:lang w:eastAsia="en-GB"/>
              </w:rPr>
              <w:t>0.7%</w:t>
            </w:r>
          </w:p>
        </w:tc>
      </w:tr>
      <w:tr w:rsidR="00A77436" w:rsidRPr="00F276CF" w:rsidTr="00D339A0">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449" w:type="pct"/>
            <w:shd w:val="clear" w:color="auto" w:fill="auto"/>
            <w:noWrap/>
            <w:hideMark/>
          </w:tcPr>
          <w:p w:rsidR="00A77436" w:rsidRPr="00F276CF" w:rsidRDefault="00A77436" w:rsidP="002C72FE">
            <w:pPr>
              <w:rPr>
                <w:rFonts w:ascii="Arial Narrow" w:eastAsia="Times New Roman" w:hAnsi="Arial Narrow"/>
                <w:b w:val="0"/>
                <w:color w:val="auto"/>
                <w:sz w:val="24"/>
                <w:szCs w:val="24"/>
                <w:lang w:eastAsia="en-GB"/>
              </w:rPr>
            </w:pPr>
            <w:r w:rsidRPr="00F276CF">
              <w:rPr>
                <w:rFonts w:ascii="Arial Narrow" w:eastAsia="Times New Roman" w:hAnsi="Arial Narrow"/>
                <w:color w:val="auto"/>
                <w:sz w:val="24"/>
                <w:szCs w:val="24"/>
                <w:lang w:eastAsia="en-GB"/>
              </w:rPr>
              <w:t>South East</w:t>
            </w:r>
          </w:p>
        </w:tc>
        <w:tc>
          <w:tcPr>
            <w:tcW w:w="1255" w:type="pct"/>
            <w:shd w:val="clear" w:color="auto" w:fill="auto"/>
            <w:noWrap/>
            <w:hideMark/>
          </w:tcPr>
          <w:p w:rsidR="00A77436" w:rsidRPr="00F276CF" w:rsidRDefault="00A77436" w:rsidP="00A77436">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auto"/>
                <w:sz w:val="24"/>
                <w:szCs w:val="24"/>
                <w:lang w:eastAsia="en-GB"/>
              </w:rPr>
            </w:pPr>
            <w:r w:rsidRPr="00F276CF">
              <w:rPr>
                <w:rFonts w:ascii="Arial Narrow" w:eastAsia="Times New Roman" w:hAnsi="Arial Narrow"/>
                <w:color w:val="auto"/>
                <w:sz w:val="24"/>
                <w:szCs w:val="24"/>
                <w:lang w:eastAsia="en-GB"/>
              </w:rPr>
              <w:t>1.1%</w:t>
            </w:r>
          </w:p>
        </w:tc>
        <w:tc>
          <w:tcPr>
            <w:tcW w:w="1077" w:type="pct"/>
            <w:shd w:val="clear" w:color="auto" w:fill="auto"/>
            <w:noWrap/>
            <w:hideMark/>
          </w:tcPr>
          <w:p w:rsidR="00A77436" w:rsidRPr="00F276CF" w:rsidRDefault="00A77436" w:rsidP="00A77436">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auto"/>
                <w:sz w:val="24"/>
                <w:szCs w:val="24"/>
                <w:lang w:eastAsia="en-GB"/>
              </w:rPr>
            </w:pPr>
            <w:r w:rsidRPr="00F276CF">
              <w:rPr>
                <w:rFonts w:ascii="Arial Narrow" w:eastAsia="Times New Roman" w:hAnsi="Arial Narrow"/>
                <w:color w:val="auto"/>
                <w:sz w:val="24"/>
                <w:szCs w:val="24"/>
                <w:lang w:eastAsia="en-GB"/>
              </w:rPr>
              <w:t>217,300</w:t>
            </w:r>
          </w:p>
        </w:tc>
        <w:tc>
          <w:tcPr>
            <w:tcW w:w="1219" w:type="pct"/>
            <w:shd w:val="clear" w:color="auto" w:fill="auto"/>
            <w:noWrap/>
            <w:hideMark/>
          </w:tcPr>
          <w:p w:rsidR="00A77436" w:rsidRPr="00F276CF" w:rsidRDefault="00A77436" w:rsidP="00A77436">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auto"/>
                <w:sz w:val="24"/>
                <w:szCs w:val="24"/>
                <w:lang w:eastAsia="en-GB"/>
              </w:rPr>
            </w:pPr>
            <w:r w:rsidRPr="00F276CF">
              <w:rPr>
                <w:rFonts w:ascii="Arial Narrow" w:eastAsia="Times New Roman" w:hAnsi="Arial Narrow"/>
                <w:color w:val="auto"/>
                <w:sz w:val="24"/>
                <w:szCs w:val="24"/>
                <w:lang w:eastAsia="en-GB"/>
              </w:rPr>
              <w:t>0.4%</w:t>
            </w:r>
          </w:p>
        </w:tc>
      </w:tr>
    </w:tbl>
    <w:p w:rsidR="00D02E31" w:rsidRDefault="00D02E31" w:rsidP="00766669">
      <w:pPr>
        <w:pStyle w:val="11Bodytext"/>
        <w:tabs>
          <w:tab w:val="clear" w:pos="2212"/>
          <w:tab w:val="num" w:pos="567"/>
        </w:tabs>
        <w:spacing w:before="360"/>
        <w:ind w:left="567" w:hanging="567"/>
      </w:pPr>
      <w:r>
        <w:t xml:space="preserve">For completeness, the figure below reports the position comparing the 2018 HEDNA </w:t>
      </w:r>
      <w:r w:rsidR="00392C9F">
        <w:t xml:space="preserve">(using 2017 data) </w:t>
      </w:r>
      <w:r>
        <w:t>and t</w:t>
      </w:r>
      <w:r w:rsidR="00392C9F">
        <w:t xml:space="preserve">he 2019 data for this </w:t>
      </w:r>
      <w:r>
        <w:t>HEDNA update.</w:t>
      </w:r>
    </w:p>
    <w:p w:rsidR="00D02E31" w:rsidRPr="00CA47B9" w:rsidRDefault="00D02E31" w:rsidP="00FC604D">
      <w:pPr>
        <w:pStyle w:val="FigureHeading"/>
        <w:tabs>
          <w:tab w:val="clear" w:pos="794"/>
          <w:tab w:val="clear" w:pos="1843"/>
          <w:tab w:val="left" w:pos="0"/>
        </w:tabs>
        <w:spacing w:line="240" w:lineRule="auto"/>
        <w:ind w:left="0" w:firstLine="0"/>
      </w:pPr>
      <w:r>
        <w:lastRenderedPageBreak/>
        <w:t>Employment Scenarios 2017 data / 2019 data</w:t>
      </w:r>
    </w:p>
    <w:p w:rsidR="00D02E31" w:rsidRPr="00D02E31" w:rsidRDefault="00D02E31" w:rsidP="00163B4B">
      <w:pPr>
        <w:pStyle w:val="1Bodytext"/>
        <w:numPr>
          <w:ilvl w:val="0"/>
          <w:numId w:val="0"/>
        </w:numPr>
        <w:spacing w:before="0" w:line="240" w:lineRule="auto"/>
        <w:rPr>
          <w:rFonts w:asciiTheme="minorHAnsi" w:hAnsiTheme="minorHAnsi" w:cstheme="minorHAnsi"/>
          <w:color w:val="auto"/>
        </w:rPr>
      </w:pPr>
      <w:bookmarkStart w:id="120" w:name="_Toc21705092"/>
      <w:bookmarkStart w:id="121" w:name="_Toc27950976"/>
      <w:bookmarkStart w:id="122" w:name="_Toc40198269"/>
      <w:bookmarkStart w:id="123" w:name="_Toc40199516"/>
      <w:bookmarkStart w:id="124" w:name="_Toc51600013"/>
      <w:r w:rsidRPr="00D02E31">
        <w:rPr>
          <w:rFonts w:asciiTheme="minorHAnsi" w:hAnsiTheme="minorHAnsi" w:cstheme="minorHAnsi"/>
          <w:noProof/>
          <w:color w:val="auto"/>
          <w:lang w:eastAsia="en-GB"/>
        </w:rPr>
        <w:drawing>
          <wp:inline distT="0" distB="0" distL="0" distR="0" wp14:anchorId="31298FB6" wp14:editId="227AFFB4">
            <wp:extent cx="6152400" cy="3988800"/>
            <wp:effectExtent l="0" t="0" r="20320" b="12065"/>
            <wp:docPr id="1025" name="Chart 1025" descr="Line chart showing the diverging future projections based on 2017 vs 2019 baseline and growth scenarios" title="Figure 33: Employment Scenarios 2017/2019 data">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bookmarkEnd w:id="120"/>
      <w:bookmarkEnd w:id="121"/>
      <w:bookmarkEnd w:id="122"/>
      <w:bookmarkEnd w:id="123"/>
      <w:bookmarkEnd w:id="124"/>
    </w:p>
    <w:p w:rsidR="00D02E31" w:rsidRPr="00CA47B9" w:rsidRDefault="00D02E31" w:rsidP="00FC604D">
      <w:pPr>
        <w:pStyle w:val="11Bodytext"/>
        <w:numPr>
          <w:ilvl w:val="0"/>
          <w:numId w:val="0"/>
        </w:numPr>
        <w:spacing w:before="0" w:after="0" w:line="240" w:lineRule="auto"/>
      </w:pPr>
      <w:r w:rsidRPr="00CA47B9">
        <w:t>Source: Oxford Economics, 201</w:t>
      </w:r>
      <w:r>
        <w:t>7/1</w:t>
      </w:r>
      <w:r w:rsidRPr="00CA47B9">
        <w:t>9</w:t>
      </w:r>
    </w:p>
    <w:p w:rsidR="002C72FE" w:rsidRDefault="00926F5B" w:rsidP="000C05B0">
      <w:pPr>
        <w:pStyle w:val="11Bodytext"/>
        <w:tabs>
          <w:tab w:val="clear" w:pos="2212"/>
          <w:tab w:val="num" w:pos="567"/>
        </w:tabs>
        <w:ind w:left="567" w:hanging="567"/>
      </w:pPr>
      <w:r w:rsidRPr="00CA47B9">
        <w:t>Considering</w:t>
      </w:r>
      <w:r w:rsidR="004B41A2" w:rsidRPr="00CA47B9">
        <w:t xml:space="preserve"> </w:t>
      </w:r>
      <w:r w:rsidRPr="00CA47B9">
        <w:t>the</w:t>
      </w:r>
      <w:r w:rsidR="004B41A2" w:rsidRPr="00CA47B9">
        <w:t xml:space="preserve"> </w:t>
      </w:r>
      <w:r w:rsidRPr="00CA47B9">
        <w:t>above</w:t>
      </w:r>
      <w:r w:rsidR="004B41A2" w:rsidRPr="00CA47B9">
        <w:t xml:space="preserve"> </w:t>
      </w:r>
      <w:r w:rsidRPr="00CA47B9">
        <w:t>factors</w:t>
      </w:r>
      <w:r w:rsidR="004B41A2" w:rsidRPr="00CA47B9">
        <w:t xml:space="preserve"> </w:t>
      </w:r>
      <w:r w:rsidRPr="00CA47B9">
        <w:t>as</w:t>
      </w:r>
      <w:r w:rsidR="004B41A2" w:rsidRPr="00CA47B9">
        <w:t xml:space="preserve"> </w:t>
      </w:r>
      <w:r w:rsidRPr="00CA47B9">
        <w:t>a</w:t>
      </w:r>
      <w:r w:rsidR="004B41A2" w:rsidRPr="00CA47B9">
        <w:t xml:space="preserve"> </w:t>
      </w:r>
      <w:r w:rsidRPr="00CA47B9">
        <w:t>whole,</w:t>
      </w:r>
      <w:r w:rsidR="004B41A2" w:rsidRPr="00CA47B9">
        <w:t xml:space="preserve"> </w:t>
      </w:r>
      <w:r w:rsidRPr="00CA47B9">
        <w:t>w</w:t>
      </w:r>
      <w:r w:rsidR="004621B3" w:rsidRPr="00CA47B9">
        <w:t>e</w:t>
      </w:r>
      <w:r w:rsidR="004B41A2" w:rsidRPr="00CA47B9">
        <w:t xml:space="preserve"> </w:t>
      </w:r>
      <w:r w:rsidR="00B0298E" w:rsidRPr="00CA47B9">
        <w:t>consider</w:t>
      </w:r>
      <w:r w:rsidR="004B41A2" w:rsidRPr="00CA47B9">
        <w:t xml:space="preserve"> </w:t>
      </w:r>
      <w:r w:rsidR="00B0298E" w:rsidRPr="00CA47B9">
        <w:t>the</w:t>
      </w:r>
      <w:r w:rsidR="004B41A2" w:rsidRPr="00CA47B9">
        <w:t xml:space="preserve"> </w:t>
      </w:r>
      <w:r w:rsidR="00D02E31">
        <w:t xml:space="preserve">2019 </w:t>
      </w:r>
      <w:r w:rsidR="00B0298E" w:rsidRPr="00CA47B9">
        <w:t>Growth</w:t>
      </w:r>
      <w:r w:rsidR="004B41A2" w:rsidRPr="00CA47B9">
        <w:t xml:space="preserve"> </w:t>
      </w:r>
      <w:r w:rsidR="00B0298E" w:rsidRPr="00CA47B9">
        <w:t>Scenario</w:t>
      </w:r>
      <w:r w:rsidR="004B41A2" w:rsidRPr="00CA47B9">
        <w:t xml:space="preserve"> </w:t>
      </w:r>
      <w:r w:rsidR="00B0298E" w:rsidRPr="00CA47B9">
        <w:t>to</w:t>
      </w:r>
      <w:r w:rsidR="004B41A2" w:rsidRPr="00CA47B9">
        <w:t xml:space="preserve"> </w:t>
      </w:r>
      <w:r w:rsidR="00B0298E" w:rsidRPr="00CA47B9">
        <w:t>be</w:t>
      </w:r>
      <w:r w:rsidR="004B41A2" w:rsidRPr="00CA47B9">
        <w:t xml:space="preserve"> </w:t>
      </w:r>
      <w:r w:rsidR="00B0298E" w:rsidRPr="00CA47B9">
        <w:t>a</w:t>
      </w:r>
      <w:r w:rsidR="004B41A2" w:rsidRPr="00CA47B9">
        <w:t xml:space="preserve"> </w:t>
      </w:r>
      <w:r w:rsidR="00B0298E" w:rsidRPr="00CA47B9">
        <w:t>robust</w:t>
      </w:r>
      <w:r w:rsidR="004B41A2" w:rsidRPr="00CA47B9">
        <w:t xml:space="preserve"> </w:t>
      </w:r>
      <w:r w:rsidR="00B0298E" w:rsidRPr="00CA47B9">
        <w:t>forecast</w:t>
      </w:r>
      <w:r w:rsidR="004B41A2" w:rsidRPr="00CA47B9">
        <w:t xml:space="preserve"> </w:t>
      </w:r>
      <w:r w:rsidR="0037147B" w:rsidRPr="00CA47B9">
        <w:t>of</w:t>
      </w:r>
      <w:r w:rsidR="004B41A2" w:rsidRPr="00CA47B9">
        <w:t xml:space="preserve"> </w:t>
      </w:r>
      <w:r w:rsidR="00B0298E" w:rsidRPr="00CA47B9">
        <w:t>economic</w:t>
      </w:r>
      <w:r w:rsidR="004B41A2" w:rsidRPr="00CA47B9">
        <w:t xml:space="preserve"> </w:t>
      </w:r>
      <w:r w:rsidR="00B0298E" w:rsidRPr="00CA47B9">
        <w:t>growth</w:t>
      </w:r>
      <w:r w:rsidR="004B41A2" w:rsidRPr="00CA47B9">
        <w:t xml:space="preserve"> </w:t>
      </w:r>
      <w:r w:rsidR="00855CA6">
        <w:t>to assess</w:t>
      </w:r>
      <w:r w:rsidR="004B41A2" w:rsidRPr="00CA47B9">
        <w:t xml:space="preserve"> </w:t>
      </w:r>
      <w:r w:rsidR="004621B3" w:rsidRPr="00CA47B9">
        <w:t>future</w:t>
      </w:r>
      <w:r w:rsidR="004B41A2" w:rsidRPr="00CA47B9">
        <w:t xml:space="preserve"> </w:t>
      </w:r>
      <w:r w:rsidR="004621B3" w:rsidRPr="00CA47B9">
        <w:t>employment</w:t>
      </w:r>
      <w:r w:rsidR="004B41A2" w:rsidRPr="00CA47B9">
        <w:t xml:space="preserve"> </w:t>
      </w:r>
      <w:r w:rsidR="004621B3" w:rsidRPr="00CA47B9">
        <w:t>and</w:t>
      </w:r>
      <w:r w:rsidR="004B41A2" w:rsidRPr="00CA47B9">
        <w:t xml:space="preserve"> </w:t>
      </w:r>
      <w:r w:rsidR="004621B3" w:rsidRPr="00CA47B9">
        <w:t>housing</w:t>
      </w:r>
      <w:r w:rsidR="004B41A2" w:rsidRPr="00CA47B9">
        <w:t xml:space="preserve"> </w:t>
      </w:r>
      <w:r w:rsidR="004621B3" w:rsidRPr="00CA47B9">
        <w:t>needs</w:t>
      </w:r>
      <w:r w:rsidR="004B41A2" w:rsidRPr="00CA47B9">
        <w:t xml:space="preserve"> </w:t>
      </w:r>
      <w:r w:rsidR="0053298C" w:rsidRPr="00CA47B9">
        <w:t>taking</w:t>
      </w:r>
      <w:r w:rsidR="004B41A2" w:rsidRPr="00CA47B9">
        <w:t xml:space="preserve"> </w:t>
      </w:r>
      <w:r w:rsidR="0053298C" w:rsidRPr="00CA47B9">
        <w:t>account</w:t>
      </w:r>
      <w:r w:rsidR="004B41A2" w:rsidRPr="00CA47B9">
        <w:t xml:space="preserve"> </w:t>
      </w:r>
      <w:r w:rsidR="0053298C" w:rsidRPr="00CA47B9">
        <w:t>of</w:t>
      </w:r>
      <w:r w:rsidR="004B41A2" w:rsidRPr="00CA47B9">
        <w:t xml:space="preserve"> </w:t>
      </w:r>
      <w:r w:rsidR="0053298C" w:rsidRPr="00CA47B9">
        <w:t>local</w:t>
      </w:r>
      <w:r w:rsidR="004B41A2" w:rsidRPr="00CA47B9">
        <w:t xml:space="preserve"> </w:t>
      </w:r>
      <w:r w:rsidR="0053298C" w:rsidRPr="00CA47B9">
        <w:t>drivers</w:t>
      </w:r>
      <w:r w:rsidR="004B41A2" w:rsidRPr="00CA47B9">
        <w:t xml:space="preserve"> </w:t>
      </w:r>
      <w:r w:rsidR="0053298C" w:rsidRPr="00CA47B9">
        <w:t>and</w:t>
      </w:r>
      <w:r w:rsidR="004B41A2" w:rsidRPr="00CA47B9">
        <w:t xml:space="preserve"> </w:t>
      </w:r>
      <w:r w:rsidR="0053298C" w:rsidRPr="00CA47B9">
        <w:t>historic</w:t>
      </w:r>
      <w:r w:rsidR="004B41A2" w:rsidRPr="00CA47B9">
        <w:t xml:space="preserve"> </w:t>
      </w:r>
      <w:r w:rsidR="0053298C" w:rsidRPr="00CA47B9">
        <w:t>trends.</w:t>
      </w:r>
    </w:p>
    <w:p w:rsidR="002C72FE" w:rsidRDefault="002C72FE">
      <w:pPr>
        <w:spacing w:after="200"/>
        <w:rPr>
          <w:rFonts w:asciiTheme="minorHAnsi" w:hAnsiTheme="minorHAnsi" w:cstheme="minorHAnsi"/>
          <w:bCs/>
          <w:color w:val="auto"/>
        </w:rPr>
      </w:pPr>
      <w:r>
        <w:rPr>
          <w:rFonts w:asciiTheme="minorHAnsi" w:hAnsiTheme="minorHAnsi" w:cstheme="minorHAnsi"/>
          <w:color w:val="auto"/>
        </w:rPr>
        <w:br w:type="page"/>
      </w:r>
    </w:p>
    <w:tbl>
      <w:tblPr>
        <w:tblStyle w:val="TableGrid"/>
        <w:tblW w:w="5000" w:type="pct"/>
        <w:tblBorders>
          <w:top w:val="single" w:sz="18" w:space="0" w:color="0093D5" w:themeColor="accent2"/>
          <w:left w:val="single" w:sz="18" w:space="0" w:color="0093D5" w:themeColor="accent2"/>
          <w:bottom w:val="single" w:sz="18" w:space="0" w:color="0093D5" w:themeColor="accent2"/>
          <w:right w:val="single" w:sz="18" w:space="0" w:color="0093D5" w:themeColor="accent2"/>
          <w:insideH w:val="single" w:sz="18" w:space="0" w:color="0093D5" w:themeColor="accent2"/>
          <w:insideV w:val="single" w:sz="18" w:space="0" w:color="0093D5" w:themeColor="accent2"/>
        </w:tblBorders>
        <w:tblLook w:val="04A0" w:firstRow="1" w:lastRow="0" w:firstColumn="1" w:lastColumn="0" w:noHBand="0" w:noVBand="1"/>
        <w:tblCaption w:val="Economic Growth: Key Points"/>
      </w:tblPr>
      <w:tblGrid>
        <w:gridCol w:w="9847"/>
      </w:tblGrid>
      <w:tr w:rsidR="00F74225" w:rsidRPr="00CA47B9" w:rsidTr="00D30252">
        <w:trPr>
          <w:trHeight w:val="7540"/>
          <w:tblHeader/>
        </w:trPr>
        <w:tc>
          <w:tcPr>
            <w:tcW w:w="5000" w:type="pct"/>
          </w:tcPr>
          <w:p w:rsidR="00184960" w:rsidRPr="00CA47B9" w:rsidRDefault="00184960" w:rsidP="00184960">
            <w:pPr>
              <w:rPr>
                <w:b/>
                <w:color w:val="auto"/>
              </w:rPr>
            </w:pPr>
          </w:p>
          <w:p w:rsidR="00184960" w:rsidRPr="00F276CF" w:rsidRDefault="002C72FE" w:rsidP="00184960">
            <w:pPr>
              <w:rPr>
                <w:b/>
                <w:color w:val="auto"/>
                <w:sz w:val="24"/>
                <w:szCs w:val="24"/>
              </w:rPr>
            </w:pPr>
            <w:r w:rsidRPr="00F276CF">
              <w:rPr>
                <w:b/>
                <w:color w:val="auto"/>
                <w:sz w:val="24"/>
                <w:szCs w:val="24"/>
              </w:rPr>
              <w:t xml:space="preserve">Economic Growth: </w:t>
            </w:r>
            <w:r w:rsidR="00184960" w:rsidRPr="00F276CF">
              <w:rPr>
                <w:b/>
                <w:color w:val="auto"/>
                <w:sz w:val="24"/>
                <w:szCs w:val="24"/>
              </w:rPr>
              <w:t>Key</w:t>
            </w:r>
            <w:r w:rsidR="004B41A2" w:rsidRPr="00F276CF">
              <w:rPr>
                <w:b/>
                <w:color w:val="auto"/>
                <w:sz w:val="24"/>
                <w:szCs w:val="24"/>
              </w:rPr>
              <w:t xml:space="preserve"> </w:t>
            </w:r>
            <w:r w:rsidR="00184960" w:rsidRPr="00F276CF">
              <w:rPr>
                <w:b/>
                <w:color w:val="auto"/>
                <w:sz w:val="24"/>
                <w:szCs w:val="24"/>
              </w:rPr>
              <w:t>Points</w:t>
            </w:r>
            <w:r w:rsidR="00855CA6" w:rsidRPr="00F276CF">
              <w:rPr>
                <w:b/>
                <w:color w:val="auto"/>
                <w:sz w:val="24"/>
                <w:szCs w:val="24"/>
              </w:rPr>
              <w:t xml:space="preserve"> </w:t>
            </w:r>
          </w:p>
          <w:p w:rsidR="00184960" w:rsidRPr="00CA47B9" w:rsidRDefault="00184960" w:rsidP="00184960">
            <w:pPr>
              <w:rPr>
                <w:b/>
                <w:color w:val="auto"/>
              </w:rPr>
            </w:pPr>
          </w:p>
          <w:p w:rsidR="00184960" w:rsidRPr="00CA47B9" w:rsidRDefault="00184960" w:rsidP="00A54ECA">
            <w:pPr>
              <w:pStyle w:val="ListParagraph"/>
            </w:pPr>
            <w:r w:rsidRPr="00CA47B9">
              <w:t>The</w:t>
            </w:r>
            <w:r w:rsidR="004B41A2" w:rsidRPr="00CA47B9">
              <w:t xml:space="preserve"> </w:t>
            </w:r>
            <w:r w:rsidRPr="00CA47B9">
              <w:t>baseline</w:t>
            </w:r>
            <w:r w:rsidR="004B41A2" w:rsidRPr="00CA47B9">
              <w:t xml:space="preserve"> </w:t>
            </w:r>
            <w:r w:rsidRPr="00CA47B9">
              <w:t>forecast</w:t>
            </w:r>
            <w:r w:rsidR="004B41A2" w:rsidRPr="00CA47B9">
              <w:t xml:space="preserve"> </w:t>
            </w:r>
            <w:r w:rsidRPr="00CA47B9">
              <w:t>produced</w:t>
            </w:r>
            <w:r w:rsidR="004B41A2" w:rsidRPr="00CA47B9">
              <w:t xml:space="preserve"> </w:t>
            </w:r>
            <w:r w:rsidRPr="00CA47B9">
              <w:t>by</w:t>
            </w:r>
            <w:r w:rsidR="004B41A2" w:rsidRPr="00CA47B9">
              <w:t xml:space="preserve"> </w:t>
            </w:r>
            <w:r w:rsidRPr="00CA47B9">
              <w:t>Oxford</w:t>
            </w:r>
            <w:r w:rsidR="004B41A2" w:rsidRPr="00CA47B9">
              <w:t xml:space="preserve"> </w:t>
            </w:r>
            <w:r w:rsidRPr="00CA47B9">
              <w:t>Economics</w:t>
            </w:r>
            <w:r w:rsidR="004B41A2" w:rsidRPr="00CA47B9">
              <w:t xml:space="preserve"> </w:t>
            </w:r>
            <w:r w:rsidRPr="00CA47B9">
              <w:t>indicates</w:t>
            </w:r>
            <w:r w:rsidR="004B41A2" w:rsidRPr="00CA47B9">
              <w:t xml:space="preserve"> </w:t>
            </w:r>
            <w:r w:rsidRPr="00CA47B9">
              <w:t>that</w:t>
            </w:r>
            <w:r w:rsidR="004B41A2" w:rsidRPr="00CA47B9">
              <w:t xml:space="preserve"> </w:t>
            </w:r>
            <w:r w:rsidRPr="00CA47B9">
              <w:t>the</w:t>
            </w:r>
            <w:r w:rsidR="004B41A2" w:rsidRPr="00CA47B9">
              <w:t xml:space="preserve"> </w:t>
            </w:r>
            <w:r w:rsidR="005B15AD">
              <w:t xml:space="preserve">District’s </w:t>
            </w:r>
            <w:r w:rsidRPr="00CA47B9">
              <w:t>economy</w:t>
            </w:r>
            <w:r w:rsidR="004B41A2" w:rsidRPr="00CA47B9">
              <w:t xml:space="preserve"> </w:t>
            </w:r>
            <w:r w:rsidRPr="00CA47B9">
              <w:t>is</w:t>
            </w:r>
            <w:r w:rsidR="004B41A2" w:rsidRPr="00CA47B9">
              <w:t xml:space="preserve"> </w:t>
            </w:r>
            <w:r w:rsidRPr="00CA47B9">
              <w:t>expected</w:t>
            </w:r>
            <w:r w:rsidR="004B41A2" w:rsidRPr="00CA47B9">
              <w:t xml:space="preserve"> </w:t>
            </w:r>
            <w:r w:rsidRPr="00CA47B9">
              <w:t>to</w:t>
            </w:r>
            <w:r w:rsidR="004B41A2" w:rsidRPr="00CA47B9">
              <w:t xml:space="preserve"> </w:t>
            </w:r>
            <w:r w:rsidRPr="00CA47B9">
              <w:t>grow</w:t>
            </w:r>
            <w:r w:rsidR="004B41A2" w:rsidRPr="00CA47B9">
              <w:t xml:space="preserve"> </w:t>
            </w:r>
            <w:r w:rsidRPr="00CA47B9">
              <w:t>by</w:t>
            </w:r>
            <w:r w:rsidR="004B41A2" w:rsidRPr="00CA47B9">
              <w:t xml:space="preserve"> </w:t>
            </w:r>
            <w:r w:rsidR="00FB0B9F">
              <w:t>1.4</w:t>
            </w:r>
            <w:r w:rsidRPr="00CA47B9">
              <w:t>%</w:t>
            </w:r>
            <w:r w:rsidR="004B41A2" w:rsidRPr="00CA47B9">
              <w:t xml:space="preserve"> </w:t>
            </w:r>
            <w:r w:rsidRPr="00CA47B9">
              <w:t>per</w:t>
            </w:r>
            <w:r w:rsidR="004B41A2" w:rsidRPr="00CA47B9">
              <w:t xml:space="preserve"> </w:t>
            </w:r>
            <w:r w:rsidRPr="00CA47B9">
              <w:t>annum</w:t>
            </w:r>
            <w:r w:rsidR="004B41A2" w:rsidRPr="00CA47B9">
              <w:t xml:space="preserve"> </w:t>
            </w:r>
            <w:r w:rsidRPr="00CA47B9">
              <w:t>(GVA</w:t>
            </w:r>
            <w:r w:rsidR="004B41A2" w:rsidRPr="00CA47B9">
              <w:t xml:space="preserve"> </w:t>
            </w:r>
            <w:r w:rsidRPr="00CA47B9">
              <w:t>growth</w:t>
            </w:r>
            <w:r w:rsidR="004B41A2" w:rsidRPr="00CA47B9">
              <w:t xml:space="preserve"> </w:t>
            </w:r>
            <w:r w:rsidRPr="00CA47B9">
              <w:t>pa)</w:t>
            </w:r>
            <w:r w:rsidR="004B41A2" w:rsidRPr="00CA47B9">
              <w:t xml:space="preserve"> </w:t>
            </w:r>
            <w:r w:rsidRPr="00CA47B9">
              <w:t>between</w:t>
            </w:r>
            <w:r w:rsidR="004B41A2" w:rsidRPr="00CA47B9">
              <w:t xml:space="preserve"> </w:t>
            </w:r>
            <w:r w:rsidRPr="00CA47B9">
              <w:t>201</w:t>
            </w:r>
            <w:r w:rsidR="00FB0B9F">
              <w:t>9</w:t>
            </w:r>
            <w:r w:rsidR="004B41A2" w:rsidRPr="00CA47B9">
              <w:t xml:space="preserve"> </w:t>
            </w:r>
            <w:r w:rsidRPr="00CA47B9">
              <w:t>and</w:t>
            </w:r>
            <w:r w:rsidR="004B41A2" w:rsidRPr="00CA47B9">
              <w:t xml:space="preserve"> </w:t>
            </w:r>
            <w:r w:rsidRPr="00CA47B9">
              <w:t>2036.</w:t>
            </w:r>
            <w:r w:rsidR="004B41A2" w:rsidRPr="00CA47B9">
              <w:t xml:space="preserve"> </w:t>
            </w:r>
            <w:r w:rsidRPr="00CA47B9">
              <w:t>The</w:t>
            </w:r>
            <w:r w:rsidR="004B41A2" w:rsidRPr="00CA47B9">
              <w:t xml:space="preserve"> </w:t>
            </w:r>
            <w:r w:rsidRPr="00CA47B9">
              <w:t>total</w:t>
            </w:r>
            <w:r w:rsidR="004B41A2" w:rsidRPr="00CA47B9">
              <w:t xml:space="preserve"> </w:t>
            </w:r>
            <w:r w:rsidRPr="00CA47B9">
              <w:t>number</w:t>
            </w:r>
            <w:r w:rsidR="004B41A2" w:rsidRPr="00CA47B9">
              <w:t xml:space="preserve"> </w:t>
            </w:r>
            <w:r w:rsidRPr="00CA47B9">
              <w:t>of</w:t>
            </w:r>
            <w:r w:rsidR="004B41A2" w:rsidRPr="00CA47B9">
              <w:t xml:space="preserve"> </w:t>
            </w:r>
            <w:r w:rsidRPr="00CA47B9">
              <w:t>jobs</w:t>
            </w:r>
            <w:r w:rsidR="004B41A2" w:rsidRPr="00CA47B9">
              <w:t xml:space="preserve"> </w:t>
            </w:r>
            <w:r w:rsidRPr="00CA47B9">
              <w:t>growth</w:t>
            </w:r>
            <w:r w:rsidR="004B41A2" w:rsidRPr="00CA47B9">
              <w:t xml:space="preserve"> </w:t>
            </w:r>
            <w:r w:rsidRPr="00CA47B9">
              <w:t>forecast</w:t>
            </w:r>
            <w:r w:rsidR="004B41A2" w:rsidRPr="00CA47B9">
              <w:t xml:space="preserve"> </w:t>
            </w:r>
            <w:r w:rsidRPr="00CA47B9">
              <w:t>is</w:t>
            </w:r>
            <w:r w:rsidR="004B41A2" w:rsidRPr="00CA47B9">
              <w:t xml:space="preserve"> </w:t>
            </w:r>
            <w:r w:rsidR="00FB0B9F">
              <w:t>3,700</w:t>
            </w:r>
            <w:r w:rsidR="004B41A2" w:rsidRPr="00CA47B9">
              <w:t xml:space="preserve"> </w:t>
            </w:r>
            <w:r w:rsidRPr="00CA47B9">
              <w:t>which</w:t>
            </w:r>
            <w:r w:rsidR="004B41A2" w:rsidRPr="00CA47B9">
              <w:t xml:space="preserve"> </w:t>
            </w:r>
            <w:r w:rsidRPr="00CA47B9">
              <w:t>equates</w:t>
            </w:r>
            <w:r w:rsidR="004B41A2" w:rsidRPr="00CA47B9">
              <w:t xml:space="preserve"> </w:t>
            </w:r>
            <w:r w:rsidRPr="00CA47B9">
              <w:t>to</w:t>
            </w:r>
            <w:r w:rsidR="004B41A2" w:rsidRPr="00CA47B9">
              <w:t xml:space="preserve"> </w:t>
            </w:r>
            <w:r w:rsidRPr="00CA47B9">
              <w:t>an</w:t>
            </w:r>
            <w:r w:rsidR="004B41A2" w:rsidRPr="00CA47B9">
              <w:t xml:space="preserve"> </w:t>
            </w:r>
            <w:r w:rsidRPr="00CA47B9">
              <w:t>annual</w:t>
            </w:r>
            <w:r w:rsidR="004B41A2" w:rsidRPr="00CA47B9">
              <w:t xml:space="preserve"> </w:t>
            </w:r>
            <w:r w:rsidRPr="00CA47B9">
              <w:t>growth</w:t>
            </w:r>
            <w:r w:rsidR="004B41A2" w:rsidRPr="00CA47B9">
              <w:t xml:space="preserve"> </w:t>
            </w:r>
            <w:r w:rsidRPr="00CA47B9">
              <w:t>rate</w:t>
            </w:r>
            <w:r w:rsidR="004B41A2" w:rsidRPr="00CA47B9">
              <w:t xml:space="preserve"> </w:t>
            </w:r>
            <w:r w:rsidRPr="00CA47B9">
              <w:t>of</w:t>
            </w:r>
            <w:r w:rsidR="004B41A2" w:rsidRPr="00CA47B9">
              <w:t xml:space="preserve"> </w:t>
            </w:r>
            <w:r w:rsidRPr="00CA47B9">
              <w:t>0.</w:t>
            </w:r>
            <w:r w:rsidR="00FB0B9F">
              <w:t>3</w:t>
            </w:r>
            <w:r w:rsidRPr="00CA47B9">
              <w:t>%.</w:t>
            </w:r>
            <w:r w:rsidR="004B41A2" w:rsidRPr="00CA47B9">
              <w:t xml:space="preserve"> </w:t>
            </w:r>
          </w:p>
          <w:p w:rsidR="00184960" w:rsidRPr="00CA47B9" w:rsidRDefault="00184960" w:rsidP="00CF79F7">
            <w:pPr>
              <w:rPr>
                <w:color w:val="auto"/>
              </w:rPr>
            </w:pPr>
          </w:p>
          <w:p w:rsidR="00184960" w:rsidRPr="00CA47B9" w:rsidRDefault="00184960" w:rsidP="00A54ECA">
            <w:pPr>
              <w:pStyle w:val="ListParagraph"/>
            </w:pPr>
            <w:r w:rsidRPr="00CA47B9">
              <w:t>As</w:t>
            </w:r>
            <w:r w:rsidR="004B41A2" w:rsidRPr="00CA47B9">
              <w:t xml:space="preserve"> </w:t>
            </w:r>
            <w:r w:rsidRPr="00CA47B9">
              <w:t>with</w:t>
            </w:r>
            <w:r w:rsidR="004B41A2" w:rsidRPr="00CA47B9">
              <w:t xml:space="preserve"> </w:t>
            </w:r>
            <w:r w:rsidRPr="00CA47B9">
              <w:t>the</w:t>
            </w:r>
            <w:r w:rsidR="004B41A2" w:rsidRPr="00CA47B9">
              <w:t xml:space="preserve"> </w:t>
            </w:r>
            <w:r w:rsidRPr="00CA47B9">
              <w:t>national</w:t>
            </w:r>
            <w:r w:rsidR="004B41A2" w:rsidRPr="00CA47B9">
              <w:t xml:space="preserve"> </w:t>
            </w:r>
            <w:r w:rsidRPr="00CA47B9">
              <w:t>forecasts</w:t>
            </w:r>
            <w:r w:rsidR="00855CA6">
              <w:t>,</w:t>
            </w:r>
            <w:r w:rsidR="004B41A2" w:rsidRPr="00CA47B9">
              <w:t xml:space="preserve"> </w:t>
            </w:r>
            <w:r w:rsidRPr="00CA47B9">
              <w:t>this</w:t>
            </w:r>
            <w:r w:rsidR="004B41A2" w:rsidRPr="00CA47B9">
              <w:t xml:space="preserve"> </w:t>
            </w:r>
            <w:r w:rsidRPr="00CA47B9">
              <w:t>is</w:t>
            </w:r>
            <w:r w:rsidR="004B41A2" w:rsidRPr="00CA47B9">
              <w:t xml:space="preserve"> </w:t>
            </w:r>
            <w:r w:rsidRPr="00CA47B9">
              <w:t>a</w:t>
            </w:r>
            <w:r w:rsidR="004B41A2" w:rsidRPr="00CA47B9">
              <w:t xml:space="preserve"> </w:t>
            </w:r>
            <w:r w:rsidRPr="00CA47B9">
              <w:t>slower</w:t>
            </w:r>
            <w:r w:rsidR="004B41A2" w:rsidRPr="00CA47B9">
              <w:t xml:space="preserve"> </w:t>
            </w:r>
            <w:r w:rsidRPr="00CA47B9">
              <w:t>level</w:t>
            </w:r>
            <w:r w:rsidR="004B41A2" w:rsidRPr="00CA47B9">
              <w:t xml:space="preserve"> </w:t>
            </w:r>
            <w:r w:rsidRPr="00CA47B9">
              <w:t>of</w:t>
            </w:r>
            <w:r w:rsidR="004B41A2" w:rsidRPr="00CA47B9">
              <w:t xml:space="preserve"> </w:t>
            </w:r>
            <w:r w:rsidRPr="00CA47B9">
              <w:t>growth</w:t>
            </w:r>
            <w:r w:rsidR="004B41A2" w:rsidRPr="00CA47B9">
              <w:t xml:space="preserve"> </w:t>
            </w:r>
            <w:r w:rsidRPr="00CA47B9">
              <w:t>compared</w:t>
            </w:r>
            <w:r w:rsidR="004B41A2" w:rsidRPr="00CA47B9">
              <w:t xml:space="preserve"> </w:t>
            </w:r>
            <w:r w:rsidRPr="00CA47B9">
              <w:t>to</w:t>
            </w:r>
            <w:r w:rsidR="004B41A2" w:rsidRPr="00CA47B9">
              <w:t xml:space="preserve"> </w:t>
            </w:r>
            <w:r w:rsidRPr="00CA47B9">
              <w:t>the</w:t>
            </w:r>
            <w:r w:rsidR="004B41A2" w:rsidRPr="00CA47B9">
              <w:t xml:space="preserve"> </w:t>
            </w:r>
            <w:r w:rsidRPr="00CA47B9">
              <w:t>previous</w:t>
            </w:r>
            <w:r w:rsidR="004B41A2" w:rsidRPr="00CA47B9">
              <w:t xml:space="preserve"> </w:t>
            </w:r>
            <w:r w:rsidRPr="00CA47B9">
              <w:t>business</w:t>
            </w:r>
            <w:r w:rsidR="004B41A2" w:rsidRPr="00CA47B9">
              <w:t xml:space="preserve"> </w:t>
            </w:r>
            <w:r w:rsidRPr="00CA47B9">
              <w:t>cycle.</w:t>
            </w:r>
            <w:r w:rsidR="004B41A2" w:rsidRPr="00CA47B9">
              <w:t xml:space="preserve"> </w:t>
            </w:r>
            <w:r w:rsidRPr="00CA47B9">
              <w:t>However,</w:t>
            </w:r>
            <w:r w:rsidR="004B41A2" w:rsidRPr="00CA47B9">
              <w:t xml:space="preserve"> </w:t>
            </w:r>
            <w:r w:rsidRPr="00CA47B9">
              <w:t>this</w:t>
            </w:r>
            <w:r w:rsidR="004B41A2" w:rsidRPr="00CA47B9">
              <w:t xml:space="preserve"> </w:t>
            </w:r>
            <w:r w:rsidRPr="00CA47B9">
              <w:t>is</w:t>
            </w:r>
            <w:r w:rsidR="004B41A2" w:rsidRPr="00CA47B9">
              <w:t xml:space="preserve"> </w:t>
            </w:r>
            <w:r w:rsidRPr="00CA47B9">
              <w:t>justified</w:t>
            </w:r>
            <w:r w:rsidR="004B41A2" w:rsidRPr="00CA47B9">
              <w:t xml:space="preserve"> </w:t>
            </w:r>
            <w:r w:rsidRPr="00CA47B9">
              <w:t>as</w:t>
            </w:r>
            <w:r w:rsidR="004B41A2" w:rsidRPr="00CA47B9">
              <w:t xml:space="preserve"> </w:t>
            </w:r>
            <w:r w:rsidRPr="00CA47B9">
              <w:t>both</w:t>
            </w:r>
            <w:r w:rsidR="004B41A2" w:rsidRPr="00CA47B9">
              <w:t xml:space="preserve"> </w:t>
            </w:r>
            <w:r w:rsidRPr="00CA47B9">
              <w:t>consumer</w:t>
            </w:r>
            <w:r w:rsidR="004B41A2" w:rsidRPr="00CA47B9">
              <w:t xml:space="preserve"> </w:t>
            </w:r>
            <w:r w:rsidRPr="00CA47B9">
              <w:t>and</w:t>
            </w:r>
            <w:r w:rsidR="004B41A2" w:rsidRPr="00CA47B9">
              <w:t xml:space="preserve"> </w:t>
            </w:r>
            <w:r w:rsidRPr="00CA47B9">
              <w:t>public</w:t>
            </w:r>
            <w:r w:rsidR="004B41A2" w:rsidRPr="00CA47B9">
              <w:t xml:space="preserve"> </w:t>
            </w:r>
            <w:r w:rsidRPr="00CA47B9">
              <w:t>sector</w:t>
            </w:r>
            <w:r w:rsidR="004B41A2" w:rsidRPr="00CA47B9">
              <w:t xml:space="preserve"> </w:t>
            </w:r>
            <w:r w:rsidRPr="00CA47B9">
              <w:t>expenditure</w:t>
            </w:r>
            <w:r w:rsidR="004B41A2" w:rsidRPr="00CA47B9">
              <w:t xml:space="preserve"> </w:t>
            </w:r>
            <w:r w:rsidRPr="00CA47B9">
              <w:t>is</w:t>
            </w:r>
            <w:r w:rsidR="004B41A2" w:rsidRPr="00CA47B9">
              <w:t xml:space="preserve"> </w:t>
            </w:r>
            <w:r w:rsidRPr="00CA47B9">
              <w:t>expected</w:t>
            </w:r>
            <w:r w:rsidR="004B41A2" w:rsidRPr="00CA47B9">
              <w:t xml:space="preserve"> </w:t>
            </w:r>
            <w:r w:rsidRPr="00CA47B9">
              <w:t>to</w:t>
            </w:r>
            <w:r w:rsidR="004B41A2" w:rsidRPr="00CA47B9">
              <w:t xml:space="preserve"> </w:t>
            </w:r>
            <w:r w:rsidRPr="00CA47B9">
              <w:t>fall.</w:t>
            </w:r>
          </w:p>
          <w:p w:rsidR="00184960" w:rsidRPr="00CA47B9" w:rsidRDefault="00184960" w:rsidP="00CF79F7">
            <w:pPr>
              <w:rPr>
                <w:color w:val="auto"/>
              </w:rPr>
            </w:pPr>
          </w:p>
          <w:p w:rsidR="00184960" w:rsidRPr="00CA47B9" w:rsidRDefault="00184960" w:rsidP="00A54ECA">
            <w:pPr>
              <w:pStyle w:val="ListParagraph"/>
            </w:pPr>
            <w:r w:rsidRPr="00CA47B9">
              <w:t>However,</w:t>
            </w:r>
            <w:r w:rsidR="004B41A2" w:rsidRPr="00CA47B9">
              <w:t xml:space="preserve"> </w:t>
            </w:r>
            <w:r w:rsidRPr="00CA47B9">
              <w:t>these</w:t>
            </w:r>
            <w:r w:rsidR="004B41A2" w:rsidRPr="00CA47B9">
              <w:t xml:space="preserve"> </w:t>
            </w:r>
            <w:r w:rsidRPr="00CA47B9">
              <w:t>baseline</w:t>
            </w:r>
            <w:r w:rsidR="004B41A2" w:rsidRPr="00CA47B9">
              <w:t xml:space="preserve"> </w:t>
            </w:r>
            <w:r w:rsidRPr="00CA47B9">
              <w:t>forecasts</w:t>
            </w:r>
            <w:r w:rsidR="004B41A2" w:rsidRPr="00CA47B9">
              <w:t xml:space="preserve"> </w:t>
            </w:r>
            <w:r w:rsidRPr="00CA47B9">
              <w:t>are</w:t>
            </w:r>
            <w:r w:rsidR="004B41A2" w:rsidRPr="00CA47B9">
              <w:t xml:space="preserve"> </w:t>
            </w:r>
            <w:r w:rsidRPr="00CA47B9">
              <w:t>largely</w:t>
            </w:r>
            <w:r w:rsidR="004B41A2" w:rsidRPr="00CA47B9">
              <w:t xml:space="preserve"> </w:t>
            </w:r>
            <w:r w:rsidR="00855CA6" w:rsidRPr="00CA47B9">
              <w:t>trend</w:t>
            </w:r>
            <w:r w:rsidR="00855CA6">
              <w:t>-</w:t>
            </w:r>
            <w:r w:rsidRPr="00CA47B9">
              <w:t>based</w:t>
            </w:r>
            <w:r w:rsidR="004B41A2" w:rsidRPr="00CA47B9">
              <w:t xml:space="preserve"> </w:t>
            </w:r>
            <w:r w:rsidRPr="00CA47B9">
              <w:t>and</w:t>
            </w:r>
            <w:r w:rsidR="004B41A2" w:rsidRPr="00CA47B9">
              <w:t xml:space="preserve"> </w:t>
            </w:r>
            <w:r w:rsidRPr="00CA47B9">
              <w:t>do</w:t>
            </w:r>
            <w:r w:rsidR="004B41A2" w:rsidRPr="00CA47B9">
              <w:t xml:space="preserve"> </w:t>
            </w:r>
            <w:r w:rsidRPr="00CA47B9">
              <w:t>not</w:t>
            </w:r>
            <w:r w:rsidR="004B41A2" w:rsidRPr="00CA47B9">
              <w:t xml:space="preserve"> </w:t>
            </w:r>
            <w:r w:rsidRPr="00CA47B9">
              <w:t>reflect</w:t>
            </w:r>
            <w:r w:rsidR="004B41A2" w:rsidRPr="00CA47B9">
              <w:t xml:space="preserve"> </w:t>
            </w:r>
            <w:r w:rsidRPr="00CA47B9">
              <w:t>local</w:t>
            </w:r>
            <w:r w:rsidR="004B41A2" w:rsidRPr="00CA47B9">
              <w:t xml:space="preserve"> </w:t>
            </w:r>
            <w:r w:rsidRPr="00CA47B9">
              <w:t>investment</w:t>
            </w:r>
            <w:r w:rsidR="004B41A2" w:rsidRPr="00CA47B9">
              <w:t xml:space="preserve"> </w:t>
            </w:r>
            <w:r w:rsidRPr="00CA47B9">
              <w:t>or</w:t>
            </w:r>
            <w:r w:rsidR="004B41A2" w:rsidRPr="00CA47B9">
              <w:t xml:space="preserve"> </w:t>
            </w:r>
            <w:r w:rsidRPr="00CA47B9">
              <w:t>planned</w:t>
            </w:r>
            <w:r w:rsidR="004B41A2" w:rsidRPr="00CA47B9">
              <w:t xml:space="preserve"> </w:t>
            </w:r>
            <w:r w:rsidRPr="00CA47B9">
              <w:t>growth.</w:t>
            </w:r>
            <w:r w:rsidR="004B41A2" w:rsidRPr="00CA47B9">
              <w:t xml:space="preserve"> </w:t>
            </w:r>
            <w:r w:rsidRPr="00CA47B9">
              <w:t>We</w:t>
            </w:r>
            <w:r w:rsidR="00855CA6">
              <w:t>, therefore,</w:t>
            </w:r>
            <w:r w:rsidR="004B41A2" w:rsidRPr="00CA47B9">
              <w:t xml:space="preserve"> </w:t>
            </w:r>
            <w:r w:rsidRPr="00CA47B9">
              <w:t>considered</w:t>
            </w:r>
            <w:r w:rsidR="004B41A2" w:rsidRPr="00CA47B9">
              <w:t xml:space="preserve"> </w:t>
            </w:r>
            <w:r w:rsidRPr="00CA47B9">
              <w:t>adjustments</w:t>
            </w:r>
            <w:r w:rsidR="004B41A2" w:rsidRPr="00CA47B9">
              <w:t xml:space="preserve"> </w:t>
            </w:r>
            <w:r w:rsidRPr="00CA47B9">
              <w:t>to</w:t>
            </w:r>
            <w:r w:rsidR="004B41A2" w:rsidRPr="00CA47B9">
              <w:t xml:space="preserve"> </w:t>
            </w:r>
            <w:r w:rsidRPr="00CA47B9">
              <w:t>the</w:t>
            </w:r>
            <w:r w:rsidR="004B41A2" w:rsidRPr="00CA47B9">
              <w:t xml:space="preserve"> </w:t>
            </w:r>
            <w:r w:rsidRPr="00CA47B9">
              <w:t>forecasts</w:t>
            </w:r>
            <w:r w:rsidR="004B41A2" w:rsidRPr="00CA47B9">
              <w:t xml:space="preserve"> </w:t>
            </w:r>
            <w:r w:rsidRPr="00CA47B9">
              <w:t>to</w:t>
            </w:r>
            <w:r w:rsidR="004B41A2" w:rsidRPr="00CA47B9">
              <w:t xml:space="preserve"> </w:t>
            </w:r>
            <w:r w:rsidRPr="00CA47B9">
              <w:t>reflect</w:t>
            </w:r>
            <w:r w:rsidR="004B41A2" w:rsidRPr="00CA47B9">
              <w:t xml:space="preserve"> </w:t>
            </w:r>
            <w:r w:rsidRPr="00CA47B9">
              <w:t>this.</w:t>
            </w:r>
            <w:r w:rsidR="004B41A2" w:rsidRPr="00CA47B9">
              <w:t xml:space="preserve"> </w:t>
            </w:r>
          </w:p>
          <w:p w:rsidR="00184960" w:rsidRPr="00CA47B9" w:rsidRDefault="00184960" w:rsidP="00CF79F7">
            <w:pPr>
              <w:rPr>
                <w:color w:val="auto"/>
              </w:rPr>
            </w:pPr>
          </w:p>
          <w:p w:rsidR="00184960" w:rsidRPr="00FB0B9F" w:rsidRDefault="00184960" w:rsidP="00A54ECA">
            <w:pPr>
              <w:pStyle w:val="ListParagraph"/>
            </w:pPr>
            <w:r w:rsidRPr="00CA47B9">
              <w:t>The</w:t>
            </w:r>
            <w:r w:rsidR="004B41A2" w:rsidRPr="00CA47B9">
              <w:t xml:space="preserve"> </w:t>
            </w:r>
            <w:r w:rsidR="005B15AD">
              <w:t>growth</w:t>
            </w:r>
            <w:r w:rsidR="004B41A2" w:rsidRPr="00CA47B9">
              <w:t xml:space="preserve"> </w:t>
            </w:r>
            <w:r w:rsidRPr="00CA47B9">
              <w:t>scenario</w:t>
            </w:r>
            <w:r w:rsidR="004B41A2" w:rsidRPr="00CA47B9">
              <w:t xml:space="preserve"> </w:t>
            </w:r>
            <w:r w:rsidRPr="00CA47B9">
              <w:t>results</w:t>
            </w:r>
            <w:r w:rsidR="004B41A2" w:rsidRPr="00CA47B9">
              <w:t xml:space="preserve"> </w:t>
            </w:r>
            <w:r w:rsidRPr="00CA47B9">
              <w:t>in</w:t>
            </w:r>
            <w:r w:rsidR="004B41A2" w:rsidRPr="00CA47B9">
              <w:t xml:space="preserve"> </w:t>
            </w:r>
            <w:r w:rsidRPr="00CA47B9">
              <w:t>additional</w:t>
            </w:r>
            <w:r w:rsidR="004B41A2" w:rsidRPr="00CA47B9">
              <w:t xml:space="preserve"> </w:t>
            </w:r>
            <w:r w:rsidRPr="00CA47B9">
              <w:t>employment</w:t>
            </w:r>
            <w:r w:rsidR="004B41A2" w:rsidRPr="00CA47B9">
              <w:t xml:space="preserve"> </w:t>
            </w:r>
            <w:r w:rsidRPr="00CA47B9">
              <w:t>growth</w:t>
            </w:r>
            <w:r w:rsidR="004B41A2" w:rsidRPr="00CA47B9">
              <w:t xml:space="preserve"> </w:t>
            </w:r>
            <w:r w:rsidRPr="00CA47B9">
              <w:t>of</w:t>
            </w:r>
            <w:r w:rsidR="004B41A2" w:rsidRPr="00CA47B9">
              <w:t xml:space="preserve"> </w:t>
            </w:r>
            <w:r w:rsidR="00FB0B9F">
              <w:t>5,800</w:t>
            </w:r>
            <w:r w:rsidR="004B41A2" w:rsidRPr="00FB0B9F">
              <w:t xml:space="preserve"> </w:t>
            </w:r>
            <w:r w:rsidRPr="00FB0B9F">
              <w:t>jobs</w:t>
            </w:r>
            <w:r w:rsidR="004B41A2" w:rsidRPr="00FB0B9F">
              <w:t xml:space="preserve"> </w:t>
            </w:r>
            <w:r w:rsidRPr="00FB0B9F">
              <w:t>from</w:t>
            </w:r>
            <w:r w:rsidR="004B41A2" w:rsidRPr="00FB0B9F">
              <w:t xml:space="preserve"> </w:t>
            </w:r>
            <w:r w:rsidRPr="00FB0B9F">
              <w:t>the</w:t>
            </w:r>
            <w:r w:rsidR="004B41A2" w:rsidRPr="00FB0B9F">
              <w:t xml:space="preserve"> </w:t>
            </w:r>
            <w:r w:rsidRPr="00FB0B9F">
              <w:t>Baseline</w:t>
            </w:r>
            <w:r w:rsidR="004B41A2" w:rsidRPr="00FB0B9F">
              <w:t xml:space="preserve"> </w:t>
            </w:r>
            <w:r w:rsidRPr="00FB0B9F">
              <w:t>Scenario</w:t>
            </w:r>
            <w:r w:rsidR="004B41A2" w:rsidRPr="00FB0B9F">
              <w:t xml:space="preserve"> </w:t>
            </w:r>
            <w:r w:rsidRPr="00FB0B9F">
              <w:t>(201</w:t>
            </w:r>
            <w:r w:rsidR="00FB0B9F" w:rsidRPr="00FB0B9F">
              <w:t>9</w:t>
            </w:r>
            <w:r w:rsidRPr="00FB0B9F">
              <w:t>-36)</w:t>
            </w:r>
            <w:r w:rsidR="004B41A2" w:rsidRPr="00FB0B9F">
              <w:t xml:space="preserve"> </w:t>
            </w:r>
            <w:r w:rsidRPr="00FB0B9F">
              <w:t>taking</w:t>
            </w:r>
            <w:r w:rsidR="004B41A2" w:rsidRPr="00FB0B9F">
              <w:t xml:space="preserve"> </w:t>
            </w:r>
            <w:r w:rsidRPr="00FB0B9F">
              <w:t>the</w:t>
            </w:r>
            <w:r w:rsidR="004B41A2" w:rsidRPr="00FB0B9F">
              <w:t xml:space="preserve"> </w:t>
            </w:r>
            <w:r w:rsidRPr="00FB0B9F">
              <w:t>total</w:t>
            </w:r>
            <w:r w:rsidR="004B41A2" w:rsidRPr="00FB0B9F">
              <w:t xml:space="preserve"> </w:t>
            </w:r>
            <w:r w:rsidRPr="00FB0B9F">
              <w:t>jobs</w:t>
            </w:r>
            <w:r w:rsidR="004B41A2" w:rsidRPr="00FB0B9F">
              <w:t xml:space="preserve"> </w:t>
            </w:r>
            <w:r w:rsidRPr="00FB0B9F">
              <w:t>growth</w:t>
            </w:r>
            <w:r w:rsidR="004B41A2" w:rsidRPr="00FB0B9F">
              <w:t xml:space="preserve"> </w:t>
            </w:r>
            <w:r w:rsidRPr="00FB0B9F">
              <w:t>to</w:t>
            </w:r>
            <w:r w:rsidR="004B41A2" w:rsidRPr="00FB0B9F">
              <w:t xml:space="preserve"> </w:t>
            </w:r>
            <w:r w:rsidRPr="00FB0B9F">
              <w:t>around</w:t>
            </w:r>
            <w:r w:rsidR="004B41A2" w:rsidRPr="00FB0B9F">
              <w:t xml:space="preserve"> </w:t>
            </w:r>
            <w:r w:rsidR="00FB0B9F">
              <w:t>9</w:t>
            </w:r>
            <w:r w:rsidR="00141B12" w:rsidRPr="00FB0B9F">
              <w:t>,</w:t>
            </w:r>
            <w:r w:rsidR="00FB0B9F">
              <w:t>5</w:t>
            </w:r>
            <w:r w:rsidR="00141B12" w:rsidRPr="00FB0B9F">
              <w:t>00</w:t>
            </w:r>
            <w:r w:rsidR="004B41A2" w:rsidRPr="00FB0B9F">
              <w:t xml:space="preserve"> </w:t>
            </w:r>
            <w:r w:rsidR="005B15AD">
              <w:t xml:space="preserve">across the District </w:t>
            </w:r>
            <w:r w:rsidRPr="00FB0B9F">
              <w:t>representing</w:t>
            </w:r>
            <w:r w:rsidR="004B41A2" w:rsidRPr="00FB0B9F">
              <w:t xml:space="preserve"> </w:t>
            </w:r>
            <w:r w:rsidRPr="00FB0B9F">
              <w:t>growth</w:t>
            </w:r>
            <w:r w:rsidR="004B41A2" w:rsidRPr="00FB0B9F">
              <w:t xml:space="preserve"> </w:t>
            </w:r>
            <w:r w:rsidRPr="00FB0B9F">
              <w:t>of</w:t>
            </w:r>
            <w:r w:rsidR="004B41A2" w:rsidRPr="00FB0B9F">
              <w:t xml:space="preserve"> </w:t>
            </w:r>
            <w:r w:rsidRPr="00FB0B9F">
              <w:t>0.</w:t>
            </w:r>
            <w:r w:rsidR="00FB0B9F">
              <w:t>7</w:t>
            </w:r>
            <w:r w:rsidRPr="00FB0B9F">
              <w:t>%</w:t>
            </w:r>
            <w:r w:rsidR="004B41A2" w:rsidRPr="00FB0B9F">
              <w:t xml:space="preserve"> </w:t>
            </w:r>
            <w:r w:rsidRPr="00FB0B9F">
              <w:t>pa</w:t>
            </w:r>
            <w:r w:rsidR="00141B12" w:rsidRPr="00FB0B9F">
              <w:t>.</w:t>
            </w:r>
          </w:p>
          <w:p w:rsidR="00184960" w:rsidRPr="00CA47B9" w:rsidRDefault="00184960" w:rsidP="00CF79F7">
            <w:pPr>
              <w:rPr>
                <w:color w:val="auto"/>
              </w:rPr>
            </w:pPr>
          </w:p>
          <w:p w:rsidR="00184960" w:rsidRPr="00CA47B9" w:rsidRDefault="00184960" w:rsidP="00A54ECA">
            <w:pPr>
              <w:pStyle w:val="ListParagraph"/>
            </w:pPr>
            <w:r w:rsidRPr="00CA47B9">
              <w:t>The</w:t>
            </w:r>
            <w:r w:rsidR="004B41A2" w:rsidRPr="00CA47B9">
              <w:t xml:space="preserve"> </w:t>
            </w:r>
            <w:r w:rsidRPr="00CA47B9">
              <w:t>adjusted</w:t>
            </w:r>
            <w:r w:rsidR="00EF3749">
              <w:t xml:space="preserve"> growth</w:t>
            </w:r>
            <w:r w:rsidR="004B41A2" w:rsidRPr="00CA47B9">
              <w:t xml:space="preserve"> </w:t>
            </w:r>
            <w:r w:rsidRPr="00CA47B9">
              <w:t>forecasts</w:t>
            </w:r>
            <w:r w:rsidR="004B41A2" w:rsidRPr="00CA47B9">
              <w:t xml:space="preserve"> </w:t>
            </w:r>
            <w:r w:rsidRPr="00CA47B9">
              <w:t>see</w:t>
            </w:r>
            <w:r w:rsidR="004B41A2" w:rsidRPr="00CA47B9">
              <w:t xml:space="preserve"> </w:t>
            </w:r>
            <w:r w:rsidRPr="00CA47B9">
              <w:t>the</w:t>
            </w:r>
            <w:r w:rsidR="004B41A2" w:rsidRPr="00CA47B9">
              <w:t xml:space="preserve"> </w:t>
            </w:r>
            <w:r w:rsidRPr="00CA47B9">
              <w:t>accommodation</w:t>
            </w:r>
            <w:r w:rsidR="004B41A2" w:rsidRPr="00CA47B9">
              <w:t xml:space="preserve"> </w:t>
            </w:r>
            <w:r w:rsidRPr="00CA47B9">
              <w:t>and</w:t>
            </w:r>
            <w:r w:rsidR="004B41A2" w:rsidRPr="00CA47B9">
              <w:t xml:space="preserve"> </w:t>
            </w:r>
            <w:r w:rsidRPr="00CA47B9">
              <w:t>food</w:t>
            </w:r>
            <w:r w:rsidR="004B41A2" w:rsidRPr="00CA47B9">
              <w:t xml:space="preserve"> </w:t>
            </w:r>
            <w:r w:rsidRPr="00CA47B9">
              <w:t>services</w:t>
            </w:r>
            <w:r w:rsidR="004B41A2" w:rsidRPr="00CA47B9">
              <w:t xml:space="preserve"> </w:t>
            </w:r>
            <w:r w:rsidRPr="00CA47B9">
              <w:t>sector,</w:t>
            </w:r>
            <w:r w:rsidR="004B41A2" w:rsidRPr="00CA47B9">
              <w:rPr>
                <w:rFonts w:asciiTheme="minorHAnsi" w:hAnsiTheme="minorHAnsi" w:cstheme="minorHAnsi"/>
              </w:rPr>
              <w:t xml:space="preserve"> </w:t>
            </w:r>
            <w:r w:rsidRPr="00CA47B9">
              <w:rPr>
                <w:rFonts w:asciiTheme="minorHAnsi" w:hAnsiTheme="minorHAnsi" w:cstheme="minorHAnsi"/>
              </w:rPr>
              <w:t>professional</w:t>
            </w:r>
            <w:r w:rsidR="004B41A2" w:rsidRPr="00CA47B9">
              <w:rPr>
                <w:rFonts w:asciiTheme="minorHAnsi" w:hAnsiTheme="minorHAnsi" w:cstheme="minorHAnsi"/>
              </w:rPr>
              <w:t xml:space="preserve"> </w:t>
            </w:r>
            <w:r w:rsidRPr="00CA47B9">
              <w:rPr>
                <w:rFonts w:asciiTheme="minorHAnsi" w:hAnsiTheme="minorHAnsi" w:cstheme="minorHAnsi"/>
              </w:rPr>
              <w:t>and</w:t>
            </w:r>
            <w:r w:rsidR="004B41A2" w:rsidRPr="00CA47B9">
              <w:rPr>
                <w:rFonts w:asciiTheme="minorHAnsi" w:hAnsiTheme="minorHAnsi" w:cstheme="minorHAnsi"/>
              </w:rPr>
              <w:t xml:space="preserve"> </w:t>
            </w:r>
            <w:r w:rsidRPr="00CA47B9">
              <w:rPr>
                <w:rFonts w:asciiTheme="minorHAnsi" w:hAnsiTheme="minorHAnsi" w:cstheme="minorHAnsi"/>
              </w:rPr>
              <w:t>scientific</w:t>
            </w:r>
            <w:r w:rsidR="004B41A2" w:rsidRPr="00CA47B9">
              <w:rPr>
                <w:rFonts w:asciiTheme="minorHAnsi" w:hAnsiTheme="minorHAnsi" w:cstheme="minorHAnsi"/>
              </w:rPr>
              <w:t xml:space="preserve"> </w:t>
            </w:r>
            <w:r w:rsidRPr="00CA47B9">
              <w:rPr>
                <w:rFonts w:asciiTheme="minorHAnsi" w:hAnsiTheme="minorHAnsi" w:cstheme="minorHAnsi"/>
              </w:rPr>
              <w:t>services</w:t>
            </w:r>
            <w:r w:rsidR="004B41A2" w:rsidRPr="00CA47B9">
              <w:t xml:space="preserve"> </w:t>
            </w:r>
            <w:r w:rsidRPr="00CA47B9">
              <w:t>and</w:t>
            </w:r>
            <w:r w:rsidR="004B41A2" w:rsidRPr="00CA47B9">
              <w:t xml:space="preserve"> </w:t>
            </w:r>
            <w:r w:rsidRPr="00CA47B9">
              <w:t>wholesale</w:t>
            </w:r>
            <w:r w:rsidR="004B41A2" w:rsidRPr="00CA47B9">
              <w:t xml:space="preserve"> </w:t>
            </w:r>
            <w:r w:rsidRPr="00CA47B9">
              <w:t>and</w:t>
            </w:r>
            <w:r w:rsidR="004B41A2" w:rsidRPr="00CA47B9">
              <w:t xml:space="preserve"> </w:t>
            </w:r>
            <w:r w:rsidRPr="00CA47B9">
              <w:t>retail</w:t>
            </w:r>
            <w:r w:rsidR="004B41A2" w:rsidRPr="00CA47B9">
              <w:t xml:space="preserve"> </w:t>
            </w:r>
            <w:r w:rsidRPr="00CA47B9">
              <w:t>sectors</w:t>
            </w:r>
            <w:r w:rsidR="004B41A2" w:rsidRPr="00CA47B9">
              <w:t xml:space="preserve"> </w:t>
            </w:r>
            <w:r w:rsidRPr="00CA47B9">
              <w:t>have</w:t>
            </w:r>
            <w:r w:rsidR="004B41A2" w:rsidRPr="00CA47B9">
              <w:t xml:space="preserve"> </w:t>
            </w:r>
            <w:r w:rsidR="00855CA6">
              <w:t xml:space="preserve">the </w:t>
            </w:r>
            <w:r w:rsidRPr="00CA47B9">
              <w:t>most</w:t>
            </w:r>
            <w:r w:rsidR="004B41A2" w:rsidRPr="00CA47B9">
              <w:t xml:space="preserve"> </w:t>
            </w:r>
            <w:r w:rsidRPr="00CA47B9">
              <w:t>significant</w:t>
            </w:r>
            <w:r w:rsidR="004B41A2" w:rsidRPr="00CA47B9">
              <w:t xml:space="preserve"> </w:t>
            </w:r>
            <w:r w:rsidRPr="00CA47B9">
              <w:t>growth</w:t>
            </w:r>
            <w:r w:rsidR="004B41A2" w:rsidRPr="00CA47B9">
              <w:t xml:space="preserve"> </w:t>
            </w:r>
            <w:r w:rsidRPr="00CA47B9">
              <w:t>in</w:t>
            </w:r>
            <w:r w:rsidR="004B41A2" w:rsidRPr="00CA47B9">
              <w:t xml:space="preserve"> </w:t>
            </w:r>
            <w:r w:rsidRPr="00CA47B9">
              <w:t>jobs.</w:t>
            </w:r>
            <w:r w:rsidR="004B41A2" w:rsidRPr="00CA47B9">
              <w:t xml:space="preserve"> </w:t>
            </w:r>
          </w:p>
          <w:p w:rsidR="00184960" w:rsidRPr="00CA47B9" w:rsidRDefault="00184960" w:rsidP="00CF79F7">
            <w:pPr>
              <w:rPr>
                <w:color w:val="auto"/>
              </w:rPr>
            </w:pPr>
          </w:p>
          <w:p w:rsidR="00184960" w:rsidRPr="00CA47B9" w:rsidRDefault="00184960" w:rsidP="00A54ECA">
            <w:pPr>
              <w:pStyle w:val="ListParagraph"/>
            </w:pPr>
            <w:r w:rsidRPr="00CA47B9">
              <w:t>The</w:t>
            </w:r>
            <w:r w:rsidR="004B41A2" w:rsidRPr="00CA47B9">
              <w:t xml:space="preserve"> </w:t>
            </w:r>
            <w:r w:rsidRPr="00CA47B9">
              <w:t>agricultural</w:t>
            </w:r>
            <w:r w:rsidR="004B41A2" w:rsidRPr="00CA47B9">
              <w:t xml:space="preserve"> </w:t>
            </w:r>
            <w:r w:rsidRPr="00CA47B9">
              <w:t>and</w:t>
            </w:r>
            <w:r w:rsidR="004B41A2" w:rsidRPr="00CA47B9">
              <w:t xml:space="preserve"> </w:t>
            </w:r>
            <w:r w:rsidRPr="00CA47B9">
              <w:t>manufacturing</w:t>
            </w:r>
            <w:r w:rsidR="004B41A2" w:rsidRPr="00CA47B9">
              <w:t xml:space="preserve"> </w:t>
            </w:r>
            <w:r w:rsidRPr="00CA47B9">
              <w:t>sectors</w:t>
            </w:r>
            <w:r w:rsidR="004B41A2" w:rsidRPr="00CA47B9">
              <w:t xml:space="preserve"> </w:t>
            </w:r>
            <w:r w:rsidRPr="00CA47B9">
              <w:t>are</w:t>
            </w:r>
            <w:r w:rsidR="004B41A2" w:rsidRPr="00CA47B9">
              <w:t xml:space="preserve"> </w:t>
            </w:r>
            <w:r w:rsidRPr="00CA47B9">
              <w:t>expected</w:t>
            </w:r>
            <w:r w:rsidR="004B41A2" w:rsidRPr="00CA47B9">
              <w:t xml:space="preserve"> </w:t>
            </w:r>
            <w:r w:rsidRPr="00CA47B9">
              <w:t>to</w:t>
            </w:r>
            <w:r w:rsidR="004B41A2" w:rsidRPr="00CA47B9">
              <w:t xml:space="preserve"> </w:t>
            </w:r>
            <w:r w:rsidR="00141B12" w:rsidRPr="00CA47B9">
              <w:t>oppose</w:t>
            </w:r>
            <w:r w:rsidR="004B41A2" w:rsidRPr="00CA47B9">
              <w:t xml:space="preserve"> </w:t>
            </w:r>
            <w:r w:rsidRPr="00CA47B9">
              <w:t>historic</w:t>
            </w:r>
            <w:r w:rsidR="004B41A2" w:rsidRPr="00CA47B9">
              <w:t xml:space="preserve"> </w:t>
            </w:r>
            <w:r w:rsidRPr="00CA47B9">
              <w:t>trends</w:t>
            </w:r>
            <w:r w:rsidR="004B41A2" w:rsidRPr="00CA47B9">
              <w:t xml:space="preserve"> </w:t>
            </w:r>
            <w:r w:rsidRPr="00CA47B9">
              <w:t>with</w:t>
            </w:r>
            <w:r w:rsidR="004B41A2" w:rsidRPr="00CA47B9">
              <w:t xml:space="preserve"> </w:t>
            </w:r>
            <w:r w:rsidRPr="00CA47B9">
              <w:t>a</w:t>
            </w:r>
            <w:r w:rsidR="004B41A2" w:rsidRPr="00CA47B9">
              <w:t xml:space="preserve"> </w:t>
            </w:r>
            <w:r w:rsidRPr="00CA47B9">
              <w:t>cessation</w:t>
            </w:r>
            <w:r w:rsidR="004B41A2" w:rsidRPr="00CA47B9">
              <w:t xml:space="preserve"> </w:t>
            </w:r>
            <w:r w:rsidRPr="00CA47B9">
              <w:t>of</w:t>
            </w:r>
            <w:r w:rsidR="004B41A2" w:rsidRPr="00CA47B9">
              <w:t xml:space="preserve"> </w:t>
            </w:r>
            <w:r w:rsidRPr="00CA47B9">
              <w:t>job</w:t>
            </w:r>
            <w:r w:rsidR="004B41A2" w:rsidRPr="00CA47B9">
              <w:t xml:space="preserve"> </w:t>
            </w:r>
            <w:r w:rsidRPr="00CA47B9">
              <w:t>losses.</w:t>
            </w:r>
            <w:r w:rsidR="004B41A2" w:rsidRPr="00CA47B9">
              <w:t xml:space="preserve"> </w:t>
            </w:r>
            <w:r w:rsidRPr="00CA47B9">
              <w:t>Both</w:t>
            </w:r>
            <w:r w:rsidR="00855CA6">
              <w:t>, however,</w:t>
            </w:r>
            <w:r w:rsidR="004B41A2" w:rsidRPr="00CA47B9">
              <w:t xml:space="preserve"> </w:t>
            </w:r>
            <w:r w:rsidRPr="00CA47B9">
              <w:t>are</w:t>
            </w:r>
            <w:r w:rsidR="004B41A2" w:rsidRPr="00CA47B9">
              <w:t xml:space="preserve"> </w:t>
            </w:r>
            <w:r w:rsidRPr="00CA47B9">
              <w:t>still</w:t>
            </w:r>
            <w:r w:rsidR="004B41A2" w:rsidRPr="00CA47B9">
              <w:t xml:space="preserve"> </w:t>
            </w:r>
            <w:r w:rsidRPr="00CA47B9">
              <w:t>expected</w:t>
            </w:r>
            <w:r w:rsidR="004B41A2" w:rsidRPr="00CA47B9">
              <w:t xml:space="preserve"> </w:t>
            </w:r>
            <w:r w:rsidRPr="00CA47B9">
              <w:t>to</w:t>
            </w:r>
            <w:r w:rsidR="004B41A2" w:rsidRPr="00CA47B9">
              <w:t xml:space="preserve"> </w:t>
            </w:r>
            <w:r w:rsidRPr="00CA47B9">
              <w:t>see</w:t>
            </w:r>
            <w:r w:rsidR="004B41A2" w:rsidRPr="00CA47B9">
              <w:t xml:space="preserve"> </w:t>
            </w:r>
            <w:r w:rsidRPr="00CA47B9">
              <w:t>significant</w:t>
            </w:r>
            <w:r w:rsidR="004B41A2" w:rsidRPr="00CA47B9">
              <w:t xml:space="preserve"> </w:t>
            </w:r>
            <w:r w:rsidRPr="00CA47B9">
              <w:t>growth</w:t>
            </w:r>
            <w:r w:rsidR="004B41A2" w:rsidRPr="00CA47B9">
              <w:t xml:space="preserve"> </w:t>
            </w:r>
            <w:r w:rsidRPr="00CA47B9">
              <w:t>in</w:t>
            </w:r>
            <w:r w:rsidR="004B41A2" w:rsidRPr="00CA47B9">
              <w:t xml:space="preserve"> </w:t>
            </w:r>
            <w:r w:rsidRPr="00CA47B9">
              <w:t>GVA</w:t>
            </w:r>
            <w:r w:rsidR="004B41A2" w:rsidRPr="00CA47B9">
              <w:t xml:space="preserve"> </w:t>
            </w:r>
            <w:r w:rsidRPr="00CA47B9">
              <w:t>and</w:t>
            </w:r>
            <w:r w:rsidR="004B41A2" w:rsidRPr="00CA47B9">
              <w:t xml:space="preserve"> </w:t>
            </w:r>
            <w:r w:rsidRPr="00CA47B9">
              <w:t>productivity.</w:t>
            </w:r>
          </w:p>
          <w:p w:rsidR="00184960" w:rsidRPr="00CA47B9" w:rsidRDefault="00184960" w:rsidP="00ED1C06">
            <w:pPr>
              <w:pStyle w:val="11Bodytext"/>
              <w:numPr>
                <w:ilvl w:val="0"/>
                <w:numId w:val="0"/>
              </w:numPr>
            </w:pPr>
          </w:p>
        </w:tc>
      </w:tr>
    </w:tbl>
    <w:p w:rsidR="002804C6" w:rsidRDefault="00676170" w:rsidP="00766669">
      <w:pPr>
        <w:pStyle w:val="1Bodytext"/>
        <w:tabs>
          <w:tab w:val="clear" w:pos="794"/>
          <w:tab w:val="num" w:pos="567"/>
        </w:tabs>
        <w:spacing w:before="0"/>
        <w:ind w:left="567" w:hanging="567"/>
      </w:pPr>
      <w:bookmarkStart w:id="125" w:name="_Toc498868994"/>
      <w:bookmarkStart w:id="126" w:name="_Toc491780970"/>
      <w:bookmarkStart w:id="127" w:name="_Toc424840380"/>
      <w:bookmarkStart w:id="128" w:name="_Toc485718381"/>
      <w:bookmarkEnd w:id="125"/>
      <w:bookmarkEnd w:id="126"/>
      <w:r>
        <w:rPr>
          <w:rFonts w:asciiTheme="minorHAnsi" w:hAnsiTheme="minorHAnsi" w:cstheme="minorHAnsi"/>
        </w:rPr>
        <w:br w:type="page"/>
      </w:r>
      <w:bookmarkStart w:id="129" w:name="_Toc27561732"/>
      <w:bookmarkStart w:id="130" w:name="_Toc51600014"/>
      <w:r w:rsidR="002804C6">
        <w:lastRenderedPageBreak/>
        <w:t>Economic need</w:t>
      </w:r>
      <w:bookmarkEnd w:id="129"/>
      <w:r w:rsidR="00EE5F4F">
        <w:t xml:space="preserve"> led by housing growth</w:t>
      </w:r>
      <w:bookmarkEnd w:id="130"/>
      <w:r w:rsidR="00EE5F4F">
        <w:t xml:space="preserve"> </w:t>
      </w:r>
    </w:p>
    <w:p w:rsidR="002804C6" w:rsidRDefault="002804C6" w:rsidP="000C05B0">
      <w:pPr>
        <w:pStyle w:val="11Bodytext"/>
        <w:tabs>
          <w:tab w:val="clear" w:pos="2212"/>
          <w:tab w:val="num" w:pos="567"/>
        </w:tabs>
        <w:ind w:left="567" w:hanging="567"/>
      </w:pPr>
      <w:bookmarkStart w:id="131" w:name="_Hlk27667178"/>
      <w:r>
        <w:t>This section considers economic growth and how this influences the level of housing need. It also considers what level of jobs could be supported</w:t>
      </w:r>
      <w:r w:rsidR="002C72FE">
        <w:t xml:space="preserve"> by the standard method</w:t>
      </w:r>
      <w:r>
        <w:t>.</w:t>
      </w:r>
      <w:r w:rsidR="00855CA6">
        <w:t xml:space="preserve"> </w:t>
      </w:r>
    </w:p>
    <w:p w:rsidR="002804C6" w:rsidRDefault="002804C6" w:rsidP="000C05B0">
      <w:pPr>
        <w:pStyle w:val="11Bodytext"/>
        <w:tabs>
          <w:tab w:val="clear" w:pos="2212"/>
          <w:tab w:val="num" w:pos="567"/>
        </w:tabs>
        <w:ind w:left="567" w:hanging="567"/>
      </w:pPr>
      <w:r>
        <w:t xml:space="preserve">While the standard method removes any consideration of economic growth within the </w:t>
      </w:r>
      <w:r w:rsidR="00862432">
        <w:t>housing need</w:t>
      </w:r>
      <w:r>
        <w:t>, there is still a requirement for local authorities to align their economic and housing strategies. By failing to do so, Local Authorities would either struggle to meet their economic growth aspirations or draw a greater level of workforce from outside the borough thus creating uns</w:t>
      </w:r>
      <w:r w:rsidR="00FD0E9C">
        <w:t>us</w:t>
      </w:r>
      <w:r>
        <w:t xml:space="preserve">tainable commuting patterns. </w:t>
      </w:r>
    </w:p>
    <w:p w:rsidR="002804C6" w:rsidRDefault="002804C6" w:rsidP="000C05B0">
      <w:pPr>
        <w:pStyle w:val="11Bodytext"/>
        <w:tabs>
          <w:tab w:val="clear" w:pos="2212"/>
          <w:tab w:val="num" w:pos="567"/>
        </w:tabs>
        <w:ind w:left="567" w:hanging="567"/>
      </w:pPr>
      <w:r>
        <w:t xml:space="preserve">The PPG is also clear that the standard methodology is also a minimum and that where growth strategies are in place, this might </w:t>
      </w:r>
      <w:r w:rsidR="001E5687">
        <w:t xml:space="preserve">indicate </w:t>
      </w:r>
      <w:r>
        <w:t>the actual housing requirement</w:t>
      </w:r>
      <w:r w:rsidR="001E5687">
        <w:t xml:space="preserve"> should be</w:t>
      </w:r>
      <w:r>
        <w:t xml:space="preserve"> higher than the figure identified by the standard method. </w:t>
      </w:r>
    </w:p>
    <w:bookmarkEnd w:id="131"/>
    <w:p w:rsidR="002804C6" w:rsidRDefault="002804C6" w:rsidP="000C05B0">
      <w:pPr>
        <w:pStyle w:val="11Bodytext"/>
        <w:tabs>
          <w:tab w:val="clear" w:pos="2212"/>
          <w:tab w:val="num" w:pos="567"/>
        </w:tabs>
        <w:ind w:left="567" w:hanging="567"/>
      </w:pPr>
      <w:r>
        <w:t xml:space="preserve">This section of the report seeks to understand the employment level generated by the standard methodology and compares this to the most recent economic forecasts supporting the Council’s strategy. </w:t>
      </w:r>
    </w:p>
    <w:p w:rsidR="002804C6" w:rsidRDefault="002804C6" w:rsidP="00805614">
      <w:pPr>
        <w:pStyle w:val="SubheadBlue12"/>
        <w:ind w:left="567" w:firstLine="0"/>
      </w:pPr>
      <w:r>
        <w:t xml:space="preserve">Number of Jobs Supported by the Standard Method </w:t>
      </w:r>
    </w:p>
    <w:p w:rsidR="002804C6" w:rsidRDefault="002804C6" w:rsidP="000C05B0">
      <w:pPr>
        <w:pStyle w:val="11Bodytext"/>
        <w:tabs>
          <w:tab w:val="clear" w:pos="2212"/>
          <w:tab w:val="num" w:pos="567"/>
        </w:tabs>
        <w:ind w:left="567" w:hanging="567"/>
      </w:pPr>
      <w:r>
        <w:t>As established</w:t>
      </w:r>
      <w:r w:rsidR="00FB5DE0">
        <w:t xml:space="preserve"> in </w:t>
      </w:r>
      <w:r w:rsidR="006F0B45">
        <w:t>C</w:t>
      </w:r>
      <w:r w:rsidR="00FB5DE0">
        <w:t>hapter 3</w:t>
      </w:r>
      <w:r>
        <w:t xml:space="preserve">, there is a housing </w:t>
      </w:r>
      <w:r w:rsidR="001E5687">
        <w:t>f</w:t>
      </w:r>
      <w:r w:rsidR="004D62A4">
        <w:t>igure</w:t>
      </w:r>
      <w:r w:rsidR="001E5687">
        <w:t xml:space="preserve"> </w:t>
      </w:r>
      <w:r>
        <w:t xml:space="preserve">of 650 dpa for the Plan Area and 731 dpa for the District. However, to translate this into </w:t>
      </w:r>
      <w:r w:rsidR="00855CA6">
        <w:t xml:space="preserve">the </w:t>
      </w:r>
      <w:r>
        <w:t xml:space="preserve">labour force and jobs growth, a series of assumptions need to be made. In doing so, the first step is to understand how the economic activity might change and therefore what the resident labour force would be. </w:t>
      </w:r>
    </w:p>
    <w:p w:rsidR="002804C6" w:rsidRDefault="002804C6" w:rsidP="000C05B0">
      <w:pPr>
        <w:pStyle w:val="11Bodytext"/>
        <w:tabs>
          <w:tab w:val="clear" w:pos="2212"/>
          <w:tab w:val="num" w:pos="567"/>
        </w:tabs>
        <w:ind w:left="567" w:hanging="567"/>
      </w:pPr>
      <w:r>
        <w:t>In earlier years, unemployment was at its highest during the Global Financial Crisis around 2009. I</w:t>
      </w:r>
      <w:r w:rsidR="002C72FE">
        <w:t>n the</w:t>
      </w:r>
      <w:r>
        <w:t xml:space="preserve"> years following this, unemployment increased </w:t>
      </w:r>
      <w:r w:rsidR="002C72FE">
        <w:t>in</w:t>
      </w:r>
      <w:r>
        <w:t xml:space="preserve"> 2011, slightly decreased in 2012 before increasing again in 2013 to reach the highest level across the period. </w:t>
      </w:r>
    </w:p>
    <w:p w:rsidR="002804C6" w:rsidRDefault="002804C6" w:rsidP="000C05B0">
      <w:pPr>
        <w:pStyle w:val="11Bodytext"/>
        <w:tabs>
          <w:tab w:val="clear" w:pos="2212"/>
          <w:tab w:val="num" w:pos="567"/>
        </w:tabs>
        <w:ind w:left="567" w:hanging="567"/>
      </w:pPr>
      <w:r>
        <w:t xml:space="preserve">At 2018, there were 1,500 people unemployed in Chichester which is the lowest level experienced over the period. </w:t>
      </w:r>
    </w:p>
    <w:p w:rsidR="002C72FE" w:rsidRDefault="002C72FE" w:rsidP="002804C6">
      <w:pPr>
        <w:spacing w:after="200"/>
      </w:pPr>
    </w:p>
    <w:p w:rsidR="002804C6" w:rsidRDefault="002804C6" w:rsidP="00FC604D">
      <w:pPr>
        <w:pStyle w:val="FigureHeading"/>
        <w:tabs>
          <w:tab w:val="clear" w:pos="794"/>
          <w:tab w:val="clear" w:pos="1843"/>
          <w:tab w:val="left" w:pos="0"/>
        </w:tabs>
        <w:ind w:left="0" w:firstLine="0"/>
      </w:pPr>
      <w:r>
        <w:lastRenderedPageBreak/>
        <w:t>Number of people unemployed (2004-2018)</w:t>
      </w:r>
    </w:p>
    <w:p w:rsidR="002804C6" w:rsidRPr="006E081A" w:rsidRDefault="002804C6" w:rsidP="00163B4B">
      <w:pPr>
        <w:pStyle w:val="Bodytextwithindent"/>
        <w:spacing w:before="0" w:after="0" w:line="240" w:lineRule="auto"/>
        <w:ind w:left="0"/>
      </w:pPr>
      <w:r w:rsidRPr="00E1132F">
        <w:rPr>
          <w:noProof/>
          <w:lang w:eastAsia="en-GB"/>
        </w:rPr>
        <w:drawing>
          <wp:inline distT="0" distB="0" distL="0" distR="0" wp14:anchorId="63B053E9" wp14:editId="7E900255">
            <wp:extent cx="6134400" cy="3744000"/>
            <wp:effectExtent l="0" t="0" r="19050" b="27940"/>
            <wp:docPr id="1026" name="Chart 1026" descr="Line graph showing the number of people unemployed in Chichester district from 2004 to 2018" title="Figure 34: Number of people unemployed 2004-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804C6" w:rsidRPr="000E3FB0" w:rsidRDefault="002804C6" w:rsidP="00FC604D">
      <w:pPr>
        <w:pStyle w:val="Bodytextwithindent"/>
        <w:spacing w:before="0" w:after="0" w:line="240" w:lineRule="auto"/>
        <w:ind w:left="0"/>
        <w:rPr>
          <w:sz w:val="24"/>
          <w:szCs w:val="22"/>
        </w:rPr>
      </w:pPr>
      <w:r w:rsidRPr="000E3FB0">
        <w:rPr>
          <w:sz w:val="24"/>
          <w:szCs w:val="22"/>
        </w:rPr>
        <w:t xml:space="preserve">Source: Annual Population Survey </w:t>
      </w:r>
    </w:p>
    <w:p w:rsidR="001C577D" w:rsidRDefault="002804C6" w:rsidP="001C577D">
      <w:pPr>
        <w:pStyle w:val="11Bodytext"/>
        <w:tabs>
          <w:tab w:val="clear" w:pos="2212"/>
          <w:tab w:val="num" w:pos="567"/>
        </w:tabs>
        <w:ind w:left="567" w:hanging="567"/>
      </w:pPr>
      <w:r>
        <w:t>The next step is to consider how economic activity may change in</w:t>
      </w:r>
      <w:r w:rsidR="002C72FE">
        <w:t xml:space="preserve"> the</w:t>
      </w:r>
      <w:r>
        <w:t xml:space="preserve"> years to 2036. For this, we drew on the Office of Budget Responsibility (OBR) Fiscal Sustainability Report (201</w:t>
      </w:r>
      <w:r w:rsidR="002C72FE">
        <w:t>8</w:t>
      </w:r>
      <w:r>
        <w:t xml:space="preserve">) and adjusted using 2011 Census data to reflect the start point and age structure in Chichester. The figures </w:t>
      </w:r>
      <w:r w:rsidR="00786E20">
        <w:t>overleaf</w:t>
      </w:r>
      <w:r>
        <w:t xml:space="preserve"> illustrate the predicted changes to economic activity rates for both ma</w:t>
      </w:r>
      <w:r w:rsidR="00FD0E9C">
        <w:t>l</w:t>
      </w:r>
      <w:r>
        <w:t>es and females.</w:t>
      </w:r>
    </w:p>
    <w:p w:rsidR="001C577D" w:rsidRDefault="001C577D" w:rsidP="001C577D">
      <w:pPr>
        <w:pStyle w:val="11Bodytext"/>
        <w:tabs>
          <w:tab w:val="clear" w:pos="2212"/>
          <w:tab w:val="num" w:pos="567"/>
        </w:tabs>
        <w:ind w:left="567" w:hanging="567"/>
        <w:sectPr w:rsidR="001C577D" w:rsidSect="008B43C6">
          <w:pgSz w:w="11900" w:h="16840"/>
          <w:pgMar w:top="1668" w:right="851" w:bottom="1418" w:left="1418" w:header="709" w:footer="709" w:gutter="0"/>
          <w:cols w:space="720"/>
          <w:formProt w:val="0"/>
        </w:sectPr>
      </w:pPr>
    </w:p>
    <w:p w:rsidR="002804C6" w:rsidRDefault="002804C6" w:rsidP="00FC604D">
      <w:pPr>
        <w:pStyle w:val="FigureHeading"/>
        <w:tabs>
          <w:tab w:val="clear" w:pos="794"/>
          <w:tab w:val="clear" w:pos="1843"/>
          <w:tab w:val="left" w:pos="0"/>
        </w:tabs>
        <w:spacing w:line="240" w:lineRule="auto"/>
        <w:ind w:left="0" w:firstLine="0"/>
      </w:pPr>
      <w:r>
        <w:lastRenderedPageBreak/>
        <w:t xml:space="preserve">Projected changes to economic activity rates (2019 – 2036) </w:t>
      </w:r>
    </w:p>
    <w:tbl>
      <w:tblPr>
        <w:tblStyle w:val="TableGridLight1"/>
        <w:tblW w:w="9787" w:type="dxa"/>
        <w:jc w:val="center"/>
        <w:tblLook w:val="04A0" w:firstRow="1" w:lastRow="0" w:firstColumn="1" w:lastColumn="0" w:noHBand="0" w:noVBand="1"/>
        <w:tblCaption w:val="Figure 35: Figure 35: Projected changes to economic activity rates (2019 – 2036) "/>
      </w:tblPr>
      <w:tblGrid>
        <w:gridCol w:w="4893"/>
        <w:gridCol w:w="4894"/>
      </w:tblGrid>
      <w:tr w:rsidR="002804C6" w:rsidRPr="000E3FB0" w:rsidTr="00C15BDF">
        <w:trPr>
          <w:trHeight w:val="318"/>
          <w:tblHeader/>
          <w:jc w:val="center"/>
        </w:trPr>
        <w:tc>
          <w:tcPr>
            <w:tcW w:w="4893" w:type="dxa"/>
            <w:shd w:val="clear" w:color="auto" w:fill="0093D5" w:themeFill="accent2"/>
            <w:vAlign w:val="center"/>
          </w:tcPr>
          <w:p w:rsidR="002804C6" w:rsidRPr="000E3FB0" w:rsidRDefault="002804C6" w:rsidP="000E3FB0">
            <w:pPr>
              <w:jc w:val="center"/>
              <w:rPr>
                <w:rFonts w:asciiTheme="minorHAnsi" w:hAnsiTheme="minorHAnsi" w:cstheme="minorHAnsi"/>
                <w:color w:val="FFFFFF" w:themeColor="background1"/>
                <w:sz w:val="24"/>
                <w:szCs w:val="24"/>
              </w:rPr>
            </w:pPr>
            <w:r w:rsidRPr="000E3FB0">
              <w:rPr>
                <w:rFonts w:asciiTheme="minorHAnsi" w:hAnsiTheme="minorHAnsi" w:cstheme="minorHAnsi"/>
                <w:color w:val="FFFFFF" w:themeColor="background1"/>
                <w:sz w:val="24"/>
                <w:szCs w:val="24"/>
              </w:rPr>
              <w:t>Males</w:t>
            </w:r>
          </w:p>
        </w:tc>
        <w:tc>
          <w:tcPr>
            <w:tcW w:w="4894" w:type="dxa"/>
            <w:shd w:val="clear" w:color="auto" w:fill="0093D5" w:themeFill="accent2"/>
            <w:vAlign w:val="center"/>
          </w:tcPr>
          <w:p w:rsidR="002804C6" w:rsidRPr="000E3FB0" w:rsidRDefault="002804C6" w:rsidP="000E3FB0">
            <w:pPr>
              <w:jc w:val="center"/>
              <w:rPr>
                <w:rFonts w:asciiTheme="minorHAnsi" w:hAnsiTheme="minorHAnsi" w:cstheme="minorHAnsi"/>
                <w:color w:val="FFFFFF" w:themeColor="background1"/>
                <w:sz w:val="24"/>
                <w:szCs w:val="24"/>
              </w:rPr>
            </w:pPr>
            <w:r w:rsidRPr="000E3FB0">
              <w:rPr>
                <w:rFonts w:asciiTheme="minorHAnsi" w:hAnsiTheme="minorHAnsi" w:cstheme="minorHAnsi"/>
                <w:color w:val="FFFFFF" w:themeColor="background1"/>
                <w:sz w:val="24"/>
                <w:szCs w:val="24"/>
              </w:rPr>
              <w:t>Females</w:t>
            </w:r>
          </w:p>
        </w:tc>
      </w:tr>
      <w:tr w:rsidR="002804C6" w:rsidRPr="000E3FB0" w:rsidTr="000E3FB0">
        <w:trPr>
          <w:trHeight w:val="4488"/>
          <w:jc w:val="center"/>
        </w:trPr>
        <w:tc>
          <w:tcPr>
            <w:tcW w:w="4893" w:type="dxa"/>
            <w:vAlign w:val="center"/>
          </w:tcPr>
          <w:p w:rsidR="002804C6" w:rsidRPr="000E3FB0" w:rsidRDefault="002804C6" w:rsidP="000E3FB0">
            <w:pPr>
              <w:jc w:val="center"/>
              <w:rPr>
                <w:rFonts w:asciiTheme="minorHAnsi" w:hAnsiTheme="minorHAnsi" w:cstheme="minorHAnsi"/>
                <w:sz w:val="24"/>
                <w:szCs w:val="24"/>
              </w:rPr>
            </w:pPr>
            <w:r w:rsidRPr="000E3FB0">
              <w:rPr>
                <w:rFonts w:asciiTheme="minorHAnsi" w:hAnsiTheme="minorHAnsi" w:cstheme="minorHAnsi"/>
                <w:noProof/>
                <w:sz w:val="24"/>
                <w:szCs w:val="24"/>
                <w:lang w:eastAsia="en-GB"/>
              </w:rPr>
              <w:drawing>
                <wp:inline distT="0" distB="0" distL="0" distR="0" wp14:anchorId="75B67E45" wp14:editId="751725F5">
                  <wp:extent cx="2922905" cy="2619375"/>
                  <wp:effectExtent l="0" t="0" r="0" b="0"/>
                  <wp:docPr id="1027" name="Chart 1027" descr="Chart comparing the percent of the male population by age group that are economically active"/>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4894" w:type="dxa"/>
            <w:vAlign w:val="center"/>
          </w:tcPr>
          <w:p w:rsidR="002804C6" w:rsidRPr="000E3FB0" w:rsidRDefault="002804C6" w:rsidP="000E3FB0">
            <w:pPr>
              <w:jc w:val="center"/>
              <w:rPr>
                <w:rFonts w:asciiTheme="minorHAnsi" w:hAnsiTheme="minorHAnsi" w:cstheme="minorHAnsi"/>
                <w:sz w:val="24"/>
                <w:szCs w:val="24"/>
              </w:rPr>
            </w:pPr>
            <w:r w:rsidRPr="000E3FB0">
              <w:rPr>
                <w:rFonts w:asciiTheme="minorHAnsi" w:hAnsiTheme="minorHAnsi" w:cstheme="minorHAnsi"/>
                <w:noProof/>
                <w:sz w:val="24"/>
                <w:szCs w:val="24"/>
                <w:lang w:eastAsia="en-GB"/>
              </w:rPr>
              <w:drawing>
                <wp:inline distT="0" distB="0" distL="0" distR="0" wp14:anchorId="141822D0" wp14:editId="7CFC544F">
                  <wp:extent cx="2922905" cy="2619375"/>
                  <wp:effectExtent l="0" t="0" r="0" b="0"/>
                  <wp:docPr id="1028" name="Chart 1028" descr="Chart comparing the female population that are economically active per age group from 2019 to 20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bl>
    <w:p w:rsidR="002804C6" w:rsidRDefault="002804C6" w:rsidP="00FC604D">
      <w:pPr>
        <w:pStyle w:val="11Bodytext"/>
        <w:numPr>
          <w:ilvl w:val="0"/>
          <w:numId w:val="0"/>
        </w:numPr>
        <w:spacing w:before="0" w:after="0" w:line="240" w:lineRule="auto"/>
      </w:pPr>
      <w:r>
        <w:t>Source: GLH modelling</w:t>
      </w:r>
    </w:p>
    <w:p w:rsidR="002804C6" w:rsidRDefault="002804C6" w:rsidP="000C05B0">
      <w:pPr>
        <w:pStyle w:val="11Bodytext"/>
        <w:tabs>
          <w:tab w:val="clear" w:pos="2212"/>
          <w:tab w:val="num" w:pos="567"/>
        </w:tabs>
        <w:ind w:left="567" w:hanging="567"/>
      </w:pPr>
      <w:r>
        <w:t xml:space="preserve">The percentage of economically active males is forecast to broadly continue the same trend to 2036 albeit with a slightly higher percentage being economically active over the age of 60. </w:t>
      </w:r>
    </w:p>
    <w:p w:rsidR="002804C6" w:rsidRDefault="002804C6" w:rsidP="000C05B0">
      <w:pPr>
        <w:pStyle w:val="11Bodytext"/>
        <w:tabs>
          <w:tab w:val="clear" w:pos="2212"/>
          <w:tab w:val="num" w:pos="567"/>
        </w:tabs>
        <w:ind w:left="567" w:hanging="567"/>
      </w:pPr>
      <w:r>
        <w:t xml:space="preserve">For females, the change is slightly more apparent. It is projected that a higher percentage of the economically active female population will be working from the 20 to 54 age group and older. This is linked to both improving longevity and changes to pensionable age. </w:t>
      </w:r>
    </w:p>
    <w:p w:rsidR="002804C6" w:rsidRDefault="002804C6" w:rsidP="000C05B0">
      <w:pPr>
        <w:pStyle w:val="11Bodytext"/>
        <w:tabs>
          <w:tab w:val="clear" w:pos="2212"/>
          <w:tab w:val="num" w:pos="567"/>
        </w:tabs>
        <w:ind w:left="567" w:hanging="567"/>
      </w:pPr>
      <w:r>
        <w:t>Applying these assumptions to the population growth stemming from the housing need, it is possible to assess the change in the economically active population. An additional 4,296 economically active persons will be created in Chichester District as per the subnational population projections</w:t>
      </w:r>
      <w:r w:rsidR="001C568B">
        <w:t xml:space="preserve"> (SNPP)</w:t>
      </w:r>
      <w:r>
        <w:t>.</w:t>
      </w:r>
      <w:r w:rsidR="00855CA6">
        <w:t xml:space="preserve"> </w:t>
      </w:r>
      <w:r w:rsidR="00544A99">
        <w:t xml:space="preserve"> This is because of the increase associate with the uplift at Step 2 and the in migrants associated with that uplift typically being economically active.</w:t>
      </w:r>
    </w:p>
    <w:p w:rsidR="002804C6" w:rsidRPr="000E3FB0" w:rsidRDefault="002804C6" w:rsidP="00AE5604">
      <w:pPr>
        <w:pStyle w:val="Tableheading"/>
        <w:tabs>
          <w:tab w:val="clear" w:pos="794"/>
          <w:tab w:val="clear" w:pos="1843"/>
          <w:tab w:val="left" w:pos="0"/>
        </w:tabs>
        <w:ind w:left="0" w:firstLine="0"/>
        <w:rPr>
          <w:szCs w:val="24"/>
        </w:rPr>
      </w:pPr>
      <w:bookmarkStart w:id="132" w:name="_Hlk33519562"/>
      <w:r w:rsidRPr="000E3FB0">
        <w:rPr>
          <w:szCs w:val="24"/>
        </w:rPr>
        <w:lastRenderedPageBreak/>
        <w:t>Change to the economically active population (2019 – 2036)</w:t>
      </w:r>
    </w:p>
    <w:tbl>
      <w:tblPr>
        <w:tblStyle w:val="TableGridLight1"/>
        <w:tblW w:w="4894" w:type="pct"/>
        <w:tblInd w:w="108" w:type="dxa"/>
        <w:tblLook w:val="04A0" w:firstRow="1" w:lastRow="0" w:firstColumn="1" w:lastColumn="0" w:noHBand="0" w:noVBand="1"/>
        <w:tblCaption w:val="Table 19: Change to the economically active population (2019 – 2036)"/>
      </w:tblPr>
      <w:tblGrid>
        <w:gridCol w:w="2308"/>
        <w:gridCol w:w="2413"/>
        <w:gridCol w:w="2413"/>
        <w:gridCol w:w="2504"/>
      </w:tblGrid>
      <w:tr w:rsidR="002804C6" w:rsidRPr="000E3FB0" w:rsidTr="00AE5604">
        <w:trPr>
          <w:trHeight w:val="561"/>
          <w:tblHeader/>
        </w:trPr>
        <w:tc>
          <w:tcPr>
            <w:tcW w:w="1197" w:type="pct"/>
            <w:shd w:val="clear" w:color="auto" w:fill="0093D5" w:themeFill="accent2"/>
          </w:tcPr>
          <w:p w:rsidR="002804C6" w:rsidRPr="000E3FB0" w:rsidRDefault="002804C6" w:rsidP="000E3FB0">
            <w:pPr>
              <w:keepNext/>
              <w:spacing w:line="300" w:lineRule="auto"/>
              <w:rPr>
                <w:rFonts w:ascii="Arial Narrow" w:hAnsi="Arial Narrow" w:cs="Arial"/>
                <w:b/>
                <w:color w:val="FFFFFF" w:themeColor="background1"/>
                <w:sz w:val="24"/>
                <w:szCs w:val="24"/>
              </w:rPr>
            </w:pPr>
            <w:bookmarkStart w:id="133" w:name="_Hlk27722490"/>
          </w:p>
        </w:tc>
        <w:tc>
          <w:tcPr>
            <w:tcW w:w="1252" w:type="pct"/>
            <w:shd w:val="clear" w:color="auto" w:fill="0093D5" w:themeFill="accent2"/>
            <w:vAlign w:val="center"/>
          </w:tcPr>
          <w:p w:rsidR="002804C6" w:rsidRPr="000E3FB0" w:rsidRDefault="002804C6" w:rsidP="000E3FB0">
            <w:pPr>
              <w:keepNext/>
              <w:widowControl w:val="0"/>
              <w:spacing w:line="300" w:lineRule="auto"/>
              <w:jc w:val="center"/>
              <w:rPr>
                <w:rFonts w:ascii="Arial Narrow" w:hAnsi="Arial Narrow" w:cs="Arial"/>
                <w:b/>
                <w:color w:val="FFFFFF" w:themeColor="background1"/>
                <w:sz w:val="24"/>
                <w:szCs w:val="24"/>
              </w:rPr>
            </w:pPr>
            <w:r w:rsidRPr="000E3FB0">
              <w:rPr>
                <w:rFonts w:ascii="Arial Narrow" w:hAnsi="Arial Narrow" w:cs="Arial"/>
                <w:b/>
                <w:color w:val="FFFFFF" w:themeColor="background1"/>
                <w:sz w:val="24"/>
                <w:szCs w:val="24"/>
              </w:rPr>
              <w:t>Economically active (2019)</w:t>
            </w:r>
          </w:p>
        </w:tc>
        <w:tc>
          <w:tcPr>
            <w:tcW w:w="1252" w:type="pct"/>
            <w:shd w:val="clear" w:color="auto" w:fill="0093D5" w:themeFill="accent2"/>
            <w:vAlign w:val="center"/>
          </w:tcPr>
          <w:p w:rsidR="002804C6" w:rsidRPr="000E3FB0" w:rsidRDefault="002804C6" w:rsidP="000E3FB0">
            <w:pPr>
              <w:keepNext/>
              <w:widowControl w:val="0"/>
              <w:spacing w:line="300" w:lineRule="auto"/>
              <w:jc w:val="center"/>
              <w:rPr>
                <w:rFonts w:ascii="Arial Narrow" w:hAnsi="Arial Narrow" w:cs="Arial"/>
                <w:b/>
                <w:color w:val="FFFFFF" w:themeColor="background1"/>
                <w:sz w:val="24"/>
                <w:szCs w:val="24"/>
              </w:rPr>
            </w:pPr>
            <w:r w:rsidRPr="000E3FB0">
              <w:rPr>
                <w:rFonts w:ascii="Arial Narrow" w:hAnsi="Arial Narrow" w:cs="Arial"/>
                <w:b/>
                <w:color w:val="FFFFFF" w:themeColor="background1"/>
                <w:sz w:val="24"/>
                <w:szCs w:val="24"/>
              </w:rPr>
              <w:t>Economically active (2036)</w:t>
            </w:r>
          </w:p>
        </w:tc>
        <w:tc>
          <w:tcPr>
            <w:tcW w:w="1299" w:type="pct"/>
            <w:shd w:val="clear" w:color="auto" w:fill="0093D5" w:themeFill="accent2"/>
            <w:vAlign w:val="center"/>
          </w:tcPr>
          <w:p w:rsidR="002804C6" w:rsidRPr="000E3FB0" w:rsidRDefault="002804C6" w:rsidP="000E3FB0">
            <w:pPr>
              <w:keepNext/>
              <w:widowControl w:val="0"/>
              <w:spacing w:line="300" w:lineRule="auto"/>
              <w:jc w:val="center"/>
              <w:rPr>
                <w:rFonts w:ascii="Arial Narrow" w:hAnsi="Arial Narrow" w:cs="Arial"/>
                <w:b/>
                <w:color w:val="FFFFFF" w:themeColor="background1"/>
                <w:sz w:val="24"/>
                <w:szCs w:val="24"/>
              </w:rPr>
            </w:pPr>
            <w:r w:rsidRPr="000E3FB0">
              <w:rPr>
                <w:rFonts w:ascii="Arial Narrow" w:hAnsi="Arial Narrow" w:cs="Arial"/>
                <w:b/>
                <w:color w:val="FFFFFF" w:themeColor="background1"/>
                <w:sz w:val="24"/>
                <w:szCs w:val="24"/>
              </w:rPr>
              <w:t>Total change in economically active</w:t>
            </w:r>
          </w:p>
        </w:tc>
      </w:tr>
      <w:tr w:rsidR="002804C6" w:rsidRPr="000E3FB0" w:rsidTr="00AE5604">
        <w:trPr>
          <w:trHeight w:val="268"/>
        </w:trPr>
        <w:tc>
          <w:tcPr>
            <w:tcW w:w="1197" w:type="pct"/>
          </w:tcPr>
          <w:p w:rsidR="002804C6" w:rsidRPr="000E3FB0" w:rsidRDefault="002804C6" w:rsidP="000E3FB0">
            <w:pPr>
              <w:keepNext/>
              <w:widowControl w:val="0"/>
              <w:spacing w:line="300" w:lineRule="auto"/>
              <w:rPr>
                <w:rFonts w:ascii="Arial Narrow" w:hAnsi="Arial Narrow" w:cs="Arial"/>
                <w:sz w:val="24"/>
                <w:szCs w:val="24"/>
              </w:rPr>
            </w:pPr>
            <w:r w:rsidRPr="000E3FB0">
              <w:rPr>
                <w:rFonts w:ascii="Arial Narrow" w:hAnsi="Arial Narrow" w:cs="Arial"/>
                <w:sz w:val="24"/>
                <w:szCs w:val="24"/>
              </w:rPr>
              <w:t>SNPP</w:t>
            </w:r>
          </w:p>
        </w:tc>
        <w:tc>
          <w:tcPr>
            <w:tcW w:w="1252" w:type="pct"/>
            <w:vAlign w:val="bottom"/>
          </w:tcPr>
          <w:p w:rsidR="002804C6" w:rsidRPr="000E3FB0" w:rsidRDefault="002804C6" w:rsidP="000E3FB0">
            <w:pPr>
              <w:keepNext/>
              <w:spacing w:line="300" w:lineRule="auto"/>
              <w:jc w:val="center"/>
              <w:rPr>
                <w:rFonts w:ascii="Arial Narrow" w:hAnsi="Arial Narrow" w:cs="Arial"/>
                <w:sz w:val="24"/>
                <w:szCs w:val="24"/>
              </w:rPr>
            </w:pPr>
            <w:r w:rsidRPr="000E3FB0">
              <w:rPr>
                <w:rFonts w:ascii="Arial Narrow" w:hAnsi="Arial Narrow" w:cs="Arial"/>
                <w:sz w:val="24"/>
                <w:szCs w:val="24"/>
              </w:rPr>
              <w:t>60,553</w:t>
            </w:r>
          </w:p>
        </w:tc>
        <w:tc>
          <w:tcPr>
            <w:tcW w:w="1252" w:type="pct"/>
            <w:vAlign w:val="bottom"/>
          </w:tcPr>
          <w:p w:rsidR="002804C6" w:rsidRPr="000E3FB0" w:rsidRDefault="002804C6" w:rsidP="000E3FB0">
            <w:pPr>
              <w:keepNext/>
              <w:spacing w:line="300" w:lineRule="auto"/>
              <w:jc w:val="center"/>
              <w:rPr>
                <w:rFonts w:ascii="Arial Narrow" w:hAnsi="Arial Narrow" w:cs="Arial"/>
                <w:sz w:val="24"/>
                <w:szCs w:val="24"/>
              </w:rPr>
            </w:pPr>
            <w:r w:rsidRPr="000E3FB0">
              <w:rPr>
                <w:rFonts w:ascii="Arial Narrow" w:hAnsi="Arial Narrow" w:cs="Arial"/>
                <w:sz w:val="24"/>
                <w:szCs w:val="24"/>
              </w:rPr>
              <w:t>64,849</w:t>
            </w:r>
          </w:p>
        </w:tc>
        <w:tc>
          <w:tcPr>
            <w:tcW w:w="1299" w:type="pct"/>
            <w:vAlign w:val="bottom"/>
          </w:tcPr>
          <w:p w:rsidR="002804C6" w:rsidRPr="000E3FB0" w:rsidRDefault="002804C6" w:rsidP="000E3FB0">
            <w:pPr>
              <w:keepNext/>
              <w:spacing w:line="300" w:lineRule="auto"/>
              <w:jc w:val="center"/>
              <w:rPr>
                <w:rFonts w:ascii="Arial Narrow" w:hAnsi="Arial Narrow" w:cs="Arial"/>
                <w:sz w:val="24"/>
                <w:szCs w:val="24"/>
              </w:rPr>
            </w:pPr>
            <w:r w:rsidRPr="000E3FB0">
              <w:rPr>
                <w:rFonts w:ascii="Arial Narrow" w:hAnsi="Arial Narrow" w:cs="Arial"/>
                <w:sz w:val="24"/>
                <w:szCs w:val="24"/>
              </w:rPr>
              <w:t>4,296</w:t>
            </w:r>
          </w:p>
        </w:tc>
      </w:tr>
      <w:tr w:rsidR="002804C6" w:rsidRPr="000E3FB0" w:rsidTr="00AE5604">
        <w:trPr>
          <w:trHeight w:val="219"/>
        </w:trPr>
        <w:tc>
          <w:tcPr>
            <w:tcW w:w="1197" w:type="pct"/>
          </w:tcPr>
          <w:p w:rsidR="002804C6" w:rsidRPr="000E3FB0" w:rsidRDefault="002804C6" w:rsidP="000E3FB0">
            <w:pPr>
              <w:keepNext/>
              <w:widowControl w:val="0"/>
              <w:rPr>
                <w:rFonts w:ascii="Arial Narrow" w:hAnsi="Arial Narrow" w:cs="Arial"/>
                <w:sz w:val="24"/>
                <w:szCs w:val="24"/>
              </w:rPr>
            </w:pPr>
            <w:r w:rsidRPr="000E3FB0">
              <w:rPr>
                <w:rFonts w:ascii="Arial Narrow" w:hAnsi="Arial Narrow" w:cs="Arial"/>
                <w:sz w:val="24"/>
                <w:szCs w:val="24"/>
              </w:rPr>
              <w:t>SNPP (+MYE)</w:t>
            </w:r>
          </w:p>
        </w:tc>
        <w:tc>
          <w:tcPr>
            <w:tcW w:w="1252" w:type="pct"/>
            <w:vAlign w:val="bottom"/>
          </w:tcPr>
          <w:p w:rsidR="002804C6" w:rsidRPr="000E3FB0" w:rsidRDefault="002804C6" w:rsidP="000E3FB0">
            <w:pPr>
              <w:keepNext/>
              <w:jc w:val="center"/>
              <w:rPr>
                <w:rFonts w:ascii="Arial Narrow" w:hAnsi="Arial Narrow" w:cs="Arial"/>
                <w:sz w:val="24"/>
                <w:szCs w:val="24"/>
              </w:rPr>
            </w:pPr>
            <w:r w:rsidRPr="000E3FB0">
              <w:rPr>
                <w:rFonts w:ascii="Arial Narrow" w:hAnsi="Arial Narrow" w:cs="Arial"/>
                <w:sz w:val="24"/>
                <w:szCs w:val="24"/>
              </w:rPr>
              <w:t>60,312</w:t>
            </w:r>
          </w:p>
        </w:tc>
        <w:tc>
          <w:tcPr>
            <w:tcW w:w="1252" w:type="pct"/>
            <w:vAlign w:val="bottom"/>
          </w:tcPr>
          <w:p w:rsidR="002804C6" w:rsidRPr="000E3FB0" w:rsidRDefault="002804C6" w:rsidP="000E3FB0">
            <w:pPr>
              <w:keepNext/>
              <w:jc w:val="center"/>
              <w:rPr>
                <w:rFonts w:ascii="Arial Narrow" w:hAnsi="Arial Narrow" w:cs="Arial"/>
                <w:sz w:val="24"/>
                <w:szCs w:val="24"/>
              </w:rPr>
            </w:pPr>
            <w:r w:rsidRPr="000E3FB0">
              <w:rPr>
                <w:rFonts w:ascii="Arial Narrow" w:hAnsi="Arial Narrow" w:cs="Arial"/>
                <w:sz w:val="24"/>
                <w:szCs w:val="24"/>
              </w:rPr>
              <w:t>64,579</w:t>
            </w:r>
          </w:p>
        </w:tc>
        <w:tc>
          <w:tcPr>
            <w:tcW w:w="1299" w:type="pct"/>
            <w:vAlign w:val="bottom"/>
          </w:tcPr>
          <w:p w:rsidR="002804C6" w:rsidRPr="000E3FB0" w:rsidRDefault="002804C6" w:rsidP="000E3FB0">
            <w:pPr>
              <w:keepNext/>
              <w:jc w:val="center"/>
              <w:rPr>
                <w:rFonts w:ascii="Arial Narrow" w:hAnsi="Arial Narrow" w:cs="Arial"/>
                <w:sz w:val="24"/>
                <w:szCs w:val="24"/>
              </w:rPr>
            </w:pPr>
            <w:r w:rsidRPr="000E3FB0">
              <w:rPr>
                <w:rFonts w:ascii="Arial Narrow" w:hAnsi="Arial Narrow" w:cs="Arial"/>
                <w:sz w:val="24"/>
                <w:szCs w:val="24"/>
              </w:rPr>
              <w:t>4,268</w:t>
            </w:r>
          </w:p>
        </w:tc>
      </w:tr>
      <w:tr w:rsidR="002804C6" w:rsidRPr="000E3FB0" w:rsidTr="00AE5604">
        <w:trPr>
          <w:trHeight w:val="219"/>
        </w:trPr>
        <w:tc>
          <w:tcPr>
            <w:tcW w:w="1197" w:type="pct"/>
          </w:tcPr>
          <w:p w:rsidR="002804C6" w:rsidRPr="000E3FB0" w:rsidRDefault="002804C6" w:rsidP="000E3FB0">
            <w:pPr>
              <w:keepNext/>
              <w:widowControl w:val="0"/>
              <w:rPr>
                <w:rFonts w:ascii="Arial Narrow" w:hAnsi="Arial Narrow" w:cs="Arial"/>
                <w:sz w:val="24"/>
                <w:szCs w:val="24"/>
              </w:rPr>
            </w:pPr>
            <w:r w:rsidRPr="000E3FB0">
              <w:rPr>
                <w:rFonts w:ascii="Arial Narrow" w:hAnsi="Arial Narrow" w:cs="Arial"/>
                <w:sz w:val="24"/>
                <w:szCs w:val="24"/>
              </w:rPr>
              <w:t>Linked to 731 dpa</w:t>
            </w:r>
          </w:p>
        </w:tc>
        <w:tc>
          <w:tcPr>
            <w:tcW w:w="1252" w:type="pct"/>
            <w:vAlign w:val="bottom"/>
          </w:tcPr>
          <w:p w:rsidR="002804C6" w:rsidRPr="000E3FB0" w:rsidRDefault="002804C6" w:rsidP="000E3FB0">
            <w:pPr>
              <w:keepNext/>
              <w:jc w:val="center"/>
              <w:rPr>
                <w:rFonts w:ascii="Arial Narrow" w:hAnsi="Arial Narrow" w:cs="Arial"/>
                <w:sz w:val="24"/>
                <w:szCs w:val="24"/>
              </w:rPr>
            </w:pPr>
            <w:r w:rsidRPr="000E3FB0">
              <w:rPr>
                <w:rFonts w:ascii="Arial Narrow" w:hAnsi="Arial Narrow" w:cs="Arial"/>
                <w:color w:val="000000" w:themeColor="text1"/>
                <w:sz w:val="24"/>
                <w:szCs w:val="24"/>
              </w:rPr>
              <w:t>60,312</w:t>
            </w:r>
          </w:p>
        </w:tc>
        <w:tc>
          <w:tcPr>
            <w:tcW w:w="1252" w:type="pct"/>
            <w:vAlign w:val="bottom"/>
          </w:tcPr>
          <w:p w:rsidR="002804C6" w:rsidRPr="000E3FB0" w:rsidRDefault="002804C6" w:rsidP="000E3FB0">
            <w:pPr>
              <w:keepNext/>
              <w:jc w:val="center"/>
              <w:rPr>
                <w:rFonts w:ascii="Arial Narrow" w:hAnsi="Arial Narrow" w:cs="Arial"/>
                <w:sz w:val="24"/>
                <w:szCs w:val="24"/>
              </w:rPr>
            </w:pPr>
            <w:r w:rsidRPr="000E3FB0">
              <w:rPr>
                <w:rFonts w:ascii="Arial Narrow" w:hAnsi="Arial Narrow" w:cs="Arial"/>
                <w:color w:val="000000" w:themeColor="text1"/>
                <w:sz w:val="24"/>
                <w:szCs w:val="24"/>
              </w:rPr>
              <w:t>68,867</w:t>
            </w:r>
          </w:p>
        </w:tc>
        <w:tc>
          <w:tcPr>
            <w:tcW w:w="1299" w:type="pct"/>
            <w:vAlign w:val="bottom"/>
          </w:tcPr>
          <w:p w:rsidR="002804C6" w:rsidRPr="000E3FB0" w:rsidRDefault="002804C6" w:rsidP="000E3FB0">
            <w:pPr>
              <w:keepNext/>
              <w:jc w:val="center"/>
              <w:rPr>
                <w:rFonts w:ascii="Arial Narrow" w:hAnsi="Arial Narrow" w:cs="Arial"/>
                <w:sz w:val="24"/>
                <w:szCs w:val="24"/>
              </w:rPr>
            </w:pPr>
            <w:r w:rsidRPr="000E3FB0">
              <w:rPr>
                <w:rFonts w:ascii="Arial Narrow" w:hAnsi="Arial Narrow" w:cs="Arial"/>
                <w:color w:val="000000" w:themeColor="text1"/>
                <w:sz w:val="24"/>
                <w:szCs w:val="24"/>
              </w:rPr>
              <w:t>8,555</w:t>
            </w:r>
          </w:p>
        </w:tc>
      </w:tr>
    </w:tbl>
    <w:bookmarkEnd w:id="133"/>
    <w:p w:rsidR="002804C6" w:rsidRPr="000E3FB0" w:rsidRDefault="002804C6" w:rsidP="00AE5604">
      <w:pPr>
        <w:pStyle w:val="Bodytextwithindent"/>
        <w:spacing w:before="0" w:after="0" w:line="240" w:lineRule="auto"/>
        <w:ind w:left="0"/>
        <w:rPr>
          <w:sz w:val="24"/>
          <w:szCs w:val="24"/>
        </w:rPr>
      </w:pPr>
      <w:r w:rsidRPr="000E3FB0">
        <w:rPr>
          <w:sz w:val="24"/>
          <w:szCs w:val="24"/>
        </w:rPr>
        <w:t xml:space="preserve">Source: GLH modelling </w:t>
      </w:r>
    </w:p>
    <w:bookmarkEnd w:id="132"/>
    <w:p w:rsidR="00544A99" w:rsidRPr="002329E7" w:rsidRDefault="002804C6" w:rsidP="000C05B0">
      <w:pPr>
        <w:pStyle w:val="11Bodytext"/>
        <w:tabs>
          <w:tab w:val="clear" w:pos="2212"/>
          <w:tab w:val="num" w:pos="567"/>
        </w:tabs>
        <w:ind w:left="567" w:hanging="567"/>
        <w:rPr>
          <w:b/>
        </w:rPr>
      </w:pPr>
      <w:r>
        <w:t>The final step is to translate this growth to</w:t>
      </w:r>
      <w:r w:rsidR="002C72FE">
        <w:t xml:space="preserve"> a local</w:t>
      </w:r>
      <w:r>
        <w:t xml:space="preserve"> jobs</w:t>
      </w:r>
      <w:r w:rsidR="002C72FE">
        <w:t xml:space="preserve"> growth</w:t>
      </w:r>
      <w:r>
        <w:t xml:space="preserve"> taking account of those with more than one job and those who are likely to commute in to and out of the District for work. </w:t>
      </w:r>
    </w:p>
    <w:p w:rsidR="002804C6" w:rsidRDefault="002804C6" w:rsidP="00805614">
      <w:pPr>
        <w:pStyle w:val="Subheadingbold"/>
        <w:ind w:left="567" w:firstLine="0"/>
      </w:pPr>
      <w:r>
        <w:t>Commuting Patterns</w:t>
      </w:r>
    </w:p>
    <w:p w:rsidR="002804C6" w:rsidRDefault="002804C6" w:rsidP="000C05B0">
      <w:pPr>
        <w:pStyle w:val="11Bodytext"/>
        <w:tabs>
          <w:tab w:val="clear" w:pos="2212"/>
          <w:tab w:val="num" w:pos="567"/>
        </w:tabs>
        <w:ind w:left="567" w:hanging="567"/>
      </w:pPr>
      <w:r>
        <w:t xml:space="preserve">The table below shows the commuting ratio for Chichester and is calculated as the number of people living in an area (and working) divided by the number of people working in the area (regardless of where they live). </w:t>
      </w:r>
    </w:p>
    <w:p w:rsidR="002804C6" w:rsidRDefault="002804C6" w:rsidP="000C05B0">
      <w:pPr>
        <w:pStyle w:val="11Bodytext"/>
        <w:tabs>
          <w:tab w:val="clear" w:pos="2212"/>
          <w:tab w:val="num" w:pos="567"/>
        </w:tabs>
        <w:ind w:left="567" w:hanging="567"/>
      </w:pPr>
      <w:r>
        <w:t xml:space="preserve">As illustrated in the table below, Chichester is an in-commuter District. The number of people who work in the area is 13% higher than the number of people in employment who live in the District. </w:t>
      </w:r>
    </w:p>
    <w:p w:rsidR="002804C6" w:rsidRDefault="002804C6" w:rsidP="00AE5604">
      <w:pPr>
        <w:pStyle w:val="Tableheading"/>
        <w:tabs>
          <w:tab w:val="clear" w:pos="794"/>
          <w:tab w:val="clear" w:pos="1843"/>
          <w:tab w:val="left" w:pos="0"/>
        </w:tabs>
        <w:ind w:left="0" w:firstLine="0"/>
      </w:pPr>
      <w:r>
        <w:t>Commuting Patterns for Chichester District (2011)</w:t>
      </w:r>
    </w:p>
    <w:tbl>
      <w:tblPr>
        <w:tblStyle w:val="TableGridLight1"/>
        <w:tblW w:w="4873" w:type="pct"/>
        <w:jc w:val="center"/>
        <w:tblLook w:val="04A0" w:firstRow="1" w:lastRow="0" w:firstColumn="1" w:lastColumn="0" w:noHBand="0" w:noVBand="1"/>
        <w:tblCaption w:val="Table 20: Commuting Patterns for Chichester District (2011)"/>
      </w:tblPr>
      <w:tblGrid>
        <w:gridCol w:w="4674"/>
        <w:gridCol w:w="4923"/>
      </w:tblGrid>
      <w:tr w:rsidR="002804C6" w:rsidRPr="000E3FB0" w:rsidTr="001874A1">
        <w:trPr>
          <w:tblHeader/>
          <w:jc w:val="center"/>
        </w:trPr>
        <w:tc>
          <w:tcPr>
            <w:tcW w:w="2435" w:type="pct"/>
            <w:shd w:val="clear" w:color="auto" w:fill="0093D5" w:themeFill="accent2"/>
          </w:tcPr>
          <w:p w:rsidR="002804C6" w:rsidRPr="000E3FB0" w:rsidRDefault="002804C6" w:rsidP="005C6E02">
            <w:pPr>
              <w:widowControl w:val="0"/>
              <w:spacing w:line="300" w:lineRule="auto"/>
              <w:rPr>
                <w:rFonts w:ascii="Arial Narrow" w:hAnsi="Arial Narrow"/>
                <w:b/>
                <w:color w:val="FFFFFF" w:themeColor="background1"/>
                <w:sz w:val="24"/>
                <w:szCs w:val="24"/>
              </w:rPr>
            </w:pPr>
          </w:p>
        </w:tc>
        <w:tc>
          <w:tcPr>
            <w:tcW w:w="2565" w:type="pct"/>
            <w:shd w:val="clear" w:color="auto" w:fill="0093D5" w:themeFill="accent2"/>
            <w:vAlign w:val="bottom"/>
          </w:tcPr>
          <w:p w:rsidR="002804C6" w:rsidRPr="000E3FB0" w:rsidRDefault="002804C6" w:rsidP="005C6E02">
            <w:pPr>
              <w:spacing w:line="300" w:lineRule="auto"/>
              <w:jc w:val="center"/>
              <w:rPr>
                <w:rFonts w:ascii="Arial Narrow" w:hAnsi="Arial Narrow"/>
                <w:b/>
                <w:color w:val="FFFFFF" w:themeColor="background1"/>
                <w:sz w:val="24"/>
                <w:szCs w:val="24"/>
              </w:rPr>
            </w:pPr>
            <w:r w:rsidRPr="000E3FB0">
              <w:rPr>
                <w:rFonts w:ascii="Arial Narrow" w:hAnsi="Arial Narrow"/>
                <w:b/>
                <w:color w:val="FFFFFF" w:themeColor="background1"/>
                <w:sz w:val="24"/>
                <w:szCs w:val="24"/>
              </w:rPr>
              <w:t xml:space="preserve">Chichester District </w:t>
            </w:r>
          </w:p>
        </w:tc>
      </w:tr>
      <w:tr w:rsidR="002804C6" w:rsidRPr="000E3FB0" w:rsidTr="001874A1">
        <w:trPr>
          <w:jc w:val="center"/>
        </w:trPr>
        <w:tc>
          <w:tcPr>
            <w:tcW w:w="2435" w:type="pct"/>
          </w:tcPr>
          <w:p w:rsidR="002804C6" w:rsidRPr="000E3FB0" w:rsidRDefault="002804C6" w:rsidP="005C6E02">
            <w:pPr>
              <w:widowControl w:val="0"/>
              <w:spacing w:line="300" w:lineRule="auto"/>
              <w:rPr>
                <w:rFonts w:ascii="Arial Narrow" w:hAnsi="Arial Narrow" w:cs="Arial"/>
                <w:sz w:val="24"/>
                <w:szCs w:val="24"/>
              </w:rPr>
            </w:pPr>
            <w:r w:rsidRPr="000E3FB0">
              <w:rPr>
                <w:rFonts w:ascii="Arial Narrow" w:hAnsi="Arial Narrow" w:cs="Arial"/>
                <w:sz w:val="24"/>
                <w:szCs w:val="24"/>
              </w:rPr>
              <w:t>Live and work in Local Authority (LA)</w:t>
            </w:r>
          </w:p>
        </w:tc>
        <w:tc>
          <w:tcPr>
            <w:tcW w:w="2565" w:type="pct"/>
            <w:vAlign w:val="bottom"/>
          </w:tcPr>
          <w:p w:rsidR="002804C6" w:rsidRPr="000E3FB0" w:rsidRDefault="002804C6" w:rsidP="005C6E02">
            <w:pPr>
              <w:spacing w:line="300" w:lineRule="auto"/>
              <w:jc w:val="center"/>
              <w:rPr>
                <w:rFonts w:ascii="Arial Narrow" w:hAnsi="Arial Narrow" w:cs="Arial"/>
                <w:color w:val="000000"/>
                <w:sz w:val="24"/>
                <w:szCs w:val="24"/>
              </w:rPr>
            </w:pPr>
            <w:r w:rsidRPr="000E3FB0">
              <w:rPr>
                <w:rFonts w:ascii="Arial Narrow" w:hAnsi="Arial Narrow" w:cs="Arial"/>
                <w:color w:val="000000"/>
                <w:sz w:val="24"/>
                <w:szCs w:val="24"/>
              </w:rPr>
              <w:t>23,500</w:t>
            </w:r>
          </w:p>
        </w:tc>
      </w:tr>
      <w:tr w:rsidR="002804C6" w:rsidRPr="000E3FB0" w:rsidTr="001874A1">
        <w:trPr>
          <w:jc w:val="center"/>
        </w:trPr>
        <w:tc>
          <w:tcPr>
            <w:tcW w:w="2435" w:type="pct"/>
          </w:tcPr>
          <w:p w:rsidR="002804C6" w:rsidRPr="000E3FB0" w:rsidRDefault="002804C6" w:rsidP="005C6E02">
            <w:pPr>
              <w:widowControl w:val="0"/>
              <w:spacing w:line="300" w:lineRule="auto"/>
              <w:rPr>
                <w:rFonts w:ascii="Arial Narrow" w:hAnsi="Arial Narrow" w:cs="Arial"/>
                <w:sz w:val="24"/>
                <w:szCs w:val="24"/>
              </w:rPr>
            </w:pPr>
            <w:r w:rsidRPr="000E3FB0">
              <w:rPr>
                <w:rFonts w:ascii="Arial Narrow" w:hAnsi="Arial Narrow" w:cs="Arial"/>
                <w:sz w:val="24"/>
                <w:szCs w:val="24"/>
              </w:rPr>
              <w:t>Homeworkers</w:t>
            </w:r>
          </w:p>
        </w:tc>
        <w:tc>
          <w:tcPr>
            <w:tcW w:w="2565" w:type="pct"/>
            <w:vAlign w:val="bottom"/>
          </w:tcPr>
          <w:p w:rsidR="002804C6" w:rsidRPr="000E3FB0" w:rsidRDefault="002804C6" w:rsidP="005C6E02">
            <w:pPr>
              <w:spacing w:line="300" w:lineRule="auto"/>
              <w:jc w:val="center"/>
              <w:rPr>
                <w:rFonts w:ascii="Arial Narrow" w:hAnsi="Arial Narrow" w:cs="Arial"/>
                <w:color w:val="000000"/>
                <w:sz w:val="24"/>
                <w:szCs w:val="24"/>
              </w:rPr>
            </w:pPr>
            <w:r w:rsidRPr="000E3FB0">
              <w:rPr>
                <w:rFonts w:ascii="Arial Narrow" w:hAnsi="Arial Narrow" w:cs="Arial"/>
                <w:color w:val="000000"/>
                <w:sz w:val="24"/>
                <w:szCs w:val="24"/>
              </w:rPr>
              <w:t>9,007</w:t>
            </w:r>
          </w:p>
        </w:tc>
      </w:tr>
      <w:tr w:rsidR="002804C6" w:rsidRPr="000E3FB0" w:rsidTr="001874A1">
        <w:trPr>
          <w:jc w:val="center"/>
        </w:trPr>
        <w:tc>
          <w:tcPr>
            <w:tcW w:w="2435" w:type="pct"/>
          </w:tcPr>
          <w:p w:rsidR="002804C6" w:rsidRPr="000E3FB0" w:rsidRDefault="002804C6" w:rsidP="005C6E02">
            <w:pPr>
              <w:widowControl w:val="0"/>
              <w:spacing w:line="300" w:lineRule="auto"/>
              <w:rPr>
                <w:rFonts w:ascii="Arial Narrow" w:hAnsi="Arial Narrow" w:cs="Arial"/>
                <w:sz w:val="24"/>
                <w:szCs w:val="24"/>
              </w:rPr>
            </w:pPr>
            <w:r w:rsidRPr="000E3FB0">
              <w:rPr>
                <w:rFonts w:ascii="Arial Narrow" w:hAnsi="Arial Narrow" w:cs="Arial"/>
                <w:sz w:val="24"/>
                <w:szCs w:val="24"/>
              </w:rPr>
              <w:t>No fixed workplace</w:t>
            </w:r>
          </w:p>
        </w:tc>
        <w:tc>
          <w:tcPr>
            <w:tcW w:w="2565" w:type="pct"/>
            <w:vAlign w:val="bottom"/>
          </w:tcPr>
          <w:p w:rsidR="002804C6" w:rsidRPr="000E3FB0" w:rsidRDefault="002804C6" w:rsidP="005C6E02">
            <w:pPr>
              <w:spacing w:line="300" w:lineRule="auto"/>
              <w:jc w:val="center"/>
              <w:rPr>
                <w:rFonts w:ascii="Arial Narrow" w:hAnsi="Arial Narrow" w:cs="Arial"/>
                <w:color w:val="000000"/>
                <w:sz w:val="24"/>
                <w:szCs w:val="24"/>
              </w:rPr>
            </w:pPr>
            <w:r w:rsidRPr="000E3FB0">
              <w:rPr>
                <w:rFonts w:ascii="Arial Narrow" w:hAnsi="Arial Narrow" w:cs="Arial"/>
                <w:color w:val="000000"/>
                <w:sz w:val="24"/>
                <w:szCs w:val="24"/>
              </w:rPr>
              <w:t>5,077</w:t>
            </w:r>
          </w:p>
        </w:tc>
      </w:tr>
      <w:tr w:rsidR="002804C6" w:rsidRPr="000E3FB0" w:rsidTr="001874A1">
        <w:trPr>
          <w:jc w:val="center"/>
        </w:trPr>
        <w:tc>
          <w:tcPr>
            <w:tcW w:w="2435" w:type="pct"/>
          </w:tcPr>
          <w:p w:rsidR="002804C6" w:rsidRPr="000E3FB0" w:rsidRDefault="002804C6" w:rsidP="005C6E02">
            <w:pPr>
              <w:widowControl w:val="0"/>
              <w:spacing w:line="300" w:lineRule="auto"/>
              <w:rPr>
                <w:rFonts w:ascii="Arial Narrow" w:hAnsi="Arial Narrow" w:cs="Arial"/>
                <w:sz w:val="24"/>
                <w:szCs w:val="24"/>
              </w:rPr>
            </w:pPr>
            <w:r w:rsidRPr="000E3FB0">
              <w:rPr>
                <w:rFonts w:ascii="Arial Narrow" w:hAnsi="Arial Narrow" w:cs="Arial"/>
                <w:sz w:val="24"/>
                <w:szCs w:val="24"/>
              </w:rPr>
              <w:t>In-commute</w:t>
            </w:r>
          </w:p>
        </w:tc>
        <w:tc>
          <w:tcPr>
            <w:tcW w:w="2565" w:type="pct"/>
            <w:vAlign w:val="bottom"/>
          </w:tcPr>
          <w:p w:rsidR="002804C6" w:rsidRPr="000E3FB0" w:rsidRDefault="002804C6" w:rsidP="005C6E02">
            <w:pPr>
              <w:spacing w:line="300" w:lineRule="auto"/>
              <w:jc w:val="center"/>
              <w:rPr>
                <w:rFonts w:ascii="Arial Narrow" w:hAnsi="Arial Narrow" w:cs="Arial"/>
                <w:color w:val="000000"/>
                <w:sz w:val="24"/>
                <w:szCs w:val="24"/>
              </w:rPr>
            </w:pPr>
            <w:r w:rsidRPr="000E3FB0">
              <w:rPr>
                <w:rFonts w:ascii="Arial Narrow" w:hAnsi="Arial Narrow" w:cs="Arial"/>
                <w:color w:val="000000"/>
                <w:sz w:val="24"/>
                <w:szCs w:val="24"/>
              </w:rPr>
              <w:t>24,296</w:t>
            </w:r>
          </w:p>
        </w:tc>
      </w:tr>
      <w:tr w:rsidR="002804C6" w:rsidRPr="000E3FB0" w:rsidTr="001874A1">
        <w:trPr>
          <w:jc w:val="center"/>
        </w:trPr>
        <w:tc>
          <w:tcPr>
            <w:tcW w:w="2435" w:type="pct"/>
          </w:tcPr>
          <w:p w:rsidR="002804C6" w:rsidRPr="000E3FB0" w:rsidRDefault="002804C6" w:rsidP="005C6E02">
            <w:pPr>
              <w:widowControl w:val="0"/>
              <w:spacing w:line="300" w:lineRule="auto"/>
              <w:rPr>
                <w:rFonts w:ascii="Arial Narrow" w:hAnsi="Arial Narrow" w:cs="Arial"/>
                <w:sz w:val="24"/>
                <w:szCs w:val="24"/>
              </w:rPr>
            </w:pPr>
            <w:r w:rsidRPr="000E3FB0">
              <w:rPr>
                <w:rFonts w:ascii="Arial Narrow" w:hAnsi="Arial Narrow" w:cs="Arial"/>
                <w:sz w:val="24"/>
                <w:szCs w:val="24"/>
              </w:rPr>
              <w:t>Out-commute</w:t>
            </w:r>
          </w:p>
        </w:tc>
        <w:tc>
          <w:tcPr>
            <w:tcW w:w="2565" w:type="pct"/>
            <w:vAlign w:val="bottom"/>
          </w:tcPr>
          <w:p w:rsidR="002804C6" w:rsidRPr="000E3FB0" w:rsidRDefault="002804C6" w:rsidP="005C6E02">
            <w:pPr>
              <w:spacing w:line="300" w:lineRule="auto"/>
              <w:jc w:val="center"/>
              <w:rPr>
                <w:rFonts w:ascii="Arial Narrow" w:hAnsi="Arial Narrow" w:cs="Arial"/>
                <w:color w:val="000000"/>
                <w:sz w:val="24"/>
                <w:szCs w:val="24"/>
              </w:rPr>
            </w:pPr>
            <w:r w:rsidRPr="000E3FB0">
              <w:rPr>
                <w:rFonts w:ascii="Arial Narrow" w:hAnsi="Arial Narrow" w:cs="Arial"/>
                <w:color w:val="000000"/>
                <w:sz w:val="24"/>
                <w:szCs w:val="24"/>
              </w:rPr>
              <w:t>16,321</w:t>
            </w:r>
          </w:p>
        </w:tc>
      </w:tr>
      <w:tr w:rsidR="002804C6" w:rsidRPr="000E3FB0" w:rsidTr="001874A1">
        <w:trPr>
          <w:jc w:val="center"/>
        </w:trPr>
        <w:tc>
          <w:tcPr>
            <w:tcW w:w="2435" w:type="pct"/>
          </w:tcPr>
          <w:p w:rsidR="002804C6" w:rsidRPr="000E3FB0" w:rsidRDefault="002804C6" w:rsidP="005C6E02">
            <w:pPr>
              <w:widowControl w:val="0"/>
              <w:spacing w:line="300" w:lineRule="auto"/>
              <w:rPr>
                <w:rFonts w:ascii="Arial Narrow" w:hAnsi="Arial Narrow" w:cs="Arial"/>
                <w:sz w:val="24"/>
                <w:szCs w:val="24"/>
              </w:rPr>
            </w:pPr>
            <w:r w:rsidRPr="000E3FB0">
              <w:rPr>
                <w:rFonts w:ascii="Arial Narrow" w:hAnsi="Arial Narrow" w:cs="Arial"/>
                <w:sz w:val="24"/>
                <w:szCs w:val="24"/>
              </w:rPr>
              <w:t>Total working in LA</w:t>
            </w:r>
          </w:p>
        </w:tc>
        <w:tc>
          <w:tcPr>
            <w:tcW w:w="2565" w:type="pct"/>
            <w:vAlign w:val="bottom"/>
          </w:tcPr>
          <w:p w:rsidR="002804C6" w:rsidRPr="000E3FB0" w:rsidRDefault="002804C6" w:rsidP="005C6E02">
            <w:pPr>
              <w:spacing w:line="300" w:lineRule="auto"/>
              <w:jc w:val="center"/>
              <w:rPr>
                <w:rFonts w:ascii="Arial Narrow" w:hAnsi="Arial Narrow" w:cs="Arial"/>
                <w:color w:val="000000"/>
                <w:sz w:val="24"/>
                <w:szCs w:val="24"/>
              </w:rPr>
            </w:pPr>
            <w:r w:rsidRPr="000E3FB0">
              <w:rPr>
                <w:rFonts w:ascii="Arial Narrow" w:hAnsi="Arial Narrow" w:cs="Arial"/>
                <w:color w:val="000000"/>
                <w:sz w:val="24"/>
                <w:szCs w:val="24"/>
              </w:rPr>
              <w:t>61,880</w:t>
            </w:r>
          </w:p>
        </w:tc>
      </w:tr>
      <w:tr w:rsidR="002804C6" w:rsidRPr="000E3FB0" w:rsidTr="001874A1">
        <w:trPr>
          <w:jc w:val="center"/>
        </w:trPr>
        <w:tc>
          <w:tcPr>
            <w:tcW w:w="2435" w:type="pct"/>
          </w:tcPr>
          <w:p w:rsidR="002804C6" w:rsidRPr="000E3FB0" w:rsidRDefault="002804C6" w:rsidP="005C6E02">
            <w:pPr>
              <w:widowControl w:val="0"/>
              <w:spacing w:line="300" w:lineRule="auto"/>
              <w:rPr>
                <w:rFonts w:ascii="Arial Narrow" w:hAnsi="Arial Narrow" w:cs="Arial"/>
                <w:sz w:val="24"/>
                <w:szCs w:val="24"/>
              </w:rPr>
            </w:pPr>
            <w:r w:rsidRPr="000E3FB0">
              <w:rPr>
                <w:rFonts w:ascii="Arial Narrow" w:hAnsi="Arial Narrow" w:cs="Arial"/>
                <w:sz w:val="24"/>
                <w:szCs w:val="24"/>
              </w:rPr>
              <w:t>Total living in LA (and working)</w:t>
            </w:r>
          </w:p>
        </w:tc>
        <w:tc>
          <w:tcPr>
            <w:tcW w:w="2565" w:type="pct"/>
            <w:vAlign w:val="bottom"/>
          </w:tcPr>
          <w:p w:rsidR="002804C6" w:rsidRPr="000E3FB0" w:rsidRDefault="002804C6" w:rsidP="005C6E02">
            <w:pPr>
              <w:spacing w:line="300" w:lineRule="auto"/>
              <w:jc w:val="center"/>
              <w:rPr>
                <w:rFonts w:ascii="Arial Narrow" w:hAnsi="Arial Narrow" w:cs="Arial"/>
                <w:color w:val="000000"/>
                <w:sz w:val="24"/>
                <w:szCs w:val="24"/>
              </w:rPr>
            </w:pPr>
            <w:r w:rsidRPr="000E3FB0">
              <w:rPr>
                <w:rFonts w:ascii="Arial Narrow" w:hAnsi="Arial Narrow" w:cs="Arial"/>
                <w:color w:val="000000"/>
                <w:sz w:val="24"/>
                <w:szCs w:val="24"/>
              </w:rPr>
              <w:t>53,905</w:t>
            </w:r>
          </w:p>
        </w:tc>
      </w:tr>
      <w:tr w:rsidR="002804C6" w:rsidRPr="000E3FB0" w:rsidTr="001874A1">
        <w:trPr>
          <w:jc w:val="center"/>
        </w:trPr>
        <w:tc>
          <w:tcPr>
            <w:tcW w:w="2435" w:type="pct"/>
          </w:tcPr>
          <w:p w:rsidR="002804C6" w:rsidRPr="000E3FB0" w:rsidRDefault="002804C6" w:rsidP="005C6E02">
            <w:pPr>
              <w:widowControl w:val="0"/>
              <w:spacing w:line="300" w:lineRule="auto"/>
              <w:rPr>
                <w:rFonts w:ascii="Arial Narrow" w:hAnsi="Arial Narrow" w:cs="Arial"/>
                <w:sz w:val="24"/>
                <w:szCs w:val="24"/>
              </w:rPr>
            </w:pPr>
            <w:r w:rsidRPr="000E3FB0">
              <w:rPr>
                <w:rFonts w:ascii="Arial Narrow" w:hAnsi="Arial Narrow" w:cs="Arial"/>
                <w:sz w:val="24"/>
                <w:szCs w:val="24"/>
              </w:rPr>
              <w:t>Commuting ratio</w:t>
            </w:r>
          </w:p>
        </w:tc>
        <w:tc>
          <w:tcPr>
            <w:tcW w:w="2565" w:type="pct"/>
            <w:vAlign w:val="bottom"/>
          </w:tcPr>
          <w:p w:rsidR="002804C6" w:rsidRPr="000E3FB0" w:rsidRDefault="002804C6" w:rsidP="005C6E02">
            <w:pPr>
              <w:spacing w:line="300" w:lineRule="auto"/>
              <w:jc w:val="center"/>
              <w:rPr>
                <w:rFonts w:ascii="Arial Narrow" w:hAnsi="Arial Narrow" w:cs="Arial"/>
                <w:color w:val="000000"/>
                <w:sz w:val="24"/>
                <w:szCs w:val="24"/>
              </w:rPr>
            </w:pPr>
            <w:r w:rsidRPr="000E3FB0">
              <w:rPr>
                <w:rFonts w:ascii="Arial Narrow" w:hAnsi="Arial Narrow" w:cs="Arial"/>
                <w:color w:val="000000"/>
                <w:sz w:val="24"/>
                <w:szCs w:val="24"/>
              </w:rPr>
              <w:t>0.871</w:t>
            </w:r>
          </w:p>
        </w:tc>
      </w:tr>
    </w:tbl>
    <w:p w:rsidR="002804C6" w:rsidRPr="000E3FB0" w:rsidRDefault="002804C6" w:rsidP="00AE5604">
      <w:pPr>
        <w:spacing w:line="300" w:lineRule="auto"/>
        <w:rPr>
          <w:sz w:val="24"/>
          <w:szCs w:val="24"/>
        </w:rPr>
      </w:pPr>
      <w:r w:rsidRPr="000E3FB0">
        <w:rPr>
          <w:sz w:val="24"/>
          <w:szCs w:val="24"/>
        </w:rPr>
        <w:t>Source: Census 2011</w:t>
      </w:r>
    </w:p>
    <w:p w:rsidR="002804C6" w:rsidRDefault="002804C6" w:rsidP="000C05B0">
      <w:pPr>
        <w:pStyle w:val="11Bodytext"/>
        <w:tabs>
          <w:tab w:val="clear" w:pos="2212"/>
          <w:tab w:val="num" w:pos="567"/>
        </w:tabs>
        <w:ind w:left="567" w:hanging="567"/>
      </w:pPr>
      <w:r>
        <w:t xml:space="preserve">This means that for every 1,000 jobs created in Chichester, the </w:t>
      </w:r>
      <w:r w:rsidR="007F7FD3">
        <w:t>district</w:t>
      </w:r>
      <w:r>
        <w:t xml:space="preserve"> needs an additional 871 residents </w:t>
      </w:r>
      <w:r w:rsidR="004D62A4">
        <w:t>to retain the same balance of homes and jobs</w:t>
      </w:r>
      <w:r>
        <w:t xml:space="preserve">. The proportion of people commuting to and from the local authority is not assumed </w:t>
      </w:r>
      <w:r w:rsidR="001C75ED">
        <w:t>to</w:t>
      </w:r>
      <w:r>
        <w:t xml:space="preserve"> change even if the number of jobs does. </w:t>
      </w:r>
    </w:p>
    <w:p w:rsidR="002804C6" w:rsidRDefault="002804C6" w:rsidP="000C05B0">
      <w:pPr>
        <w:pStyle w:val="11Bodytext"/>
        <w:tabs>
          <w:tab w:val="clear" w:pos="2212"/>
          <w:tab w:val="num" w:pos="567"/>
        </w:tabs>
        <w:ind w:left="567" w:hanging="567"/>
      </w:pPr>
      <w:r>
        <w:lastRenderedPageBreak/>
        <w:t xml:space="preserve">It is not unreasonable to assume that commuting patterns will change in the future. However, such changes should be </w:t>
      </w:r>
      <w:r w:rsidR="00454FBE">
        <w:t xml:space="preserve">the subject of sub-regional discussions </w:t>
      </w:r>
      <w:r>
        <w:t>under the duty to cooperate. It will be for the local authorities to decide the merits of different policy approaches to changing commuting patterns</w:t>
      </w:r>
      <w:r w:rsidR="00454FBE">
        <w:t xml:space="preserve"> and the appropriate approach to follow in Local Plans</w:t>
      </w:r>
      <w:r>
        <w:t xml:space="preserve">. </w:t>
      </w:r>
    </w:p>
    <w:p w:rsidR="002804C6" w:rsidRDefault="002804C6" w:rsidP="00805614">
      <w:pPr>
        <w:pStyle w:val="Subheadingbold"/>
        <w:ind w:left="567" w:firstLine="0"/>
      </w:pPr>
      <w:r>
        <w:t>Double-Jobbing</w:t>
      </w:r>
    </w:p>
    <w:p w:rsidR="002804C6" w:rsidRPr="004F4DBD" w:rsidRDefault="002804C6" w:rsidP="000C05B0">
      <w:pPr>
        <w:pStyle w:val="11Bodytext"/>
        <w:tabs>
          <w:tab w:val="clear" w:pos="2212"/>
          <w:tab w:val="num" w:pos="567"/>
        </w:tabs>
        <w:ind w:left="567" w:hanging="567"/>
      </w:pPr>
      <w:r>
        <w:t>We also need to consider that</w:t>
      </w:r>
      <w:r w:rsidRPr="009F655D">
        <w:t xml:space="preserve"> some people will hold down more than one job.</w:t>
      </w:r>
      <w:r w:rsidR="00855CA6">
        <w:t xml:space="preserve"> </w:t>
      </w:r>
      <w:r w:rsidRPr="009F655D">
        <w:t>Where data is available, double jobbing has been analysed to show the percentage of people with multiple jobs at once.</w:t>
      </w:r>
      <w:r w:rsidR="00855CA6">
        <w:t xml:space="preserve"> </w:t>
      </w:r>
      <w:r>
        <w:t>This is drawn from the Annual Population Survey</w:t>
      </w:r>
      <w:r w:rsidR="007F7FD3">
        <w:t xml:space="preserve"> from 2004 onwards</w:t>
      </w:r>
      <w:r>
        <w:t>.</w:t>
      </w:r>
      <w:r w:rsidRPr="009F655D">
        <w:t xml:space="preserve"> </w:t>
      </w:r>
    </w:p>
    <w:p w:rsidR="006E29A2" w:rsidRPr="002329E7" w:rsidRDefault="002804C6" w:rsidP="000C05B0">
      <w:pPr>
        <w:pStyle w:val="11Bodytext"/>
        <w:tabs>
          <w:tab w:val="clear" w:pos="2212"/>
          <w:tab w:val="num" w:pos="567"/>
        </w:tabs>
        <w:ind w:left="567" w:hanging="567"/>
        <w:rPr>
          <w:b/>
        </w:rPr>
      </w:pPr>
      <w:r w:rsidRPr="002329E7">
        <w:t>Since 2004, the proportion of residents with a second job has fluctuated, however</w:t>
      </w:r>
      <w:r w:rsidR="00855CA6">
        <w:t>,</w:t>
      </w:r>
      <w:r w:rsidRPr="002329E7">
        <w:t xml:space="preserve"> it has constantly remained below 10% over the period. The year 2010 experienced the highest proportion of people in employment with a second job which may be attributed to the wider impacts </w:t>
      </w:r>
      <w:r w:rsidR="00855CA6">
        <w:t>of</w:t>
      </w:r>
      <w:r w:rsidR="00855CA6" w:rsidRPr="002329E7">
        <w:t xml:space="preserve"> </w:t>
      </w:r>
      <w:r w:rsidRPr="002329E7">
        <w:t xml:space="preserve">the global financial crisis. </w:t>
      </w:r>
    </w:p>
    <w:p w:rsidR="002804C6" w:rsidRDefault="000E3FB0" w:rsidP="00FC604D">
      <w:pPr>
        <w:pStyle w:val="FigureHeading"/>
        <w:tabs>
          <w:tab w:val="clear" w:pos="794"/>
          <w:tab w:val="clear" w:pos="1843"/>
          <w:tab w:val="left" w:pos="0"/>
        </w:tabs>
        <w:ind w:left="0" w:firstLine="0"/>
      </w:pPr>
      <w:r>
        <w:t>%</w:t>
      </w:r>
      <w:r w:rsidR="002804C6">
        <w:t xml:space="preserve"> of all people in employment who have a second job (2004-18)</w:t>
      </w:r>
    </w:p>
    <w:p w:rsidR="002804C6" w:rsidRDefault="002804C6" w:rsidP="00163B4B">
      <w:pPr>
        <w:pStyle w:val="Bodytextwithindent"/>
        <w:spacing w:before="0" w:after="0" w:line="240" w:lineRule="auto"/>
        <w:ind w:left="0"/>
      </w:pPr>
      <w:r w:rsidRPr="00E1132F">
        <w:rPr>
          <w:noProof/>
          <w:lang w:eastAsia="en-GB"/>
        </w:rPr>
        <w:drawing>
          <wp:inline distT="0" distB="0" distL="0" distR="0" wp14:anchorId="773B573A" wp14:editId="3A8E47ED">
            <wp:extent cx="6130800" cy="3056400"/>
            <wp:effectExtent l="0" t="0" r="22860" b="10795"/>
            <wp:docPr id="1029" name="Chart 1029" descr="Line graph showing the % of people in employment with a second job, along with a suggested trend line" title="Figure 36: % of all people in employment who have a second job (2004-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804C6" w:rsidRPr="002E26AC" w:rsidRDefault="002804C6" w:rsidP="00FC604D">
      <w:pPr>
        <w:rPr>
          <w:sz w:val="24"/>
          <w:szCs w:val="24"/>
        </w:rPr>
      </w:pPr>
      <w:r w:rsidRPr="002E26AC">
        <w:rPr>
          <w:sz w:val="24"/>
          <w:szCs w:val="24"/>
        </w:rPr>
        <w:t>Source: Annual Population Survey</w:t>
      </w:r>
      <w:r w:rsidR="007F7FD3" w:rsidRPr="002E26AC">
        <w:rPr>
          <w:sz w:val="24"/>
          <w:szCs w:val="24"/>
        </w:rPr>
        <w:t>, 2019</w:t>
      </w:r>
    </w:p>
    <w:p w:rsidR="001C75ED" w:rsidRPr="004F4DBD" w:rsidRDefault="001C75ED" w:rsidP="000C05B0">
      <w:pPr>
        <w:pStyle w:val="11Bodytext"/>
        <w:tabs>
          <w:tab w:val="clear" w:pos="2212"/>
          <w:tab w:val="num" w:pos="567"/>
        </w:tabs>
        <w:ind w:left="567" w:hanging="567"/>
      </w:pPr>
      <w:r>
        <w:t xml:space="preserve">Over the period, the double jobbing average is 4.6%. This figure </w:t>
      </w:r>
      <w:r w:rsidR="00855CA6">
        <w:t>is</w:t>
      </w:r>
      <w:r>
        <w:t xml:space="preserve"> used in the modelling in the next section. </w:t>
      </w:r>
    </w:p>
    <w:p w:rsidR="002804C6" w:rsidRPr="00846EBD" w:rsidRDefault="002804C6" w:rsidP="000C05B0">
      <w:pPr>
        <w:pStyle w:val="11Bodytext"/>
        <w:tabs>
          <w:tab w:val="clear" w:pos="2212"/>
          <w:tab w:val="num" w:pos="567"/>
        </w:tabs>
        <w:ind w:left="567" w:hanging="567"/>
        <w:rPr>
          <w:color w:val="FF0000"/>
        </w:rPr>
      </w:pPr>
      <w:r>
        <w:lastRenderedPageBreak/>
        <w:t>To translate the number of economically active residents into the number of jobs supported t</w:t>
      </w:r>
      <w:r w:rsidRPr="00056D77">
        <w:t xml:space="preserve">he commuting ratio is multiplied by the double-jobbing rate to get to an adjustment factor </w:t>
      </w:r>
      <w:r>
        <w:t>relevant to each</w:t>
      </w:r>
      <w:r w:rsidRPr="00056D77">
        <w:t xml:space="preserve"> area. </w:t>
      </w:r>
    </w:p>
    <w:p w:rsidR="002804C6" w:rsidRPr="00E62E23" w:rsidRDefault="002804C6" w:rsidP="000C05B0">
      <w:pPr>
        <w:pStyle w:val="11Bodytext"/>
        <w:tabs>
          <w:tab w:val="clear" w:pos="2212"/>
          <w:tab w:val="num" w:pos="567"/>
        </w:tabs>
        <w:ind w:left="567" w:hanging="567"/>
      </w:pPr>
      <w:r>
        <w:t>As the table below illustrates,</w:t>
      </w:r>
      <w:r w:rsidR="001C75ED">
        <w:t xml:space="preserve"> the standard method would support</w:t>
      </w:r>
      <w:r>
        <w:t xml:space="preserve"> 10,</w:t>
      </w:r>
      <w:r w:rsidR="001C75ED">
        <w:t>295</w:t>
      </w:r>
      <w:r>
        <w:t xml:space="preserve"> jobs over the 2019 to 2036 period for </w:t>
      </w:r>
      <w:r w:rsidR="001C75ED">
        <w:t>the district</w:t>
      </w:r>
      <w:r>
        <w:t xml:space="preserve"> which equates to 6</w:t>
      </w:r>
      <w:r w:rsidR="001C75ED">
        <w:t>05</w:t>
      </w:r>
      <w:r>
        <w:t xml:space="preserve"> jobs per annum. </w:t>
      </w:r>
    </w:p>
    <w:p w:rsidR="002804C6" w:rsidRDefault="002804C6" w:rsidP="00AE5604">
      <w:pPr>
        <w:pStyle w:val="Tableheading"/>
        <w:tabs>
          <w:tab w:val="clear" w:pos="794"/>
          <w:tab w:val="clear" w:pos="1843"/>
          <w:tab w:val="left" w:pos="0"/>
        </w:tabs>
        <w:ind w:left="0" w:firstLine="0"/>
      </w:pPr>
      <w:bookmarkStart w:id="134" w:name="_Hlk33519572"/>
      <w:r>
        <w:t>Jobs supported by growth in eco</w:t>
      </w:r>
      <w:r w:rsidR="000E3FB0">
        <w:t>n</w:t>
      </w:r>
      <w:r>
        <w:t xml:space="preserve"> active population (201</w:t>
      </w:r>
      <w:r w:rsidR="000E3FB0">
        <w:t>9-</w:t>
      </w:r>
      <w:r>
        <w:t>36)</w:t>
      </w:r>
    </w:p>
    <w:tbl>
      <w:tblPr>
        <w:tblStyle w:val="TableGridLight1"/>
        <w:tblW w:w="4894" w:type="pct"/>
        <w:tblInd w:w="108" w:type="dxa"/>
        <w:tblLook w:val="04A0" w:firstRow="1" w:lastRow="0" w:firstColumn="1" w:lastColumn="0" w:noHBand="0" w:noVBand="1"/>
        <w:tblCaption w:val="Table 21: Jobs supported by growth in econ active population (2019-36)"/>
      </w:tblPr>
      <w:tblGrid>
        <w:gridCol w:w="2116"/>
        <w:gridCol w:w="2704"/>
        <w:gridCol w:w="1984"/>
        <w:gridCol w:w="2834"/>
      </w:tblGrid>
      <w:tr w:rsidR="002804C6" w:rsidRPr="000E3FB0" w:rsidTr="00AE5604">
        <w:trPr>
          <w:tblHeader/>
        </w:trPr>
        <w:tc>
          <w:tcPr>
            <w:tcW w:w="1098" w:type="pct"/>
            <w:shd w:val="clear" w:color="auto" w:fill="0093D5" w:themeFill="accent2"/>
          </w:tcPr>
          <w:p w:rsidR="002804C6" w:rsidRPr="000E3FB0" w:rsidRDefault="002804C6" w:rsidP="005C6E02">
            <w:pPr>
              <w:spacing w:line="300" w:lineRule="auto"/>
              <w:rPr>
                <w:rFonts w:ascii="Arial Narrow" w:hAnsi="Arial Narrow" w:cs="Arial"/>
                <w:b/>
                <w:color w:val="FFFFFF" w:themeColor="background1"/>
                <w:sz w:val="24"/>
                <w:szCs w:val="24"/>
              </w:rPr>
            </w:pPr>
            <w:bookmarkStart w:id="135" w:name="_Hlk27722504"/>
          </w:p>
        </w:tc>
        <w:tc>
          <w:tcPr>
            <w:tcW w:w="1403" w:type="pct"/>
            <w:shd w:val="clear" w:color="auto" w:fill="0093D5" w:themeFill="accent2"/>
            <w:vAlign w:val="center"/>
          </w:tcPr>
          <w:p w:rsidR="002804C6" w:rsidRPr="000E3FB0" w:rsidRDefault="002804C6" w:rsidP="005C6E02">
            <w:pPr>
              <w:widowControl w:val="0"/>
              <w:spacing w:line="300" w:lineRule="auto"/>
              <w:jc w:val="center"/>
              <w:rPr>
                <w:rFonts w:ascii="Arial Narrow" w:hAnsi="Arial Narrow" w:cs="Arial"/>
                <w:b/>
                <w:color w:val="FFFFFF" w:themeColor="background1"/>
                <w:sz w:val="24"/>
                <w:szCs w:val="24"/>
              </w:rPr>
            </w:pPr>
            <w:r w:rsidRPr="000E3FB0">
              <w:rPr>
                <w:rFonts w:ascii="Arial Narrow" w:hAnsi="Arial Narrow" w:cs="Arial"/>
                <w:b/>
                <w:color w:val="FFFFFF" w:themeColor="background1"/>
                <w:sz w:val="24"/>
                <w:szCs w:val="24"/>
              </w:rPr>
              <w:t>Total change in economically active</w:t>
            </w:r>
          </w:p>
        </w:tc>
        <w:tc>
          <w:tcPr>
            <w:tcW w:w="1029" w:type="pct"/>
            <w:shd w:val="clear" w:color="auto" w:fill="0093D5" w:themeFill="accent2"/>
            <w:vAlign w:val="center"/>
          </w:tcPr>
          <w:p w:rsidR="002804C6" w:rsidRPr="000E3FB0" w:rsidRDefault="002804C6" w:rsidP="005C6E02">
            <w:pPr>
              <w:widowControl w:val="0"/>
              <w:spacing w:line="300" w:lineRule="auto"/>
              <w:jc w:val="center"/>
              <w:rPr>
                <w:rFonts w:ascii="Arial Narrow" w:hAnsi="Arial Narrow" w:cs="Arial"/>
                <w:b/>
                <w:color w:val="FFFFFF" w:themeColor="background1"/>
                <w:sz w:val="24"/>
                <w:szCs w:val="24"/>
              </w:rPr>
            </w:pPr>
            <w:r w:rsidRPr="000E3FB0">
              <w:rPr>
                <w:rFonts w:ascii="Arial Narrow" w:hAnsi="Arial Narrow" w:cs="Arial"/>
                <w:b/>
                <w:color w:val="FFFFFF" w:themeColor="background1"/>
                <w:sz w:val="24"/>
                <w:szCs w:val="24"/>
              </w:rPr>
              <w:t>Allowance for net commuting</w:t>
            </w:r>
          </w:p>
        </w:tc>
        <w:tc>
          <w:tcPr>
            <w:tcW w:w="1470" w:type="pct"/>
            <w:shd w:val="clear" w:color="auto" w:fill="0093D5" w:themeFill="accent2"/>
            <w:vAlign w:val="center"/>
          </w:tcPr>
          <w:p w:rsidR="002804C6" w:rsidRPr="000E3FB0" w:rsidRDefault="002804C6" w:rsidP="005C6E02">
            <w:pPr>
              <w:widowControl w:val="0"/>
              <w:spacing w:line="300" w:lineRule="auto"/>
              <w:jc w:val="center"/>
              <w:rPr>
                <w:rFonts w:ascii="Arial Narrow" w:hAnsi="Arial Narrow" w:cs="Arial"/>
                <w:b/>
                <w:color w:val="FFFFFF" w:themeColor="background1"/>
                <w:sz w:val="24"/>
                <w:szCs w:val="24"/>
              </w:rPr>
            </w:pPr>
            <w:r w:rsidRPr="000E3FB0">
              <w:rPr>
                <w:rFonts w:ascii="Arial Narrow" w:hAnsi="Arial Narrow" w:cs="Arial"/>
                <w:b/>
                <w:color w:val="FFFFFF" w:themeColor="background1"/>
                <w:sz w:val="24"/>
                <w:szCs w:val="24"/>
              </w:rPr>
              <w:t>Allowance for double jobbing (= jobs supported)</w:t>
            </w:r>
          </w:p>
        </w:tc>
      </w:tr>
      <w:tr w:rsidR="002804C6" w:rsidRPr="000E3FB0" w:rsidTr="00AE5604">
        <w:tc>
          <w:tcPr>
            <w:tcW w:w="1098" w:type="pct"/>
          </w:tcPr>
          <w:p w:rsidR="002804C6" w:rsidRPr="000E3FB0" w:rsidRDefault="002804C6" w:rsidP="004F4DBD">
            <w:pPr>
              <w:widowControl w:val="0"/>
              <w:rPr>
                <w:rFonts w:ascii="Arial Narrow" w:hAnsi="Arial Narrow" w:cs="Arial"/>
                <w:sz w:val="24"/>
                <w:szCs w:val="24"/>
              </w:rPr>
            </w:pPr>
            <w:r w:rsidRPr="000E3FB0">
              <w:rPr>
                <w:rFonts w:ascii="Arial Narrow" w:hAnsi="Arial Narrow" w:cs="Arial"/>
                <w:sz w:val="24"/>
                <w:szCs w:val="24"/>
              </w:rPr>
              <w:t>SNPP</w:t>
            </w:r>
          </w:p>
        </w:tc>
        <w:tc>
          <w:tcPr>
            <w:tcW w:w="1403" w:type="pct"/>
            <w:vAlign w:val="bottom"/>
          </w:tcPr>
          <w:p w:rsidR="002804C6" w:rsidRPr="000E3FB0" w:rsidRDefault="002804C6" w:rsidP="004F4DBD">
            <w:pPr>
              <w:jc w:val="center"/>
              <w:rPr>
                <w:rFonts w:ascii="Arial Narrow" w:hAnsi="Arial Narrow" w:cs="Arial"/>
                <w:sz w:val="24"/>
                <w:szCs w:val="24"/>
              </w:rPr>
            </w:pPr>
            <w:r w:rsidRPr="000E3FB0">
              <w:rPr>
                <w:rFonts w:ascii="Arial Narrow" w:hAnsi="Arial Narrow" w:cs="Arial"/>
                <w:sz w:val="24"/>
                <w:szCs w:val="24"/>
              </w:rPr>
              <w:t>4,296</w:t>
            </w:r>
          </w:p>
        </w:tc>
        <w:tc>
          <w:tcPr>
            <w:tcW w:w="1029" w:type="pct"/>
            <w:vAlign w:val="bottom"/>
          </w:tcPr>
          <w:p w:rsidR="002804C6" w:rsidRPr="000E3FB0" w:rsidRDefault="002804C6" w:rsidP="004F4DBD">
            <w:pPr>
              <w:jc w:val="center"/>
              <w:rPr>
                <w:rFonts w:ascii="Arial Narrow" w:hAnsi="Arial Narrow" w:cs="Arial"/>
                <w:sz w:val="24"/>
                <w:szCs w:val="24"/>
              </w:rPr>
            </w:pPr>
            <w:r w:rsidRPr="000E3FB0">
              <w:rPr>
                <w:rFonts w:ascii="Arial Narrow" w:hAnsi="Arial Narrow" w:cs="Arial"/>
                <w:sz w:val="24"/>
                <w:szCs w:val="24"/>
              </w:rPr>
              <w:t>4,931</w:t>
            </w:r>
          </w:p>
        </w:tc>
        <w:tc>
          <w:tcPr>
            <w:tcW w:w="1470" w:type="pct"/>
            <w:vAlign w:val="bottom"/>
          </w:tcPr>
          <w:p w:rsidR="002804C6" w:rsidRPr="000E3FB0" w:rsidRDefault="002804C6" w:rsidP="004F4DBD">
            <w:pPr>
              <w:jc w:val="center"/>
              <w:rPr>
                <w:rFonts w:ascii="Arial Narrow" w:hAnsi="Arial Narrow" w:cs="Arial"/>
                <w:sz w:val="24"/>
                <w:szCs w:val="24"/>
              </w:rPr>
            </w:pPr>
            <w:r w:rsidRPr="000E3FB0">
              <w:rPr>
                <w:rFonts w:ascii="Arial Narrow" w:hAnsi="Arial Narrow" w:cs="Arial"/>
                <w:sz w:val="24"/>
                <w:szCs w:val="24"/>
              </w:rPr>
              <w:t>5,170</w:t>
            </w:r>
          </w:p>
        </w:tc>
      </w:tr>
      <w:tr w:rsidR="002804C6" w:rsidRPr="000E3FB0" w:rsidTr="00AE5604">
        <w:tc>
          <w:tcPr>
            <w:tcW w:w="1098" w:type="pct"/>
          </w:tcPr>
          <w:p w:rsidR="002804C6" w:rsidRPr="000E3FB0" w:rsidRDefault="002804C6" w:rsidP="005C6E02">
            <w:pPr>
              <w:widowControl w:val="0"/>
              <w:rPr>
                <w:rFonts w:ascii="Arial Narrow" w:hAnsi="Arial Narrow" w:cs="Arial"/>
                <w:sz w:val="24"/>
                <w:szCs w:val="24"/>
              </w:rPr>
            </w:pPr>
            <w:r w:rsidRPr="000E3FB0">
              <w:rPr>
                <w:rFonts w:ascii="Arial Narrow" w:hAnsi="Arial Narrow" w:cs="Arial"/>
                <w:sz w:val="24"/>
                <w:szCs w:val="24"/>
              </w:rPr>
              <w:t>SNPP (+MYE)</w:t>
            </w:r>
          </w:p>
        </w:tc>
        <w:tc>
          <w:tcPr>
            <w:tcW w:w="1403" w:type="pct"/>
            <w:vAlign w:val="bottom"/>
          </w:tcPr>
          <w:p w:rsidR="002804C6" w:rsidRPr="000E3FB0" w:rsidRDefault="002804C6" w:rsidP="005C6E02">
            <w:pPr>
              <w:jc w:val="center"/>
              <w:rPr>
                <w:rFonts w:ascii="Arial Narrow" w:hAnsi="Arial Narrow" w:cs="Arial"/>
                <w:sz w:val="24"/>
                <w:szCs w:val="24"/>
              </w:rPr>
            </w:pPr>
            <w:r w:rsidRPr="000E3FB0">
              <w:rPr>
                <w:rFonts w:ascii="Arial Narrow" w:hAnsi="Arial Narrow" w:cs="Arial"/>
                <w:sz w:val="24"/>
                <w:szCs w:val="24"/>
              </w:rPr>
              <w:t>4,268</w:t>
            </w:r>
          </w:p>
        </w:tc>
        <w:tc>
          <w:tcPr>
            <w:tcW w:w="1029" w:type="pct"/>
            <w:vAlign w:val="bottom"/>
          </w:tcPr>
          <w:p w:rsidR="002804C6" w:rsidRPr="000E3FB0" w:rsidRDefault="002804C6" w:rsidP="005C6E02">
            <w:pPr>
              <w:jc w:val="center"/>
              <w:rPr>
                <w:rFonts w:ascii="Arial Narrow" w:hAnsi="Arial Narrow" w:cs="Arial"/>
                <w:sz w:val="24"/>
                <w:szCs w:val="24"/>
              </w:rPr>
            </w:pPr>
            <w:r w:rsidRPr="000E3FB0">
              <w:rPr>
                <w:rFonts w:ascii="Arial Narrow" w:hAnsi="Arial Narrow" w:cs="Arial"/>
                <w:sz w:val="24"/>
                <w:szCs w:val="24"/>
              </w:rPr>
              <w:t>4,899</w:t>
            </w:r>
          </w:p>
        </w:tc>
        <w:tc>
          <w:tcPr>
            <w:tcW w:w="1470" w:type="pct"/>
            <w:vAlign w:val="bottom"/>
          </w:tcPr>
          <w:p w:rsidR="002804C6" w:rsidRPr="000E3FB0" w:rsidRDefault="002804C6" w:rsidP="005C6E02">
            <w:pPr>
              <w:jc w:val="center"/>
              <w:rPr>
                <w:rFonts w:ascii="Arial Narrow" w:hAnsi="Arial Narrow" w:cs="Arial"/>
                <w:sz w:val="24"/>
                <w:szCs w:val="24"/>
              </w:rPr>
            </w:pPr>
            <w:r w:rsidRPr="000E3FB0">
              <w:rPr>
                <w:rFonts w:ascii="Arial Narrow" w:hAnsi="Arial Narrow" w:cs="Arial"/>
                <w:sz w:val="24"/>
                <w:szCs w:val="24"/>
              </w:rPr>
              <w:t>5,136</w:t>
            </w:r>
          </w:p>
        </w:tc>
      </w:tr>
      <w:tr w:rsidR="002804C6" w:rsidRPr="000E3FB0" w:rsidTr="00AE5604">
        <w:tc>
          <w:tcPr>
            <w:tcW w:w="1098" w:type="pct"/>
          </w:tcPr>
          <w:p w:rsidR="002804C6" w:rsidRPr="000E3FB0" w:rsidRDefault="002804C6" w:rsidP="005C6E02">
            <w:pPr>
              <w:widowControl w:val="0"/>
              <w:rPr>
                <w:rFonts w:ascii="Arial Narrow" w:hAnsi="Arial Narrow" w:cs="Arial"/>
                <w:sz w:val="24"/>
                <w:szCs w:val="24"/>
              </w:rPr>
            </w:pPr>
            <w:r w:rsidRPr="000E3FB0">
              <w:rPr>
                <w:rFonts w:ascii="Arial Narrow" w:hAnsi="Arial Narrow" w:cs="Arial"/>
                <w:sz w:val="24"/>
                <w:szCs w:val="24"/>
              </w:rPr>
              <w:t>District (731 dpa)</w:t>
            </w:r>
          </w:p>
        </w:tc>
        <w:tc>
          <w:tcPr>
            <w:tcW w:w="1403" w:type="pct"/>
            <w:vAlign w:val="bottom"/>
          </w:tcPr>
          <w:p w:rsidR="002804C6" w:rsidRPr="000E3FB0" w:rsidRDefault="002804C6" w:rsidP="004F4DBD">
            <w:pPr>
              <w:spacing w:line="300" w:lineRule="auto"/>
              <w:jc w:val="center"/>
              <w:rPr>
                <w:rFonts w:ascii="Arial Narrow" w:hAnsi="Arial Narrow" w:cs="Arial"/>
                <w:sz w:val="24"/>
                <w:szCs w:val="24"/>
              </w:rPr>
            </w:pPr>
            <w:r w:rsidRPr="000E3FB0">
              <w:rPr>
                <w:rFonts w:ascii="Arial Narrow" w:hAnsi="Arial Narrow" w:cs="Arial"/>
                <w:color w:val="000000" w:themeColor="text1"/>
                <w:sz w:val="24"/>
                <w:szCs w:val="24"/>
              </w:rPr>
              <w:t>8,555</w:t>
            </w:r>
          </w:p>
        </w:tc>
        <w:tc>
          <w:tcPr>
            <w:tcW w:w="1029" w:type="pct"/>
            <w:vAlign w:val="bottom"/>
          </w:tcPr>
          <w:p w:rsidR="002804C6" w:rsidRPr="000E3FB0" w:rsidRDefault="002804C6" w:rsidP="004F4DBD">
            <w:pPr>
              <w:spacing w:line="300" w:lineRule="auto"/>
              <w:jc w:val="center"/>
              <w:rPr>
                <w:rFonts w:ascii="Arial Narrow" w:hAnsi="Arial Narrow" w:cs="Arial"/>
                <w:sz w:val="24"/>
                <w:szCs w:val="24"/>
              </w:rPr>
            </w:pPr>
            <w:r w:rsidRPr="000E3FB0">
              <w:rPr>
                <w:rFonts w:ascii="Arial Narrow" w:hAnsi="Arial Narrow" w:cs="Arial"/>
                <w:color w:val="000000" w:themeColor="text1"/>
                <w:sz w:val="24"/>
                <w:szCs w:val="24"/>
              </w:rPr>
              <w:t>9,821</w:t>
            </w:r>
          </w:p>
        </w:tc>
        <w:tc>
          <w:tcPr>
            <w:tcW w:w="1470" w:type="pct"/>
            <w:vAlign w:val="bottom"/>
          </w:tcPr>
          <w:p w:rsidR="002804C6" w:rsidRPr="000E3FB0" w:rsidRDefault="002804C6" w:rsidP="004F4DBD">
            <w:pPr>
              <w:spacing w:line="300" w:lineRule="auto"/>
              <w:jc w:val="center"/>
              <w:rPr>
                <w:rFonts w:ascii="Arial Narrow" w:hAnsi="Arial Narrow" w:cs="Arial"/>
                <w:sz w:val="24"/>
                <w:szCs w:val="24"/>
              </w:rPr>
            </w:pPr>
            <w:r w:rsidRPr="000E3FB0">
              <w:rPr>
                <w:rFonts w:ascii="Arial Narrow" w:hAnsi="Arial Narrow" w:cs="Arial"/>
                <w:color w:val="000000" w:themeColor="text1"/>
                <w:sz w:val="24"/>
                <w:szCs w:val="24"/>
              </w:rPr>
              <w:t>10,295</w:t>
            </w:r>
          </w:p>
        </w:tc>
      </w:tr>
    </w:tbl>
    <w:bookmarkEnd w:id="135"/>
    <w:p w:rsidR="002804C6" w:rsidRPr="000E3FB0" w:rsidRDefault="002804C6" w:rsidP="00AE5604">
      <w:pPr>
        <w:pStyle w:val="Bodytextwithindent"/>
        <w:spacing w:before="0" w:after="0" w:line="240" w:lineRule="auto"/>
        <w:ind w:left="0"/>
        <w:rPr>
          <w:sz w:val="24"/>
          <w:szCs w:val="22"/>
        </w:rPr>
      </w:pPr>
      <w:r w:rsidRPr="000E3FB0">
        <w:rPr>
          <w:sz w:val="24"/>
          <w:szCs w:val="22"/>
        </w:rPr>
        <w:t>Source: GL</w:t>
      </w:r>
      <w:r w:rsidR="00DD4479" w:rsidRPr="000E3FB0">
        <w:rPr>
          <w:sz w:val="24"/>
          <w:szCs w:val="22"/>
        </w:rPr>
        <w:t xml:space="preserve"> </w:t>
      </w:r>
      <w:r w:rsidRPr="000E3FB0">
        <w:rPr>
          <w:sz w:val="24"/>
          <w:szCs w:val="22"/>
        </w:rPr>
        <w:t>H</w:t>
      </w:r>
      <w:r w:rsidR="00DD4479" w:rsidRPr="000E3FB0">
        <w:rPr>
          <w:sz w:val="24"/>
          <w:szCs w:val="22"/>
        </w:rPr>
        <w:t>earn</w:t>
      </w:r>
      <w:r w:rsidRPr="000E3FB0">
        <w:rPr>
          <w:sz w:val="24"/>
          <w:szCs w:val="22"/>
        </w:rPr>
        <w:t xml:space="preserve"> modelling </w:t>
      </w:r>
    </w:p>
    <w:bookmarkEnd w:id="134"/>
    <w:p w:rsidR="00922984" w:rsidRDefault="00922984" w:rsidP="000C05B0">
      <w:pPr>
        <w:pStyle w:val="11Bodytext"/>
        <w:tabs>
          <w:tab w:val="clear" w:pos="2212"/>
          <w:tab w:val="num" w:pos="567"/>
        </w:tabs>
        <w:ind w:left="567" w:hanging="567"/>
      </w:pPr>
      <w:r>
        <w:t xml:space="preserve">We have not calculated a jobs growth for the </w:t>
      </w:r>
      <w:r w:rsidR="00855CA6">
        <w:t>Plan Area</w:t>
      </w:r>
      <w:r>
        <w:t xml:space="preserve"> however t</w:t>
      </w:r>
      <w:r w:rsidR="001C75ED">
        <w:t>he constrained nature of the SDNP and its ag</w:t>
      </w:r>
      <w:r w:rsidR="001C568B">
        <w:t>e</w:t>
      </w:r>
      <w:r w:rsidR="001C75ED">
        <w:t>ing population means that a higher growth</w:t>
      </w:r>
      <w:r>
        <w:t xml:space="preserve"> than 10,295</w:t>
      </w:r>
      <w:r w:rsidR="001C75ED">
        <w:t xml:space="preserve"> would be </w:t>
      </w:r>
      <w:r w:rsidR="00855CA6">
        <w:t>likely</w:t>
      </w:r>
      <w:r>
        <w:t xml:space="preserve">. </w:t>
      </w:r>
    </w:p>
    <w:p w:rsidR="00922984" w:rsidRDefault="00922984" w:rsidP="000C05B0">
      <w:pPr>
        <w:pStyle w:val="11Bodytext"/>
        <w:tabs>
          <w:tab w:val="clear" w:pos="2212"/>
          <w:tab w:val="num" w:pos="567"/>
        </w:tabs>
        <w:ind w:left="567" w:hanging="567"/>
      </w:pPr>
      <w:r>
        <w:t>This is somewhat</w:t>
      </w:r>
      <w:r w:rsidR="001C75ED">
        <w:t xml:space="preserve"> </w:t>
      </w:r>
      <w:r w:rsidR="00855CA6">
        <w:t>counter-</w:t>
      </w:r>
      <w:r w:rsidR="001C75ED">
        <w:t>intuitive</w:t>
      </w:r>
      <w:r w:rsidR="007F7FD3">
        <w:t xml:space="preserve"> as the Plan </w:t>
      </w:r>
      <w:r w:rsidR="00855CA6">
        <w:t>A</w:t>
      </w:r>
      <w:r w:rsidR="007F7FD3">
        <w:t>rea is a subset of the wider district</w:t>
      </w:r>
      <w:r>
        <w:t xml:space="preserve"> and thus a smaller number would, on face value be logical</w:t>
      </w:r>
      <w:r w:rsidR="007F7FD3">
        <w:t>.</w:t>
      </w:r>
      <w:r w:rsidR="00855CA6">
        <w:t xml:space="preserve"> </w:t>
      </w:r>
      <w:r>
        <w:t>However</w:t>
      </w:r>
      <w:r w:rsidR="00855CA6">
        <w:t>,</w:t>
      </w:r>
      <w:r>
        <w:t xml:space="preserve"> we would expect a declining labour force in the SDNP and this element would be factored out.</w:t>
      </w:r>
      <w:r w:rsidR="00855CA6">
        <w:t xml:space="preserve"> </w:t>
      </w:r>
    </w:p>
    <w:p w:rsidR="002804C6" w:rsidRPr="004A6711" w:rsidRDefault="00922984" w:rsidP="000C05B0">
      <w:pPr>
        <w:pStyle w:val="11Bodytext"/>
        <w:tabs>
          <w:tab w:val="clear" w:pos="2212"/>
          <w:tab w:val="num" w:pos="567"/>
        </w:tabs>
        <w:ind w:left="567" w:hanging="567"/>
      </w:pPr>
      <w:r w:rsidRPr="004A6711">
        <w:t xml:space="preserve">It is also the case that </w:t>
      </w:r>
      <w:r w:rsidR="001C75ED" w:rsidRPr="004A6711">
        <w:t>the commuting ratio is based on th</w:t>
      </w:r>
      <w:r w:rsidRPr="004A6711">
        <w:t>e district so a like for like comparison is not possible</w:t>
      </w:r>
      <w:r w:rsidR="001C75ED" w:rsidRPr="004A6711">
        <w:t>.</w:t>
      </w:r>
      <w:r w:rsidR="00855CA6" w:rsidRPr="004A6711">
        <w:t xml:space="preserve"> </w:t>
      </w:r>
      <w:r w:rsidR="001C75ED" w:rsidRPr="004A6711">
        <w:t>Furthermore</w:t>
      </w:r>
      <w:r w:rsidR="00855CA6" w:rsidRPr="004A6711">
        <w:t>,</w:t>
      </w:r>
      <w:r w:rsidR="001C75ED" w:rsidRPr="004A6711">
        <w:t xml:space="preserve"> </w:t>
      </w:r>
      <w:r w:rsidRPr="004A6711">
        <w:t>the district</w:t>
      </w:r>
      <w:r w:rsidR="00855CA6" w:rsidRPr="004A6711">
        <w:t>-</w:t>
      </w:r>
      <w:r w:rsidRPr="004A6711">
        <w:t xml:space="preserve">wide figure provides </w:t>
      </w:r>
      <w:r w:rsidR="001C75ED" w:rsidRPr="004A6711">
        <w:t>a fairer comparison to the economic forecasts.</w:t>
      </w:r>
    </w:p>
    <w:p w:rsidR="002804C6" w:rsidRPr="009E3EEA" w:rsidRDefault="002804C6" w:rsidP="00805614">
      <w:pPr>
        <w:pStyle w:val="Subheadingbold"/>
        <w:ind w:left="567" w:firstLine="0"/>
      </w:pPr>
      <w:bookmarkStart w:id="136" w:name="_Hlk27563890"/>
      <w:r w:rsidRPr="009E3EEA">
        <w:t>Comparison to Employment Forecasts</w:t>
      </w:r>
    </w:p>
    <w:p w:rsidR="002804C6" w:rsidRPr="009E3EEA" w:rsidRDefault="002804C6" w:rsidP="000C05B0">
      <w:pPr>
        <w:pStyle w:val="11Bodytext"/>
        <w:tabs>
          <w:tab w:val="clear" w:pos="2212"/>
          <w:tab w:val="num" w:pos="567"/>
        </w:tabs>
        <w:ind w:left="567" w:hanging="567"/>
      </w:pPr>
      <w:r w:rsidRPr="009E3EEA">
        <w:t xml:space="preserve">To ensure that the </w:t>
      </w:r>
      <w:r w:rsidR="00922984">
        <w:t>district and plan area</w:t>
      </w:r>
      <w:r w:rsidRPr="009E3EEA">
        <w:t xml:space="preserve"> has a sufficient workforce to meet their economic ambitions, we have compared the above outputs with economic forecasts produced by Oxford Economics and the growth scenario reported in the previous chapter of this report.</w:t>
      </w:r>
      <w:r w:rsidR="00855CA6">
        <w:t xml:space="preserve"> </w:t>
      </w:r>
      <w:r w:rsidRPr="009E3EEA">
        <w:t xml:space="preserve"> </w:t>
      </w:r>
    </w:p>
    <w:p w:rsidR="002804C6" w:rsidRPr="009E3EEA" w:rsidRDefault="002804C6" w:rsidP="000C05B0">
      <w:pPr>
        <w:pStyle w:val="11Bodytext"/>
        <w:tabs>
          <w:tab w:val="clear" w:pos="2212"/>
          <w:tab w:val="num" w:pos="567"/>
        </w:tabs>
        <w:ind w:left="567" w:hanging="567"/>
      </w:pPr>
      <w:r w:rsidRPr="009E3EEA">
        <w:t xml:space="preserve">Section 2 of this report sets out the situation in relation to forecast housing needs and associated population growth. </w:t>
      </w:r>
      <w:r w:rsidRPr="004F4DBD">
        <w:t xml:space="preserve">The </w:t>
      </w:r>
      <w:r w:rsidR="00855CA6" w:rsidRPr="004F4DBD">
        <w:t>district</w:t>
      </w:r>
      <w:r w:rsidR="00855CA6">
        <w:t>-</w:t>
      </w:r>
      <w:r w:rsidRPr="004F4DBD">
        <w:t>wide</w:t>
      </w:r>
      <w:r w:rsidRPr="009E3EEA">
        <w:t xml:space="preserve"> housing need of 731 dwellings per annum </w:t>
      </w:r>
      <w:r w:rsidRPr="004F4DBD">
        <w:t>is perhaps a more appropriate comparison to the economic forecast given that they are based on the same geographic scale.</w:t>
      </w:r>
    </w:p>
    <w:p w:rsidR="002804C6" w:rsidRPr="009E3EEA" w:rsidRDefault="002329E7" w:rsidP="000C05B0">
      <w:pPr>
        <w:pStyle w:val="11Bodytext"/>
        <w:tabs>
          <w:tab w:val="clear" w:pos="2212"/>
          <w:tab w:val="num" w:pos="567"/>
        </w:tabs>
        <w:ind w:left="567" w:hanging="567"/>
      </w:pPr>
      <w:r>
        <w:lastRenderedPageBreak/>
        <w:t>Table 22</w:t>
      </w:r>
      <w:r w:rsidR="002804C6" w:rsidRPr="009E3EEA">
        <w:t xml:space="preserve"> sets out the population and associated change in employment for the housing scenario. </w:t>
      </w:r>
      <w:r w:rsidR="001C568B">
        <w:t>F</w:t>
      </w:r>
      <w:r w:rsidR="002804C6" w:rsidRPr="009E3EEA">
        <w:t>or completeness</w:t>
      </w:r>
      <w:r w:rsidR="00855CA6">
        <w:t>,</w:t>
      </w:r>
      <w:r w:rsidR="002804C6" w:rsidRPr="009E3EEA">
        <w:t xml:space="preserve"> the housing requirement associated with the labour demand baseline and growth models is also included.</w:t>
      </w:r>
      <w:r w:rsidR="002804C6" w:rsidRPr="004F4DBD">
        <w:t xml:space="preserve"> </w:t>
      </w:r>
      <w:r w:rsidR="002F7AD3">
        <w:t>This data is also provided in Appendix B for the alternative plan period.</w:t>
      </w:r>
    </w:p>
    <w:p w:rsidR="002804C6" w:rsidRPr="009E3EEA" w:rsidRDefault="000E3FB0" w:rsidP="00AE5604">
      <w:pPr>
        <w:pStyle w:val="Tableheading"/>
        <w:tabs>
          <w:tab w:val="clear" w:pos="794"/>
          <w:tab w:val="clear" w:pos="1843"/>
          <w:tab w:val="left" w:pos="0"/>
        </w:tabs>
        <w:ind w:left="0" w:firstLine="0"/>
      </w:pPr>
      <w:r>
        <w:t>J</w:t>
      </w:r>
      <w:r w:rsidR="002804C6" w:rsidRPr="009E3EEA">
        <w:t>obs by housing scenario (2019-2036)</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2: Jobs by housing scenario (2019-2036)"/>
      </w:tblPr>
      <w:tblGrid>
        <w:gridCol w:w="3546"/>
        <w:gridCol w:w="1588"/>
        <w:gridCol w:w="2064"/>
        <w:gridCol w:w="2440"/>
      </w:tblGrid>
      <w:tr w:rsidR="00175FE8" w:rsidRPr="000E3FB0" w:rsidTr="00AE5604">
        <w:trPr>
          <w:trHeight w:val="241"/>
          <w:tblHeader/>
        </w:trPr>
        <w:tc>
          <w:tcPr>
            <w:tcW w:w="1839" w:type="pct"/>
            <w:shd w:val="clear" w:color="auto" w:fill="0093D5" w:themeFill="accent2"/>
          </w:tcPr>
          <w:p w:rsidR="001C75ED" w:rsidRPr="00AD1AAD" w:rsidRDefault="001C75ED" w:rsidP="00AD1AAD">
            <w:pPr>
              <w:rPr>
                <w:rFonts w:ascii="Arial Narrow" w:hAnsi="Arial Narrow"/>
                <w:b/>
              </w:rPr>
            </w:pPr>
            <w:bookmarkStart w:id="137" w:name="_Hlk27744627"/>
            <w:r w:rsidRPr="00AD1AAD">
              <w:rPr>
                <w:rFonts w:ascii="Arial Narrow" w:hAnsi="Arial Narrow"/>
                <w:color w:val="FFFFFF" w:themeColor="background1"/>
                <w:sz w:val="24"/>
              </w:rPr>
              <w:t>Scenario</w:t>
            </w:r>
          </w:p>
        </w:tc>
        <w:tc>
          <w:tcPr>
            <w:tcW w:w="824" w:type="pct"/>
            <w:shd w:val="clear" w:color="auto" w:fill="0093D5" w:themeFill="accent2"/>
          </w:tcPr>
          <w:p w:rsidR="001C75ED" w:rsidRPr="000E3FB0" w:rsidRDefault="001C75ED" w:rsidP="000E3FB0">
            <w:pPr>
              <w:keepNext/>
              <w:spacing w:line="300" w:lineRule="auto"/>
              <w:jc w:val="center"/>
              <w:rPr>
                <w:rFonts w:ascii="Arial Narrow" w:hAnsi="Arial Narrow"/>
                <w:bCs/>
                <w:color w:val="FFFFFF" w:themeColor="background1"/>
                <w:sz w:val="24"/>
                <w:szCs w:val="24"/>
              </w:rPr>
            </w:pPr>
            <w:r w:rsidRPr="000E3FB0">
              <w:rPr>
                <w:rFonts w:ascii="Arial Narrow" w:hAnsi="Arial Narrow"/>
                <w:bCs/>
                <w:color w:val="FFFFFF" w:themeColor="background1"/>
                <w:sz w:val="24"/>
                <w:szCs w:val="24"/>
              </w:rPr>
              <w:t>Jobs</w:t>
            </w:r>
          </w:p>
        </w:tc>
        <w:tc>
          <w:tcPr>
            <w:tcW w:w="1071" w:type="pct"/>
            <w:shd w:val="clear" w:color="auto" w:fill="0093D5" w:themeFill="accent2"/>
          </w:tcPr>
          <w:p w:rsidR="001C75ED" w:rsidRPr="000E3FB0" w:rsidRDefault="001C75ED" w:rsidP="000E3FB0">
            <w:pPr>
              <w:keepNext/>
              <w:spacing w:line="300" w:lineRule="auto"/>
              <w:jc w:val="center"/>
              <w:rPr>
                <w:rFonts w:ascii="Arial Narrow" w:hAnsi="Arial Narrow"/>
                <w:bCs/>
                <w:color w:val="FFFFFF" w:themeColor="background1"/>
                <w:sz w:val="24"/>
                <w:szCs w:val="24"/>
              </w:rPr>
            </w:pPr>
            <w:r w:rsidRPr="000E3FB0">
              <w:rPr>
                <w:rFonts w:ascii="Arial Narrow" w:hAnsi="Arial Narrow"/>
                <w:bCs/>
                <w:color w:val="FFFFFF" w:themeColor="background1"/>
                <w:sz w:val="24"/>
                <w:szCs w:val="24"/>
              </w:rPr>
              <w:t>Jobs Per Annum</w:t>
            </w:r>
          </w:p>
        </w:tc>
        <w:tc>
          <w:tcPr>
            <w:tcW w:w="1266" w:type="pct"/>
            <w:shd w:val="clear" w:color="auto" w:fill="0093D5" w:themeFill="accent2"/>
          </w:tcPr>
          <w:p w:rsidR="001C75ED" w:rsidRPr="000E3FB0" w:rsidRDefault="001C75ED" w:rsidP="000E3FB0">
            <w:pPr>
              <w:keepNext/>
              <w:spacing w:line="300" w:lineRule="auto"/>
              <w:jc w:val="center"/>
              <w:rPr>
                <w:rFonts w:ascii="Arial Narrow" w:hAnsi="Arial Narrow"/>
                <w:bCs/>
                <w:color w:val="FFFFFF" w:themeColor="background1"/>
                <w:sz w:val="24"/>
                <w:szCs w:val="24"/>
              </w:rPr>
            </w:pPr>
            <w:r w:rsidRPr="000E3FB0">
              <w:rPr>
                <w:rFonts w:ascii="Arial Narrow" w:hAnsi="Arial Narrow"/>
                <w:bCs/>
                <w:color w:val="FFFFFF" w:themeColor="background1"/>
                <w:sz w:val="24"/>
                <w:szCs w:val="24"/>
              </w:rPr>
              <w:t>Dwellings per annum</w:t>
            </w:r>
          </w:p>
        </w:tc>
      </w:tr>
      <w:tr w:rsidR="00175FE8" w:rsidRPr="000E3FB0" w:rsidTr="00AE5604">
        <w:trPr>
          <w:trHeight w:val="241"/>
        </w:trPr>
        <w:tc>
          <w:tcPr>
            <w:tcW w:w="1839" w:type="pct"/>
          </w:tcPr>
          <w:p w:rsidR="001C75ED" w:rsidRPr="000E3FB0" w:rsidRDefault="005B15AD" w:rsidP="000E3FB0">
            <w:pPr>
              <w:keepNext/>
              <w:spacing w:line="300" w:lineRule="auto"/>
              <w:rPr>
                <w:rFonts w:ascii="Arial Narrow" w:hAnsi="Arial Narrow"/>
                <w:b/>
                <w:bCs/>
                <w:sz w:val="24"/>
                <w:szCs w:val="24"/>
              </w:rPr>
            </w:pPr>
            <w:r w:rsidRPr="000E3FB0">
              <w:rPr>
                <w:rFonts w:ascii="Arial Narrow" w:hAnsi="Arial Narrow"/>
                <w:bCs/>
                <w:sz w:val="24"/>
                <w:szCs w:val="24"/>
              </w:rPr>
              <w:t xml:space="preserve">Labour supply </w:t>
            </w:r>
            <w:r w:rsidR="001C75ED" w:rsidRPr="000E3FB0">
              <w:rPr>
                <w:rFonts w:ascii="Arial Narrow" w:hAnsi="Arial Narrow"/>
                <w:bCs/>
                <w:sz w:val="24"/>
                <w:szCs w:val="24"/>
              </w:rPr>
              <w:t>731 (district wide)</w:t>
            </w:r>
          </w:p>
        </w:tc>
        <w:tc>
          <w:tcPr>
            <w:tcW w:w="824" w:type="pct"/>
          </w:tcPr>
          <w:p w:rsidR="001C75ED" w:rsidRPr="000E3FB0" w:rsidRDefault="001C75ED" w:rsidP="000E3FB0">
            <w:pPr>
              <w:keepNext/>
              <w:spacing w:line="300" w:lineRule="auto"/>
              <w:contextualSpacing/>
              <w:jc w:val="center"/>
              <w:rPr>
                <w:rFonts w:ascii="Arial Narrow" w:hAnsi="Arial Narrow"/>
                <w:bCs/>
                <w:sz w:val="24"/>
                <w:szCs w:val="24"/>
              </w:rPr>
            </w:pPr>
            <w:r w:rsidRPr="000E3FB0">
              <w:rPr>
                <w:rFonts w:ascii="Arial Narrow" w:hAnsi="Arial Narrow"/>
                <w:color w:val="auto"/>
                <w:sz w:val="24"/>
                <w:szCs w:val="24"/>
              </w:rPr>
              <w:t>10,295</w:t>
            </w:r>
          </w:p>
        </w:tc>
        <w:tc>
          <w:tcPr>
            <w:tcW w:w="1071" w:type="pct"/>
          </w:tcPr>
          <w:p w:rsidR="001C75ED" w:rsidRPr="000E3FB0" w:rsidRDefault="001C75ED" w:rsidP="000E3FB0">
            <w:pPr>
              <w:keepNext/>
              <w:spacing w:line="300" w:lineRule="auto"/>
              <w:contextualSpacing/>
              <w:jc w:val="center"/>
              <w:rPr>
                <w:rFonts w:ascii="Arial Narrow" w:hAnsi="Arial Narrow"/>
                <w:bCs/>
                <w:sz w:val="24"/>
                <w:szCs w:val="24"/>
              </w:rPr>
            </w:pPr>
            <w:r w:rsidRPr="000E3FB0">
              <w:rPr>
                <w:rFonts w:ascii="Arial Narrow" w:hAnsi="Arial Narrow"/>
                <w:color w:val="000000"/>
                <w:sz w:val="24"/>
                <w:szCs w:val="24"/>
              </w:rPr>
              <w:t>542</w:t>
            </w:r>
          </w:p>
        </w:tc>
        <w:tc>
          <w:tcPr>
            <w:tcW w:w="1266" w:type="pct"/>
          </w:tcPr>
          <w:p w:rsidR="001C75ED" w:rsidRPr="000E3FB0" w:rsidRDefault="001C75ED" w:rsidP="000E3FB0">
            <w:pPr>
              <w:keepNext/>
              <w:spacing w:line="300" w:lineRule="auto"/>
              <w:contextualSpacing/>
              <w:jc w:val="center"/>
              <w:rPr>
                <w:rFonts w:ascii="Arial Narrow" w:hAnsi="Arial Narrow"/>
                <w:bCs/>
                <w:sz w:val="24"/>
                <w:szCs w:val="24"/>
              </w:rPr>
            </w:pPr>
            <w:r w:rsidRPr="000E3FB0">
              <w:rPr>
                <w:rFonts w:ascii="Arial Narrow" w:hAnsi="Arial Narrow"/>
                <w:bCs/>
                <w:sz w:val="24"/>
                <w:szCs w:val="24"/>
              </w:rPr>
              <w:t>731</w:t>
            </w:r>
          </w:p>
        </w:tc>
      </w:tr>
      <w:tr w:rsidR="001C75ED" w:rsidRPr="000E3FB0" w:rsidTr="00AE5604">
        <w:trPr>
          <w:trHeight w:val="241"/>
        </w:trPr>
        <w:tc>
          <w:tcPr>
            <w:tcW w:w="1839" w:type="pct"/>
          </w:tcPr>
          <w:p w:rsidR="001C75ED" w:rsidRPr="000E3FB0" w:rsidRDefault="00175FE8" w:rsidP="000E3FB0">
            <w:pPr>
              <w:keepNext/>
              <w:spacing w:line="300" w:lineRule="auto"/>
              <w:rPr>
                <w:rFonts w:ascii="Arial Narrow" w:hAnsi="Arial Narrow"/>
                <w:b/>
                <w:bCs/>
                <w:color w:val="000000"/>
                <w:sz w:val="24"/>
                <w:szCs w:val="24"/>
              </w:rPr>
            </w:pPr>
            <w:r w:rsidRPr="000E3FB0">
              <w:rPr>
                <w:rFonts w:ascii="Arial Narrow" w:hAnsi="Arial Narrow"/>
                <w:bCs/>
                <w:sz w:val="24"/>
                <w:szCs w:val="24"/>
              </w:rPr>
              <w:t>L</w:t>
            </w:r>
            <w:r w:rsidR="001C75ED" w:rsidRPr="000E3FB0">
              <w:rPr>
                <w:rFonts w:ascii="Arial Narrow" w:hAnsi="Arial Narrow"/>
                <w:bCs/>
                <w:sz w:val="24"/>
                <w:szCs w:val="24"/>
              </w:rPr>
              <w:t>abour demand baseline (district)</w:t>
            </w:r>
          </w:p>
        </w:tc>
        <w:tc>
          <w:tcPr>
            <w:tcW w:w="824" w:type="pct"/>
          </w:tcPr>
          <w:p w:rsidR="001C75ED" w:rsidRPr="000E3FB0" w:rsidRDefault="001C75ED" w:rsidP="000E3FB0">
            <w:pPr>
              <w:keepNext/>
              <w:spacing w:line="300" w:lineRule="auto"/>
              <w:contextualSpacing/>
              <w:jc w:val="center"/>
              <w:rPr>
                <w:rFonts w:ascii="Arial Narrow" w:hAnsi="Arial Narrow"/>
                <w:bCs/>
                <w:color w:val="000000"/>
                <w:sz w:val="24"/>
                <w:szCs w:val="24"/>
              </w:rPr>
            </w:pPr>
            <w:r w:rsidRPr="000E3FB0">
              <w:rPr>
                <w:rFonts w:ascii="Arial Narrow" w:hAnsi="Arial Narrow"/>
                <w:bCs/>
                <w:sz w:val="24"/>
                <w:szCs w:val="24"/>
              </w:rPr>
              <w:t>3,655</w:t>
            </w:r>
          </w:p>
        </w:tc>
        <w:tc>
          <w:tcPr>
            <w:tcW w:w="1071" w:type="pct"/>
          </w:tcPr>
          <w:p w:rsidR="001C75ED" w:rsidRPr="000E3FB0" w:rsidRDefault="001C75ED" w:rsidP="000E3FB0">
            <w:pPr>
              <w:keepNext/>
              <w:spacing w:line="300" w:lineRule="auto"/>
              <w:contextualSpacing/>
              <w:jc w:val="center"/>
              <w:rPr>
                <w:rFonts w:ascii="Arial Narrow" w:hAnsi="Arial Narrow"/>
                <w:bCs/>
                <w:sz w:val="24"/>
                <w:szCs w:val="24"/>
              </w:rPr>
            </w:pPr>
            <w:r w:rsidRPr="000E3FB0">
              <w:rPr>
                <w:rFonts w:ascii="Arial Narrow" w:hAnsi="Arial Narrow"/>
                <w:color w:val="000000"/>
                <w:sz w:val="24"/>
                <w:szCs w:val="24"/>
              </w:rPr>
              <w:t>192</w:t>
            </w:r>
          </w:p>
        </w:tc>
        <w:tc>
          <w:tcPr>
            <w:tcW w:w="1266" w:type="pct"/>
          </w:tcPr>
          <w:p w:rsidR="001C75ED" w:rsidRPr="000E3FB0" w:rsidRDefault="001C75ED" w:rsidP="000E3FB0">
            <w:pPr>
              <w:keepNext/>
              <w:spacing w:line="300" w:lineRule="auto"/>
              <w:contextualSpacing/>
              <w:jc w:val="center"/>
              <w:rPr>
                <w:rFonts w:ascii="Arial Narrow" w:hAnsi="Arial Narrow"/>
                <w:bCs/>
                <w:sz w:val="24"/>
                <w:szCs w:val="24"/>
              </w:rPr>
            </w:pPr>
            <w:r w:rsidRPr="000E3FB0">
              <w:rPr>
                <w:rFonts w:ascii="Arial Narrow" w:hAnsi="Arial Narrow"/>
                <w:bCs/>
                <w:sz w:val="24"/>
                <w:szCs w:val="24"/>
              </w:rPr>
              <w:t>513</w:t>
            </w:r>
          </w:p>
        </w:tc>
      </w:tr>
      <w:tr w:rsidR="00175FE8" w:rsidRPr="000E3FB0" w:rsidTr="00AE5604">
        <w:trPr>
          <w:trHeight w:val="241"/>
        </w:trPr>
        <w:tc>
          <w:tcPr>
            <w:tcW w:w="1839" w:type="pct"/>
          </w:tcPr>
          <w:p w:rsidR="001C75ED" w:rsidRPr="000E3FB0" w:rsidRDefault="00175FE8" w:rsidP="000E3FB0">
            <w:pPr>
              <w:keepNext/>
              <w:spacing w:line="300" w:lineRule="auto"/>
              <w:rPr>
                <w:rFonts w:ascii="Arial Narrow" w:hAnsi="Arial Narrow"/>
                <w:b/>
                <w:bCs/>
                <w:color w:val="000000"/>
                <w:sz w:val="24"/>
                <w:szCs w:val="24"/>
              </w:rPr>
            </w:pPr>
            <w:r w:rsidRPr="000E3FB0">
              <w:rPr>
                <w:rFonts w:ascii="Arial Narrow" w:hAnsi="Arial Narrow"/>
                <w:bCs/>
                <w:sz w:val="24"/>
                <w:szCs w:val="24"/>
              </w:rPr>
              <w:t>L</w:t>
            </w:r>
            <w:r w:rsidR="001C75ED" w:rsidRPr="000E3FB0">
              <w:rPr>
                <w:rFonts w:ascii="Arial Narrow" w:hAnsi="Arial Narrow"/>
                <w:bCs/>
                <w:sz w:val="24"/>
                <w:szCs w:val="24"/>
              </w:rPr>
              <w:t>abour demand growth (district)</w:t>
            </w:r>
          </w:p>
        </w:tc>
        <w:tc>
          <w:tcPr>
            <w:tcW w:w="824" w:type="pct"/>
          </w:tcPr>
          <w:p w:rsidR="001C75ED" w:rsidRPr="000E3FB0" w:rsidRDefault="001C75ED" w:rsidP="000E3FB0">
            <w:pPr>
              <w:keepNext/>
              <w:spacing w:line="300" w:lineRule="auto"/>
              <w:contextualSpacing/>
              <w:jc w:val="center"/>
              <w:rPr>
                <w:rFonts w:ascii="Arial Narrow" w:hAnsi="Arial Narrow"/>
                <w:bCs/>
                <w:color w:val="000000"/>
                <w:sz w:val="24"/>
                <w:szCs w:val="24"/>
              </w:rPr>
            </w:pPr>
            <w:r w:rsidRPr="000E3FB0">
              <w:rPr>
                <w:rFonts w:ascii="Arial Narrow" w:hAnsi="Arial Narrow"/>
                <w:bCs/>
                <w:sz w:val="24"/>
                <w:szCs w:val="24"/>
              </w:rPr>
              <w:t>9,511</w:t>
            </w:r>
          </w:p>
        </w:tc>
        <w:tc>
          <w:tcPr>
            <w:tcW w:w="1071" w:type="pct"/>
          </w:tcPr>
          <w:p w:rsidR="001C75ED" w:rsidRPr="000E3FB0" w:rsidRDefault="001C75ED" w:rsidP="000E3FB0">
            <w:pPr>
              <w:keepNext/>
              <w:spacing w:line="300" w:lineRule="auto"/>
              <w:contextualSpacing/>
              <w:jc w:val="center"/>
              <w:rPr>
                <w:rFonts w:ascii="Arial Narrow" w:hAnsi="Arial Narrow"/>
                <w:bCs/>
                <w:sz w:val="24"/>
                <w:szCs w:val="24"/>
              </w:rPr>
            </w:pPr>
            <w:r w:rsidRPr="000E3FB0">
              <w:rPr>
                <w:rFonts w:ascii="Arial Narrow" w:hAnsi="Arial Narrow"/>
                <w:color w:val="000000"/>
                <w:sz w:val="24"/>
                <w:szCs w:val="24"/>
              </w:rPr>
              <w:t>501</w:t>
            </w:r>
          </w:p>
        </w:tc>
        <w:tc>
          <w:tcPr>
            <w:tcW w:w="1266" w:type="pct"/>
          </w:tcPr>
          <w:p w:rsidR="001C75ED" w:rsidRPr="000E3FB0" w:rsidRDefault="001C75ED" w:rsidP="000E3FB0">
            <w:pPr>
              <w:keepNext/>
              <w:spacing w:line="300" w:lineRule="auto"/>
              <w:contextualSpacing/>
              <w:jc w:val="center"/>
              <w:rPr>
                <w:rFonts w:ascii="Arial Narrow" w:hAnsi="Arial Narrow"/>
                <w:bCs/>
                <w:sz w:val="24"/>
                <w:szCs w:val="24"/>
              </w:rPr>
            </w:pPr>
            <w:r w:rsidRPr="000E3FB0">
              <w:rPr>
                <w:rFonts w:ascii="Arial Narrow" w:hAnsi="Arial Narrow"/>
                <w:bCs/>
                <w:sz w:val="24"/>
                <w:szCs w:val="24"/>
              </w:rPr>
              <w:t>685</w:t>
            </w:r>
          </w:p>
        </w:tc>
      </w:tr>
    </w:tbl>
    <w:bookmarkEnd w:id="137"/>
    <w:p w:rsidR="002804C6" w:rsidRPr="009E3EEA" w:rsidRDefault="002804C6" w:rsidP="00AE5604">
      <w:pPr>
        <w:pStyle w:val="11Bodytext"/>
        <w:numPr>
          <w:ilvl w:val="0"/>
          <w:numId w:val="0"/>
        </w:numPr>
        <w:spacing w:before="0" w:after="0"/>
      </w:pPr>
      <w:r w:rsidRPr="004F4DBD">
        <w:t>S</w:t>
      </w:r>
      <w:r w:rsidRPr="009E3EEA">
        <w:t xml:space="preserve">ource: </w:t>
      </w:r>
      <w:r w:rsidRPr="004F4DBD">
        <w:t>GL H</w:t>
      </w:r>
      <w:r w:rsidRPr="009E3EEA">
        <w:t>earn /</w:t>
      </w:r>
      <w:r w:rsidRPr="004F4DBD">
        <w:t>O</w:t>
      </w:r>
      <w:r w:rsidRPr="009E3EEA">
        <w:t xml:space="preserve">xford </w:t>
      </w:r>
      <w:r w:rsidRPr="004F4DBD">
        <w:t>E</w:t>
      </w:r>
      <w:r w:rsidRPr="009E3EEA">
        <w:t>conomics 2019</w:t>
      </w:r>
    </w:p>
    <w:p w:rsidR="002804C6" w:rsidRPr="000E3FB0" w:rsidRDefault="002804C6" w:rsidP="000C05B0">
      <w:pPr>
        <w:pStyle w:val="11Bodytext"/>
        <w:tabs>
          <w:tab w:val="clear" w:pos="2212"/>
          <w:tab w:val="num" w:pos="567"/>
        </w:tabs>
        <w:ind w:left="567" w:hanging="567"/>
        <w:rPr>
          <w:color w:val="auto"/>
        </w:rPr>
      </w:pPr>
      <w:r w:rsidRPr="00175FE8">
        <w:t>Jobs change is slightly higher (+7</w:t>
      </w:r>
      <w:r w:rsidR="005B15AD">
        <w:t>84</w:t>
      </w:r>
      <w:r w:rsidRPr="00175FE8">
        <w:t xml:space="preserve"> jobs) for 2019-36 period within the Labour Supply scenario than the Labour Demand Growth scenario.</w:t>
      </w:r>
      <w:r w:rsidR="00855CA6">
        <w:t xml:space="preserve"> </w:t>
      </w:r>
      <w:r w:rsidRPr="00175FE8">
        <w:t>This equates to only around 4</w:t>
      </w:r>
      <w:r w:rsidR="005B15AD">
        <w:t>6</w:t>
      </w:r>
      <w:r w:rsidRPr="00175FE8">
        <w:t xml:space="preserve"> jobs per annum so it is not a substantial difference. </w:t>
      </w:r>
      <w:r w:rsidR="00175FE8" w:rsidRPr="002B4926">
        <w:rPr>
          <w:b/>
        </w:rPr>
        <w:t xml:space="preserve">This also means that the Council does not </w:t>
      </w:r>
      <w:r w:rsidR="001C568B" w:rsidRPr="002B4926">
        <w:rPr>
          <w:b/>
        </w:rPr>
        <w:t>need</w:t>
      </w:r>
      <w:r w:rsidR="00175FE8" w:rsidRPr="002B4926">
        <w:rPr>
          <w:b/>
        </w:rPr>
        <w:t xml:space="preserve"> to increase the housing need to support the local economic growth.</w:t>
      </w:r>
      <w:bookmarkEnd w:id="136"/>
    </w:p>
    <w:tbl>
      <w:tblPr>
        <w:tblStyle w:val="TableGrid"/>
        <w:tblW w:w="5000" w:type="pct"/>
        <w:tblBorders>
          <w:top w:val="single" w:sz="18" w:space="0" w:color="0093D5" w:themeColor="accent2"/>
          <w:left w:val="single" w:sz="18" w:space="0" w:color="0093D5" w:themeColor="accent2"/>
          <w:bottom w:val="single" w:sz="18" w:space="0" w:color="0093D5" w:themeColor="accent2"/>
          <w:right w:val="single" w:sz="18" w:space="0" w:color="0093D5" w:themeColor="accent2"/>
          <w:insideH w:val="single" w:sz="18" w:space="0" w:color="0093D5" w:themeColor="accent2"/>
          <w:insideV w:val="single" w:sz="18" w:space="0" w:color="0093D5" w:themeColor="accent2"/>
        </w:tblBorders>
        <w:tblLook w:val="04A0" w:firstRow="1" w:lastRow="0" w:firstColumn="1" w:lastColumn="0" w:noHBand="0" w:noVBand="1"/>
        <w:tblCaption w:val="Economic Growth and Housing Need: Summary Points"/>
      </w:tblPr>
      <w:tblGrid>
        <w:gridCol w:w="9847"/>
      </w:tblGrid>
      <w:tr w:rsidR="008E554D" w:rsidRPr="00C36E5C" w:rsidTr="008E554D">
        <w:trPr>
          <w:cantSplit/>
          <w:trHeight w:val="35"/>
          <w:tblHeader/>
        </w:trPr>
        <w:tc>
          <w:tcPr>
            <w:tcW w:w="5000" w:type="pct"/>
            <w:tcBorders>
              <w:top w:val="single" w:sz="18" w:space="0" w:color="0093D5" w:themeColor="accent2"/>
              <w:left w:val="single" w:sz="18" w:space="0" w:color="0093D5" w:themeColor="accent2"/>
              <w:bottom w:val="single" w:sz="18" w:space="0" w:color="0093D5" w:themeColor="accent2"/>
              <w:right w:val="single" w:sz="18" w:space="0" w:color="0093D5" w:themeColor="accent2"/>
            </w:tcBorders>
          </w:tcPr>
          <w:p w:rsidR="008E554D" w:rsidRPr="00C36E5C" w:rsidRDefault="008E554D" w:rsidP="008E554D">
            <w:pPr>
              <w:rPr>
                <w:b/>
                <w:color w:val="FF0000"/>
                <w:lang w:val="en-US"/>
              </w:rPr>
            </w:pPr>
            <w:bookmarkStart w:id="138" w:name="_Hlk27762045"/>
            <w:bookmarkStart w:id="139" w:name="_Toc485718382"/>
            <w:bookmarkEnd w:id="127"/>
            <w:bookmarkEnd w:id="128"/>
          </w:p>
          <w:p w:rsidR="008E554D" w:rsidRPr="000B0A9A" w:rsidRDefault="008E554D" w:rsidP="008E554D">
            <w:pPr>
              <w:rPr>
                <w:b/>
                <w:color w:val="auto"/>
                <w:lang w:val="en-US"/>
              </w:rPr>
            </w:pPr>
            <w:r w:rsidRPr="000E3FB0">
              <w:rPr>
                <w:b/>
                <w:color w:val="auto"/>
                <w:sz w:val="24"/>
                <w:szCs w:val="24"/>
                <w:lang w:val="en-US"/>
              </w:rPr>
              <w:t>Economic Growth and Housing Need: Summary Points</w:t>
            </w:r>
          </w:p>
          <w:p w:rsidR="008E554D" w:rsidRPr="000E3FB0" w:rsidRDefault="008E554D" w:rsidP="008E554D">
            <w:pPr>
              <w:pStyle w:val="Bulletblueplain"/>
              <w:tabs>
                <w:tab w:val="clear" w:pos="1078"/>
                <w:tab w:val="num" w:pos="567"/>
              </w:tabs>
              <w:ind w:left="426"/>
              <w:rPr>
                <w:lang w:val="en-US"/>
              </w:rPr>
            </w:pPr>
            <w:r w:rsidRPr="000B0A9A">
              <w:rPr>
                <w:lang w:val="en-US"/>
              </w:rPr>
              <w:t xml:space="preserve">We have examined the link between housing and employment in </w:t>
            </w:r>
            <w:r>
              <w:rPr>
                <w:lang w:val="en-US"/>
              </w:rPr>
              <w:t xml:space="preserve">Chichester District </w:t>
            </w:r>
            <w:r w:rsidRPr="000B0A9A">
              <w:rPr>
                <w:lang w:val="en-US"/>
              </w:rPr>
              <w:t>drawing on several assumptions.</w:t>
            </w:r>
          </w:p>
          <w:p w:rsidR="008E554D" w:rsidRPr="000E3FB0" w:rsidRDefault="008E554D" w:rsidP="008E554D">
            <w:pPr>
              <w:pStyle w:val="Bulletblueplain"/>
              <w:tabs>
                <w:tab w:val="clear" w:pos="1078"/>
                <w:tab w:val="num" w:pos="426"/>
              </w:tabs>
              <w:ind w:left="426"/>
              <w:rPr>
                <w:color w:val="FF0000"/>
                <w:lang w:val="en-US"/>
              </w:rPr>
            </w:pPr>
            <w:r w:rsidRPr="000B0A9A">
              <w:rPr>
                <w:lang w:val="en-US"/>
              </w:rPr>
              <w:t xml:space="preserve">Linked to population growth and age profile in each area, commuting patterns, double jobbing and economic activity rates, the </w:t>
            </w:r>
            <w:r>
              <w:rPr>
                <w:lang w:val="en-US"/>
              </w:rPr>
              <w:t>district (731 dpa) would support an increase of 10,773 jobs over the 2019-2036 period (542 jobs per annum).</w:t>
            </w:r>
          </w:p>
          <w:p w:rsidR="008E554D" w:rsidRPr="000E3FB0" w:rsidRDefault="008E554D" w:rsidP="008E554D">
            <w:pPr>
              <w:pStyle w:val="Bulletblueplain"/>
              <w:tabs>
                <w:tab w:val="clear" w:pos="1078"/>
                <w:tab w:val="num" w:pos="426"/>
              </w:tabs>
              <w:ind w:left="426"/>
              <w:rPr>
                <w:lang w:val="en-US"/>
              </w:rPr>
            </w:pPr>
            <w:r w:rsidRPr="009E3EEA">
              <w:rPr>
                <w:lang w:val="en-US"/>
              </w:rPr>
              <w:t>We have also reviewed the number of homes required to support the jobs growth based on Oxford Economics forecasts and the growth scenario. This found that under the labour demand baseline, the housing need is 513 dpa and under the labour demand growth scenario, housing need is 685 dpa</w:t>
            </w:r>
            <w:r>
              <w:rPr>
                <w:lang w:val="en-US"/>
              </w:rPr>
              <w:t xml:space="preserve"> this is for the district</w:t>
            </w:r>
            <w:r w:rsidRPr="004F4DBD">
              <w:rPr>
                <w:lang w:val="en-US"/>
              </w:rPr>
              <w:t>.</w:t>
            </w:r>
          </w:p>
          <w:p w:rsidR="008E554D" w:rsidRPr="000E3FB0" w:rsidRDefault="008E554D" w:rsidP="008E554D">
            <w:pPr>
              <w:pStyle w:val="Bulletblueplain"/>
              <w:tabs>
                <w:tab w:val="clear" w:pos="1078"/>
                <w:tab w:val="num" w:pos="426"/>
              </w:tabs>
              <w:ind w:left="426"/>
              <w:rPr>
                <w:lang w:val="en-US"/>
              </w:rPr>
            </w:pPr>
            <w:r w:rsidRPr="005E0BCD">
              <w:rPr>
                <w:lang w:val="en-US"/>
              </w:rPr>
              <w:t>There is</w:t>
            </w:r>
            <w:r>
              <w:rPr>
                <w:lang w:val="en-US"/>
              </w:rPr>
              <w:t>, therefore,</w:t>
            </w:r>
            <w:r w:rsidRPr="005E0BCD">
              <w:rPr>
                <w:lang w:val="en-US"/>
              </w:rPr>
              <w:t xml:space="preserve"> no need for additional homes above the </w:t>
            </w:r>
            <w:r>
              <w:rPr>
                <w:lang w:val="en-US"/>
              </w:rPr>
              <w:t>identified Plan Area local housing need and District local housing need</w:t>
            </w:r>
            <w:r w:rsidRPr="005E0BCD">
              <w:rPr>
                <w:lang w:val="en-US"/>
              </w:rPr>
              <w:t xml:space="preserve"> to support local economic growth potential</w:t>
            </w:r>
            <w:r>
              <w:rPr>
                <w:lang w:val="en-US"/>
              </w:rPr>
              <w:t xml:space="preserve"> in the area.</w:t>
            </w:r>
          </w:p>
        </w:tc>
      </w:tr>
    </w:tbl>
    <w:p w:rsidR="00C37DA5" w:rsidRDefault="00C37DA5">
      <w:pPr>
        <w:spacing w:after="200"/>
        <w:rPr>
          <w:rFonts w:asciiTheme="minorHAnsi" w:hAnsiTheme="minorHAnsi" w:cstheme="minorHAnsi"/>
          <w:b/>
          <w:bCs/>
          <w:caps/>
          <w:sz w:val="24"/>
        </w:rPr>
      </w:pPr>
    </w:p>
    <w:p w:rsidR="00922984" w:rsidRDefault="00922984">
      <w:pPr>
        <w:spacing w:after="200"/>
        <w:rPr>
          <w:rFonts w:asciiTheme="minorHAnsi" w:hAnsiTheme="minorHAnsi" w:cstheme="minorHAnsi"/>
          <w:b/>
          <w:bCs/>
          <w:caps/>
          <w:sz w:val="24"/>
        </w:rPr>
      </w:pPr>
      <w:r>
        <w:rPr>
          <w:rFonts w:asciiTheme="minorHAnsi" w:hAnsiTheme="minorHAnsi" w:cstheme="minorHAnsi"/>
        </w:rPr>
        <w:br w:type="page"/>
      </w:r>
    </w:p>
    <w:p w:rsidR="00B008D9" w:rsidRPr="00CA47B9" w:rsidRDefault="00B008D9" w:rsidP="00766669">
      <w:pPr>
        <w:pStyle w:val="1Bodytext"/>
        <w:tabs>
          <w:tab w:val="clear" w:pos="794"/>
          <w:tab w:val="num" w:pos="567"/>
        </w:tabs>
        <w:spacing w:before="0" w:after="120" w:line="360" w:lineRule="auto"/>
        <w:ind w:left="567" w:hanging="567"/>
        <w:rPr>
          <w:rFonts w:asciiTheme="minorHAnsi" w:hAnsiTheme="minorHAnsi" w:cstheme="minorHAnsi"/>
        </w:rPr>
      </w:pPr>
      <w:bookmarkStart w:id="140" w:name="_Toc51600015"/>
      <w:r w:rsidRPr="00CA47B9">
        <w:rPr>
          <w:rFonts w:asciiTheme="minorHAnsi" w:hAnsiTheme="minorHAnsi" w:cstheme="minorHAnsi"/>
        </w:rPr>
        <w:lastRenderedPageBreak/>
        <w:t>Affordable Housing Need</w:t>
      </w:r>
      <w:bookmarkEnd w:id="140"/>
    </w:p>
    <w:p w:rsidR="00B008D9" w:rsidRPr="00CA47B9" w:rsidRDefault="00B008D9" w:rsidP="00805614">
      <w:pPr>
        <w:pStyle w:val="Addressline1"/>
        <w:ind w:left="567" w:firstLine="0"/>
      </w:pPr>
      <w:r w:rsidRPr="00CA47B9">
        <w:t>Introduction</w:t>
      </w:r>
    </w:p>
    <w:p w:rsidR="00B008D9" w:rsidRPr="00CA47B9" w:rsidRDefault="00B008D9" w:rsidP="000C05B0">
      <w:pPr>
        <w:pStyle w:val="11Bodytext"/>
        <w:tabs>
          <w:tab w:val="clear" w:pos="2212"/>
          <w:tab w:val="num" w:pos="567"/>
        </w:tabs>
        <w:ind w:left="567" w:hanging="567"/>
        <w:rPr>
          <w:color w:val="auto"/>
        </w:rPr>
      </w:pPr>
      <w:r w:rsidRPr="00CA47B9">
        <w:t xml:space="preserve">This section discusses the level of affordable housing need in Chichester. </w:t>
      </w:r>
      <w:bookmarkStart w:id="141" w:name="_Hlk498603059"/>
      <w:r w:rsidRPr="00CA47B9">
        <w:t xml:space="preserve">Affordable housing is defined in Annex 2 of the NPPF (2019). The new definition is slightly wider than the previous NPPF (2012) definition; in particular, a series of affordable </w:t>
      </w:r>
      <w:r w:rsidR="00451CFA">
        <w:t>home ownership</w:t>
      </w:r>
      <w:r w:rsidRPr="00CA47B9">
        <w:t xml:space="preserve"> options are considered to be affordable housing. </w:t>
      </w:r>
    </w:p>
    <w:p w:rsidR="00B008D9" w:rsidRPr="00CA47B9" w:rsidRDefault="00B008D9" w:rsidP="000C05B0">
      <w:pPr>
        <w:pStyle w:val="11Bodytext"/>
        <w:tabs>
          <w:tab w:val="clear" w:pos="2212"/>
          <w:tab w:val="num" w:pos="567"/>
        </w:tabs>
        <w:ind w:left="567" w:hanging="567"/>
      </w:pPr>
      <w:r w:rsidRPr="00CA47B9">
        <w:t xml:space="preserve">The Planning Practice Guidance relating to the measurement of affordable housing need was updated in February 2019, although it is similar to that set out in draft in March 2018. The PPG describes the calculation of affordable housing need as relating to </w:t>
      </w:r>
      <w:r w:rsidRPr="00CA47B9">
        <w:rPr>
          <w:i/>
        </w:rPr>
        <w:t>‘the current number of households and projected number of households who lack their own housing or who cannot afford to meet their housing needs in the market’</w:t>
      </w:r>
      <w:r w:rsidRPr="00CA47B9">
        <w:t>.</w:t>
      </w:r>
    </w:p>
    <w:p w:rsidR="00B008D9" w:rsidRPr="00CA47B9" w:rsidRDefault="00B008D9" w:rsidP="000C05B0">
      <w:pPr>
        <w:pStyle w:val="11Bodytext"/>
        <w:tabs>
          <w:tab w:val="clear" w:pos="2212"/>
          <w:tab w:val="num" w:pos="567"/>
        </w:tabs>
        <w:ind w:left="567" w:hanging="567"/>
      </w:pPr>
      <w:r w:rsidRPr="00CA47B9">
        <w:t xml:space="preserve">A methodology is set out in the PPG to look at affordable need, this is largely the same as the previous PPG method and does not address the additional (affordable </w:t>
      </w:r>
      <w:r w:rsidR="00451CFA">
        <w:t>home ownership</w:t>
      </w:r>
      <w:r w:rsidRPr="00CA47B9">
        <w:t xml:space="preserve">) definition other than to identify “the number of households from other tenures in need and those that cannot afford their own homes, either to rent or to own, where that is their aspiration”. </w:t>
      </w:r>
    </w:p>
    <w:p w:rsidR="00B008D9" w:rsidRPr="00CA47B9" w:rsidRDefault="00B008D9" w:rsidP="000C05B0">
      <w:pPr>
        <w:pStyle w:val="11Bodytext"/>
        <w:tabs>
          <w:tab w:val="clear" w:pos="2212"/>
          <w:tab w:val="num" w:pos="567"/>
        </w:tabs>
        <w:ind w:left="567" w:hanging="567"/>
        <w:rPr>
          <w:color w:val="auto"/>
        </w:rPr>
      </w:pPr>
      <w:r w:rsidRPr="00CA47B9">
        <w:t>Due to the lack of any detailed guidance the analysis below is therefore split between the current definition of affordable need</w:t>
      </w:r>
      <w:r w:rsidR="006F0B45">
        <w:t xml:space="preserve"> (to rent)</w:t>
      </w:r>
      <w:r w:rsidRPr="00CA47B9">
        <w:t xml:space="preserve"> and the additional definition</w:t>
      </w:r>
      <w:r w:rsidR="006F0B45">
        <w:t xml:space="preserve"> of affordable </w:t>
      </w:r>
      <w:r w:rsidR="00451CFA">
        <w:t>home ownership</w:t>
      </w:r>
      <w:r w:rsidR="006F0B45">
        <w:t xml:space="preserve"> products</w:t>
      </w:r>
      <w:r w:rsidRPr="00CA47B9">
        <w:t xml:space="preserve">. This section of the report below deals with the existing definition of affordable need with the following section considering the revised/expanded NPPF definition. </w:t>
      </w:r>
    </w:p>
    <w:p w:rsidR="00B008D9" w:rsidRPr="00CA47B9" w:rsidRDefault="00B008D9" w:rsidP="000C05B0">
      <w:pPr>
        <w:pStyle w:val="11Bodytext"/>
        <w:tabs>
          <w:tab w:val="clear" w:pos="2212"/>
          <w:tab w:val="num" w:pos="567"/>
        </w:tabs>
        <w:ind w:left="567" w:hanging="567"/>
      </w:pPr>
      <w:r w:rsidRPr="00CA47B9">
        <w:t xml:space="preserve">The affordable housing needs model is based largely on housing market conditions (and particularly the relationship of housing costs and incomes) at a particular point in time – the time of the assessment – as well as the existing supply of affordable housing which can be used to meet the need. The base date for analysis is </w:t>
      </w:r>
      <w:r w:rsidR="00922984" w:rsidRPr="00CA47B9">
        <w:t>201</w:t>
      </w:r>
      <w:r w:rsidR="00922984">
        <w:t>9</w:t>
      </w:r>
      <w:r w:rsidR="00922984" w:rsidRPr="00CA47B9">
        <w:t xml:space="preserve"> </w:t>
      </w:r>
      <w:r w:rsidRPr="00CA47B9">
        <w:t>(</w:t>
      </w:r>
      <w:r w:rsidR="00F91573">
        <w:t>i.e</w:t>
      </w:r>
      <w:r w:rsidR="002E26AC">
        <w:t>.</w:t>
      </w:r>
      <w:r w:rsidRPr="00CA47B9">
        <w:t xml:space="preserve"> data about housing costs and incomes is for </w:t>
      </w:r>
      <w:r w:rsidR="00922984" w:rsidRPr="00CA47B9">
        <w:t>201</w:t>
      </w:r>
      <w:r w:rsidR="00922984">
        <w:t>9</w:t>
      </w:r>
      <w:r w:rsidRPr="00CA47B9">
        <w:t>). It is recognised that the analysis should align with other research and hence estimates of affordable housing need are provided in this section on an annual basis for the period to 2036.</w:t>
      </w:r>
    </w:p>
    <w:p w:rsidR="00B008D9" w:rsidRPr="00CA47B9" w:rsidRDefault="00B008D9" w:rsidP="00805614">
      <w:pPr>
        <w:pStyle w:val="SubheadBlue12"/>
        <w:ind w:left="567" w:firstLine="0"/>
      </w:pPr>
      <w:r w:rsidRPr="00CA47B9">
        <w:lastRenderedPageBreak/>
        <w:t>Affordable Housing Need (established definition)</w:t>
      </w:r>
    </w:p>
    <w:p w:rsidR="00B008D9" w:rsidRPr="00CA47B9" w:rsidRDefault="00B008D9" w:rsidP="000C05B0">
      <w:pPr>
        <w:pStyle w:val="11Bodytext"/>
        <w:tabs>
          <w:tab w:val="clear" w:pos="2212"/>
          <w:tab w:val="num" w:pos="567"/>
        </w:tabs>
        <w:ind w:left="567" w:hanging="567"/>
        <w:rPr>
          <w:color w:val="auto"/>
        </w:rPr>
      </w:pPr>
      <w:r w:rsidRPr="00CA47B9">
        <w:t>The method for studying the need for affordable housing has been enshrined in guidance for many years, with an established approach to look at the number of households who are unable to afford market housing (to either rent or buy). The analysis below follows the methodology and key data sources in guidance and can be summarised as:</w:t>
      </w:r>
    </w:p>
    <w:p w:rsidR="00B008D9" w:rsidRPr="00CA47B9" w:rsidRDefault="00B008D9" w:rsidP="00901C92">
      <w:pPr>
        <w:pStyle w:val="Bulletblueplain"/>
      </w:pPr>
      <w:bookmarkStart w:id="142" w:name="_Hlk528587195"/>
      <w:r w:rsidRPr="00CA47B9">
        <w:t xml:space="preserve">Current need (an estimate of the number of households who have a need now and based on a range of data modelled from local information) – Analysis in line with </w:t>
      </w:r>
      <w:r w:rsidR="00964384">
        <w:t xml:space="preserve">the Housing and Economic Needs Assessment PPG. </w:t>
      </w:r>
      <w:r w:rsidRPr="00CA47B9">
        <w:t>Reference ID: 2a-020-20190220;</w:t>
      </w:r>
    </w:p>
    <w:p w:rsidR="00B008D9" w:rsidRPr="00CA47B9" w:rsidRDefault="00B008D9" w:rsidP="00901C92">
      <w:pPr>
        <w:pStyle w:val="Bulletblueplain"/>
      </w:pPr>
      <w:r w:rsidRPr="00CA47B9">
        <w:t>Projected newly forming households in need (based on projections developed for this project along with an affordability test to estimate numbers unable to afford the market) – Analysis in line with Reference ID: 2a-021-20190220;</w:t>
      </w:r>
    </w:p>
    <w:p w:rsidR="00B008D9" w:rsidRPr="00CA47B9" w:rsidRDefault="00B008D9" w:rsidP="00901C92">
      <w:pPr>
        <w:pStyle w:val="Bulletblueplain"/>
      </w:pPr>
      <w:r w:rsidRPr="00CA47B9">
        <w:t>Existing households falling into need (based on studying the types of households who have needed to access social/affordable rented housing and based on study past lettings data) – Analysis in line with Reference ID: 2a-021-20190220;</w:t>
      </w:r>
    </w:p>
    <w:p w:rsidR="00B008D9" w:rsidRPr="00CA47B9" w:rsidRDefault="00B008D9" w:rsidP="00901C92">
      <w:pPr>
        <w:pStyle w:val="Bulletblueplain"/>
      </w:pPr>
      <w:r w:rsidRPr="00CA47B9">
        <w:t xml:space="preserve">These three bullet points added together </w:t>
      </w:r>
      <w:r w:rsidR="00855CA6">
        <w:t>indicate</w:t>
      </w:r>
      <w:r w:rsidRPr="00CA47B9">
        <w:t xml:space="preserve"> the gross need (the current need is </w:t>
      </w:r>
      <w:r w:rsidRPr="007135A5">
        <w:t xml:space="preserve">divided by </w:t>
      </w:r>
      <w:r w:rsidR="007135A5">
        <w:t>17</w:t>
      </w:r>
      <w:r w:rsidRPr="00CA47B9">
        <w:t xml:space="preserve"> to meet the need over the 2019 to 2036 period);</w:t>
      </w:r>
    </w:p>
    <w:p w:rsidR="00B008D9" w:rsidRPr="00CA47B9" w:rsidRDefault="00B008D9" w:rsidP="00901C92">
      <w:pPr>
        <w:pStyle w:val="Bulletblueplain"/>
      </w:pPr>
      <w:r w:rsidRPr="00CA47B9">
        <w:t>Supply of affordable housing (an estimate of the likely number of letting that will become available from the existing social housing stock – drawing on data from CoRe</w:t>
      </w:r>
      <w:r w:rsidRPr="00CA47B9">
        <w:rPr>
          <w:rStyle w:val="FootnoteReference"/>
          <w:szCs w:val="20"/>
        </w:rPr>
        <w:footnoteReference w:id="9"/>
      </w:r>
      <w:r w:rsidRPr="00CA47B9">
        <w:t>) – Analysis in line with Reference ID: 2a-022-20190220; and</w:t>
      </w:r>
    </w:p>
    <w:p w:rsidR="00B008D9" w:rsidRPr="00CA47B9" w:rsidRDefault="00B008D9" w:rsidP="00901C92">
      <w:pPr>
        <w:pStyle w:val="Bulletblueplain"/>
      </w:pPr>
      <w:r w:rsidRPr="00CA47B9">
        <w:t>Subtracting the supply from the gross need provides an estimate of the overall (annual) need for affordable housing) – Analysis in line with Reference ID: 2a-024-20190220</w:t>
      </w:r>
    </w:p>
    <w:bookmarkEnd w:id="142"/>
    <w:p w:rsidR="00B008D9" w:rsidRPr="00CA47B9" w:rsidRDefault="00B008D9" w:rsidP="000C05B0">
      <w:pPr>
        <w:pStyle w:val="11Bodytext"/>
        <w:tabs>
          <w:tab w:val="clear" w:pos="2212"/>
          <w:tab w:val="num" w:pos="567"/>
        </w:tabs>
        <w:ind w:left="567" w:hanging="567"/>
        <w:rPr>
          <w:color w:val="auto"/>
        </w:rPr>
      </w:pPr>
      <w:r w:rsidRPr="00CA47B9">
        <w:t>Each of these stages is described below. In addition, much of the analysis requires a view about affordability to be developed. This includes looking at house prices and private rents along with estimates of local household incomes. The following sections, therefore, look at different aspects of the analysis.</w:t>
      </w:r>
    </w:p>
    <w:p w:rsidR="00B008D9" w:rsidRPr="00CA47B9" w:rsidRDefault="00B008D9" w:rsidP="00805614">
      <w:pPr>
        <w:pStyle w:val="Addressline1"/>
        <w:ind w:left="567" w:firstLine="0"/>
      </w:pPr>
      <w:r w:rsidRPr="00CA47B9">
        <w:lastRenderedPageBreak/>
        <w:t>Local Prices and Rents</w:t>
      </w:r>
    </w:p>
    <w:p w:rsidR="00B008D9" w:rsidRPr="00CA47B9" w:rsidRDefault="00B008D9" w:rsidP="000C05B0">
      <w:pPr>
        <w:pStyle w:val="11Bodytext"/>
        <w:tabs>
          <w:tab w:val="clear" w:pos="2212"/>
          <w:tab w:val="num" w:pos="567"/>
        </w:tabs>
        <w:ind w:left="567" w:hanging="567"/>
      </w:pPr>
      <w:r w:rsidRPr="00CA47B9">
        <w:t>An important part of the affordable needs model is to establish the entry-level costs of housing to buy and rent. The affordable housing needs assessment compares prices and rents with the incomes of households to establish what proportion of households can meet their needs in the market, and what proportion require support and are thus defined as having an ‘affordable housing need’.</w:t>
      </w:r>
    </w:p>
    <w:p w:rsidR="00B008D9" w:rsidRPr="00CA47B9" w:rsidRDefault="00855CA6" w:rsidP="000C05B0">
      <w:pPr>
        <w:pStyle w:val="11Bodytext"/>
        <w:tabs>
          <w:tab w:val="clear" w:pos="2212"/>
          <w:tab w:val="num" w:pos="567"/>
        </w:tabs>
        <w:ind w:left="567" w:hanging="567"/>
      </w:pPr>
      <w:r>
        <w:t>To establish</w:t>
      </w:r>
      <w:r w:rsidR="00B008D9" w:rsidRPr="00CA47B9">
        <w:t xml:space="preserve"> </w:t>
      </w:r>
      <w:r>
        <w:t xml:space="preserve">an </w:t>
      </w:r>
      <w:r w:rsidR="00B008D9" w:rsidRPr="00CA47B9">
        <w:t xml:space="preserve">affordable housing need, the analysis focuses on overall housing costs (for all dwelling types and sizes). The following chapter expands on this information in more detail to present </w:t>
      </w:r>
      <w:r>
        <w:t xml:space="preserve">a </w:t>
      </w:r>
      <w:r w:rsidR="00B008D9" w:rsidRPr="00CA47B9">
        <w:t xml:space="preserve">consideration of the types of affordable housing that might meet local needs. </w:t>
      </w:r>
    </w:p>
    <w:p w:rsidR="00B008D9" w:rsidRPr="004F4DBD" w:rsidRDefault="00B008D9" w:rsidP="000C05B0">
      <w:pPr>
        <w:pStyle w:val="11Bodytext"/>
        <w:tabs>
          <w:tab w:val="clear" w:pos="2212"/>
          <w:tab w:val="num" w:pos="567"/>
        </w:tabs>
        <w:ind w:left="567" w:hanging="567"/>
        <w:rPr>
          <w:color w:val="auto"/>
        </w:rPr>
      </w:pPr>
      <w:r w:rsidRPr="00CA47B9">
        <w:rPr>
          <w:color w:val="auto"/>
        </w:rPr>
        <w:t xml:space="preserve">This section focuses on establishing, in numerical terms, the overall need for affordable </w:t>
      </w:r>
      <w:r w:rsidRPr="000C05B0">
        <w:t>housing</w:t>
      </w:r>
      <w:r w:rsidRPr="00CA47B9">
        <w:rPr>
          <w:color w:val="auto"/>
        </w:rPr>
        <w:t xml:space="preserve">. </w:t>
      </w:r>
      <w:r w:rsidRPr="00CA47B9">
        <w:t>The analysis considers the entry-level costs of housing to both buy and rent across the Council area. The approach has been to analyse Land Registry and Valuation Office Agency (VOA) data to establish lower quartile prices and rents – using a lower quartile figure is consistent with the PPG and reflects the entry-level point into the market.</w:t>
      </w:r>
    </w:p>
    <w:p w:rsidR="00B008D9" w:rsidRPr="00CA47B9" w:rsidRDefault="00B008D9" w:rsidP="000C05B0">
      <w:pPr>
        <w:pStyle w:val="11Bodytext"/>
        <w:tabs>
          <w:tab w:val="clear" w:pos="2212"/>
          <w:tab w:val="num" w:pos="567"/>
        </w:tabs>
        <w:ind w:left="567" w:hanging="567"/>
      </w:pPr>
      <w:r w:rsidRPr="00CA47B9">
        <w:t>The analysis below looks at the cost of housing of different tenures and develops this to seek to understand what this might mean in terms of an income required to access such housing. The analysis looks at both market housing and the full range of affordable housing options set out in th</w:t>
      </w:r>
      <w:r w:rsidR="006F0B45">
        <w:t>e NPPF</w:t>
      </w:r>
      <w:r w:rsidRPr="00CA47B9">
        <w:t>.</w:t>
      </w:r>
    </w:p>
    <w:p w:rsidR="00B008D9" w:rsidRPr="00CA47B9" w:rsidRDefault="00B008D9" w:rsidP="000C05B0">
      <w:pPr>
        <w:pStyle w:val="11Bodytext"/>
        <w:tabs>
          <w:tab w:val="clear" w:pos="2212"/>
          <w:tab w:val="num" w:pos="567"/>
        </w:tabs>
        <w:ind w:left="567" w:hanging="567"/>
      </w:pPr>
      <w:r w:rsidRPr="00CA47B9">
        <w:t xml:space="preserve">Data from the Land Registry for the year to March 2019 (i.e. Q2-Q4 of 2018 and Q1 of 2019) shows the bottom end of the market (lower quartile) cost of all housing types in the District was £275,000. The lower quartile price of all dwellings is highest in the Plan Area North at £405,000 and lowest in Chichester City (£254,000). </w:t>
      </w:r>
    </w:p>
    <w:p w:rsidR="00B008D9" w:rsidRPr="00CA47B9" w:rsidRDefault="00B008D9" w:rsidP="000C05B0">
      <w:pPr>
        <w:pStyle w:val="11Bodytext"/>
        <w:tabs>
          <w:tab w:val="clear" w:pos="2212"/>
          <w:tab w:val="num" w:pos="567"/>
        </w:tabs>
        <w:ind w:left="567" w:hanging="567"/>
      </w:pPr>
      <w:r w:rsidRPr="00CA47B9">
        <w:t xml:space="preserve">The lower quartile price of buying a flat/maisonette in the Manhood </w:t>
      </w:r>
      <w:r w:rsidR="00056D14">
        <w:t>Peninsula</w:t>
      </w:r>
      <w:r w:rsidRPr="00CA47B9">
        <w:t xml:space="preserve"> is £142,000, well below Chichester City (£164,000) and the District-wide value (£159,000). Notably, there is no data available for Plan Area North sub-area given the nature of housing in the settlements. </w:t>
      </w:r>
    </w:p>
    <w:p w:rsidR="00B008D9" w:rsidRPr="00CA47B9" w:rsidRDefault="00B008D9" w:rsidP="000C05B0">
      <w:pPr>
        <w:pStyle w:val="11Bodytext"/>
        <w:tabs>
          <w:tab w:val="clear" w:pos="2212"/>
          <w:tab w:val="num" w:pos="567"/>
        </w:tabs>
        <w:ind w:left="567" w:hanging="567"/>
      </w:pPr>
      <w:r w:rsidRPr="00CA47B9">
        <w:lastRenderedPageBreak/>
        <w:t>Across the District, the lower quartile cost of semi-detached housing is £285,000. The cost of semi-detached houses is greatest in the Plan Area North at £373,000 which reflects the higher land values in the rural settlements</w:t>
      </w:r>
      <w:r w:rsidR="00F91573">
        <w:t xml:space="preserve"> closer to London</w:t>
      </w:r>
      <w:r w:rsidRPr="00CA47B9">
        <w:t xml:space="preserve">. This compares to £319,000 in the SDNP, £301,000 in Chichester City, </w:t>
      </w:r>
      <w:r w:rsidR="001554D2">
        <w:t xml:space="preserve">and </w:t>
      </w:r>
      <w:r w:rsidRPr="00CA47B9">
        <w:t xml:space="preserve">£285,000 in the East-West Corridor. </w:t>
      </w:r>
    </w:p>
    <w:p w:rsidR="00B008D9" w:rsidRPr="00CA47B9" w:rsidRDefault="00B008D9" w:rsidP="000C05B0">
      <w:pPr>
        <w:pStyle w:val="11Bodytext"/>
        <w:tabs>
          <w:tab w:val="clear" w:pos="2212"/>
          <w:tab w:val="num" w:pos="567"/>
        </w:tabs>
        <w:ind w:left="567" w:hanging="567"/>
      </w:pPr>
      <w:r w:rsidRPr="00CA47B9">
        <w:t xml:space="preserve">The lower quartile cost of </w:t>
      </w:r>
      <w:r w:rsidR="000818AC">
        <w:t xml:space="preserve">detached </w:t>
      </w:r>
      <w:r w:rsidRPr="00CA47B9">
        <w:t xml:space="preserve">housing at the District level is £410,000 with Plan Area North upholding the highest price at £571,000. The lower quartile cost of </w:t>
      </w:r>
      <w:r w:rsidR="000818AC">
        <w:t xml:space="preserve">detached </w:t>
      </w:r>
      <w:r w:rsidRPr="00CA47B9">
        <w:t xml:space="preserve">housing in SDNP is fairly high compared to the sub-areas at £494,000. Detached houses in Chichester City have a lower quartile cost of £448,000, £403,000 in the East-West Corridor and the lowest cost is the Manhood </w:t>
      </w:r>
      <w:r w:rsidR="00056D14">
        <w:t>Peninsula</w:t>
      </w:r>
      <w:r w:rsidRPr="00CA47B9">
        <w:t xml:space="preserve"> at £352,000.</w:t>
      </w:r>
    </w:p>
    <w:p w:rsidR="00B008D9" w:rsidRPr="00CA47B9" w:rsidRDefault="00B008D9" w:rsidP="00AE5604">
      <w:pPr>
        <w:pStyle w:val="Tableheading"/>
        <w:tabs>
          <w:tab w:val="clear" w:pos="794"/>
          <w:tab w:val="clear" w:pos="1843"/>
          <w:tab w:val="left" w:pos="0"/>
        </w:tabs>
        <w:ind w:left="0" w:firstLine="0"/>
      </w:pPr>
      <w:r w:rsidRPr="00CA47B9">
        <w:t>Low</w:t>
      </w:r>
      <w:r w:rsidR="000818AC">
        <w:t>er</w:t>
      </w:r>
      <w:r w:rsidRPr="00CA47B9">
        <w:t xml:space="preserve"> quartile cost of housing to buy – year to March 2019 </w:t>
      </w:r>
    </w:p>
    <w:tbl>
      <w:tblPr>
        <w:tblStyle w:val="TableGridLight11"/>
        <w:tblW w:w="4894" w:type="pct"/>
        <w:tblInd w:w="108" w:type="dxa"/>
        <w:tblLook w:val="04A0" w:firstRow="1" w:lastRow="0" w:firstColumn="1" w:lastColumn="0" w:noHBand="0" w:noVBand="1"/>
        <w:tblCaption w:val="Table 23: Lower quartile cost of housing to buy – year to March 2019"/>
      </w:tblPr>
      <w:tblGrid>
        <w:gridCol w:w="1882"/>
        <w:gridCol w:w="1361"/>
        <w:gridCol w:w="1295"/>
        <w:gridCol w:w="1318"/>
        <w:gridCol w:w="1295"/>
        <w:gridCol w:w="1072"/>
        <w:gridCol w:w="1415"/>
      </w:tblGrid>
      <w:tr w:rsidR="00B008D9" w:rsidRPr="000E3FB0" w:rsidTr="00AE5604">
        <w:trPr>
          <w:tblHeader/>
        </w:trPr>
        <w:tc>
          <w:tcPr>
            <w:tcW w:w="976" w:type="pct"/>
            <w:tcBorders>
              <w:top w:val="single" w:sz="4" w:space="0" w:color="auto"/>
              <w:left w:val="single" w:sz="4" w:space="0" w:color="auto"/>
              <w:bottom w:val="single" w:sz="4" w:space="0" w:color="auto"/>
              <w:right w:val="single" w:sz="4" w:space="0" w:color="auto"/>
            </w:tcBorders>
            <w:shd w:val="clear" w:color="auto" w:fill="0093D5" w:themeFill="accent2"/>
          </w:tcPr>
          <w:p w:rsidR="00B008D9" w:rsidRPr="000E3FB0" w:rsidRDefault="00B008D9" w:rsidP="005200A0">
            <w:pPr>
              <w:spacing w:line="300" w:lineRule="auto"/>
              <w:rPr>
                <w:rFonts w:ascii="Arial Narrow" w:hAnsi="Arial Narrow" w:cs="Arial"/>
                <w:bCs/>
                <w:color w:val="FFFFFF" w:themeColor="background1"/>
                <w:sz w:val="24"/>
                <w:szCs w:val="24"/>
              </w:rPr>
            </w:pPr>
          </w:p>
        </w:tc>
        <w:tc>
          <w:tcPr>
            <w:tcW w:w="706" w:type="pct"/>
            <w:tcBorders>
              <w:top w:val="single" w:sz="4" w:space="0" w:color="auto"/>
              <w:left w:val="single" w:sz="4" w:space="0" w:color="auto"/>
              <w:bottom w:val="single" w:sz="4" w:space="0" w:color="auto"/>
              <w:right w:val="single" w:sz="4" w:space="0" w:color="auto"/>
            </w:tcBorders>
            <w:shd w:val="clear" w:color="auto" w:fill="0093D5" w:themeFill="accent2"/>
            <w:hideMark/>
          </w:tcPr>
          <w:p w:rsidR="00B008D9" w:rsidRPr="000E3FB0" w:rsidRDefault="00B008D9" w:rsidP="005200A0">
            <w:pPr>
              <w:spacing w:line="300" w:lineRule="auto"/>
              <w:jc w:val="center"/>
              <w:rPr>
                <w:rFonts w:ascii="Arial Narrow" w:hAnsi="Arial Narrow" w:cs="Arial"/>
                <w:bCs/>
                <w:color w:val="FFFFFF" w:themeColor="background1"/>
                <w:sz w:val="24"/>
                <w:szCs w:val="24"/>
              </w:rPr>
            </w:pPr>
            <w:r w:rsidRPr="000E3FB0">
              <w:rPr>
                <w:rFonts w:ascii="Arial Narrow" w:hAnsi="Arial Narrow" w:cs="Arial"/>
                <w:bCs/>
                <w:color w:val="FFFFFF" w:themeColor="background1"/>
                <w:sz w:val="24"/>
                <w:szCs w:val="24"/>
              </w:rPr>
              <w:t>Chichester City</w:t>
            </w:r>
          </w:p>
        </w:tc>
        <w:tc>
          <w:tcPr>
            <w:tcW w:w="672" w:type="pct"/>
            <w:tcBorders>
              <w:top w:val="single" w:sz="4" w:space="0" w:color="auto"/>
              <w:left w:val="single" w:sz="4" w:space="0" w:color="auto"/>
              <w:bottom w:val="single" w:sz="4" w:space="0" w:color="auto"/>
              <w:right w:val="single" w:sz="4" w:space="0" w:color="auto"/>
            </w:tcBorders>
            <w:shd w:val="clear" w:color="auto" w:fill="0093D5" w:themeFill="accent2"/>
            <w:hideMark/>
          </w:tcPr>
          <w:p w:rsidR="00B008D9" w:rsidRPr="000E3FB0" w:rsidRDefault="00B008D9" w:rsidP="005200A0">
            <w:pPr>
              <w:spacing w:line="300" w:lineRule="auto"/>
              <w:jc w:val="center"/>
              <w:rPr>
                <w:rFonts w:ascii="Arial Narrow" w:hAnsi="Arial Narrow" w:cs="Arial"/>
                <w:bCs/>
                <w:color w:val="FFFFFF" w:themeColor="background1"/>
                <w:sz w:val="24"/>
                <w:szCs w:val="24"/>
              </w:rPr>
            </w:pPr>
            <w:r w:rsidRPr="000E3FB0">
              <w:rPr>
                <w:rFonts w:ascii="Arial Narrow" w:hAnsi="Arial Narrow" w:cs="Arial"/>
                <w:bCs/>
                <w:color w:val="FFFFFF" w:themeColor="background1"/>
                <w:sz w:val="24"/>
                <w:szCs w:val="24"/>
              </w:rPr>
              <w:t>East-West Corridor</w:t>
            </w:r>
          </w:p>
        </w:tc>
        <w:tc>
          <w:tcPr>
            <w:tcW w:w="684" w:type="pct"/>
            <w:tcBorders>
              <w:top w:val="single" w:sz="4" w:space="0" w:color="auto"/>
              <w:left w:val="single" w:sz="4" w:space="0" w:color="auto"/>
              <w:bottom w:val="single" w:sz="4" w:space="0" w:color="auto"/>
              <w:right w:val="single" w:sz="4" w:space="0" w:color="auto"/>
            </w:tcBorders>
            <w:shd w:val="clear" w:color="auto" w:fill="0093D5" w:themeFill="accent2"/>
            <w:hideMark/>
          </w:tcPr>
          <w:p w:rsidR="00B008D9" w:rsidRPr="000E3FB0" w:rsidRDefault="00B008D9" w:rsidP="005200A0">
            <w:pPr>
              <w:spacing w:line="300" w:lineRule="auto"/>
              <w:jc w:val="center"/>
              <w:rPr>
                <w:rFonts w:ascii="Arial Narrow" w:hAnsi="Arial Narrow" w:cs="Arial"/>
                <w:bCs/>
                <w:color w:val="FFFFFF" w:themeColor="background1"/>
                <w:sz w:val="24"/>
                <w:szCs w:val="24"/>
              </w:rPr>
            </w:pPr>
            <w:r w:rsidRPr="000E3FB0">
              <w:rPr>
                <w:rFonts w:ascii="Arial Narrow" w:hAnsi="Arial Narrow" w:cs="Arial"/>
                <w:bCs/>
                <w:color w:val="FFFFFF" w:themeColor="background1"/>
                <w:sz w:val="24"/>
                <w:szCs w:val="24"/>
              </w:rPr>
              <w:t xml:space="preserve">Manhood </w:t>
            </w:r>
            <w:r w:rsidR="00056D14" w:rsidRPr="000E3FB0">
              <w:rPr>
                <w:rFonts w:ascii="Arial Narrow" w:hAnsi="Arial Narrow" w:cs="Arial"/>
                <w:bCs/>
                <w:color w:val="FFFFFF" w:themeColor="background1"/>
                <w:sz w:val="24"/>
                <w:szCs w:val="24"/>
              </w:rPr>
              <w:t>Peninsula</w:t>
            </w:r>
          </w:p>
        </w:tc>
        <w:tc>
          <w:tcPr>
            <w:tcW w:w="672" w:type="pct"/>
            <w:tcBorders>
              <w:top w:val="single" w:sz="4" w:space="0" w:color="auto"/>
              <w:left w:val="single" w:sz="4" w:space="0" w:color="auto"/>
              <w:bottom w:val="single" w:sz="4" w:space="0" w:color="auto"/>
              <w:right w:val="single" w:sz="4" w:space="0" w:color="auto"/>
            </w:tcBorders>
            <w:shd w:val="clear" w:color="auto" w:fill="0093D5" w:themeFill="accent2"/>
            <w:hideMark/>
          </w:tcPr>
          <w:p w:rsidR="00B008D9" w:rsidRPr="000E3FB0" w:rsidRDefault="00B008D9" w:rsidP="005200A0">
            <w:pPr>
              <w:spacing w:line="300" w:lineRule="auto"/>
              <w:jc w:val="center"/>
              <w:rPr>
                <w:rFonts w:ascii="Arial Narrow" w:hAnsi="Arial Narrow" w:cs="Arial"/>
                <w:bCs/>
                <w:color w:val="FFFFFF" w:themeColor="background1"/>
                <w:sz w:val="24"/>
                <w:szCs w:val="24"/>
              </w:rPr>
            </w:pPr>
            <w:r w:rsidRPr="000E3FB0">
              <w:rPr>
                <w:rFonts w:ascii="Arial Narrow" w:hAnsi="Arial Narrow" w:cs="Arial"/>
                <w:bCs/>
                <w:color w:val="FFFFFF" w:themeColor="background1"/>
                <w:sz w:val="24"/>
                <w:szCs w:val="24"/>
              </w:rPr>
              <w:t>Plan Area North</w:t>
            </w:r>
          </w:p>
        </w:tc>
        <w:tc>
          <w:tcPr>
            <w:tcW w:w="556" w:type="pct"/>
            <w:tcBorders>
              <w:top w:val="single" w:sz="4" w:space="0" w:color="auto"/>
              <w:left w:val="single" w:sz="4" w:space="0" w:color="auto"/>
              <w:bottom w:val="single" w:sz="4" w:space="0" w:color="auto"/>
              <w:right w:val="single" w:sz="4" w:space="0" w:color="auto"/>
            </w:tcBorders>
            <w:shd w:val="clear" w:color="auto" w:fill="0093D5" w:themeFill="accent2"/>
            <w:hideMark/>
          </w:tcPr>
          <w:p w:rsidR="00B008D9" w:rsidRPr="000E3FB0" w:rsidRDefault="00B008D9" w:rsidP="005200A0">
            <w:pPr>
              <w:spacing w:line="300" w:lineRule="auto"/>
              <w:jc w:val="center"/>
              <w:rPr>
                <w:rFonts w:ascii="Arial Narrow" w:hAnsi="Arial Narrow" w:cs="Arial"/>
                <w:bCs/>
                <w:color w:val="FFFFFF" w:themeColor="background1"/>
                <w:sz w:val="24"/>
                <w:szCs w:val="24"/>
              </w:rPr>
            </w:pPr>
            <w:r w:rsidRPr="000E3FB0">
              <w:rPr>
                <w:rFonts w:ascii="Arial Narrow" w:hAnsi="Arial Narrow" w:cs="Arial"/>
                <w:bCs/>
                <w:color w:val="FFFFFF" w:themeColor="background1"/>
                <w:sz w:val="24"/>
                <w:szCs w:val="24"/>
              </w:rPr>
              <w:t>SDNP</w:t>
            </w:r>
          </w:p>
        </w:tc>
        <w:tc>
          <w:tcPr>
            <w:tcW w:w="735" w:type="pct"/>
            <w:tcBorders>
              <w:top w:val="single" w:sz="4" w:space="0" w:color="auto"/>
              <w:left w:val="single" w:sz="4" w:space="0" w:color="auto"/>
              <w:bottom w:val="single" w:sz="4" w:space="0" w:color="auto"/>
              <w:right w:val="single" w:sz="4" w:space="0" w:color="auto"/>
            </w:tcBorders>
            <w:shd w:val="clear" w:color="auto" w:fill="0093D5" w:themeFill="accent2"/>
            <w:hideMark/>
          </w:tcPr>
          <w:p w:rsidR="00B008D9" w:rsidRPr="000E3FB0" w:rsidRDefault="00B008D9" w:rsidP="005200A0">
            <w:pPr>
              <w:spacing w:line="300" w:lineRule="auto"/>
              <w:jc w:val="center"/>
              <w:rPr>
                <w:rFonts w:ascii="Arial Narrow" w:hAnsi="Arial Narrow" w:cs="Arial"/>
                <w:bCs/>
                <w:color w:val="FFFFFF" w:themeColor="background1"/>
                <w:sz w:val="24"/>
                <w:szCs w:val="24"/>
              </w:rPr>
            </w:pPr>
            <w:r w:rsidRPr="000E3FB0">
              <w:rPr>
                <w:rFonts w:ascii="Arial Narrow" w:hAnsi="Arial Narrow" w:cs="Arial"/>
                <w:bCs/>
                <w:color w:val="FFFFFF" w:themeColor="background1"/>
                <w:sz w:val="24"/>
                <w:szCs w:val="24"/>
              </w:rPr>
              <w:t>District-wide</w:t>
            </w:r>
          </w:p>
        </w:tc>
      </w:tr>
      <w:tr w:rsidR="00B008D9" w:rsidRPr="000E3FB0" w:rsidTr="00AE5604">
        <w:tc>
          <w:tcPr>
            <w:tcW w:w="976" w:type="pct"/>
            <w:tcBorders>
              <w:top w:val="single" w:sz="4" w:space="0" w:color="auto"/>
              <w:left w:val="single" w:sz="4" w:space="0" w:color="auto"/>
              <w:bottom w:val="single" w:sz="4" w:space="0" w:color="auto"/>
              <w:right w:val="single" w:sz="4" w:space="0" w:color="auto"/>
            </w:tcBorders>
            <w:hideMark/>
          </w:tcPr>
          <w:p w:rsidR="00B008D9" w:rsidRPr="000E3FB0" w:rsidRDefault="00B008D9" w:rsidP="005200A0">
            <w:pPr>
              <w:spacing w:line="300" w:lineRule="auto"/>
              <w:rPr>
                <w:rFonts w:ascii="Arial Narrow" w:hAnsi="Arial Narrow" w:cs="Arial"/>
                <w:sz w:val="24"/>
                <w:szCs w:val="24"/>
              </w:rPr>
            </w:pPr>
            <w:r w:rsidRPr="000E3FB0">
              <w:rPr>
                <w:rFonts w:ascii="Arial Narrow" w:hAnsi="Arial Narrow" w:cs="Arial"/>
                <w:sz w:val="24"/>
                <w:szCs w:val="24"/>
              </w:rPr>
              <w:t>Flat/maisonette</w:t>
            </w:r>
          </w:p>
        </w:tc>
        <w:tc>
          <w:tcPr>
            <w:tcW w:w="706" w:type="pct"/>
            <w:tcBorders>
              <w:top w:val="single" w:sz="4" w:space="0" w:color="auto"/>
              <w:left w:val="single" w:sz="4" w:space="0" w:color="auto"/>
              <w:bottom w:val="single" w:sz="4" w:space="0" w:color="auto"/>
              <w:right w:val="single" w:sz="4" w:space="0" w:color="auto"/>
            </w:tcBorders>
            <w:vAlign w:val="bottom"/>
            <w:hideMark/>
          </w:tcPr>
          <w:p w:rsidR="00B008D9" w:rsidRPr="000E3FB0" w:rsidRDefault="00B008D9" w:rsidP="005200A0">
            <w:pPr>
              <w:spacing w:line="300" w:lineRule="auto"/>
              <w:jc w:val="center"/>
              <w:rPr>
                <w:rFonts w:ascii="Arial Narrow" w:hAnsi="Arial Narrow" w:cs="Arial"/>
                <w:color w:val="000000"/>
                <w:sz w:val="24"/>
                <w:szCs w:val="24"/>
              </w:rPr>
            </w:pPr>
            <w:r w:rsidRPr="000E3FB0">
              <w:rPr>
                <w:rFonts w:ascii="Arial Narrow" w:hAnsi="Arial Narrow" w:cs="Arial"/>
                <w:color w:val="000000"/>
                <w:sz w:val="24"/>
                <w:szCs w:val="24"/>
              </w:rPr>
              <w:t>£164,000</w:t>
            </w:r>
          </w:p>
        </w:tc>
        <w:tc>
          <w:tcPr>
            <w:tcW w:w="672" w:type="pct"/>
            <w:tcBorders>
              <w:top w:val="single" w:sz="4" w:space="0" w:color="auto"/>
              <w:left w:val="single" w:sz="4" w:space="0" w:color="auto"/>
              <w:bottom w:val="single" w:sz="4" w:space="0" w:color="auto"/>
              <w:right w:val="single" w:sz="4" w:space="0" w:color="auto"/>
            </w:tcBorders>
            <w:vAlign w:val="bottom"/>
            <w:hideMark/>
          </w:tcPr>
          <w:p w:rsidR="00B008D9" w:rsidRPr="000E3FB0" w:rsidRDefault="00B008D9" w:rsidP="005200A0">
            <w:pPr>
              <w:spacing w:line="300" w:lineRule="auto"/>
              <w:jc w:val="center"/>
              <w:rPr>
                <w:rFonts w:ascii="Arial Narrow" w:hAnsi="Arial Narrow" w:cs="Arial"/>
                <w:color w:val="000000"/>
                <w:sz w:val="24"/>
                <w:szCs w:val="24"/>
              </w:rPr>
            </w:pPr>
            <w:r w:rsidRPr="000E3FB0">
              <w:rPr>
                <w:rFonts w:ascii="Arial Narrow" w:hAnsi="Arial Narrow" w:cs="Arial"/>
                <w:color w:val="000000"/>
                <w:sz w:val="24"/>
                <w:szCs w:val="24"/>
              </w:rPr>
              <w:t>£162,000</w:t>
            </w:r>
          </w:p>
        </w:tc>
        <w:tc>
          <w:tcPr>
            <w:tcW w:w="684" w:type="pct"/>
            <w:tcBorders>
              <w:top w:val="single" w:sz="4" w:space="0" w:color="auto"/>
              <w:left w:val="single" w:sz="4" w:space="0" w:color="auto"/>
              <w:bottom w:val="single" w:sz="4" w:space="0" w:color="auto"/>
              <w:right w:val="single" w:sz="4" w:space="0" w:color="auto"/>
            </w:tcBorders>
            <w:vAlign w:val="bottom"/>
            <w:hideMark/>
          </w:tcPr>
          <w:p w:rsidR="00B008D9" w:rsidRPr="000E3FB0" w:rsidRDefault="00B008D9" w:rsidP="005200A0">
            <w:pPr>
              <w:spacing w:line="300" w:lineRule="auto"/>
              <w:jc w:val="center"/>
              <w:rPr>
                <w:rFonts w:ascii="Arial Narrow" w:hAnsi="Arial Narrow" w:cs="Arial"/>
                <w:color w:val="000000"/>
                <w:sz w:val="24"/>
                <w:szCs w:val="24"/>
              </w:rPr>
            </w:pPr>
            <w:r w:rsidRPr="000E3FB0">
              <w:rPr>
                <w:rFonts w:ascii="Arial Narrow" w:hAnsi="Arial Narrow" w:cs="Arial"/>
                <w:color w:val="000000"/>
                <w:sz w:val="24"/>
                <w:szCs w:val="24"/>
              </w:rPr>
              <w:t>£142,000</w:t>
            </w:r>
          </w:p>
        </w:tc>
        <w:tc>
          <w:tcPr>
            <w:tcW w:w="672" w:type="pct"/>
            <w:tcBorders>
              <w:top w:val="single" w:sz="4" w:space="0" w:color="auto"/>
              <w:left w:val="single" w:sz="4" w:space="0" w:color="auto"/>
              <w:bottom w:val="single" w:sz="4" w:space="0" w:color="auto"/>
              <w:right w:val="single" w:sz="4" w:space="0" w:color="auto"/>
            </w:tcBorders>
            <w:vAlign w:val="bottom"/>
            <w:hideMark/>
          </w:tcPr>
          <w:p w:rsidR="00B008D9" w:rsidRPr="000E3FB0" w:rsidRDefault="00B008D9" w:rsidP="005200A0">
            <w:pPr>
              <w:spacing w:line="300" w:lineRule="auto"/>
              <w:jc w:val="center"/>
              <w:rPr>
                <w:rFonts w:ascii="Arial Narrow" w:hAnsi="Arial Narrow" w:cs="Arial"/>
                <w:color w:val="000000"/>
                <w:sz w:val="24"/>
                <w:szCs w:val="24"/>
              </w:rPr>
            </w:pPr>
            <w:r w:rsidRPr="000E3FB0">
              <w:rPr>
                <w:rFonts w:ascii="Arial Narrow" w:hAnsi="Arial Narrow" w:cs="Arial"/>
                <w:i/>
                <w:iCs/>
                <w:color w:val="000000"/>
                <w:sz w:val="24"/>
                <w:szCs w:val="24"/>
              </w:rPr>
              <w:t>-</w:t>
            </w:r>
          </w:p>
        </w:tc>
        <w:tc>
          <w:tcPr>
            <w:tcW w:w="556" w:type="pct"/>
            <w:tcBorders>
              <w:top w:val="single" w:sz="4" w:space="0" w:color="auto"/>
              <w:left w:val="single" w:sz="4" w:space="0" w:color="auto"/>
              <w:bottom w:val="single" w:sz="4" w:space="0" w:color="auto"/>
              <w:right w:val="single" w:sz="4" w:space="0" w:color="auto"/>
            </w:tcBorders>
            <w:vAlign w:val="bottom"/>
            <w:hideMark/>
          </w:tcPr>
          <w:p w:rsidR="00B008D9" w:rsidRPr="000E3FB0" w:rsidRDefault="00B008D9" w:rsidP="005200A0">
            <w:pPr>
              <w:spacing w:line="300" w:lineRule="auto"/>
              <w:jc w:val="center"/>
              <w:rPr>
                <w:rFonts w:ascii="Arial Narrow" w:hAnsi="Arial Narrow" w:cs="Arial"/>
                <w:color w:val="000000"/>
                <w:sz w:val="24"/>
                <w:szCs w:val="24"/>
              </w:rPr>
            </w:pPr>
            <w:r w:rsidRPr="000E3FB0">
              <w:rPr>
                <w:rFonts w:ascii="Arial Narrow" w:hAnsi="Arial Narrow" w:cs="Arial"/>
                <w:color w:val="000000"/>
                <w:sz w:val="24"/>
                <w:szCs w:val="24"/>
              </w:rPr>
              <w:t>£164,000</w:t>
            </w:r>
          </w:p>
        </w:tc>
        <w:tc>
          <w:tcPr>
            <w:tcW w:w="735" w:type="pct"/>
            <w:tcBorders>
              <w:top w:val="single" w:sz="4" w:space="0" w:color="auto"/>
              <w:left w:val="single" w:sz="4" w:space="0" w:color="auto"/>
              <w:bottom w:val="single" w:sz="4" w:space="0" w:color="auto"/>
              <w:right w:val="single" w:sz="4" w:space="0" w:color="auto"/>
            </w:tcBorders>
            <w:vAlign w:val="bottom"/>
            <w:hideMark/>
          </w:tcPr>
          <w:p w:rsidR="00B008D9" w:rsidRPr="000E3FB0" w:rsidRDefault="00B008D9" w:rsidP="005200A0">
            <w:pPr>
              <w:spacing w:line="300" w:lineRule="auto"/>
              <w:jc w:val="center"/>
              <w:rPr>
                <w:rFonts w:ascii="Arial Narrow" w:hAnsi="Arial Narrow" w:cs="Arial"/>
                <w:color w:val="000000"/>
                <w:sz w:val="24"/>
                <w:szCs w:val="24"/>
              </w:rPr>
            </w:pPr>
            <w:r w:rsidRPr="000E3FB0">
              <w:rPr>
                <w:rFonts w:ascii="Arial Narrow" w:hAnsi="Arial Narrow" w:cs="Arial"/>
                <w:color w:val="000000"/>
                <w:sz w:val="24"/>
                <w:szCs w:val="24"/>
              </w:rPr>
              <w:t>£159,000</w:t>
            </w:r>
          </w:p>
        </w:tc>
      </w:tr>
      <w:tr w:rsidR="00B008D9" w:rsidRPr="000E3FB0" w:rsidTr="00AE5604">
        <w:tc>
          <w:tcPr>
            <w:tcW w:w="976" w:type="pct"/>
            <w:tcBorders>
              <w:top w:val="single" w:sz="4" w:space="0" w:color="auto"/>
              <w:left w:val="single" w:sz="4" w:space="0" w:color="auto"/>
              <w:bottom w:val="single" w:sz="4" w:space="0" w:color="auto"/>
              <w:right w:val="single" w:sz="4" w:space="0" w:color="auto"/>
            </w:tcBorders>
            <w:hideMark/>
          </w:tcPr>
          <w:p w:rsidR="00B008D9" w:rsidRPr="000E3FB0" w:rsidRDefault="00B008D9" w:rsidP="005200A0">
            <w:pPr>
              <w:spacing w:line="300" w:lineRule="auto"/>
              <w:rPr>
                <w:rFonts w:ascii="Arial Narrow" w:hAnsi="Arial Narrow" w:cs="Arial"/>
                <w:sz w:val="24"/>
                <w:szCs w:val="24"/>
              </w:rPr>
            </w:pPr>
            <w:r w:rsidRPr="000E3FB0">
              <w:rPr>
                <w:rFonts w:ascii="Arial Narrow" w:hAnsi="Arial Narrow" w:cs="Arial"/>
                <w:sz w:val="24"/>
                <w:szCs w:val="24"/>
              </w:rPr>
              <w:t>Terraced</w:t>
            </w:r>
          </w:p>
        </w:tc>
        <w:tc>
          <w:tcPr>
            <w:tcW w:w="706" w:type="pct"/>
            <w:tcBorders>
              <w:top w:val="single" w:sz="4" w:space="0" w:color="auto"/>
              <w:left w:val="single" w:sz="4" w:space="0" w:color="auto"/>
              <w:bottom w:val="single" w:sz="4" w:space="0" w:color="auto"/>
              <w:right w:val="single" w:sz="4" w:space="0" w:color="auto"/>
            </w:tcBorders>
            <w:vAlign w:val="bottom"/>
            <w:hideMark/>
          </w:tcPr>
          <w:p w:rsidR="00B008D9" w:rsidRPr="000E3FB0" w:rsidRDefault="00B008D9" w:rsidP="005200A0">
            <w:pPr>
              <w:spacing w:line="300" w:lineRule="auto"/>
              <w:jc w:val="center"/>
              <w:rPr>
                <w:rFonts w:ascii="Arial Narrow" w:hAnsi="Arial Narrow" w:cs="Arial"/>
                <w:color w:val="000000"/>
                <w:sz w:val="24"/>
                <w:szCs w:val="24"/>
              </w:rPr>
            </w:pPr>
            <w:r w:rsidRPr="000E3FB0">
              <w:rPr>
                <w:rFonts w:ascii="Arial Narrow" w:hAnsi="Arial Narrow" w:cs="Arial"/>
                <w:color w:val="000000"/>
                <w:sz w:val="24"/>
                <w:szCs w:val="24"/>
              </w:rPr>
              <w:t>£286,000</w:t>
            </w:r>
          </w:p>
        </w:tc>
        <w:tc>
          <w:tcPr>
            <w:tcW w:w="672" w:type="pct"/>
            <w:tcBorders>
              <w:top w:val="single" w:sz="4" w:space="0" w:color="auto"/>
              <w:left w:val="single" w:sz="4" w:space="0" w:color="auto"/>
              <w:bottom w:val="single" w:sz="4" w:space="0" w:color="auto"/>
              <w:right w:val="single" w:sz="4" w:space="0" w:color="auto"/>
            </w:tcBorders>
            <w:vAlign w:val="bottom"/>
            <w:hideMark/>
          </w:tcPr>
          <w:p w:rsidR="00B008D9" w:rsidRPr="000E3FB0" w:rsidRDefault="00B008D9" w:rsidP="005200A0">
            <w:pPr>
              <w:spacing w:line="300" w:lineRule="auto"/>
              <w:jc w:val="center"/>
              <w:rPr>
                <w:rFonts w:ascii="Arial Narrow" w:hAnsi="Arial Narrow" w:cs="Arial"/>
                <w:color w:val="000000"/>
                <w:sz w:val="24"/>
                <w:szCs w:val="24"/>
              </w:rPr>
            </w:pPr>
            <w:r w:rsidRPr="000E3FB0">
              <w:rPr>
                <w:rFonts w:ascii="Arial Narrow" w:hAnsi="Arial Narrow" w:cs="Arial"/>
                <w:color w:val="000000"/>
                <w:sz w:val="24"/>
                <w:szCs w:val="24"/>
              </w:rPr>
              <w:t>£240,000</w:t>
            </w:r>
          </w:p>
        </w:tc>
        <w:tc>
          <w:tcPr>
            <w:tcW w:w="684" w:type="pct"/>
            <w:tcBorders>
              <w:top w:val="single" w:sz="4" w:space="0" w:color="auto"/>
              <w:left w:val="single" w:sz="4" w:space="0" w:color="auto"/>
              <w:bottom w:val="single" w:sz="4" w:space="0" w:color="auto"/>
              <w:right w:val="single" w:sz="4" w:space="0" w:color="auto"/>
            </w:tcBorders>
            <w:vAlign w:val="bottom"/>
            <w:hideMark/>
          </w:tcPr>
          <w:p w:rsidR="00B008D9" w:rsidRPr="000E3FB0" w:rsidRDefault="00B008D9" w:rsidP="005200A0">
            <w:pPr>
              <w:spacing w:line="300" w:lineRule="auto"/>
              <w:jc w:val="center"/>
              <w:rPr>
                <w:rFonts w:ascii="Arial Narrow" w:hAnsi="Arial Narrow" w:cs="Arial"/>
                <w:color w:val="000000"/>
                <w:sz w:val="24"/>
                <w:szCs w:val="24"/>
              </w:rPr>
            </w:pPr>
            <w:r w:rsidRPr="000E3FB0">
              <w:rPr>
                <w:rFonts w:ascii="Arial Narrow" w:hAnsi="Arial Narrow" w:cs="Arial"/>
                <w:color w:val="000000"/>
                <w:sz w:val="24"/>
                <w:szCs w:val="24"/>
              </w:rPr>
              <w:t>£241,000</w:t>
            </w:r>
          </w:p>
        </w:tc>
        <w:tc>
          <w:tcPr>
            <w:tcW w:w="672" w:type="pct"/>
            <w:tcBorders>
              <w:top w:val="single" w:sz="4" w:space="0" w:color="auto"/>
              <w:left w:val="single" w:sz="4" w:space="0" w:color="auto"/>
              <w:bottom w:val="single" w:sz="4" w:space="0" w:color="auto"/>
              <w:right w:val="single" w:sz="4" w:space="0" w:color="auto"/>
            </w:tcBorders>
            <w:vAlign w:val="bottom"/>
            <w:hideMark/>
          </w:tcPr>
          <w:p w:rsidR="00B008D9" w:rsidRPr="000E3FB0" w:rsidRDefault="00B008D9" w:rsidP="005200A0">
            <w:pPr>
              <w:spacing w:line="300" w:lineRule="auto"/>
              <w:jc w:val="center"/>
              <w:rPr>
                <w:rFonts w:ascii="Arial Narrow" w:hAnsi="Arial Narrow" w:cs="Arial"/>
                <w:color w:val="000000"/>
                <w:sz w:val="24"/>
                <w:szCs w:val="24"/>
              </w:rPr>
            </w:pPr>
            <w:r w:rsidRPr="000E3FB0">
              <w:rPr>
                <w:rFonts w:ascii="Arial Narrow" w:hAnsi="Arial Narrow" w:cs="Arial"/>
                <w:color w:val="000000"/>
                <w:sz w:val="24"/>
                <w:szCs w:val="24"/>
              </w:rPr>
              <w:t>£291,000</w:t>
            </w:r>
          </w:p>
        </w:tc>
        <w:tc>
          <w:tcPr>
            <w:tcW w:w="556" w:type="pct"/>
            <w:tcBorders>
              <w:top w:val="single" w:sz="4" w:space="0" w:color="auto"/>
              <w:left w:val="single" w:sz="4" w:space="0" w:color="auto"/>
              <w:bottom w:val="single" w:sz="4" w:space="0" w:color="auto"/>
              <w:right w:val="single" w:sz="4" w:space="0" w:color="auto"/>
            </w:tcBorders>
            <w:vAlign w:val="bottom"/>
            <w:hideMark/>
          </w:tcPr>
          <w:p w:rsidR="00B008D9" w:rsidRPr="000E3FB0" w:rsidRDefault="00B008D9" w:rsidP="005200A0">
            <w:pPr>
              <w:spacing w:line="300" w:lineRule="auto"/>
              <w:jc w:val="center"/>
              <w:rPr>
                <w:rFonts w:ascii="Arial Narrow" w:hAnsi="Arial Narrow" w:cs="Arial"/>
                <w:color w:val="000000"/>
                <w:sz w:val="24"/>
                <w:szCs w:val="24"/>
              </w:rPr>
            </w:pPr>
            <w:r w:rsidRPr="000E3FB0">
              <w:rPr>
                <w:rFonts w:ascii="Arial Narrow" w:hAnsi="Arial Narrow" w:cs="Arial"/>
                <w:color w:val="000000"/>
                <w:sz w:val="24"/>
                <w:szCs w:val="24"/>
              </w:rPr>
              <w:t>£275,000</w:t>
            </w:r>
          </w:p>
        </w:tc>
        <w:tc>
          <w:tcPr>
            <w:tcW w:w="735" w:type="pct"/>
            <w:tcBorders>
              <w:top w:val="single" w:sz="4" w:space="0" w:color="auto"/>
              <w:left w:val="single" w:sz="4" w:space="0" w:color="auto"/>
              <w:bottom w:val="single" w:sz="4" w:space="0" w:color="auto"/>
              <w:right w:val="single" w:sz="4" w:space="0" w:color="auto"/>
            </w:tcBorders>
            <w:vAlign w:val="bottom"/>
            <w:hideMark/>
          </w:tcPr>
          <w:p w:rsidR="00B008D9" w:rsidRPr="000E3FB0" w:rsidRDefault="00B008D9" w:rsidP="005200A0">
            <w:pPr>
              <w:spacing w:line="300" w:lineRule="auto"/>
              <w:jc w:val="center"/>
              <w:rPr>
                <w:rFonts w:ascii="Arial Narrow" w:hAnsi="Arial Narrow" w:cs="Arial"/>
                <w:color w:val="000000"/>
                <w:sz w:val="24"/>
                <w:szCs w:val="24"/>
              </w:rPr>
            </w:pPr>
            <w:r w:rsidRPr="000E3FB0">
              <w:rPr>
                <w:rFonts w:ascii="Arial Narrow" w:hAnsi="Arial Narrow" w:cs="Arial"/>
                <w:color w:val="000000"/>
                <w:sz w:val="24"/>
                <w:szCs w:val="24"/>
              </w:rPr>
              <w:t>£263,000</w:t>
            </w:r>
          </w:p>
        </w:tc>
      </w:tr>
      <w:tr w:rsidR="00B008D9" w:rsidRPr="000E3FB0" w:rsidTr="00AE5604">
        <w:tc>
          <w:tcPr>
            <w:tcW w:w="976" w:type="pct"/>
            <w:tcBorders>
              <w:top w:val="single" w:sz="4" w:space="0" w:color="auto"/>
              <w:left w:val="single" w:sz="4" w:space="0" w:color="auto"/>
              <w:bottom w:val="single" w:sz="4" w:space="0" w:color="auto"/>
              <w:right w:val="single" w:sz="4" w:space="0" w:color="auto"/>
            </w:tcBorders>
            <w:hideMark/>
          </w:tcPr>
          <w:p w:rsidR="00B008D9" w:rsidRPr="000E3FB0" w:rsidRDefault="00B008D9" w:rsidP="005200A0">
            <w:pPr>
              <w:spacing w:line="300" w:lineRule="auto"/>
              <w:rPr>
                <w:rFonts w:ascii="Arial Narrow" w:hAnsi="Arial Narrow" w:cs="Arial"/>
                <w:sz w:val="24"/>
                <w:szCs w:val="24"/>
              </w:rPr>
            </w:pPr>
            <w:r w:rsidRPr="000E3FB0">
              <w:rPr>
                <w:rFonts w:ascii="Arial Narrow" w:hAnsi="Arial Narrow" w:cs="Arial"/>
                <w:sz w:val="24"/>
                <w:szCs w:val="24"/>
              </w:rPr>
              <w:t>Semi-detached</w:t>
            </w:r>
          </w:p>
        </w:tc>
        <w:tc>
          <w:tcPr>
            <w:tcW w:w="706" w:type="pct"/>
            <w:tcBorders>
              <w:top w:val="single" w:sz="4" w:space="0" w:color="auto"/>
              <w:left w:val="single" w:sz="4" w:space="0" w:color="auto"/>
              <w:bottom w:val="single" w:sz="4" w:space="0" w:color="auto"/>
              <w:right w:val="single" w:sz="4" w:space="0" w:color="auto"/>
            </w:tcBorders>
            <w:vAlign w:val="bottom"/>
            <w:hideMark/>
          </w:tcPr>
          <w:p w:rsidR="00B008D9" w:rsidRPr="000E3FB0" w:rsidRDefault="00B008D9" w:rsidP="005200A0">
            <w:pPr>
              <w:spacing w:line="300" w:lineRule="auto"/>
              <w:jc w:val="center"/>
              <w:rPr>
                <w:rFonts w:ascii="Arial Narrow" w:hAnsi="Arial Narrow" w:cs="Arial"/>
                <w:color w:val="000000"/>
                <w:sz w:val="24"/>
                <w:szCs w:val="24"/>
              </w:rPr>
            </w:pPr>
            <w:r w:rsidRPr="000E3FB0">
              <w:rPr>
                <w:rFonts w:ascii="Arial Narrow" w:hAnsi="Arial Narrow" w:cs="Arial"/>
                <w:color w:val="000000"/>
                <w:sz w:val="24"/>
                <w:szCs w:val="24"/>
              </w:rPr>
              <w:t>£301,000</w:t>
            </w:r>
          </w:p>
        </w:tc>
        <w:tc>
          <w:tcPr>
            <w:tcW w:w="672" w:type="pct"/>
            <w:tcBorders>
              <w:top w:val="single" w:sz="4" w:space="0" w:color="auto"/>
              <w:left w:val="single" w:sz="4" w:space="0" w:color="auto"/>
              <w:bottom w:val="single" w:sz="4" w:space="0" w:color="auto"/>
              <w:right w:val="single" w:sz="4" w:space="0" w:color="auto"/>
            </w:tcBorders>
            <w:vAlign w:val="bottom"/>
            <w:hideMark/>
          </w:tcPr>
          <w:p w:rsidR="00B008D9" w:rsidRPr="000E3FB0" w:rsidRDefault="00B008D9" w:rsidP="005200A0">
            <w:pPr>
              <w:spacing w:line="300" w:lineRule="auto"/>
              <w:jc w:val="center"/>
              <w:rPr>
                <w:rFonts w:ascii="Arial Narrow" w:hAnsi="Arial Narrow" w:cs="Arial"/>
                <w:color w:val="000000"/>
                <w:sz w:val="24"/>
                <w:szCs w:val="24"/>
              </w:rPr>
            </w:pPr>
            <w:r w:rsidRPr="000E3FB0">
              <w:rPr>
                <w:rFonts w:ascii="Arial Narrow" w:hAnsi="Arial Narrow" w:cs="Arial"/>
                <w:color w:val="000000"/>
                <w:sz w:val="24"/>
                <w:szCs w:val="24"/>
              </w:rPr>
              <w:t>£285,000</w:t>
            </w:r>
          </w:p>
        </w:tc>
        <w:tc>
          <w:tcPr>
            <w:tcW w:w="684" w:type="pct"/>
            <w:tcBorders>
              <w:top w:val="single" w:sz="4" w:space="0" w:color="auto"/>
              <w:left w:val="single" w:sz="4" w:space="0" w:color="auto"/>
              <w:bottom w:val="single" w:sz="4" w:space="0" w:color="auto"/>
              <w:right w:val="single" w:sz="4" w:space="0" w:color="auto"/>
            </w:tcBorders>
            <w:vAlign w:val="bottom"/>
            <w:hideMark/>
          </w:tcPr>
          <w:p w:rsidR="00B008D9" w:rsidRPr="000E3FB0" w:rsidRDefault="00B008D9" w:rsidP="005200A0">
            <w:pPr>
              <w:spacing w:line="300" w:lineRule="auto"/>
              <w:jc w:val="center"/>
              <w:rPr>
                <w:rFonts w:ascii="Arial Narrow" w:hAnsi="Arial Narrow" w:cs="Arial"/>
                <w:color w:val="000000"/>
                <w:sz w:val="24"/>
                <w:szCs w:val="24"/>
              </w:rPr>
            </w:pPr>
            <w:r w:rsidRPr="000E3FB0">
              <w:rPr>
                <w:rFonts w:ascii="Arial Narrow" w:hAnsi="Arial Narrow" w:cs="Arial"/>
                <w:color w:val="000000"/>
                <w:sz w:val="24"/>
                <w:szCs w:val="24"/>
              </w:rPr>
              <w:t>£261,000</w:t>
            </w:r>
          </w:p>
        </w:tc>
        <w:tc>
          <w:tcPr>
            <w:tcW w:w="672" w:type="pct"/>
            <w:tcBorders>
              <w:top w:val="single" w:sz="4" w:space="0" w:color="auto"/>
              <w:left w:val="single" w:sz="4" w:space="0" w:color="auto"/>
              <w:bottom w:val="single" w:sz="4" w:space="0" w:color="auto"/>
              <w:right w:val="single" w:sz="4" w:space="0" w:color="auto"/>
            </w:tcBorders>
            <w:vAlign w:val="bottom"/>
            <w:hideMark/>
          </w:tcPr>
          <w:p w:rsidR="00B008D9" w:rsidRPr="000E3FB0" w:rsidRDefault="00B008D9" w:rsidP="005200A0">
            <w:pPr>
              <w:spacing w:line="300" w:lineRule="auto"/>
              <w:jc w:val="center"/>
              <w:rPr>
                <w:rFonts w:ascii="Arial Narrow" w:hAnsi="Arial Narrow" w:cs="Arial"/>
                <w:color w:val="000000"/>
                <w:sz w:val="24"/>
                <w:szCs w:val="24"/>
              </w:rPr>
            </w:pPr>
            <w:r w:rsidRPr="000E3FB0">
              <w:rPr>
                <w:rFonts w:ascii="Arial Narrow" w:hAnsi="Arial Narrow" w:cs="Arial"/>
                <w:color w:val="000000"/>
                <w:sz w:val="24"/>
                <w:szCs w:val="24"/>
              </w:rPr>
              <w:t>£373,000</w:t>
            </w:r>
          </w:p>
        </w:tc>
        <w:tc>
          <w:tcPr>
            <w:tcW w:w="556" w:type="pct"/>
            <w:tcBorders>
              <w:top w:val="single" w:sz="4" w:space="0" w:color="auto"/>
              <w:left w:val="single" w:sz="4" w:space="0" w:color="auto"/>
              <w:bottom w:val="single" w:sz="4" w:space="0" w:color="auto"/>
              <w:right w:val="single" w:sz="4" w:space="0" w:color="auto"/>
            </w:tcBorders>
            <w:vAlign w:val="bottom"/>
            <w:hideMark/>
          </w:tcPr>
          <w:p w:rsidR="00B008D9" w:rsidRPr="000E3FB0" w:rsidRDefault="00B008D9" w:rsidP="005200A0">
            <w:pPr>
              <w:spacing w:line="300" w:lineRule="auto"/>
              <w:jc w:val="center"/>
              <w:rPr>
                <w:rFonts w:ascii="Arial Narrow" w:hAnsi="Arial Narrow" w:cs="Arial"/>
                <w:color w:val="000000"/>
                <w:sz w:val="24"/>
                <w:szCs w:val="24"/>
              </w:rPr>
            </w:pPr>
            <w:r w:rsidRPr="000E3FB0">
              <w:rPr>
                <w:rFonts w:ascii="Arial Narrow" w:hAnsi="Arial Narrow" w:cs="Arial"/>
                <w:color w:val="000000"/>
                <w:sz w:val="24"/>
                <w:szCs w:val="24"/>
              </w:rPr>
              <w:t>£319,000</w:t>
            </w:r>
          </w:p>
        </w:tc>
        <w:tc>
          <w:tcPr>
            <w:tcW w:w="735" w:type="pct"/>
            <w:tcBorders>
              <w:top w:val="single" w:sz="4" w:space="0" w:color="auto"/>
              <w:left w:val="single" w:sz="4" w:space="0" w:color="auto"/>
              <w:bottom w:val="single" w:sz="4" w:space="0" w:color="auto"/>
              <w:right w:val="single" w:sz="4" w:space="0" w:color="auto"/>
            </w:tcBorders>
            <w:vAlign w:val="bottom"/>
            <w:hideMark/>
          </w:tcPr>
          <w:p w:rsidR="00B008D9" w:rsidRPr="000E3FB0" w:rsidRDefault="00B008D9" w:rsidP="005200A0">
            <w:pPr>
              <w:spacing w:line="300" w:lineRule="auto"/>
              <w:jc w:val="center"/>
              <w:rPr>
                <w:rFonts w:ascii="Arial Narrow" w:hAnsi="Arial Narrow" w:cs="Arial"/>
                <w:color w:val="000000"/>
                <w:sz w:val="24"/>
                <w:szCs w:val="24"/>
              </w:rPr>
            </w:pPr>
            <w:r w:rsidRPr="000E3FB0">
              <w:rPr>
                <w:rFonts w:ascii="Arial Narrow" w:hAnsi="Arial Narrow" w:cs="Arial"/>
                <w:color w:val="000000"/>
                <w:sz w:val="24"/>
                <w:szCs w:val="24"/>
              </w:rPr>
              <w:t>£285,000</w:t>
            </w:r>
          </w:p>
        </w:tc>
      </w:tr>
      <w:tr w:rsidR="00B008D9" w:rsidRPr="000E3FB0" w:rsidTr="00AE5604">
        <w:tc>
          <w:tcPr>
            <w:tcW w:w="976" w:type="pct"/>
            <w:tcBorders>
              <w:top w:val="single" w:sz="4" w:space="0" w:color="auto"/>
              <w:left w:val="single" w:sz="4" w:space="0" w:color="auto"/>
              <w:bottom w:val="single" w:sz="4" w:space="0" w:color="auto"/>
              <w:right w:val="single" w:sz="4" w:space="0" w:color="auto"/>
            </w:tcBorders>
            <w:hideMark/>
          </w:tcPr>
          <w:p w:rsidR="00B008D9" w:rsidRPr="000E3FB0" w:rsidRDefault="00B008D9" w:rsidP="005200A0">
            <w:pPr>
              <w:spacing w:line="300" w:lineRule="auto"/>
              <w:rPr>
                <w:rFonts w:ascii="Arial Narrow" w:hAnsi="Arial Narrow" w:cs="Arial"/>
                <w:sz w:val="24"/>
                <w:szCs w:val="24"/>
              </w:rPr>
            </w:pPr>
            <w:r w:rsidRPr="000E3FB0">
              <w:rPr>
                <w:rFonts w:ascii="Arial Narrow" w:hAnsi="Arial Narrow" w:cs="Arial"/>
                <w:sz w:val="24"/>
                <w:szCs w:val="24"/>
              </w:rPr>
              <w:t>Detached</w:t>
            </w:r>
          </w:p>
        </w:tc>
        <w:tc>
          <w:tcPr>
            <w:tcW w:w="706" w:type="pct"/>
            <w:tcBorders>
              <w:top w:val="single" w:sz="4" w:space="0" w:color="auto"/>
              <w:left w:val="single" w:sz="4" w:space="0" w:color="auto"/>
              <w:bottom w:val="single" w:sz="4" w:space="0" w:color="auto"/>
              <w:right w:val="single" w:sz="4" w:space="0" w:color="auto"/>
            </w:tcBorders>
            <w:vAlign w:val="bottom"/>
            <w:hideMark/>
          </w:tcPr>
          <w:p w:rsidR="00B008D9" w:rsidRPr="000E3FB0" w:rsidRDefault="00B008D9" w:rsidP="005200A0">
            <w:pPr>
              <w:spacing w:line="300" w:lineRule="auto"/>
              <w:jc w:val="center"/>
              <w:rPr>
                <w:rFonts w:ascii="Arial Narrow" w:hAnsi="Arial Narrow" w:cs="Arial"/>
                <w:color w:val="000000"/>
                <w:sz w:val="24"/>
                <w:szCs w:val="24"/>
              </w:rPr>
            </w:pPr>
            <w:r w:rsidRPr="000E3FB0">
              <w:rPr>
                <w:rFonts w:ascii="Arial Narrow" w:hAnsi="Arial Narrow" w:cs="Arial"/>
                <w:color w:val="000000"/>
                <w:sz w:val="24"/>
                <w:szCs w:val="24"/>
              </w:rPr>
              <w:t>£448,000</w:t>
            </w:r>
          </w:p>
        </w:tc>
        <w:tc>
          <w:tcPr>
            <w:tcW w:w="672" w:type="pct"/>
            <w:tcBorders>
              <w:top w:val="single" w:sz="4" w:space="0" w:color="auto"/>
              <w:left w:val="single" w:sz="4" w:space="0" w:color="auto"/>
              <w:bottom w:val="single" w:sz="4" w:space="0" w:color="auto"/>
              <w:right w:val="single" w:sz="4" w:space="0" w:color="auto"/>
            </w:tcBorders>
            <w:vAlign w:val="bottom"/>
            <w:hideMark/>
          </w:tcPr>
          <w:p w:rsidR="00B008D9" w:rsidRPr="000E3FB0" w:rsidRDefault="00B008D9" w:rsidP="005200A0">
            <w:pPr>
              <w:spacing w:line="300" w:lineRule="auto"/>
              <w:jc w:val="center"/>
              <w:rPr>
                <w:rFonts w:ascii="Arial Narrow" w:hAnsi="Arial Narrow" w:cs="Arial"/>
                <w:color w:val="000000"/>
                <w:sz w:val="24"/>
                <w:szCs w:val="24"/>
              </w:rPr>
            </w:pPr>
            <w:r w:rsidRPr="000E3FB0">
              <w:rPr>
                <w:rFonts w:ascii="Arial Narrow" w:hAnsi="Arial Narrow" w:cs="Arial"/>
                <w:color w:val="000000"/>
                <w:sz w:val="24"/>
                <w:szCs w:val="24"/>
              </w:rPr>
              <w:t>£403,000</w:t>
            </w:r>
          </w:p>
        </w:tc>
        <w:tc>
          <w:tcPr>
            <w:tcW w:w="684" w:type="pct"/>
            <w:tcBorders>
              <w:top w:val="single" w:sz="4" w:space="0" w:color="auto"/>
              <w:left w:val="single" w:sz="4" w:space="0" w:color="auto"/>
              <w:bottom w:val="single" w:sz="4" w:space="0" w:color="auto"/>
              <w:right w:val="single" w:sz="4" w:space="0" w:color="auto"/>
            </w:tcBorders>
            <w:vAlign w:val="bottom"/>
            <w:hideMark/>
          </w:tcPr>
          <w:p w:rsidR="00B008D9" w:rsidRPr="000E3FB0" w:rsidRDefault="00B008D9" w:rsidP="005200A0">
            <w:pPr>
              <w:spacing w:line="300" w:lineRule="auto"/>
              <w:jc w:val="center"/>
              <w:rPr>
                <w:rFonts w:ascii="Arial Narrow" w:hAnsi="Arial Narrow" w:cs="Arial"/>
                <w:color w:val="000000"/>
                <w:sz w:val="24"/>
                <w:szCs w:val="24"/>
              </w:rPr>
            </w:pPr>
            <w:r w:rsidRPr="000E3FB0">
              <w:rPr>
                <w:rFonts w:ascii="Arial Narrow" w:hAnsi="Arial Narrow" w:cs="Arial"/>
                <w:color w:val="000000"/>
                <w:sz w:val="24"/>
                <w:szCs w:val="24"/>
              </w:rPr>
              <w:t>£352,000</w:t>
            </w:r>
          </w:p>
        </w:tc>
        <w:tc>
          <w:tcPr>
            <w:tcW w:w="672" w:type="pct"/>
            <w:tcBorders>
              <w:top w:val="single" w:sz="4" w:space="0" w:color="auto"/>
              <w:left w:val="single" w:sz="4" w:space="0" w:color="auto"/>
              <w:bottom w:val="single" w:sz="4" w:space="0" w:color="auto"/>
              <w:right w:val="single" w:sz="4" w:space="0" w:color="auto"/>
            </w:tcBorders>
            <w:vAlign w:val="bottom"/>
            <w:hideMark/>
          </w:tcPr>
          <w:p w:rsidR="00B008D9" w:rsidRPr="000E3FB0" w:rsidRDefault="00B008D9" w:rsidP="005200A0">
            <w:pPr>
              <w:spacing w:line="300" w:lineRule="auto"/>
              <w:jc w:val="center"/>
              <w:rPr>
                <w:rFonts w:ascii="Arial Narrow" w:hAnsi="Arial Narrow" w:cs="Arial"/>
                <w:color w:val="000000"/>
                <w:sz w:val="24"/>
                <w:szCs w:val="24"/>
              </w:rPr>
            </w:pPr>
            <w:r w:rsidRPr="000E3FB0">
              <w:rPr>
                <w:rFonts w:ascii="Arial Narrow" w:hAnsi="Arial Narrow" w:cs="Arial"/>
                <w:color w:val="000000"/>
                <w:sz w:val="24"/>
                <w:szCs w:val="24"/>
              </w:rPr>
              <w:t>£571,000</w:t>
            </w:r>
          </w:p>
        </w:tc>
        <w:tc>
          <w:tcPr>
            <w:tcW w:w="556" w:type="pct"/>
            <w:tcBorders>
              <w:top w:val="single" w:sz="4" w:space="0" w:color="auto"/>
              <w:left w:val="single" w:sz="4" w:space="0" w:color="auto"/>
              <w:bottom w:val="single" w:sz="4" w:space="0" w:color="auto"/>
              <w:right w:val="single" w:sz="4" w:space="0" w:color="auto"/>
            </w:tcBorders>
            <w:vAlign w:val="bottom"/>
            <w:hideMark/>
          </w:tcPr>
          <w:p w:rsidR="00B008D9" w:rsidRPr="000E3FB0" w:rsidRDefault="00B008D9" w:rsidP="005200A0">
            <w:pPr>
              <w:spacing w:line="300" w:lineRule="auto"/>
              <w:jc w:val="center"/>
              <w:rPr>
                <w:rFonts w:ascii="Arial Narrow" w:hAnsi="Arial Narrow" w:cs="Arial"/>
                <w:color w:val="000000"/>
                <w:sz w:val="24"/>
                <w:szCs w:val="24"/>
              </w:rPr>
            </w:pPr>
            <w:r w:rsidRPr="000E3FB0">
              <w:rPr>
                <w:rFonts w:ascii="Arial Narrow" w:hAnsi="Arial Narrow" w:cs="Arial"/>
                <w:color w:val="000000"/>
                <w:sz w:val="24"/>
                <w:szCs w:val="24"/>
              </w:rPr>
              <w:t>£494,000</w:t>
            </w:r>
          </w:p>
        </w:tc>
        <w:tc>
          <w:tcPr>
            <w:tcW w:w="735" w:type="pct"/>
            <w:tcBorders>
              <w:top w:val="single" w:sz="4" w:space="0" w:color="auto"/>
              <w:left w:val="single" w:sz="4" w:space="0" w:color="auto"/>
              <w:bottom w:val="single" w:sz="4" w:space="0" w:color="auto"/>
              <w:right w:val="single" w:sz="4" w:space="0" w:color="auto"/>
            </w:tcBorders>
            <w:vAlign w:val="bottom"/>
            <w:hideMark/>
          </w:tcPr>
          <w:p w:rsidR="00B008D9" w:rsidRPr="000E3FB0" w:rsidRDefault="00B008D9" w:rsidP="005200A0">
            <w:pPr>
              <w:spacing w:line="300" w:lineRule="auto"/>
              <w:jc w:val="center"/>
              <w:rPr>
                <w:rFonts w:ascii="Arial Narrow" w:hAnsi="Arial Narrow" w:cs="Arial"/>
                <w:color w:val="000000"/>
                <w:sz w:val="24"/>
                <w:szCs w:val="24"/>
              </w:rPr>
            </w:pPr>
            <w:r w:rsidRPr="000E3FB0">
              <w:rPr>
                <w:rFonts w:ascii="Arial Narrow" w:hAnsi="Arial Narrow" w:cs="Arial"/>
                <w:color w:val="000000"/>
                <w:sz w:val="24"/>
                <w:szCs w:val="24"/>
              </w:rPr>
              <w:t>£410,000</w:t>
            </w:r>
          </w:p>
        </w:tc>
      </w:tr>
      <w:tr w:rsidR="00B008D9" w:rsidRPr="000E3FB0" w:rsidTr="00AE5604">
        <w:tc>
          <w:tcPr>
            <w:tcW w:w="976" w:type="pct"/>
            <w:tcBorders>
              <w:top w:val="single" w:sz="4" w:space="0" w:color="auto"/>
              <w:left w:val="single" w:sz="4" w:space="0" w:color="auto"/>
              <w:bottom w:val="single" w:sz="4" w:space="0" w:color="auto"/>
              <w:right w:val="single" w:sz="4" w:space="0" w:color="auto"/>
            </w:tcBorders>
            <w:hideMark/>
          </w:tcPr>
          <w:p w:rsidR="00B008D9" w:rsidRPr="000E3FB0" w:rsidRDefault="00B008D9" w:rsidP="005200A0">
            <w:pPr>
              <w:spacing w:line="300" w:lineRule="auto"/>
              <w:rPr>
                <w:rFonts w:ascii="Arial Narrow" w:hAnsi="Arial Narrow" w:cs="Arial"/>
                <w:sz w:val="24"/>
                <w:szCs w:val="24"/>
              </w:rPr>
            </w:pPr>
            <w:r w:rsidRPr="000E3FB0">
              <w:rPr>
                <w:rFonts w:ascii="Arial Narrow" w:hAnsi="Arial Narrow" w:cs="Arial"/>
                <w:sz w:val="24"/>
                <w:szCs w:val="24"/>
              </w:rPr>
              <w:t>All dwellings</w:t>
            </w:r>
          </w:p>
        </w:tc>
        <w:tc>
          <w:tcPr>
            <w:tcW w:w="706" w:type="pct"/>
            <w:tcBorders>
              <w:top w:val="single" w:sz="4" w:space="0" w:color="auto"/>
              <w:left w:val="single" w:sz="4" w:space="0" w:color="auto"/>
              <w:bottom w:val="single" w:sz="4" w:space="0" w:color="auto"/>
              <w:right w:val="single" w:sz="4" w:space="0" w:color="auto"/>
            </w:tcBorders>
            <w:vAlign w:val="bottom"/>
            <w:hideMark/>
          </w:tcPr>
          <w:p w:rsidR="00B008D9" w:rsidRPr="000E3FB0" w:rsidRDefault="00B008D9" w:rsidP="005200A0">
            <w:pPr>
              <w:spacing w:line="300" w:lineRule="auto"/>
              <w:jc w:val="center"/>
              <w:rPr>
                <w:rFonts w:ascii="Arial Narrow" w:hAnsi="Arial Narrow" w:cs="Arial"/>
                <w:color w:val="000000"/>
                <w:sz w:val="24"/>
                <w:szCs w:val="24"/>
              </w:rPr>
            </w:pPr>
            <w:r w:rsidRPr="000E3FB0">
              <w:rPr>
                <w:rFonts w:ascii="Arial Narrow" w:hAnsi="Arial Narrow" w:cs="Arial"/>
                <w:color w:val="000000"/>
                <w:sz w:val="24"/>
                <w:szCs w:val="24"/>
              </w:rPr>
              <w:t>£254,000</w:t>
            </w:r>
          </w:p>
        </w:tc>
        <w:tc>
          <w:tcPr>
            <w:tcW w:w="672" w:type="pct"/>
            <w:tcBorders>
              <w:top w:val="single" w:sz="4" w:space="0" w:color="auto"/>
              <w:left w:val="single" w:sz="4" w:space="0" w:color="auto"/>
              <w:bottom w:val="single" w:sz="4" w:space="0" w:color="auto"/>
              <w:right w:val="single" w:sz="4" w:space="0" w:color="auto"/>
            </w:tcBorders>
            <w:vAlign w:val="bottom"/>
            <w:hideMark/>
          </w:tcPr>
          <w:p w:rsidR="00B008D9" w:rsidRPr="000E3FB0" w:rsidRDefault="00B008D9" w:rsidP="005200A0">
            <w:pPr>
              <w:spacing w:line="300" w:lineRule="auto"/>
              <w:jc w:val="center"/>
              <w:rPr>
                <w:rFonts w:ascii="Arial Narrow" w:hAnsi="Arial Narrow" w:cs="Arial"/>
                <w:color w:val="000000"/>
                <w:sz w:val="24"/>
                <w:szCs w:val="24"/>
              </w:rPr>
            </w:pPr>
            <w:r w:rsidRPr="000E3FB0">
              <w:rPr>
                <w:rFonts w:ascii="Arial Narrow" w:hAnsi="Arial Narrow" w:cs="Arial"/>
                <w:color w:val="000000"/>
                <w:sz w:val="24"/>
                <w:szCs w:val="24"/>
              </w:rPr>
              <w:t>£268,000</w:t>
            </w:r>
          </w:p>
        </w:tc>
        <w:tc>
          <w:tcPr>
            <w:tcW w:w="684" w:type="pct"/>
            <w:tcBorders>
              <w:top w:val="single" w:sz="4" w:space="0" w:color="auto"/>
              <w:left w:val="single" w:sz="4" w:space="0" w:color="auto"/>
              <w:bottom w:val="single" w:sz="4" w:space="0" w:color="auto"/>
              <w:right w:val="single" w:sz="4" w:space="0" w:color="auto"/>
            </w:tcBorders>
            <w:vAlign w:val="bottom"/>
            <w:hideMark/>
          </w:tcPr>
          <w:p w:rsidR="00B008D9" w:rsidRPr="000E3FB0" w:rsidRDefault="00B008D9" w:rsidP="005200A0">
            <w:pPr>
              <w:spacing w:line="300" w:lineRule="auto"/>
              <w:jc w:val="center"/>
              <w:rPr>
                <w:rFonts w:ascii="Arial Narrow" w:hAnsi="Arial Narrow" w:cs="Arial"/>
                <w:color w:val="000000"/>
                <w:sz w:val="24"/>
                <w:szCs w:val="24"/>
              </w:rPr>
            </w:pPr>
            <w:r w:rsidRPr="000E3FB0">
              <w:rPr>
                <w:rFonts w:ascii="Arial Narrow" w:hAnsi="Arial Narrow" w:cs="Arial"/>
                <w:color w:val="000000"/>
                <w:sz w:val="24"/>
                <w:szCs w:val="24"/>
              </w:rPr>
              <w:t>£265,000</w:t>
            </w:r>
          </w:p>
        </w:tc>
        <w:tc>
          <w:tcPr>
            <w:tcW w:w="672" w:type="pct"/>
            <w:tcBorders>
              <w:top w:val="single" w:sz="4" w:space="0" w:color="auto"/>
              <w:left w:val="single" w:sz="4" w:space="0" w:color="auto"/>
              <w:bottom w:val="single" w:sz="4" w:space="0" w:color="auto"/>
              <w:right w:val="single" w:sz="4" w:space="0" w:color="auto"/>
            </w:tcBorders>
            <w:vAlign w:val="bottom"/>
            <w:hideMark/>
          </w:tcPr>
          <w:p w:rsidR="00B008D9" w:rsidRPr="000E3FB0" w:rsidRDefault="00B008D9" w:rsidP="005200A0">
            <w:pPr>
              <w:spacing w:line="300" w:lineRule="auto"/>
              <w:jc w:val="center"/>
              <w:rPr>
                <w:rFonts w:ascii="Arial Narrow" w:hAnsi="Arial Narrow" w:cs="Arial"/>
                <w:color w:val="000000"/>
                <w:sz w:val="24"/>
                <w:szCs w:val="24"/>
              </w:rPr>
            </w:pPr>
            <w:r w:rsidRPr="000E3FB0">
              <w:rPr>
                <w:rFonts w:ascii="Arial Narrow" w:hAnsi="Arial Narrow" w:cs="Arial"/>
                <w:color w:val="000000"/>
                <w:sz w:val="24"/>
                <w:szCs w:val="24"/>
              </w:rPr>
              <w:t>£405,000</w:t>
            </w:r>
          </w:p>
        </w:tc>
        <w:tc>
          <w:tcPr>
            <w:tcW w:w="556" w:type="pct"/>
            <w:tcBorders>
              <w:top w:val="single" w:sz="4" w:space="0" w:color="auto"/>
              <w:left w:val="single" w:sz="4" w:space="0" w:color="auto"/>
              <w:bottom w:val="single" w:sz="4" w:space="0" w:color="auto"/>
              <w:right w:val="single" w:sz="4" w:space="0" w:color="auto"/>
            </w:tcBorders>
            <w:vAlign w:val="bottom"/>
            <w:hideMark/>
          </w:tcPr>
          <w:p w:rsidR="00B008D9" w:rsidRPr="000E3FB0" w:rsidRDefault="00B008D9" w:rsidP="005200A0">
            <w:pPr>
              <w:spacing w:line="300" w:lineRule="auto"/>
              <w:jc w:val="center"/>
              <w:rPr>
                <w:rFonts w:ascii="Arial Narrow" w:hAnsi="Arial Narrow" w:cs="Arial"/>
                <w:color w:val="000000"/>
                <w:sz w:val="24"/>
                <w:szCs w:val="24"/>
              </w:rPr>
            </w:pPr>
            <w:r w:rsidRPr="000E3FB0">
              <w:rPr>
                <w:rFonts w:ascii="Arial Narrow" w:hAnsi="Arial Narrow" w:cs="Arial"/>
                <w:color w:val="000000"/>
                <w:sz w:val="24"/>
                <w:szCs w:val="24"/>
              </w:rPr>
              <w:t>£318,000</w:t>
            </w:r>
          </w:p>
        </w:tc>
        <w:tc>
          <w:tcPr>
            <w:tcW w:w="735" w:type="pct"/>
            <w:tcBorders>
              <w:top w:val="single" w:sz="4" w:space="0" w:color="auto"/>
              <w:left w:val="single" w:sz="4" w:space="0" w:color="auto"/>
              <w:bottom w:val="single" w:sz="4" w:space="0" w:color="auto"/>
              <w:right w:val="single" w:sz="4" w:space="0" w:color="auto"/>
            </w:tcBorders>
            <w:vAlign w:val="bottom"/>
            <w:hideMark/>
          </w:tcPr>
          <w:p w:rsidR="00B008D9" w:rsidRPr="000E3FB0" w:rsidRDefault="00B008D9" w:rsidP="005200A0">
            <w:pPr>
              <w:spacing w:line="300" w:lineRule="auto"/>
              <w:jc w:val="center"/>
              <w:rPr>
                <w:rFonts w:ascii="Arial Narrow" w:hAnsi="Arial Narrow" w:cs="Arial"/>
                <w:color w:val="000000"/>
                <w:sz w:val="24"/>
                <w:szCs w:val="24"/>
              </w:rPr>
            </w:pPr>
            <w:r w:rsidRPr="000E3FB0">
              <w:rPr>
                <w:rFonts w:ascii="Arial Narrow" w:hAnsi="Arial Narrow" w:cs="Arial"/>
                <w:color w:val="000000"/>
                <w:sz w:val="24"/>
                <w:szCs w:val="24"/>
              </w:rPr>
              <w:t>£275,000</w:t>
            </w:r>
          </w:p>
        </w:tc>
      </w:tr>
    </w:tbl>
    <w:p w:rsidR="00B008D9" w:rsidRPr="000E3FB0" w:rsidRDefault="00B008D9" w:rsidP="00AE5604">
      <w:pPr>
        <w:spacing w:after="120" w:line="360" w:lineRule="auto"/>
        <w:rPr>
          <w:sz w:val="24"/>
          <w:szCs w:val="24"/>
        </w:rPr>
      </w:pPr>
      <w:r w:rsidRPr="000E3FB0">
        <w:rPr>
          <w:sz w:val="24"/>
          <w:szCs w:val="24"/>
        </w:rPr>
        <w:t>Source: Land Registry, 2019</w:t>
      </w:r>
    </w:p>
    <w:p w:rsidR="00C41EB7" w:rsidRDefault="00B008D9" w:rsidP="000C05B0">
      <w:pPr>
        <w:pStyle w:val="11Bodytext"/>
        <w:tabs>
          <w:tab w:val="clear" w:pos="2212"/>
          <w:tab w:val="num" w:pos="567"/>
        </w:tabs>
        <w:ind w:left="567" w:hanging="567"/>
      </w:pPr>
      <w:r w:rsidRPr="00CA47B9">
        <w:t xml:space="preserve">The table below shows the breakdown of lower quartile house prices by dwelling size. </w:t>
      </w:r>
      <w:r w:rsidR="00C41EB7">
        <w:t xml:space="preserve">This is drawn from </w:t>
      </w:r>
      <w:r w:rsidR="00855CA6">
        <w:t xml:space="preserve">an </w:t>
      </w:r>
      <w:r w:rsidR="00C41EB7">
        <w:t xml:space="preserve">analysis of online sources such as </w:t>
      </w:r>
      <w:r w:rsidR="002638EB">
        <w:t xml:space="preserve">Zoopla </w:t>
      </w:r>
      <w:r w:rsidR="00C41EB7">
        <w:t xml:space="preserve">and </w:t>
      </w:r>
      <w:r w:rsidR="002638EB">
        <w:t xml:space="preserve">Rightmove </w:t>
      </w:r>
      <w:r w:rsidR="00C41EB7">
        <w:t>linked backed to the Land Registry data</w:t>
      </w:r>
      <w:r w:rsidR="002638EB">
        <w:t>.</w:t>
      </w:r>
    </w:p>
    <w:p w:rsidR="00B008D9" w:rsidRPr="00CA47B9" w:rsidRDefault="00B008D9" w:rsidP="000C05B0">
      <w:pPr>
        <w:pStyle w:val="11Bodytext"/>
        <w:tabs>
          <w:tab w:val="clear" w:pos="2212"/>
          <w:tab w:val="num" w:pos="567"/>
        </w:tabs>
        <w:ind w:left="567" w:hanging="567"/>
      </w:pPr>
      <w:r w:rsidRPr="00CA47B9">
        <w:t xml:space="preserve">At a </w:t>
      </w:r>
      <w:r w:rsidR="00855CA6" w:rsidRPr="00CA47B9">
        <w:t>District</w:t>
      </w:r>
      <w:r w:rsidR="00855CA6">
        <w:t>-</w:t>
      </w:r>
      <w:r w:rsidRPr="00CA47B9">
        <w:t>wide level, the</w:t>
      </w:r>
      <w:r w:rsidR="000818AC">
        <w:t xml:space="preserve"> lower quartile</w:t>
      </w:r>
      <w:r w:rsidRPr="00CA47B9">
        <w:t xml:space="preserve"> price of a 1-bedroom is £129,000, </w:t>
      </w:r>
      <w:r w:rsidR="00C221A0">
        <w:t xml:space="preserve">this increases to </w:t>
      </w:r>
      <w:r w:rsidRPr="00CA47B9">
        <w:t xml:space="preserve">£205,000 for a 2-bedroom, </w:t>
      </w:r>
      <w:r w:rsidR="00C221A0">
        <w:t>and again</w:t>
      </w:r>
      <w:r w:rsidR="00C221A0" w:rsidRPr="00CA47B9">
        <w:t xml:space="preserve"> </w:t>
      </w:r>
      <w:r w:rsidRPr="00CA47B9">
        <w:t xml:space="preserve">to £293,000 for a 3-bedroom and </w:t>
      </w:r>
      <w:r w:rsidR="00C221A0">
        <w:t xml:space="preserve">finishes at </w:t>
      </w:r>
      <w:r w:rsidRPr="00CA47B9">
        <w:t xml:space="preserve">£432,000 for a 4-bedroom. </w:t>
      </w:r>
      <w:r w:rsidR="00C221A0">
        <w:t>Across all size of dwellings</w:t>
      </w:r>
      <w:r w:rsidR="00855CA6">
        <w:t>,</w:t>
      </w:r>
      <w:r w:rsidR="00C221A0">
        <w:t xml:space="preserve"> the lower quartile price is maintained at £275,000.</w:t>
      </w:r>
    </w:p>
    <w:p w:rsidR="00B008D9" w:rsidRPr="00CA47B9" w:rsidRDefault="00B008D9" w:rsidP="00AE5604">
      <w:pPr>
        <w:pStyle w:val="Tableheading"/>
        <w:tabs>
          <w:tab w:val="clear" w:pos="794"/>
          <w:tab w:val="clear" w:pos="1843"/>
          <w:tab w:val="left" w:pos="0"/>
        </w:tabs>
        <w:ind w:left="0" w:firstLine="0"/>
      </w:pPr>
      <w:r w:rsidRPr="00CA47B9">
        <w:lastRenderedPageBreak/>
        <w:t xml:space="preserve">Estimated lower quartile property price by dwelling size </w:t>
      </w:r>
    </w:p>
    <w:tbl>
      <w:tblPr>
        <w:tblStyle w:val="TableGridLight12"/>
        <w:tblW w:w="4894" w:type="pct"/>
        <w:tblInd w:w="108" w:type="dxa"/>
        <w:tblLook w:val="04A0" w:firstRow="1" w:lastRow="0" w:firstColumn="1" w:lastColumn="0" w:noHBand="0" w:noVBand="1"/>
        <w:tblCaption w:val="Table 24: Estimated lower quartile property price by dwelling size "/>
      </w:tblPr>
      <w:tblGrid>
        <w:gridCol w:w="1585"/>
        <w:gridCol w:w="1201"/>
        <w:gridCol w:w="1330"/>
        <w:gridCol w:w="1554"/>
        <w:gridCol w:w="1721"/>
        <w:gridCol w:w="973"/>
        <w:gridCol w:w="1274"/>
      </w:tblGrid>
      <w:tr w:rsidR="00B008D9" w:rsidRPr="000E3FB0" w:rsidTr="00AE5604">
        <w:trPr>
          <w:tblHeader/>
        </w:trPr>
        <w:tc>
          <w:tcPr>
            <w:tcW w:w="822" w:type="pct"/>
            <w:tcBorders>
              <w:top w:val="single" w:sz="4" w:space="0" w:color="auto"/>
              <w:left w:val="single" w:sz="4" w:space="0" w:color="auto"/>
              <w:bottom w:val="single" w:sz="4" w:space="0" w:color="auto"/>
              <w:right w:val="single" w:sz="4" w:space="0" w:color="auto"/>
            </w:tcBorders>
            <w:shd w:val="clear" w:color="auto" w:fill="0093D5" w:themeFill="accent2"/>
          </w:tcPr>
          <w:p w:rsidR="00B008D9" w:rsidRPr="000E3FB0" w:rsidRDefault="00B008D9" w:rsidP="005200A0">
            <w:pPr>
              <w:spacing w:line="300" w:lineRule="auto"/>
              <w:rPr>
                <w:rFonts w:ascii="Arial Narrow" w:hAnsi="Arial Narrow" w:cs="Arial"/>
                <w:bCs/>
                <w:color w:val="FFFFFF" w:themeColor="background1"/>
                <w:sz w:val="22"/>
                <w:szCs w:val="22"/>
              </w:rPr>
            </w:pPr>
          </w:p>
        </w:tc>
        <w:tc>
          <w:tcPr>
            <w:tcW w:w="623" w:type="pct"/>
            <w:tcBorders>
              <w:top w:val="single" w:sz="4" w:space="0" w:color="auto"/>
              <w:left w:val="single" w:sz="4" w:space="0" w:color="auto"/>
              <w:bottom w:val="single" w:sz="4" w:space="0" w:color="auto"/>
              <w:right w:val="single" w:sz="4" w:space="0" w:color="auto"/>
            </w:tcBorders>
            <w:shd w:val="clear" w:color="auto" w:fill="0093D5" w:themeFill="accent2"/>
            <w:vAlign w:val="center"/>
            <w:hideMark/>
          </w:tcPr>
          <w:p w:rsidR="00B008D9" w:rsidRPr="000E3FB0" w:rsidRDefault="00B008D9" w:rsidP="00AE5604">
            <w:pPr>
              <w:spacing w:line="300" w:lineRule="auto"/>
              <w:jc w:val="center"/>
              <w:rPr>
                <w:rFonts w:ascii="Arial Narrow" w:hAnsi="Arial Narrow" w:cs="Arial"/>
                <w:bCs/>
                <w:color w:val="FFFFFF" w:themeColor="background1"/>
                <w:sz w:val="22"/>
                <w:szCs w:val="22"/>
              </w:rPr>
            </w:pPr>
            <w:r w:rsidRPr="000E3FB0">
              <w:rPr>
                <w:rFonts w:ascii="Arial Narrow" w:hAnsi="Arial Narrow" w:cs="Arial"/>
                <w:bCs/>
                <w:color w:val="FFFFFF" w:themeColor="background1"/>
                <w:sz w:val="22"/>
                <w:szCs w:val="22"/>
              </w:rPr>
              <w:t>Chichester City</w:t>
            </w:r>
          </w:p>
        </w:tc>
        <w:tc>
          <w:tcPr>
            <w:tcW w:w="690" w:type="pct"/>
            <w:tcBorders>
              <w:top w:val="single" w:sz="4" w:space="0" w:color="auto"/>
              <w:left w:val="single" w:sz="4" w:space="0" w:color="auto"/>
              <w:bottom w:val="single" w:sz="4" w:space="0" w:color="auto"/>
              <w:right w:val="single" w:sz="4" w:space="0" w:color="auto"/>
            </w:tcBorders>
            <w:shd w:val="clear" w:color="auto" w:fill="0093D5" w:themeFill="accent2"/>
            <w:vAlign w:val="center"/>
            <w:hideMark/>
          </w:tcPr>
          <w:p w:rsidR="00B008D9" w:rsidRPr="000E3FB0" w:rsidRDefault="00B008D9" w:rsidP="00AE5604">
            <w:pPr>
              <w:spacing w:line="300" w:lineRule="auto"/>
              <w:jc w:val="center"/>
              <w:rPr>
                <w:rFonts w:ascii="Arial Narrow" w:hAnsi="Arial Narrow" w:cs="Arial"/>
                <w:bCs/>
                <w:color w:val="FFFFFF" w:themeColor="background1"/>
                <w:sz w:val="22"/>
                <w:szCs w:val="22"/>
              </w:rPr>
            </w:pPr>
            <w:r w:rsidRPr="000E3FB0">
              <w:rPr>
                <w:rFonts w:ascii="Arial Narrow" w:hAnsi="Arial Narrow" w:cs="Arial"/>
                <w:bCs/>
                <w:color w:val="FFFFFF" w:themeColor="background1"/>
                <w:sz w:val="22"/>
                <w:szCs w:val="22"/>
              </w:rPr>
              <w:t>East-West Corridor</w:t>
            </w:r>
          </w:p>
        </w:tc>
        <w:tc>
          <w:tcPr>
            <w:tcW w:w="806" w:type="pct"/>
            <w:tcBorders>
              <w:top w:val="single" w:sz="4" w:space="0" w:color="auto"/>
              <w:left w:val="single" w:sz="4" w:space="0" w:color="auto"/>
              <w:bottom w:val="single" w:sz="4" w:space="0" w:color="auto"/>
              <w:right w:val="single" w:sz="4" w:space="0" w:color="auto"/>
            </w:tcBorders>
            <w:shd w:val="clear" w:color="auto" w:fill="0093D5" w:themeFill="accent2"/>
            <w:vAlign w:val="center"/>
            <w:hideMark/>
          </w:tcPr>
          <w:p w:rsidR="00B008D9" w:rsidRPr="000E3FB0" w:rsidRDefault="00B008D9" w:rsidP="00AE5604">
            <w:pPr>
              <w:spacing w:line="300" w:lineRule="auto"/>
              <w:jc w:val="center"/>
              <w:rPr>
                <w:rFonts w:ascii="Arial Narrow" w:hAnsi="Arial Narrow" w:cs="Arial"/>
                <w:bCs/>
                <w:color w:val="FFFFFF" w:themeColor="background1"/>
                <w:sz w:val="22"/>
                <w:szCs w:val="22"/>
              </w:rPr>
            </w:pPr>
            <w:r w:rsidRPr="000E3FB0">
              <w:rPr>
                <w:rFonts w:ascii="Arial Narrow" w:hAnsi="Arial Narrow" w:cs="Arial"/>
                <w:bCs/>
                <w:color w:val="FFFFFF" w:themeColor="background1"/>
                <w:sz w:val="22"/>
                <w:szCs w:val="22"/>
              </w:rPr>
              <w:t xml:space="preserve">Manhood </w:t>
            </w:r>
            <w:r w:rsidR="00056D14" w:rsidRPr="000E3FB0">
              <w:rPr>
                <w:rFonts w:ascii="Arial Narrow" w:hAnsi="Arial Narrow" w:cs="Arial"/>
                <w:bCs/>
                <w:color w:val="FFFFFF" w:themeColor="background1"/>
                <w:sz w:val="22"/>
                <w:szCs w:val="22"/>
              </w:rPr>
              <w:t>Peninsula</w:t>
            </w:r>
          </w:p>
        </w:tc>
        <w:tc>
          <w:tcPr>
            <w:tcW w:w="893" w:type="pct"/>
            <w:tcBorders>
              <w:top w:val="single" w:sz="4" w:space="0" w:color="auto"/>
              <w:left w:val="single" w:sz="4" w:space="0" w:color="auto"/>
              <w:bottom w:val="single" w:sz="4" w:space="0" w:color="auto"/>
              <w:right w:val="single" w:sz="4" w:space="0" w:color="auto"/>
            </w:tcBorders>
            <w:shd w:val="clear" w:color="auto" w:fill="0093D5" w:themeFill="accent2"/>
            <w:vAlign w:val="center"/>
            <w:hideMark/>
          </w:tcPr>
          <w:p w:rsidR="00B008D9" w:rsidRPr="000E3FB0" w:rsidRDefault="00B008D9" w:rsidP="00AE5604">
            <w:pPr>
              <w:spacing w:line="300" w:lineRule="auto"/>
              <w:jc w:val="center"/>
              <w:rPr>
                <w:rFonts w:ascii="Arial Narrow" w:hAnsi="Arial Narrow" w:cs="Arial"/>
                <w:bCs/>
                <w:color w:val="FFFFFF" w:themeColor="background1"/>
                <w:sz w:val="22"/>
                <w:szCs w:val="22"/>
              </w:rPr>
            </w:pPr>
            <w:r w:rsidRPr="000E3FB0">
              <w:rPr>
                <w:rFonts w:ascii="Arial Narrow" w:hAnsi="Arial Narrow" w:cs="Arial"/>
                <w:bCs/>
                <w:color w:val="FFFFFF" w:themeColor="background1"/>
                <w:sz w:val="22"/>
                <w:szCs w:val="22"/>
              </w:rPr>
              <w:t>Plan Area North</w:t>
            </w:r>
          </w:p>
        </w:tc>
        <w:tc>
          <w:tcPr>
            <w:tcW w:w="505" w:type="pct"/>
            <w:tcBorders>
              <w:top w:val="single" w:sz="4" w:space="0" w:color="auto"/>
              <w:left w:val="single" w:sz="4" w:space="0" w:color="auto"/>
              <w:bottom w:val="single" w:sz="4" w:space="0" w:color="auto"/>
              <w:right w:val="single" w:sz="4" w:space="0" w:color="auto"/>
            </w:tcBorders>
            <w:shd w:val="clear" w:color="auto" w:fill="0093D5" w:themeFill="accent2"/>
            <w:vAlign w:val="center"/>
            <w:hideMark/>
          </w:tcPr>
          <w:p w:rsidR="00B008D9" w:rsidRPr="000E3FB0" w:rsidRDefault="00B008D9" w:rsidP="00AE5604">
            <w:pPr>
              <w:spacing w:line="300" w:lineRule="auto"/>
              <w:jc w:val="center"/>
              <w:rPr>
                <w:rFonts w:ascii="Arial Narrow" w:hAnsi="Arial Narrow" w:cs="Arial"/>
                <w:bCs/>
                <w:color w:val="FFFFFF" w:themeColor="background1"/>
                <w:sz w:val="22"/>
                <w:szCs w:val="22"/>
              </w:rPr>
            </w:pPr>
            <w:r w:rsidRPr="000E3FB0">
              <w:rPr>
                <w:rFonts w:ascii="Arial Narrow" w:hAnsi="Arial Narrow" w:cs="Arial"/>
                <w:bCs/>
                <w:color w:val="FFFFFF" w:themeColor="background1"/>
                <w:sz w:val="22"/>
                <w:szCs w:val="22"/>
              </w:rPr>
              <w:t>SDNP</w:t>
            </w:r>
          </w:p>
        </w:tc>
        <w:tc>
          <w:tcPr>
            <w:tcW w:w="661" w:type="pct"/>
            <w:tcBorders>
              <w:top w:val="single" w:sz="4" w:space="0" w:color="auto"/>
              <w:left w:val="single" w:sz="4" w:space="0" w:color="auto"/>
              <w:bottom w:val="single" w:sz="4" w:space="0" w:color="auto"/>
              <w:right w:val="single" w:sz="4" w:space="0" w:color="auto"/>
            </w:tcBorders>
            <w:shd w:val="clear" w:color="auto" w:fill="0093D5" w:themeFill="accent2"/>
            <w:vAlign w:val="center"/>
            <w:hideMark/>
          </w:tcPr>
          <w:p w:rsidR="00B008D9" w:rsidRPr="000E3FB0" w:rsidRDefault="00B008D9" w:rsidP="00AE5604">
            <w:pPr>
              <w:spacing w:line="300" w:lineRule="auto"/>
              <w:jc w:val="center"/>
              <w:rPr>
                <w:rFonts w:ascii="Arial Narrow" w:hAnsi="Arial Narrow" w:cs="Arial"/>
                <w:bCs/>
                <w:color w:val="FFFFFF" w:themeColor="background1"/>
                <w:sz w:val="22"/>
                <w:szCs w:val="22"/>
              </w:rPr>
            </w:pPr>
            <w:r w:rsidRPr="000E3FB0">
              <w:rPr>
                <w:rFonts w:ascii="Arial Narrow" w:hAnsi="Arial Narrow" w:cs="Arial"/>
                <w:bCs/>
                <w:color w:val="FFFFFF" w:themeColor="background1"/>
                <w:sz w:val="22"/>
                <w:szCs w:val="22"/>
              </w:rPr>
              <w:t>District-wide</w:t>
            </w:r>
          </w:p>
        </w:tc>
      </w:tr>
      <w:tr w:rsidR="00B008D9" w:rsidRPr="000E3FB0" w:rsidTr="00AE5604">
        <w:tc>
          <w:tcPr>
            <w:tcW w:w="822" w:type="pct"/>
            <w:tcBorders>
              <w:top w:val="single" w:sz="4" w:space="0" w:color="auto"/>
              <w:left w:val="single" w:sz="4" w:space="0" w:color="auto"/>
              <w:bottom w:val="single" w:sz="4" w:space="0" w:color="auto"/>
              <w:right w:val="single" w:sz="4" w:space="0" w:color="auto"/>
            </w:tcBorders>
            <w:hideMark/>
          </w:tcPr>
          <w:p w:rsidR="00B008D9" w:rsidRPr="000E3FB0" w:rsidRDefault="00B008D9" w:rsidP="005200A0">
            <w:pPr>
              <w:spacing w:line="300" w:lineRule="auto"/>
              <w:rPr>
                <w:rFonts w:ascii="Arial Narrow" w:hAnsi="Arial Narrow" w:cs="Arial"/>
                <w:sz w:val="22"/>
                <w:szCs w:val="22"/>
              </w:rPr>
            </w:pPr>
            <w:r w:rsidRPr="000E3FB0">
              <w:rPr>
                <w:rFonts w:ascii="Arial Narrow" w:hAnsi="Arial Narrow" w:cs="Arial"/>
                <w:sz w:val="22"/>
                <w:szCs w:val="22"/>
              </w:rPr>
              <w:t>1-bedroom</w:t>
            </w:r>
          </w:p>
        </w:tc>
        <w:tc>
          <w:tcPr>
            <w:tcW w:w="623"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rPr>
                <w:rFonts w:ascii="Arial Narrow" w:hAnsi="Arial Narrow" w:cs="Arial"/>
                <w:color w:val="000000"/>
                <w:sz w:val="22"/>
                <w:szCs w:val="22"/>
              </w:rPr>
            </w:pPr>
            <w:r w:rsidRPr="000E3FB0">
              <w:rPr>
                <w:rFonts w:ascii="Arial Narrow" w:hAnsi="Arial Narrow" w:cs="Arial"/>
                <w:color w:val="000000"/>
                <w:sz w:val="22"/>
                <w:szCs w:val="22"/>
              </w:rPr>
              <w:t>£124,000</w:t>
            </w:r>
          </w:p>
        </w:tc>
        <w:tc>
          <w:tcPr>
            <w:tcW w:w="690"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rPr>
                <w:rFonts w:ascii="Arial Narrow" w:hAnsi="Arial Narrow" w:cs="Arial"/>
                <w:color w:val="000000"/>
                <w:sz w:val="22"/>
                <w:szCs w:val="22"/>
              </w:rPr>
            </w:pPr>
            <w:r w:rsidRPr="000E3FB0">
              <w:rPr>
                <w:rFonts w:ascii="Arial Narrow" w:hAnsi="Arial Narrow" w:cs="Arial"/>
                <w:color w:val="000000"/>
                <w:sz w:val="22"/>
                <w:szCs w:val="22"/>
              </w:rPr>
              <w:t>£113,000</w:t>
            </w:r>
          </w:p>
        </w:tc>
        <w:tc>
          <w:tcPr>
            <w:tcW w:w="806"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rPr>
                <w:rFonts w:ascii="Arial Narrow" w:hAnsi="Arial Narrow" w:cs="Arial"/>
                <w:color w:val="000000"/>
                <w:sz w:val="22"/>
                <w:szCs w:val="22"/>
              </w:rPr>
            </w:pPr>
            <w:r w:rsidRPr="000E3FB0">
              <w:rPr>
                <w:rFonts w:ascii="Arial Narrow" w:hAnsi="Arial Narrow" w:cs="Arial"/>
                <w:color w:val="000000"/>
                <w:sz w:val="22"/>
                <w:szCs w:val="22"/>
              </w:rPr>
              <w:t>£102,000</w:t>
            </w:r>
          </w:p>
        </w:tc>
        <w:tc>
          <w:tcPr>
            <w:tcW w:w="893"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rPr>
                <w:rFonts w:ascii="Arial Narrow" w:hAnsi="Arial Narrow" w:cs="Arial"/>
                <w:color w:val="000000"/>
                <w:sz w:val="22"/>
                <w:szCs w:val="22"/>
              </w:rPr>
            </w:pPr>
            <w:r w:rsidRPr="000E3FB0">
              <w:rPr>
                <w:rFonts w:ascii="Arial Narrow" w:hAnsi="Arial Narrow" w:cs="Arial"/>
                <w:color w:val="000000"/>
                <w:sz w:val="22"/>
                <w:szCs w:val="22"/>
              </w:rPr>
              <w:t>£152,000</w:t>
            </w:r>
          </w:p>
        </w:tc>
        <w:tc>
          <w:tcPr>
            <w:tcW w:w="505"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rPr>
                <w:rFonts w:ascii="Arial Narrow" w:hAnsi="Arial Narrow" w:cs="Arial"/>
                <w:color w:val="000000"/>
                <w:sz w:val="22"/>
                <w:szCs w:val="22"/>
              </w:rPr>
            </w:pPr>
            <w:r w:rsidRPr="000E3FB0">
              <w:rPr>
                <w:rFonts w:ascii="Arial Narrow" w:hAnsi="Arial Narrow" w:cs="Arial"/>
                <w:color w:val="000000"/>
                <w:sz w:val="22"/>
                <w:szCs w:val="22"/>
              </w:rPr>
              <w:t>£132,000</w:t>
            </w:r>
          </w:p>
        </w:tc>
        <w:tc>
          <w:tcPr>
            <w:tcW w:w="661"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rPr>
                <w:rFonts w:ascii="Arial Narrow" w:hAnsi="Arial Narrow" w:cs="Arial"/>
                <w:color w:val="000000"/>
                <w:sz w:val="22"/>
                <w:szCs w:val="22"/>
              </w:rPr>
            </w:pPr>
            <w:r w:rsidRPr="000E3FB0">
              <w:rPr>
                <w:rFonts w:ascii="Arial Narrow" w:hAnsi="Arial Narrow" w:cs="Arial"/>
                <w:color w:val="000000"/>
                <w:sz w:val="22"/>
                <w:szCs w:val="22"/>
              </w:rPr>
              <w:t>£129,000</w:t>
            </w:r>
          </w:p>
        </w:tc>
      </w:tr>
      <w:tr w:rsidR="00B008D9" w:rsidRPr="000E3FB0" w:rsidTr="00AE5604">
        <w:tc>
          <w:tcPr>
            <w:tcW w:w="822" w:type="pct"/>
            <w:tcBorders>
              <w:top w:val="single" w:sz="4" w:space="0" w:color="auto"/>
              <w:left w:val="single" w:sz="4" w:space="0" w:color="auto"/>
              <w:bottom w:val="single" w:sz="4" w:space="0" w:color="auto"/>
              <w:right w:val="single" w:sz="4" w:space="0" w:color="auto"/>
            </w:tcBorders>
            <w:hideMark/>
          </w:tcPr>
          <w:p w:rsidR="00B008D9" w:rsidRPr="000E3FB0" w:rsidRDefault="00B008D9" w:rsidP="005200A0">
            <w:pPr>
              <w:spacing w:line="300" w:lineRule="auto"/>
              <w:rPr>
                <w:rFonts w:ascii="Arial Narrow" w:hAnsi="Arial Narrow" w:cs="Arial"/>
                <w:sz w:val="22"/>
                <w:szCs w:val="22"/>
              </w:rPr>
            </w:pPr>
            <w:r w:rsidRPr="000E3FB0">
              <w:rPr>
                <w:rFonts w:ascii="Arial Narrow" w:hAnsi="Arial Narrow" w:cs="Arial"/>
                <w:sz w:val="22"/>
                <w:szCs w:val="22"/>
              </w:rPr>
              <w:t>2-bedrooms</w:t>
            </w:r>
          </w:p>
        </w:tc>
        <w:tc>
          <w:tcPr>
            <w:tcW w:w="623"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rPr>
                <w:rFonts w:ascii="Arial Narrow" w:hAnsi="Arial Narrow" w:cs="Arial"/>
                <w:color w:val="000000"/>
                <w:sz w:val="22"/>
                <w:szCs w:val="22"/>
              </w:rPr>
            </w:pPr>
            <w:r w:rsidRPr="000E3FB0">
              <w:rPr>
                <w:rFonts w:ascii="Arial Narrow" w:hAnsi="Arial Narrow" w:cs="Arial"/>
                <w:color w:val="000000"/>
                <w:sz w:val="22"/>
                <w:szCs w:val="22"/>
              </w:rPr>
              <w:t>£198,000</w:t>
            </w:r>
          </w:p>
        </w:tc>
        <w:tc>
          <w:tcPr>
            <w:tcW w:w="690"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rPr>
                <w:rFonts w:ascii="Arial Narrow" w:hAnsi="Arial Narrow" w:cs="Arial"/>
                <w:color w:val="000000"/>
                <w:sz w:val="22"/>
                <w:szCs w:val="22"/>
              </w:rPr>
            </w:pPr>
            <w:r w:rsidRPr="000E3FB0">
              <w:rPr>
                <w:rFonts w:ascii="Arial Narrow" w:hAnsi="Arial Narrow" w:cs="Arial"/>
                <w:color w:val="000000"/>
                <w:sz w:val="22"/>
                <w:szCs w:val="22"/>
              </w:rPr>
              <w:t>£179,000</w:t>
            </w:r>
          </w:p>
        </w:tc>
        <w:tc>
          <w:tcPr>
            <w:tcW w:w="806"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rPr>
                <w:rFonts w:ascii="Arial Narrow" w:hAnsi="Arial Narrow" w:cs="Arial"/>
                <w:color w:val="000000"/>
                <w:sz w:val="22"/>
                <w:szCs w:val="22"/>
              </w:rPr>
            </w:pPr>
            <w:r w:rsidRPr="000E3FB0">
              <w:rPr>
                <w:rFonts w:ascii="Arial Narrow" w:hAnsi="Arial Narrow" w:cs="Arial"/>
                <w:color w:val="000000"/>
                <w:sz w:val="22"/>
                <w:szCs w:val="22"/>
              </w:rPr>
              <w:t>£162,000</w:t>
            </w:r>
          </w:p>
        </w:tc>
        <w:tc>
          <w:tcPr>
            <w:tcW w:w="893"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rPr>
                <w:rFonts w:ascii="Arial Narrow" w:hAnsi="Arial Narrow" w:cs="Arial"/>
                <w:color w:val="000000"/>
                <w:sz w:val="22"/>
                <w:szCs w:val="22"/>
              </w:rPr>
            </w:pPr>
            <w:r w:rsidRPr="000E3FB0">
              <w:rPr>
                <w:rFonts w:ascii="Arial Narrow" w:hAnsi="Arial Narrow" w:cs="Arial"/>
                <w:color w:val="000000"/>
                <w:sz w:val="22"/>
                <w:szCs w:val="22"/>
              </w:rPr>
              <w:t>£242,000</w:t>
            </w:r>
          </w:p>
        </w:tc>
        <w:tc>
          <w:tcPr>
            <w:tcW w:w="505"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rPr>
                <w:rFonts w:ascii="Arial Narrow" w:hAnsi="Arial Narrow" w:cs="Arial"/>
                <w:color w:val="000000"/>
                <w:sz w:val="22"/>
                <w:szCs w:val="22"/>
              </w:rPr>
            </w:pPr>
            <w:r w:rsidRPr="000E3FB0">
              <w:rPr>
                <w:rFonts w:ascii="Arial Narrow" w:hAnsi="Arial Narrow" w:cs="Arial"/>
                <w:color w:val="000000"/>
                <w:sz w:val="22"/>
                <w:szCs w:val="22"/>
              </w:rPr>
              <w:t>£209,000</w:t>
            </w:r>
          </w:p>
        </w:tc>
        <w:tc>
          <w:tcPr>
            <w:tcW w:w="661"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rPr>
                <w:rFonts w:ascii="Arial Narrow" w:hAnsi="Arial Narrow" w:cs="Arial"/>
                <w:color w:val="000000"/>
                <w:sz w:val="22"/>
                <w:szCs w:val="22"/>
              </w:rPr>
            </w:pPr>
            <w:r w:rsidRPr="000E3FB0">
              <w:rPr>
                <w:rFonts w:ascii="Arial Narrow" w:hAnsi="Arial Narrow" w:cs="Arial"/>
                <w:color w:val="000000"/>
                <w:sz w:val="22"/>
                <w:szCs w:val="22"/>
              </w:rPr>
              <w:t>£205,000</w:t>
            </w:r>
          </w:p>
        </w:tc>
      </w:tr>
      <w:tr w:rsidR="00B008D9" w:rsidRPr="000E3FB0" w:rsidTr="00AE5604">
        <w:tc>
          <w:tcPr>
            <w:tcW w:w="822" w:type="pct"/>
            <w:tcBorders>
              <w:top w:val="single" w:sz="4" w:space="0" w:color="auto"/>
              <w:left w:val="single" w:sz="4" w:space="0" w:color="auto"/>
              <w:bottom w:val="single" w:sz="4" w:space="0" w:color="auto"/>
              <w:right w:val="single" w:sz="4" w:space="0" w:color="auto"/>
            </w:tcBorders>
            <w:hideMark/>
          </w:tcPr>
          <w:p w:rsidR="00B008D9" w:rsidRPr="000E3FB0" w:rsidRDefault="00B008D9" w:rsidP="005200A0">
            <w:pPr>
              <w:spacing w:line="300" w:lineRule="auto"/>
              <w:rPr>
                <w:rFonts w:ascii="Arial Narrow" w:hAnsi="Arial Narrow" w:cs="Arial"/>
                <w:sz w:val="22"/>
                <w:szCs w:val="22"/>
              </w:rPr>
            </w:pPr>
            <w:r w:rsidRPr="000E3FB0">
              <w:rPr>
                <w:rFonts w:ascii="Arial Narrow" w:hAnsi="Arial Narrow" w:cs="Arial"/>
                <w:sz w:val="22"/>
                <w:szCs w:val="22"/>
              </w:rPr>
              <w:t>3-bedrooms</w:t>
            </w:r>
          </w:p>
        </w:tc>
        <w:tc>
          <w:tcPr>
            <w:tcW w:w="623"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rPr>
                <w:rFonts w:ascii="Arial Narrow" w:hAnsi="Arial Narrow" w:cs="Arial"/>
                <w:color w:val="000000"/>
                <w:sz w:val="22"/>
                <w:szCs w:val="22"/>
              </w:rPr>
            </w:pPr>
            <w:r w:rsidRPr="000E3FB0">
              <w:rPr>
                <w:rFonts w:ascii="Arial Narrow" w:hAnsi="Arial Narrow" w:cs="Arial"/>
                <w:color w:val="000000"/>
                <w:sz w:val="22"/>
                <w:szCs w:val="22"/>
              </w:rPr>
              <w:t>£283,000</w:t>
            </w:r>
          </w:p>
        </w:tc>
        <w:tc>
          <w:tcPr>
            <w:tcW w:w="690"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rPr>
                <w:rFonts w:ascii="Arial Narrow" w:hAnsi="Arial Narrow" w:cs="Arial"/>
                <w:color w:val="000000"/>
                <w:sz w:val="22"/>
                <w:szCs w:val="22"/>
              </w:rPr>
            </w:pPr>
            <w:r w:rsidRPr="000E3FB0">
              <w:rPr>
                <w:rFonts w:ascii="Arial Narrow" w:hAnsi="Arial Narrow" w:cs="Arial"/>
                <w:color w:val="000000"/>
                <w:sz w:val="22"/>
                <w:szCs w:val="22"/>
              </w:rPr>
              <w:t>£256,000</w:t>
            </w:r>
          </w:p>
        </w:tc>
        <w:tc>
          <w:tcPr>
            <w:tcW w:w="806"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rPr>
                <w:rFonts w:ascii="Arial Narrow" w:hAnsi="Arial Narrow" w:cs="Arial"/>
                <w:color w:val="000000"/>
                <w:sz w:val="22"/>
                <w:szCs w:val="22"/>
              </w:rPr>
            </w:pPr>
            <w:r w:rsidRPr="000E3FB0">
              <w:rPr>
                <w:rFonts w:ascii="Arial Narrow" w:hAnsi="Arial Narrow" w:cs="Arial"/>
                <w:color w:val="000000"/>
                <w:sz w:val="22"/>
                <w:szCs w:val="22"/>
              </w:rPr>
              <w:t>£232,000</w:t>
            </w:r>
          </w:p>
        </w:tc>
        <w:tc>
          <w:tcPr>
            <w:tcW w:w="893"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rPr>
                <w:rFonts w:ascii="Arial Narrow" w:hAnsi="Arial Narrow" w:cs="Arial"/>
                <w:color w:val="000000"/>
                <w:sz w:val="22"/>
                <w:szCs w:val="22"/>
              </w:rPr>
            </w:pPr>
            <w:r w:rsidRPr="000E3FB0">
              <w:rPr>
                <w:rFonts w:ascii="Arial Narrow" w:hAnsi="Arial Narrow" w:cs="Arial"/>
                <w:color w:val="000000"/>
                <w:sz w:val="22"/>
                <w:szCs w:val="22"/>
              </w:rPr>
              <w:t>£346,000</w:t>
            </w:r>
          </w:p>
        </w:tc>
        <w:tc>
          <w:tcPr>
            <w:tcW w:w="505"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rPr>
                <w:rFonts w:ascii="Arial Narrow" w:hAnsi="Arial Narrow" w:cs="Arial"/>
                <w:color w:val="000000"/>
                <w:sz w:val="22"/>
                <w:szCs w:val="22"/>
              </w:rPr>
            </w:pPr>
            <w:r w:rsidRPr="000E3FB0">
              <w:rPr>
                <w:rFonts w:ascii="Arial Narrow" w:hAnsi="Arial Narrow" w:cs="Arial"/>
                <w:color w:val="000000"/>
                <w:sz w:val="22"/>
                <w:szCs w:val="22"/>
              </w:rPr>
              <w:t>£299,000</w:t>
            </w:r>
          </w:p>
        </w:tc>
        <w:tc>
          <w:tcPr>
            <w:tcW w:w="661"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rPr>
                <w:rFonts w:ascii="Arial Narrow" w:hAnsi="Arial Narrow" w:cs="Arial"/>
                <w:color w:val="000000"/>
                <w:sz w:val="22"/>
                <w:szCs w:val="22"/>
              </w:rPr>
            </w:pPr>
            <w:r w:rsidRPr="000E3FB0">
              <w:rPr>
                <w:rFonts w:ascii="Arial Narrow" w:hAnsi="Arial Narrow" w:cs="Arial"/>
                <w:color w:val="000000"/>
                <w:sz w:val="22"/>
                <w:szCs w:val="22"/>
              </w:rPr>
              <w:t>£293,000</w:t>
            </w:r>
          </w:p>
        </w:tc>
      </w:tr>
      <w:tr w:rsidR="00B008D9" w:rsidRPr="000E3FB0" w:rsidTr="00AE5604">
        <w:tc>
          <w:tcPr>
            <w:tcW w:w="822" w:type="pct"/>
            <w:tcBorders>
              <w:top w:val="single" w:sz="4" w:space="0" w:color="auto"/>
              <w:left w:val="single" w:sz="4" w:space="0" w:color="auto"/>
              <w:bottom w:val="single" w:sz="4" w:space="0" w:color="auto"/>
              <w:right w:val="single" w:sz="4" w:space="0" w:color="auto"/>
            </w:tcBorders>
            <w:hideMark/>
          </w:tcPr>
          <w:p w:rsidR="00B008D9" w:rsidRPr="000E3FB0" w:rsidRDefault="00B008D9" w:rsidP="005200A0">
            <w:pPr>
              <w:spacing w:line="300" w:lineRule="auto"/>
              <w:rPr>
                <w:rFonts w:ascii="Arial Narrow" w:hAnsi="Arial Narrow" w:cs="Arial"/>
                <w:sz w:val="22"/>
                <w:szCs w:val="22"/>
              </w:rPr>
            </w:pPr>
            <w:r w:rsidRPr="000E3FB0">
              <w:rPr>
                <w:rFonts w:ascii="Arial Narrow" w:hAnsi="Arial Narrow" w:cs="Arial"/>
                <w:sz w:val="22"/>
                <w:szCs w:val="22"/>
              </w:rPr>
              <w:t>4-bedrooms</w:t>
            </w:r>
          </w:p>
        </w:tc>
        <w:tc>
          <w:tcPr>
            <w:tcW w:w="623"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rPr>
                <w:rFonts w:ascii="Arial Narrow" w:hAnsi="Arial Narrow" w:cs="Arial"/>
                <w:color w:val="000000"/>
                <w:sz w:val="22"/>
                <w:szCs w:val="22"/>
              </w:rPr>
            </w:pPr>
            <w:r w:rsidRPr="000E3FB0">
              <w:rPr>
                <w:rFonts w:ascii="Arial Narrow" w:hAnsi="Arial Narrow" w:cs="Arial"/>
                <w:color w:val="000000"/>
                <w:sz w:val="22"/>
                <w:szCs w:val="22"/>
              </w:rPr>
              <w:t>£417,000</w:t>
            </w:r>
          </w:p>
        </w:tc>
        <w:tc>
          <w:tcPr>
            <w:tcW w:w="690"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rPr>
                <w:rFonts w:ascii="Arial Narrow" w:hAnsi="Arial Narrow" w:cs="Arial"/>
                <w:color w:val="000000"/>
                <w:sz w:val="22"/>
                <w:szCs w:val="22"/>
              </w:rPr>
            </w:pPr>
            <w:r w:rsidRPr="000E3FB0">
              <w:rPr>
                <w:rFonts w:ascii="Arial Narrow" w:hAnsi="Arial Narrow" w:cs="Arial"/>
                <w:color w:val="000000"/>
                <w:sz w:val="22"/>
                <w:szCs w:val="22"/>
              </w:rPr>
              <w:t>£378,000</w:t>
            </w:r>
          </w:p>
        </w:tc>
        <w:tc>
          <w:tcPr>
            <w:tcW w:w="806"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rPr>
                <w:rFonts w:ascii="Arial Narrow" w:hAnsi="Arial Narrow" w:cs="Arial"/>
                <w:color w:val="000000"/>
                <w:sz w:val="22"/>
                <w:szCs w:val="22"/>
              </w:rPr>
            </w:pPr>
            <w:r w:rsidRPr="000E3FB0">
              <w:rPr>
                <w:rFonts w:ascii="Arial Narrow" w:hAnsi="Arial Narrow" w:cs="Arial"/>
                <w:color w:val="000000"/>
                <w:sz w:val="22"/>
                <w:szCs w:val="22"/>
              </w:rPr>
              <w:t>£342,000</w:t>
            </w:r>
          </w:p>
        </w:tc>
        <w:tc>
          <w:tcPr>
            <w:tcW w:w="893"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rPr>
                <w:rFonts w:ascii="Arial Narrow" w:hAnsi="Arial Narrow" w:cs="Arial"/>
                <w:color w:val="000000"/>
                <w:sz w:val="22"/>
                <w:szCs w:val="22"/>
              </w:rPr>
            </w:pPr>
            <w:r w:rsidRPr="000E3FB0">
              <w:rPr>
                <w:rFonts w:ascii="Arial Narrow" w:hAnsi="Arial Narrow" w:cs="Arial"/>
                <w:color w:val="000000"/>
                <w:sz w:val="22"/>
                <w:szCs w:val="22"/>
              </w:rPr>
              <w:t>£510,000</w:t>
            </w:r>
          </w:p>
        </w:tc>
        <w:tc>
          <w:tcPr>
            <w:tcW w:w="505"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rPr>
                <w:rFonts w:ascii="Arial Narrow" w:hAnsi="Arial Narrow" w:cs="Arial"/>
                <w:color w:val="000000"/>
                <w:sz w:val="22"/>
                <w:szCs w:val="22"/>
              </w:rPr>
            </w:pPr>
            <w:r w:rsidRPr="000E3FB0">
              <w:rPr>
                <w:rFonts w:ascii="Arial Narrow" w:hAnsi="Arial Narrow" w:cs="Arial"/>
                <w:color w:val="000000"/>
                <w:sz w:val="22"/>
                <w:szCs w:val="22"/>
              </w:rPr>
              <w:t>£441,000</w:t>
            </w:r>
          </w:p>
        </w:tc>
        <w:tc>
          <w:tcPr>
            <w:tcW w:w="661"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rPr>
                <w:rFonts w:ascii="Arial Narrow" w:hAnsi="Arial Narrow" w:cs="Arial"/>
                <w:color w:val="000000"/>
                <w:sz w:val="22"/>
                <w:szCs w:val="22"/>
              </w:rPr>
            </w:pPr>
            <w:r w:rsidRPr="000E3FB0">
              <w:rPr>
                <w:rFonts w:ascii="Arial Narrow" w:hAnsi="Arial Narrow" w:cs="Arial"/>
                <w:color w:val="000000"/>
                <w:sz w:val="22"/>
                <w:szCs w:val="22"/>
              </w:rPr>
              <w:t>£432,000</w:t>
            </w:r>
          </w:p>
        </w:tc>
      </w:tr>
      <w:tr w:rsidR="00B008D9" w:rsidRPr="000E3FB0" w:rsidTr="00AE5604">
        <w:tc>
          <w:tcPr>
            <w:tcW w:w="822" w:type="pct"/>
            <w:tcBorders>
              <w:top w:val="single" w:sz="4" w:space="0" w:color="auto"/>
              <w:left w:val="single" w:sz="4" w:space="0" w:color="auto"/>
              <w:bottom w:val="single" w:sz="4" w:space="0" w:color="auto"/>
              <w:right w:val="single" w:sz="4" w:space="0" w:color="auto"/>
            </w:tcBorders>
            <w:hideMark/>
          </w:tcPr>
          <w:p w:rsidR="00B008D9" w:rsidRPr="000E3FB0" w:rsidRDefault="00B008D9" w:rsidP="005200A0">
            <w:pPr>
              <w:spacing w:line="300" w:lineRule="auto"/>
              <w:rPr>
                <w:rFonts w:ascii="Arial Narrow" w:hAnsi="Arial Narrow" w:cs="Arial"/>
                <w:sz w:val="22"/>
                <w:szCs w:val="22"/>
              </w:rPr>
            </w:pPr>
            <w:r w:rsidRPr="000E3FB0">
              <w:rPr>
                <w:rFonts w:ascii="Arial Narrow" w:hAnsi="Arial Narrow" w:cs="Arial"/>
                <w:sz w:val="22"/>
                <w:szCs w:val="22"/>
              </w:rPr>
              <w:t>All dwellings</w:t>
            </w:r>
          </w:p>
        </w:tc>
        <w:tc>
          <w:tcPr>
            <w:tcW w:w="623"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rPr>
                <w:rFonts w:ascii="Arial Narrow" w:hAnsi="Arial Narrow" w:cs="Arial"/>
                <w:color w:val="000000"/>
                <w:sz w:val="22"/>
                <w:szCs w:val="22"/>
              </w:rPr>
            </w:pPr>
            <w:r w:rsidRPr="000E3FB0">
              <w:rPr>
                <w:rFonts w:ascii="Arial Narrow" w:hAnsi="Arial Narrow" w:cs="Arial"/>
                <w:color w:val="000000"/>
                <w:sz w:val="22"/>
                <w:szCs w:val="22"/>
              </w:rPr>
              <w:t>£254,000</w:t>
            </w:r>
          </w:p>
        </w:tc>
        <w:tc>
          <w:tcPr>
            <w:tcW w:w="690"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rPr>
                <w:rFonts w:ascii="Arial Narrow" w:hAnsi="Arial Narrow" w:cs="Arial"/>
                <w:color w:val="000000"/>
                <w:sz w:val="22"/>
                <w:szCs w:val="22"/>
              </w:rPr>
            </w:pPr>
            <w:r w:rsidRPr="000E3FB0">
              <w:rPr>
                <w:rFonts w:ascii="Arial Narrow" w:hAnsi="Arial Narrow" w:cs="Arial"/>
                <w:color w:val="000000"/>
                <w:sz w:val="22"/>
                <w:szCs w:val="22"/>
              </w:rPr>
              <w:t>£268,000</w:t>
            </w:r>
          </w:p>
        </w:tc>
        <w:tc>
          <w:tcPr>
            <w:tcW w:w="806"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rPr>
                <w:rFonts w:ascii="Arial Narrow" w:hAnsi="Arial Narrow" w:cs="Arial"/>
                <w:color w:val="000000"/>
                <w:sz w:val="22"/>
                <w:szCs w:val="22"/>
              </w:rPr>
            </w:pPr>
            <w:r w:rsidRPr="000E3FB0">
              <w:rPr>
                <w:rFonts w:ascii="Arial Narrow" w:hAnsi="Arial Narrow" w:cs="Arial"/>
                <w:color w:val="000000"/>
                <w:sz w:val="22"/>
                <w:szCs w:val="22"/>
              </w:rPr>
              <w:t>£265,000</w:t>
            </w:r>
          </w:p>
        </w:tc>
        <w:tc>
          <w:tcPr>
            <w:tcW w:w="893"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rPr>
                <w:rFonts w:ascii="Arial Narrow" w:hAnsi="Arial Narrow" w:cs="Arial"/>
                <w:color w:val="000000"/>
                <w:sz w:val="22"/>
                <w:szCs w:val="22"/>
              </w:rPr>
            </w:pPr>
            <w:r w:rsidRPr="000E3FB0">
              <w:rPr>
                <w:rFonts w:ascii="Arial Narrow" w:hAnsi="Arial Narrow" w:cs="Arial"/>
                <w:color w:val="000000"/>
                <w:sz w:val="22"/>
                <w:szCs w:val="22"/>
              </w:rPr>
              <w:t>£405,000</w:t>
            </w:r>
          </w:p>
        </w:tc>
        <w:tc>
          <w:tcPr>
            <w:tcW w:w="505"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rPr>
                <w:rFonts w:ascii="Arial Narrow" w:hAnsi="Arial Narrow" w:cs="Arial"/>
                <w:color w:val="000000"/>
                <w:sz w:val="22"/>
                <w:szCs w:val="22"/>
              </w:rPr>
            </w:pPr>
            <w:r w:rsidRPr="000E3FB0">
              <w:rPr>
                <w:rFonts w:ascii="Arial Narrow" w:hAnsi="Arial Narrow" w:cs="Arial"/>
                <w:color w:val="000000"/>
                <w:sz w:val="22"/>
                <w:szCs w:val="22"/>
              </w:rPr>
              <w:t>£318,000</w:t>
            </w:r>
          </w:p>
        </w:tc>
        <w:tc>
          <w:tcPr>
            <w:tcW w:w="661"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rPr>
                <w:rFonts w:ascii="Arial Narrow" w:hAnsi="Arial Narrow" w:cs="Arial"/>
                <w:color w:val="000000"/>
                <w:sz w:val="22"/>
                <w:szCs w:val="22"/>
              </w:rPr>
            </w:pPr>
            <w:r w:rsidRPr="000E3FB0">
              <w:rPr>
                <w:rFonts w:ascii="Arial Narrow" w:hAnsi="Arial Narrow" w:cs="Arial"/>
                <w:color w:val="000000"/>
                <w:sz w:val="22"/>
                <w:szCs w:val="22"/>
              </w:rPr>
              <w:t>£275,000</w:t>
            </w:r>
          </w:p>
        </w:tc>
      </w:tr>
    </w:tbl>
    <w:p w:rsidR="00B008D9" w:rsidRPr="00CA47B9" w:rsidRDefault="00B008D9" w:rsidP="00AE5604">
      <w:pPr>
        <w:spacing w:after="120" w:line="360" w:lineRule="auto"/>
        <w:rPr>
          <w:rFonts w:eastAsia="Times New Roman"/>
          <w:color w:val="auto"/>
        </w:rPr>
      </w:pPr>
      <w:r w:rsidRPr="00CA47B9">
        <w:t>Source: Land Registry, 2019</w:t>
      </w:r>
    </w:p>
    <w:p w:rsidR="00C41EB7" w:rsidRDefault="00C41EB7" w:rsidP="000C05B0">
      <w:pPr>
        <w:pStyle w:val="11Bodytext"/>
        <w:tabs>
          <w:tab w:val="clear" w:pos="2212"/>
          <w:tab w:val="num" w:pos="567"/>
        </w:tabs>
        <w:ind w:left="567" w:hanging="567"/>
      </w:pPr>
      <w:r w:rsidRPr="00CA47B9">
        <w:t xml:space="preserve">Prices are higher for small bedrooms (1 and 2-bedrooms) in Plan Area North, SDNP and Chichester City. The trend continues for 3-bedrooms with the lower quartile cost of housing in Plan Area North at £346,000, £299,000 in the SDNP and £283,000 in Chichester city. </w:t>
      </w:r>
    </w:p>
    <w:p w:rsidR="00C41EB7" w:rsidRPr="00CA47B9" w:rsidRDefault="00786E20" w:rsidP="000C05B0">
      <w:pPr>
        <w:pStyle w:val="11Bodytext"/>
        <w:tabs>
          <w:tab w:val="clear" w:pos="2212"/>
          <w:tab w:val="num" w:pos="567"/>
        </w:tabs>
        <w:ind w:left="567" w:hanging="567"/>
      </w:pPr>
      <w:r w:rsidRPr="00786E20">
        <w:t xml:space="preserve">For 4-bedroom houses, costs are significantly higher in Plan Area North (£510,000). </w:t>
      </w:r>
      <w:r w:rsidR="00C41EB7" w:rsidRPr="00CA47B9">
        <w:t xml:space="preserve">This is followed by the SDNP (£441,000) and the Chichester city (£417,000). The cost of a 4-bedroom house in the Manhood </w:t>
      </w:r>
      <w:r w:rsidR="00056D14">
        <w:t>Peninsula</w:t>
      </w:r>
      <w:r w:rsidR="00C41EB7" w:rsidRPr="00CA47B9">
        <w:t xml:space="preserve"> is considerably </w:t>
      </w:r>
      <w:proofErr w:type="gramStart"/>
      <w:r w:rsidR="00C41EB7" w:rsidRPr="00CA47B9">
        <w:t>lower  at</w:t>
      </w:r>
      <w:proofErr w:type="gramEnd"/>
      <w:r w:rsidR="00C41EB7" w:rsidRPr="00CA47B9">
        <w:t xml:space="preserve"> £342,000. </w:t>
      </w:r>
    </w:p>
    <w:p w:rsidR="00B008D9" w:rsidRPr="000E3FB0" w:rsidRDefault="00B008D9" w:rsidP="00805614">
      <w:pPr>
        <w:pStyle w:val="11Bodytext"/>
        <w:numPr>
          <w:ilvl w:val="0"/>
          <w:numId w:val="0"/>
        </w:numPr>
        <w:ind w:left="567"/>
        <w:rPr>
          <w:b/>
          <w:bCs w:val="0"/>
          <w:color w:val="000000"/>
        </w:rPr>
      </w:pPr>
      <w:r w:rsidRPr="000E3FB0">
        <w:rPr>
          <w:b/>
          <w:bCs w:val="0"/>
        </w:rPr>
        <w:t>Private Rental Housing</w:t>
      </w:r>
    </w:p>
    <w:p w:rsidR="00B008D9" w:rsidRPr="00CA47B9" w:rsidRDefault="00B008D9" w:rsidP="000C05B0">
      <w:pPr>
        <w:pStyle w:val="11Bodytext"/>
        <w:tabs>
          <w:tab w:val="clear" w:pos="2212"/>
          <w:tab w:val="num" w:pos="567"/>
        </w:tabs>
        <w:ind w:left="567" w:hanging="567"/>
      </w:pPr>
      <w:r w:rsidRPr="00CA47B9">
        <w:t xml:space="preserve">The table below establishes the cost of renting a property on the open market in Chichester by </w:t>
      </w:r>
      <w:r w:rsidR="00855CA6">
        <w:t>the number of bedrooms in a</w:t>
      </w:r>
      <w:r w:rsidRPr="00CA47B9">
        <w:t xml:space="preserve"> property. At a District level, lower quartile rents start</w:t>
      </w:r>
      <w:r w:rsidR="00C221A0">
        <w:t xml:space="preserve"> average £720.</w:t>
      </w:r>
      <w:r w:rsidR="00855CA6">
        <w:t xml:space="preserve"> </w:t>
      </w:r>
      <w:r w:rsidR="00C221A0">
        <w:t>This ranges from</w:t>
      </w:r>
      <w:r w:rsidRPr="00CA47B9">
        <w:t xml:space="preserve"> £610 per calendar month for a 1-bedroom property, rising to £1,400 for a 4-bedroom </w:t>
      </w:r>
      <w:r w:rsidR="00855CA6" w:rsidRPr="00CA47B9">
        <w:t>family</w:t>
      </w:r>
      <w:r w:rsidR="00855CA6">
        <w:t>-</w:t>
      </w:r>
      <w:r w:rsidRPr="00CA47B9">
        <w:t xml:space="preserve">sized home. </w:t>
      </w:r>
    </w:p>
    <w:p w:rsidR="00B008D9" w:rsidRPr="00CA47B9" w:rsidRDefault="00B008D9" w:rsidP="00AE5604">
      <w:pPr>
        <w:pStyle w:val="Tableheading"/>
        <w:tabs>
          <w:tab w:val="clear" w:pos="794"/>
          <w:tab w:val="clear" w:pos="1843"/>
          <w:tab w:val="left" w:pos="0"/>
        </w:tabs>
        <w:ind w:left="0" w:firstLine="0"/>
      </w:pPr>
      <w:r w:rsidRPr="00CA47B9">
        <w:t>Lower Quartile Market Rents, year to March 2019</w:t>
      </w:r>
    </w:p>
    <w:tbl>
      <w:tblPr>
        <w:tblStyle w:val="TableGridLight13"/>
        <w:tblW w:w="4894" w:type="pct"/>
        <w:tblInd w:w="108" w:type="dxa"/>
        <w:tblLook w:val="04A0" w:firstRow="1" w:lastRow="0" w:firstColumn="1" w:lastColumn="0" w:noHBand="0" w:noVBand="1"/>
        <w:tblCaption w:val="Table 25: Lower Quartile Market Rents, year to March 2019"/>
      </w:tblPr>
      <w:tblGrid>
        <w:gridCol w:w="1614"/>
        <w:gridCol w:w="1419"/>
        <w:gridCol w:w="1349"/>
        <w:gridCol w:w="1396"/>
        <w:gridCol w:w="1317"/>
        <w:gridCol w:w="1315"/>
        <w:gridCol w:w="1228"/>
      </w:tblGrid>
      <w:tr w:rsidR="00B008D9" w:rsidRPr="000E3FB0" w:rsidTr="00AE5604">
        <w:trPr>
          <w:trHeight w:val="276"/>
          <w:tblHeader/>
        </w:trPr>
        <w:tc>
          <w:tcPr>
            <w:tcW w:w="837" w:type="pct"/>
            <w:tcBorders>
              <w:top w:val="single" w:sz="4" w:space="0" w:color="auto"/>
              <w:left w:val="single" w:sz="4" w:space="0" w:color="auto"/>
              <w:bottom w:val="single" w:sz="4" w:space="0" w:color="auto"/>
              <w:right w:val="single" w:sz="4" w:space="0" w:color="auto"/>
            </w:tcBorders>
            <w:shd w:val="clear" w:color="auto" w:fill="0093D5" w:themeFill="accent2"/>
          </w:tcPr>
          <w:p w:rsidR="00B008D9" w:rsidRPr="000E3FB0" w:rsidRDefault="00B008D9" w:rsidP="005200A0">
            <w:pPr>
              <w:spacing w:line="300" w:lineRule="auto"/>
              <w:rPr>
                <w:rFonts w:ascii="Arial Narrow" w:hAnsi="Arial Narrow" w:cs="Arial"/>
                <w:bCs/>
                <w:color w:val="FFFFFF" w:themeColor="background1"/>
                <w:sz w:val="24"/>
                <w:szCs w:val="24"/>
              </w:rPr>
            </w:pPr>
          </w:p>
        </w:tc>
        <w:tc>
          <w:tcPr>
            <w:tcW w:w="736" w:type="pct"/>
            <w:tcBorders>
              <w:top w:val="single" w:sz="4" w:space="0" w:color="auto"/>
              <w:left w:val="single" w:sz="4" w:space="0" w:color="auto"/>
              <w:bottom w:val="single" w:sz="4" w:space="0" w:color="auto"/>
              <w:right w:val="single" w:sz="4" w:space="0" w:color="auto"/>
            </w:tcBorders>
            <w:shd w:val="clear" w:color="auto" w:fill="0093D5" w:themeFill="accent2"/>
            <w:hideMark/>
          </w:tcPr>
          <w:p w:rsidR="00B008D9" w:rsidRPr="000E3FB0" w:rsidRDefault="00B008D9" w:rsidP="005200A0">
            <w:pPr>
              <w:spacing w:line="300" w:lineRule="auto"/>
              <w:jc w:val="center"/>
              <w:rPr>
                <w:rFonts w:ascii="Arial Narrow" w:hAnsi="Arial Narrow" w:cs="Arial"/>
                <w:bCs/>
                <w:color w:val="FFFFFF" w:themeColor="background1"/>
                <w:sz w:val="24"/>
                <w:szCs w:val="24"/>
              </w:rPr>
            </w:pPr>
            <w:r w:rsidRPr="000E3FB0">
              <w:rPr>
                <w:rFonts w:ascii="Arial Narrow" w:hAnsi="Arial Narrow" w:cs="Arial"/>
                <w:bCs/>
                <w:color w:val="FFFFFF" w:themeColor="background1"/>
                <w:sz w:val="24"/>
                <w:szCs w:val="24"/>
              </w:rPr>
              <w:t xml:space="preserve">Chichester </w:t>
            </w:r>
          </w:p>
          <w:p w:rsidR="00B008D9" w:rsidRPr="000E3FB0" w:rsidRDefault="00B008D9" w:rsidP="005200A0">
            <w:pPr>
              <w:spacing w:line="300" w:lineRule="auto"/>
              <w:jc w:val="center"/>
              <w:rPr>
                <w:rFonts w:ascii="Arial Narrow" w:hAnsi="Arial Narrow" w:cs="Arial"/>
                <w:bCs/>
                <w:color w:val="FFFFFF" w:themeColor="background1"/>
                <w:sz w:val="24"/>
                <w:szCs w:val="24"/>
              </w:rPr>
            </w:pPr>
            <w:r w:rsidRPr="000E3FB0">
              <w:rPr>
                <w:rFonts w:ascii="Arial Narrow" w:hAnsi="Arial Narrow" w:cs="Arial"/>
                <w:bCs/>
                <w:color w:val="FFFFFF" w:themeColor="background1"/>
                <w:sz w:val="24"/>
                <w:szCs w:val="24"/>
              </w:rPr>
              <w:t>City</w:t>
            </w:r>
          </w:p>
        </w:tc>
        <w:tc>
          <w:tcPr>
            <w:tcW w:w="700" w:type="pct"/>
            <w:tcBorders>
              <w:top w:val="single" w:sz="4" w:space="0" w:color="auto"/>
              <w:left w:val="single" w:sz="4" w:space="0" w:color="auto"/>
              <w:bottom w:val="single" w:sz="4" w:space="0" w:color="auto"/>
              <w:right w:val="single" w:sz="4" w:space="0" w:color="auto"/>
            </w:tcBorders>
            <w:shd w:val="clear" w:color="auto" w:fill="0093D5" w:themeFill="accent2"/>
            <w:hideMark/>
          </w:tcPr>
          <w:p w:rsidR="00B008D9" w:rsidRPr="000E3FB0" w:rsidRDefault="00B008D9" w:rsidP="005200A0">
            <w:pPr>
              <w:spacing w:line="300" w:lineRule="auto"/>
              <w:jc w:val="center"/>
              <w:rPr>
                <w:rFonts w:ascii="Arial Narrow" w:hAnsi="Arial Narrow" w:cs="Arial"/>
                <w:bCs/>
                <w:color w:val="FFFFFF" w:themeColor="background1"/>
                <w:sz w:val="24"/>
                <w:szCs w:val="24"/>
              </w:rPr>
            </w:pPr>
            <w:r w:rsidRPr="000E3FB0">
              <w:rPr>
                <w:rFonts w:ascii="Arial Narrow" w:hAnsi="Arial Narrow" w:cs="Arial"/>
                <w:bCs/>
                <w:color w:val="FFFFFF" w:themeColor="background1"/>
                <w:sz w:val="24"/>
                <w:szCs w:val="24"/>
              </w:rPr>
              <w:t>East-West Corridor</w:t>
            </w:r>
          </w:p>
        </w:tc>
        <w:tc>
          <w:tcPr>
            <w:tcW w:w="724" w:type="pct"/>
            <w:tcBorders>
              <w:top w:val="single" w:sz="4" w:space="0" w:color="auto"/>
              <w:left w:val="single" w:sz="4" w:space="0" w:color="auto"/>
              <w:bottom w:val="single" w:sz="4" w:space="0" w:color="auto"/>
              <w:right w:val="single" w:sz="4" w:space="0" w:color="auto"/>
            </w:tcBorders>
            <w:shd w:val="clear" w:color="auto" w:fill="0093D5" w:themeFill="accent2"/>
            <w:hideMark/>
          </w:tcPr>
          <w:p w:rsidR="00B008D9" w:rsidRPr="000E3FB0" w:rsidRDefault="00B008D9" w:rsidP="005200A0">
            <w:pPr>
              <w:spacing w:line="300" w:lineRule="auto"/>
              <w:jc w:val="center"/>
              <w:rPr>
                <w:rFonts w:ascii="Arial Narrow" w:hAnsi="Arial Narrow" w:cs="Arial"/>
                <w:bCs/>
                <w:color w:val="FFFFFF" w:themeColor="background1"/>
                <w:sz w:val="24"/>
                <w:szCs w:val="24"/>
              </w:rPr>
            </w:pPr>
            <w:r w:rsidRPr="000E3FB0">
              <w:rPr>
                <w:rFonts w:ascii="Arial Narrow" w:hAnsi="Arial Narrow" w:cs="Arial"/>
                <w:bCs/>
                <w:color w:val="FFFFFF" w:themeColor="background1"/>
                <w:sz w:val="24"/>
                <w:szCs w:val="24"/>
              </w:rPr>
              <w:t xml:space="preserve">Manhood </w:t>
            </w:r>
            <w:r w:rsidR="00056D14" w:rsidRPr="000E3FB0">
              <w:rPr>
                <w:rFonts w:ascii="Arial Narrow" w:hAnsi="Arial Narrow" w:cs="Arial"/>
                <w:bCs/>
                <w:color w:val="FFFFFF" w:themeColor="background1"/>
                <w:sz w:val="24"/>
                <w:szCs w:val="24"/>
              </w:rPr>
              <w:t>Peninsula</w:t>
            </w:r>
          </w:p>
        </w:tc>
        <w:tc>
          <w:tcPr>
            <w:tcW w:w="683" w:type="pct"/>
            <w:tcBorders>
              <w:top w:val="single" w:sz="4" w:space="0" w:color="auto"/>
              <w:left w:val="single" w:sz="4" w:space="0" w:color="auto"/>
              <w:bottom w:val="single" w:sz="4" w:space="0" w:color="auto"/>
              <w:right w:val="single" w:sz="4" w:space="0" w:color="auto"/>
            </w:tcBorders>
            <w:shd w:val="clear" w:color="auto" w:fill="0093D5" w:themeFill="accent2"/>
            <w:hideMark/>
          </w:tcPr>
          <w:p w:rsidR="00B008D9" w:rsidRPr="000E3FB0" w:rsidRDefault="00B008D9" w:rsidP="005200A0">
            <w:pPr>
              <w:spacing w:line="300" w:lineRule="auto"/>
              <w:jc w:val="center"/>
              <w:rPr>
                <w:rFonts w:ascii="Arial Narrow" w:hAnsi="Arial Narrow" w:cs="Arial"/>
                <w:bCs/>
                <w:color w:val="FFFFFF" w:themeColor="background1"/>
                <w:sz w:val="24"/>
                <w:szCs w:val="24"/>
              </w:rPr>
            </w:pPr>
            <w:r w:rsidRPr="000E3FB0">
              <w:rPr>
                <w:rFonts w:ascii="Arial Narrow" w:hAnsi="Arial Narrow" w:cs="Arial"/>
                <w:bCs/>
                <w:color w:val="FFFFFF" w:themeColor="background1"/>
                <w:sz w:val="24"/>
                <w:szCs w:val="24"/>
              </w:rPr>
              <w:t>Plan Area North</w:t>
            </w:r>
          </w:p>
        </w:tc>
        <w:tc>
          <w:tcPr>
            <w:tcW w:w="682" w:type="pct"/>
            <w:tcBorders>
              <w:top w:val="single" w:sz="4" w:space="0" w:color="auto"/>
              <w:left w:val="single" w:sz="4" w:space="0" w:color="auto"/>
              <w:bottom w:val="single" w:sz="4" w:space="0" w:color="auto"/>
              <w:right w:val="single" w:sz="4" w:space="0" w:color="auto"/>
            </w:tcBorders>
            <w:shd w:val="clear" w:color="auto" w:fill="0093D5" w:themeFill="accent2"/>
            <w:hideMark/>
          </w:tcPr>
          <w:p w:rsidR="00B008D9" w:rsidRPr="000E3FB0" w:rsidRDefault="00B008D9" w:rsidP="005200A0">
            <w:pPr>
              <w:spacing w:line="300" w:lineRule="auto"/>
              <w:jc w:val="center"/>
              <w:rPr>
                <w:rFonts w:ascii="Arial Narrow" w:hAnsi="Arial Narrow" w:cs="Arial"/>
                <w:bCs/>
                <w:color w:val="FFFFFF" w:themeColor="background1"/>
                <w:sz w:val="24"/>
                <w:szCs w:val="24"/>
              </w:rPr>
            </w:pPr>
            <w:r w:rsidRPr="000E3FB0">
              <w:rPr>
                <w:rFonts w:ascii="Arial Narrow" w:hAnsi="Arial Narrow" w:cs="Arial"/>
                <w:bCs/>
                <w:color w:val="FFFFFF" w:themeColor="background1"/>
                <w:sz w:val="24"/>
                <w:szCs w:val="24"/>
              </w:rPr>
              <w:t>SDNP</w:t>
            </w:r>
          </w:p>
        </w:tc>
        <w:tc>
          <w:tcPr>
            <w:tcW w:w="637" w:type="pct"/>
            <w:tcBorders>
              <w:top w:val="single" w:sz="4" w:space="0" w:color="auto"/>
              <w:left w:val="single" w:sz="4" w:space="0" w:color="auto"/>
              <w:bottom w:val="single" w:sz="4" w:space="0" w:color="auto"/>
              <w:right w:val="single" w:sz="4" w:space="0" w:color="auto"/>
            </w:tcBorders>
            <w:shd w:val="clear" w:color="auto" w:fill="0093D5" w:themeFill="accent2"/>
            <w:hideMark/>
          </w:tcPr>
          <w:p w:rsidR="00B008D9" w:rsidRPr="000E3FB0" w:rsidRDefault="00B008D9" w:rsidP="005200A0">
            <w:pPr>
              <w:spacing w:line="300" w:lineRule="auto"/>
              <w:jc w:val="center"/>
              <w:rPr>
                <w:rFonts w:ascii="Arial Narrow" w:hAnsi="Arial Narrow" w:cs="Arial"/>
                <w:bCs/>
                <w:color w:val="FFFFFF" w:themeColor="background1"/>
                <w:sz w:val="24"/>
                <w:szCs w:val="24"/>
              </w:rPr>
            </w:pPr>
            <w:r w:rsidRPr="000E3FB0">
              <w:rPr>
                <w:rFonts w:ascii="Arial Narrow" w:hAnsi="Arial Narrow" w:cs="Arial"/>
                <w:bCs/>
                <w:color w:val="FFFFFF" w:themeColor="background1"/>
                <w:sz w:val="24"/>
                <w:szCs w:val="24"/>
              </w:rPr>
              <w:t>District-wide</w:t>
            </w:r>
          </w:p>
        </w:tc>
      </w:tr>
      <w:tr w:rsidR="00B008D9" w:rsidRPr="000E3FB0" w:rsidTr="00AE5604">
        <w:trPr>
          <w:trHeight w:val="276"/>
        </w:trPr>
        <w:tc>
          <w:tcPr>
            <w:tcW w:w="837" w:type="pct"/>
            <w:tcBorders>
              <w:top w:val="single" w:sz="4" w:space="0" w:color="auto"/>
              <w:left w:val="single" w:sz="4" w:space="0" w:color="auto"/>
              <w:bottom w:val="single" w:sz="4" w:space="0" w:color="auto"/>
              <w:right w:val="single" w:sz="4" w:space="0" w:color="auto"/>
            </w:tcBorders>
            <w:hideMark/>
          </w:tcPr>
          <w:p w:rsidR="00B008D9" w:rsidRPr="000E3FB0" w:rsidRDefault="00B008D9" w:rsidP="005200A0">
            <w:pPr>
              <w:spacing w:line="300" w:lineRule="auto"/>
              <w:rPr>
                <w:rFonts w:ascii="Arial Narrow" w:hAnsi="Arial Narrow" w:cs="Arial"/>
                <w:bCs/>
                <w:sz w:val="24"/>
                <w:szCs w:val="24"/>
              </w:rPr>
            </w:pPr>
            <w:r w:rsidRPr="000E3FB0">
              <w:rPr>
                <w:rFonts w:ascii="Arial Narrow" w:hAnsi="Arial Narrow" w:cs="Arial"/>
                <w:bCs/>
                <w:sz w:val="24"/>
                <w:szCs w:val="24"/>
              </w:rPr>
              <w:t>Room only</w:t>
            </w:r>
          </w:p>
        </w:tc>
        <w:tc>
          <w:tcPr>
            <w:tcW w:w="736"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outlineLvl w:val="2"/>
              <w:rPr>
                <w:rFonts w:ascii="Arial Narrow" w:hAnsi="Arial Narrow" w:cs="Arial"/>
                <w:bCs/>
                <w:sz w:val="24"/>
                <w:szCs w:val="24"/>
              </w:rPr>
            </w:pPr>
            <w:r w:rsidRPr="000E3FB0">
              <w:rPr>
                <w:rFonts w:ascii="Arial Narrow" w:hAnsi="Arial Narrow" w:cs="Arial"/>
                <w:bCs/>
                <w:sz w:val="24"/>
                <w:szCs w:val="24"/>
              </w:rPr>
              <w:t>-</w:t>
            </w:r>
          </w:p>
        </w:tc>
        <w:tc>
          <w:tcPr>
            <w:tcW w:w="700"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outlineLvl w:val="2"/>
              <w:rPr>
                <w:rFonts w:ascii="Arial Narrow" w:hAnsi="Arial Narrow" w:cs="Arial"/>
                <w:bCs/>
                <w:sz w:val="24"/>
                <w:szCs w:val="24"/>
              </w:rPr>
            </w:pPr>
            <w:r w:rsidRPr="000E3FB0">
              <w:rPr>
                <w:rFonts w:ascii="Arial Narrow" w:hAnsi="Arial Narrow" w:cs="Arial"/>
                <w:bCs/>
                <w:sz w:val="24"/>
                <w:szCs w:val="24"/>
              </w:rPr>
              <w:t>-</w:t>
            </w:r>
          </w:p>
        </w:tc>
        <w:tc>
          <w:tcPr>
            <w:tcW w:w="724"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outlineLvl w:val="2"/>
              <w:rPr>
                <w:rFonts w:ascii="Arial Narrow" w:hAnsi="Arial Narrow" w:cs="Arial"/>
                <w:bCs/>
                <w:sz w:val="24"/>
                <w:szCs w:val="24"/>
              </w:rPr>
            </w:pPr>
            <w:r w:rsidRPr="000E3FB0">
              <w:rPr>
                <w:rFonts w:ascii="Arial Narrow" w:hAnsi="Arial Narrow" w:cs="Arial"/>
                <w:bCs/>
                <w:sz w:val="24"/>
                <w:szCs w:val="24"/>
              </w:rPr>
              <w:t>-</w:t>
            </w:r>
          </w:p>
        </w:tc>
        <w:tc>
          <w:tcPr>
            <w:tcW w:w="683"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outlineLvl w:val="2"/>
              <w:rPr>
                <w:rFonts w:ascii="Arial Narrow" w:hAnsi="Arial Narrow" w:cs="Arial"/>
                <w:bCs/>
                <w:sz w:val="24"/>
                <w:szCs w:val="24"/>
              </w:rPr>
            </w:pPr>
            <w:r w:rsidRPr="000E3FB0">
              <w:rPr>
                <w:rFonts w:ascii="Arial Narrow" w:hAnsi="Arial Narrow" w:cs="Arial"/>
                <w:bCs/>
                <w:sz w:val="24"/>
                <w:szCs w:val="24"/>
              </w:rPr>
              <w:t>-</w:t>
            </w:r>
          </w:p>
        </w:tc>
        <w:tc>
          <w:tcPr>
            <w:tcW w:w="682"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outlineLvl w:val="2"/>
              <w:rPr>
                <w:rFonts w:ascii="Arial Narrow" w:hAnsi="Arial Narrow" w:cs="Arial"/>
                <w:bCs/>
                <w:sz w:val="24"/>
                <w:szCs w:val="24"/>
              </w:rPr>
            </w:pPr>
            <w:r w:rsidRPr="000E3FB0">
              <w:rPr>
                <w:rFonts w:ascii="Arial Narrow" w:hAnsi="Arial Narrow" w:cs="Arial"/>
                <w:bCs/>
                <w:sz w:val="24"/>
                <w:szCs w:val="24"/>
              </w:rPr>
              <w:t>-</w:t>
            </w:r>
          </w:p>
        </w:tc>
        <w:tc>
          <w:tcPr>
            <w:tcW w:w="637"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outlineLvl w:val="2"/>
              <w:rPr>
                <w:rFonts w:ascii="Arial Narrow" w:hAnsi="Arial Narrow" w:cs="Arial"/>
                <w:bCs/>
                <w:sz w:val="24"/>
                <w:szCs w:val="24"/>
              </w:rPr>
            </w:pPr>
            <w:r w:rsidRPr="000E3FB0">
              <w:rPr>
                <w:rFonts w:ascii="Arial Narrow" w:hAnsi="Arial Narrow" w:cs="Arial"/>
                <w:bCs/>
                <w:sz w:val="24"/>
                <w:szCs w:val="24"/>
              </w:rPr>
              <w:t>£395</w:t>
            </w:r>
          </w:p>
        </w:tc>
      </w:tr>
      <w:tr w:rsidR="00B008D9" w:rsidRPr="000E3FB0" w:rsidTr="00AE5604">
        <w:trPr>
          <w:trHeight w:val="276"/>
        </w:trPr>
        <w:tc>
          <w:tcPr>
            <w:tcW w:w="837" w:type="pct"/>
            <w:tcBorders>
              <w:top w:val="single" w:sz="4" w:space="0" w:color="auto"/>
              <w:left w:val="single" w:sz="4" w:space="0" w:color="auto"/>
              <w:bottom w:val="single" w:sz="4" w:space="0" w:color="auto"/>
              <w:right w:val="single" w:sz="4" w:space="0" w:color="auto"/>
            </w:tcBorders>
            <w:hideMark/>
          </w:tcPr>
          <w:p w:rsidR="00B008D9" w:rsidRPr="000E3FB0" w:rsidRDefault="00B008D9" w:rsidP="005200A0">
            <w:pPr>
              <w:spacing w:line="300" w:lineRule="auto"/>
              <w:rPr>
                <w:rFonts w:ascii="Arial Narrow" w:hAnsi="Arial Narrow" w:cs="Arial"/>
                <w:bCs/>
                <w:sz w:val="24"/>
                <w:szCs w:val="24"/>
              </w:rPr>
            </w:pPr>
            <w:r w:rsidRPr="000E3FB0">
              <w:rPr>
                <w:rFonts w:ascii="Arial Narrow" w:hAnsi="Arial Narrow" w:cs="Arial"/>
                <w:bCs/>
                <w:sz w:val="24"/>
                <w:szCs w:val="24"/>
              </w:rPr>
              <w:t>Studio</w:t>
            </w:r>
          </w:p>
        </w:tc>
        <w:tc>
          <w:tcPr>
            <w:tcW w:w="736"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outlineLvl w:val="2"/>
              <w:rPr>
                <w:rFonts w:ascii="Arial Narrow" w:hAnsi="Arial Narrow" w:cs="Arial"/>
                <w:bCs/>
                <w:sz w:val="24"/>
                <w:szCs w:val="24"/>
              </w:rPr>
            </w:pPr>
            <w:r w:rsidRPr="000E3FB0">
              <w:rPr>
                <w:rFonts w:ascii="Arial Narrow" w:hAnsi="Arial Narrow" w:cs="Arial"/>
                <w:bCs/>
                <w:sz w:val="24"/>
                <w:szCs w:val="24"/>
              </w:rPr>
              <w:t>-</w:t>
            </w:r>
          </w:p>
        </w:tc>
        <w:tc>
          <w:tcPr>
            <w:tcW w:w="700"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outlineLvl w:val="2"/>
              <w:rPr>
                <w:rFonts w:ascii="Arial Narrow" w:hAnsi="Arial Narrow" w:cs="Arial"/>
                <w:bCs/>
                <w:sz w:val="24"/>
                <w:szCs w:val="24"/>
              </w:rPr>
            </w:pPr>
            <w:r w:rsidRPr="000E3FB0">
              <w:rPr>
                <w:rFonts w:ascii="Arial Narrow" w:hAnsi="Arial Narrow" w:cs="Arial"/>
                <w:bCs/>
                <w:sz w:val="24"/>
                <w:szCs w:val="24"/>
              </w:rPr>
              <w:t>-</w:t>
            </w:r>
          </w:p>
        </w:tc>
        <w:tc>
          <w:tcPr>
            <w:tcW w:w="724"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outlineLvl w:val="2"/>
              <w:rPr>
                <w:rFonts w:ascii="Arial Narrow" w:hAnsi="Arial Narrow" w:cs="Arial"/>
                <w:bCs/>
                <w:sz w:val="24"/>
                <w:szCs w:val="24"/>
              </w:rPr>
            </w:pPr>
            <w:r w:rsidRPr="000E3FB0">
              <w:rPr>
                <w:rFonts w:ascii="Arial Narrow" w:hAnsi="Arial Narrow" w:cs="Arial"/>
                <w:bCs/>
                <w:sz w:val="24"/>
                <w:szCs w:val="24"/>
              </w:rPr>
              <w:t>-</w:t>
            </w:r>
          </w:p>
        </w:tc>
        <w:tc>
          <w:tcPr>
            <w:tcW w:w="683"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outlineLvl w:val="2"/>
              <w:rPr>
                <w:rFonts w:ascii="Arial Narrow" w:hAnsi="Arial Narrow" w:cs="Arial"/>
                <w:bCs/>
                <w:sz w:val="24"/>
                <w:szCs w:val="24"/>
              </w:rPr>
            </w:pPr>
            <w:r w:rsidRPr="000E3FB0">
              <w:rPr>
                <w:rFonts w:ascii="Arial Narrow" w:hAnsi="Arial Narrow" w:cs="Arial"/>
                <w:bCs/>
                <w:sz w:val="24"/>
                <w:szCs w:val="24"/>
              </w:rPr>
              <w:t>-</w:t>
            </w:r>
          </w:p>
        </w:tc>
        <w:tc>
          <w:tcPr>
            <w:tcW w:w="682"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outlineLvl w:val="2"/>
              <w:rPr>
                <w:rFonts w:ascii="Arial Narrow" w:hAnsi="Arial Narrow" w:cs="Arial"/>
                <w:bCs/>
                <w:sz w:val="24"/>
                <w:szCs w:val="24"/>
              </w:rPr>
            </w:pPr>
            <w:r w:rsidRPr="000E3FB0">
              <w:rPr>
                <w:rFonts w:ascii="Arial Narrow" w:hAnsi="Arial Narrow" w:cs="Arial"/>
                <w:bCs/>
                <w:sz w:val="24"/>
                <w:szCs w:val="24"/>
              </w:rPr>
              <w:t>-</w:t>
            </w:r>
          </w:p>
        </w:tc>
        <w:tc>
          <w:tcPr>
            <w:tcW w:w="637"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outlineLvl w:val="2"/>
              <w:rPr>
                <w:rFonts w:ascii="Arial Narrow" w:hAnsi="Arial Narrow" w:cs="Arial"/>
                <w:bCs/>
                <w:sz w:val="24"/>
                <w:szCs w:val="24"/>
              </w:rPr>
            </w:pPr>
            <w:r w:rsidRPr="000E3FB0">
              <w:rPr>
                <w:rFonts w:ascii="Arial Narrow" w:hAnsi="Arial Narrow" w:cs="Arial"/>
                <w:bCs/>
                <w:sz w:val="24"/>
                <w:szCs w:val="24"/>
              </w:rPr>
              <w:t>£475</w:t>
            </w:r>
          </w:p>
        </w:tc>
      </w:tr>
      <w:tr w:rsidR="00B008D9" w:rsidRPr="000E3FB0" w:rsidTr="00AE5604">
        <w:trPr>
          <w:trHeight w:val="276"/>
        </w:trPr>
        <w:tc>
          <w:tcPr>
            <w:tcW w:w="837" w:type="pct"/>
            <w:tcBorders>
              <w:top w:val="single" w:sz="4" w:space="0" w:color="auto"/>
              <w:left w:val="single" w:sz="4" w:space="0" w:color="auto"/>
              <w:bottom w:val="single" w:sz="4" w:space="0" w:color="auto"/>
              <w:right w:val="single" w:sz="4" w:space="0" w:color="auto"/>
            </w:tcBorders>
            <w:hideMark/>
          </w:tcPr>
          <w:p w:rsidR="00B008D9" w:rsidRPr="000E3FB0" w:rsidRDefault="00B008D9" w:rsidP="005200A0">
            <w:pPr>
              <w:spacing w:line="300" w:lineRule="auto"/>
              <w:rPr>
                <w:rFonts w:ascii="Arial Narrow" w:hAnsi="Arial Narrow" w:cs="Arial"/>
                <w:bCs/>
                <w:sz w:val="24"/>
                <w:szCs w:val="24"/>
              </w:rPr>
            </w:pPr>
            <w:r w:rsidRPr="000E3FB0">
              <w:rPr>
                <w:rFonts w:ascii="Arial Narrow" w:hAnsi="Arial Narrow" w:cs="Arial"/>
                <w:bCs/>
                <w:sz w:val="24"/>
                <w:szCs w:val="24"/>
              </w:rPr>
              <w:t>1-bedroom</w:t>
            </w:r>
          </w:p>
        </w:tc>
        <w:tc>
          <w:tcPr>
            <w:tcW w:w="736"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outlineLvl w:val="2"/>
              <w:rPr>
                <w:rFonts w:ascii="Arial Narrow" w:hAnsi="Arial Narrow" w:cs="Arial"/>
                <w:bCs/>
                <w:sz w:val="24"/>
                <w:szCs w:val="24"/>
              </w:rPr>
            </w:pPr>
            <w:r w:rsidRPr="000E3FB0">
              <w:rPr>
                <w:rFonts w:ascii="Arial Narrow" w:hAnsi="Arial Narrow" w:cs="Arial"/>
                <w:bCs/>
                <w:color w:val="000000"/>
                <w:sz w:val="24"/>
                <w:szCs w:val="24"/>
              </w:rPr>
              <w:t>£600</w:t>
            </w:r>
          </w:p>
        </w:tc>
        <w:tc>
          <w:tcPr>
            <w:tcW w:w="700"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outlineLvl w:val="2"/>
              <w:rPr>
                <w:rFonts w:ascii="Arial Narrow" w:hAnsi="Arial Narrow" w:cs="Arial"/>
                <w:bCs/>
                <w:sz w:val="24"/>
                <w:szCs w:val="24"/>
              </w:rPr>
            </w:pPr>
            <w:r w:rsidRPr="000E3FB0">
              <w:rPr>
                <w:rFonts w:ascii="Arial Narrow" w:hAnsi="Arial Narrow" w:cs="Arial"/>
                <w:bCs/>
                <w:color w:val="000000"/>
                <w:sz w:val="24"/>
                <w:szCs w:val="24"/>
              </w:rPr>
              <w:t>£575</w:t>
            </w:r>
          </w:p>
        </w:tc>
        <w:tc>
          <w:tcPr>
            <w:tcW w:w="724"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outlineLvl w:val="2"/>
              <w:rPr>
                <w:rFonts w:ascii="Arial Narrow" w:hAnsi="Arial Narrow" w:cs="Arial"/>
                <w:bCs/>
                <w:sz w:val="24"/>
                <w:szCs w:val="24"/>
              </w:rPr>
            </w:pPr>
            <w:r w:rsidRPr="000E3FB0">
              <w:rPr>
                <w:rFonts w:ascii="Arial Narrow" w:hAnsi="Arial Narrow" w:cs="Arial"/>
                <w:bCs/>
                <w:color w:val="000000"/>
                <w:sz w:val="24"/>
                <w:szCs w:val="24"/>
              </w:rPr>
              <w:t>£550</w:t>
            </w:r>
          </w:p>
        </w:tc>
        <w:tc>
          <w:tcPr>
            <w:tcW w:w="683"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outlineLvl w:val="2"/>
              <w:rPr>
                <w:rFonts w:ascii="Arial Narrow" w:hAnsi="Arial Narrow" w:cs="Arial"/>
                <w:bCs/>
                <w:sz w:val="24"/>
                <w:szCs w:val="24"/>
              </w:rPr>
            </w:pPr>
            <w:r w:rsidRPr="000E3FB0">
              <w:rPr>
                <w:rFonts w:ascii="Arial Narrow" w:hAnsi="Arial Narrow" w:cs="Arial"/>
                <w:bCs/>
                <w:color w:val="000000"/>
                <w:sz w:val="24"/>
                <w:szCs w:val="24"/>
              </w:rPr>
              <w:t>£665</w:t>
            </w:r>
          </w:p>
        </w:tc>
        <w:tc>
          <w:tcPr>
            <w:tcW w:w="682"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outlineLvl w:val="2"/>
              <w:rPr>
                <w:rFonts w:ascii="Arial Narrow" w:hAnsi="Arial Narrow" w:cs="Arial"/>
                <w:bCs/>
                <w:sz w:val="24"/>
                <w:szCs w:val="24"/>
              </w:rPr>
            </w:pPr>
            <w:r w:rsidRPr="000E3FB0">
              <w:rPr>
                <w:rFonts w:ascii="Arial Narrow" w:hAnsi="Arial Narrow" w:cs="Arial"/>
                <w:bCs/>
                <w:color w:val="000000"/>
                <w:sz w:val="24"/>
                <w:szCs w:val="24"/>
              </w:rPr>
              <w:t>£615</w:t>
            </w:r>
          </w:p>
        </w:tc>
        <w:tc>
          <w:tcPr>
            <w:tcW w:w="637"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outlineLvl w:val="2"/>
              <w:rPr>
                <w:rFonts w:ascii="Arial Narrow" w:hAnsi="Arial Narrow" w:cs="Arial"/>
                <w:bCs/>
                <w:sz w:val="24"/>
                <w:szCs w:val="24"/>
              </w:rPr>
            </w:pPr>
            <w:r w:rsidRPr="000E3FB0">
              <w:rPr>
                <w:rFonts w:ascii="Arial Narrow" w:hAnsi="Arial Narrow" w:cs="Arial"/>
                <w:bCs/>
                <w:color w:val="000000"/>
                <w:sz w:val="24"/>
                <w:szCs w:val="24"/>
              </w:rPr>
              <w:t>£610</w:t>
            </w:r>
          </w:p>
        </w:tc>
      </w:tr>
      <w:tr w:rsidR="00B008D9" w:rsidRPr="000E3FB0" w:rsidTr="00AE5604">
        <w:trPr>
          <w:trHeight w:val="288"/>
        </w:trPr>
        <w:tc>
          <w:tcPr>
            <w:tcW w:w="837" w:type="pct"/>
            <w:tcBorders>
              <w:top w:val="single" w:sz="4" w:space="0" w:color="auto"/>
              <w:left w:val="single" w:sz="4" w:space="0" w:color="auto"/>
              <w:bottom w:val="single" w:sz="4" w:space="0" w:color="auto"/>
              <w:right w:val="single" w:sz="4" w:space="0" w:color="auto"/>
            </w:tcBorders>
            <w:hideMark/>
          </w:tcPr>
          <w:p w:rsidR="00B008D9" w:rsidRPr="000E3FB0" w:rsidRDefault="00B008D9" w:rsidP="005200A0">
            <w:pPr>
              <w:spacing w:line="300" w:lineRule="auto"/>
              <w:rPr>
                <w:rFonts w:ascii="Arial Narrow" w:hAnsi="Arial Narrow" w:cs="Arial"/>
                <w:bCs/>
                <w:sz w:val="24"/>
                <w:szCs w:val="24"/>
              </w:rPr>
            </w:pPr>
            <w:r w:rsidRPr="000E3FB0">
              <w:rPr>
                <w:rFonts w:ascii="Arial Narrow" w:hAnsi="Arial Narrow" w:cs="Arial"/>
                <w:bCs/>
                <w:sz w:val="24"/>
                <w:szCs w:val="24"/>
              </w:rPr>
              <w:t>2-bedrooms</w:t>
            </w:r>
          </w:p>
        </w:tc>
        <w:tc>
          <w:tcPr>
            <w:tcW w:w="736"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outlineLvl w:val="2"/>
              <w:rPr>
                <w:rFonts w:ascii="Arial Narrow" w:hAnsi="Arial Narrow" w:cs="Arial"/>
                <w:bCs/>
                <w:sz w:val="24"/>
                <w:szCs w:val="24"/>
              </w:rPr>
            </w:pPr>
            <w:r w:rsidRPr="000E3FB0">
              <w:rPr>
                <w:rFonts w:ascii="Arial Narrow" w:hAnsi="Arial Narrow" w:cs="Arial"/>
                <w:bCs/>
                <w:color w:val="000000"/>
                <w:sz w:val="24"/>
                <w:szCs w:val="24"/>
              </w:rPr>
              <w:t>£780</w:t>
            </w:r>
          </w:p>
        </w:tc>
        <w:tc>
          <w:tcPr>
            <w:tcW w:w="700"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outlineLvl w:val="2"/>
              <w:rPr>
                <w:rFonts w:ascii="Arial Narrow" w:hAnsi="Arial Narrow" w:cs="Arial"/>
                <w:bCs/>
                <w:sz w:val="24"/>
                <w:szCs w:val="24"/>
              </w:rPr>
            </w:pPr>
            <w:r w:rsidRPr="000E3FB0">
              <w:rPr>
                <w:rFonts w:ascii="Arial Narrow" w:hAnsi="Arial Narrow" w:cs="Arial"/>
                <w:bCs/>
                <w:color w:val="000000"/>
                <w:sz w:val="24"/>
                <w:szCs w:val="24"/>
              </w:rPr>
              <w:t>£735</w:t>
            </w:r>
          </w:p>
        </w:tc>
        <w:tc>
          <w:tcPr>
            <w:tcW w:w="724"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outlineLvl w:val="2"/>
              <w:rPr>
                <w:rFonts w:ascii="Arial Narrow" w:hAnsi="Arial Narrow" w:cs="Arial"/>
                <w:bCs/>
                <w:sz w:val="24"/>
                <w:szCs w:val="24"/>
              </w:rPr>
            </w:pPr>
            <w:r w:rsidRPr="000E3FB0">
              <w:rPr>
                <w:rFonts w:ascii="Arial Narrow" w:hAnsi="Arial Narrow" w:cs="Arial"/>
                <w:bCs/>
                <w:color w:val="000000"/>
                <w:sz w:val="24"/>
                <w:szCs w:val="24"/>
              </w:rPr>
              <w:t>£695</w:t>
            </w:r>
          </w:p>
        </w:tc>
        <w:tc>
          <w:tcPr>
            <w:tcW w:w="683"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outlineLvl w:val="2"/>
              <w:rPr>
                <w:rFonts w:ascii="Arial Narrow" w:hAnsi="Arial Narrow" w:cs="Arial"/>
                <w:bCs/>
                <w:sz w:val="24"/>
                <w:szCs w:val="24"/>
              </w:rPr>
            </w:pPr>
            <w:r w:rsidRPr="000E3FB0">
              <w:rPr>
                <w:rFonts w:ascii="Arial Narrow" w:hAnsi="Arial Narrow" w:cs="Arial"/>
                <w:bCs/>
                <w:color w:val="000000"/>
                <w:sz w:val="24"/>
                <w:szCs w:val="24"/>
              </w:rPr>
              <w:t>£880</w:t>
            </w:r>
          </w:p>
        </w:tc>
        <w:tc>
          <w:tcPr>
            <w:tcW w:w="682"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outlineLvl w:val="2"/>
              <w:rPr>
                <w:rFonts w:ascii="Arial Narrow" w:hAnsi="Arial Narrow" w:cs="Arial"/>
                <w:bCs/>
                <w:sz w:val="24"/>
                <w:szCs w:val="24"/>
              </w:rPr>
            </w:pPr>
            <w:r w:rsidRPr="000E3FB0">
              <w:rPr>
                <w:rFonts w:ascii="Arial Narrow" w:hAnsi="Arial Narrow" w:cs="Arial"/>
                <w:bCs/>
                <w:color w:val="000000"/>
                <w:sz w:val="24"/>
                <w:szCs w:val="24"/>
              </w:rPr>
              <w:t>£805</w:t>
            </w:r>
          </w:p>
        </w:tc>
        <w:tc>
          <w:tcPr>
            <w:tcW w:w="637"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outlineLvl w:val="2"/>
              <w:rPr>
                <w:rFonts w:ascii="Arial Narrow" w:hAnsi="Arial Narrow" w:cs="Arial"/>
                <w:bCs/>
                <w:sz w:val="24"/>
                <w:szCs w:val="24"/>
              </w:rPr>
            </w:pPr>
            <w:r w:rsidRPr="000E3FB0">
              <w:rPr>
                <w:rFonts w:ascii="Arial Narrow" w:hAnsi="Arial Narrow" w:cs="Arial"/>
                <w:bCs/>
                <w:color w:val="000000"/>
                <w:sz w:val="24"/>
                <w:szCs w:val="24"/>
              </w:rPr>
              <w:t>£795</w:t>
            </w:r>
          </w:p>
        </w:tc>
      </w:tr>
      <w:tr w:rsidR="00B008D9" w:rsidRPr="000E3FB0" w:rsidTr="00AE5604">
        <w:trPr>
          <w:trHeight w:val="276"/>
        </w:trPr>
        <w:tc>
          <w:tcPr>
            <w:tcW w:w="837" w:type="pct"/>
            <w:tcBorders>
              <w:top w:val="single" w:sz="4" w:space="0" w:color="auto"/>
              <w:left w:val="single" w:sz="4" w:space="0" w:color="auto"/>
              <w:bottom w:val="single" w:sz="4" w:space="0" w:color="auto"/>
              <w:right w:val="single" w:sz="4" w:space="0" w:color="auto"/>
            </w:tcBorders>
            <w:hideMark/>
          </w:tcPr>
          <w:p w:rsidR="00B008D9" w:rsidRPr="000E3FB0" w:rsidRDefault="00B008D9" w:rsidP="005200A0">
            <w:pPr>
              <w:spacing w:line="300" w:lineRule="auto"/>
              <w:rPr>
                <w:rFonts w:ascii="Arial Narrow" w:hAnsi="Arial Narrow" w:cs="Arial"/>
                <w:bCs/>
                <w:sz w:val="24"/>
                <w:szCs w:val="24"/>
              </w:rPr>
            </w:pPr>
            <w:r w:rsidRPr="000E3FB0">
              <w:rPr>
                <w:rFonts w:ascii="Arial Narrow" w:hAnsi="Arial Narrow" w:cs="Arial"/>
                <w:bCs/>
                <w:sz w:val="24"/>
                <w:szCs w:val="24"/>
              </w:rPr>
              <w:t>3-bedrooms</w:t>
            </w:r>
          </w:p>
        </w:tc>
        <w:tc>
          <w:tcPr>
            <w:tcW w:w="736"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outlineLvl w:val="2"/>
              <w:rPr>
                <w:rFonts w:ascii="Arial Narrow" w:hAnsi="Arial Narrow" w:cs="Arial"/>
                <w:bCs/>
                <w:sz w:val="24"/>
                <w:szCs w:val="24"/>
              </w:rPr>
            </w:pPr>
            <w:r w:rsidRPr="000E3FB0">
              <w:rPr>
                <w:rFonts w:ascii="Arial Narrow" w:hAnsi="Arial Narrow" w:cs="Arial"/>
                <w:bCs/>
                <w:color w:val="000000"/>
                <w:sz w:val="24"/>
                <w:szCs w:val="24"/>
              </w:rPr>
              <w:t>£950</w:t>
            </w:r>
          </w:p>
        </w:tc>
        <w:tc>
          <w:tcPr>
            <w:tcW w:w="700"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outlineLvl w:val="2"/>
              <w:rPr>
                <w:rFonts w:ascii="Arial Narrow" w:hAnsi="Arial Narrow" w:cs="Arial"/>
                <w:bCs/>
                <w:sz w:val="24"/>
                <w:szCs w:val="24"/>
              </w:rPr>
            </w:pPr>
            <w:r w:rsidRPr="000E3FB0">
              <w:rPr>
                <w:rFonts w:ascii="Arial Narrow" w:hAnsi="Arial Narrow" w:cs="Arial"/>
                <w:bCs/>
                <w:color w:val="000000"/>
                <w:sz w:val="24"/>
                <w:szCs w:val="24"/>
              </w:rPr>
              <w:t>£890</w:t>
            </w:r>
          </w:p>
        </w:tc>
        <w:tc>
          <w:tcPr>
            <w:tcW w:w="724"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outlineLvl w:val="2"/>
              <w:rPr>
                <w:rFonts w:ascii="Arial Narrow" w:hAnsi="Arial Narrow" w:cs="Arial"/>
                <w:bCs/>
                <w:sz w:val="24"/>
                <w:szCs w:val="24"/>
              </w:rPr>
            </w:pPr>
            <w:r w:rsidRPr="000E3FB0">
              <w:rPr>
                <w:rFonts w:ascii="Arial Narrow" w:hAnsi="Arial Narrow" w:cs="Arial"/>
                <w:bCs/>
                <w:color w:val="000000"/>
                <w:sz w:val="24"/>
                <w:szCs w:val="24"/>
              </w:rPr>
              <w:t>£835</w:t>
            </w:r>
          </w:p>
        </w:tc>
        <w:tc>
          <w:tcPr>
            <w:tcW w:w="683"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outlineLvl w:val="2"/>
              <w:rPr>
                <w:rFonts w:ascii="Arial Narrow" w:hAnsi="Arial Narrow" w:cs="Arial"/>
                <w:bCs/>
                <w:sz w:val="24"/>
                <w:szCs w:val="24"/>
              </w:rPr>
            </w:pPr>
            <w:r w:rsidRPr="000E3FB0">
              <w:rPr>
                <w:rFonts w:ascii="Arial Narrow" w:hAnsi="Arial Narrow" w:cs="Arial"/>
                <w:bCs/>
                <w:color w:val="000000"/>
                <w:sz w:val="24"/>
                <w:szCs w:val="24"/>
              </w:rPr>
              <w:t>£1,095</w:t>
            </w:r>
          </w:p>
        </w:tc>
        <w:tc>
          <w:tcPr>
            <w:tcW w:w="682"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outlineLvl w:val="2"/>
              <w:rPr>
                <w:rFonts w:ascii="Arial Narrow" w:hAnsi="Arial Narrow" w:cs="Arial"/>
                <w:bCs/>
                <w:sz w:val="24"/>
                <w:szCs w:val="24"/>
              </w:rPr>
            </w:pPr>
            <w:r w:rsidRPr="000E3FB0">
              <w:rPr>
                <w:rFonts w:ascii="Arial Narrow" w:hAnsi="Arial Narrow" w:cs="Arial"/>
                <w:bCs/>
                <w:color w:val="000000"/>
                <w:sz w:val="24"/>
                <w:szCs w:val="24"/>
              </w:rPr>
              <w:t>£990</w:t>
            </w:r>
          </w:p>
        </w:tc>
        <w:tc>
          <w:tcPr>
            <w:tcW w:w="637"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outlineLvl w:val="2"/>
              <w:rPr>
                <w:rFonts w:ascii="Arial Narrow" w:hAnsi="Arial Narrow" w:cs="Arial"/>
                <w:bCs/>
                <w:sz w:val="24"/>
                <w:szCs w:val="24"/>
              </w:rPr>
            </w:pPr>
            <w:r w:rsidRPr="000E3FB0">
              <w:rPr>
                <w:rFonts w:ascii="Arial Narrow" w:hAnsi="Arial Narrow" w:cs="Arial"/>
                <w:bCs/>
                <w:color w:val="000000"/>
                <w:sz w:val="24"/>
                <w:szCs w:val="24"/>
              </w:rPr>
              <w:t>£975</w:t>
            </w:r>
          </w:p>
        </w:tc>
      </w:tr>
      <w:tr w:rsidR="00B008D9" w:rsidRPr="000E3FB0" w:rsidTr="00AE5604">
        <w:trPr>
          <w:trHeight w:val="276"/>
        </w:trPr>
        <w:tc>
          <w:tcPr>
            <w:tcW w:w="837" w:type="pct"/>
            <w:tcBorders>
              <w:top w:val="single" w:sz="4" w:space="0" w:color="auto"/>
              <w:left w:val="single" w:sz="4" w:space="0" w:color="auto"/>
              <w:bottom w:val="single" w:sz="4" w:space="0" w:color="auto"/>
              <w:right w:val="single" w:sz="4" w:space="0" w:color="auto"/>
            </w:tcBorders>
            <w:hideMark/>
          </w:tcPr>
          <w:p w:rsidR="00B008D9" w:rsidRPr="000E3FB0" w:rsidRDefault="00B008D9" w:rsidP="005200A0">
            <w:pPr>
              <w:spacing w:line="300" w:lineRule="auto"/>
              <w:rPr>
                <w:rFonts w:ascii="Arial Narrow" w:hAnsi="Arial Narrow" w:cs="Arial"/>
                <w:bCs/>
                <w:sz w:val="24"/>
                <w:szCs w:val="24"/>
              </w:rPr>
            </w:pPr>
            <w:r w:rsidRPr="000E3FB0">
              <w:rPr>
                <w:rFonts w:ascii="Arial Narrow" w:hAnsi="Arial Narrow" w:cs="Arial"/>
                <w:bCs/>
                <w:sz w:val="24"/>
                <w:szCs w:val="24"/>
              </w:rPr>
              <w:t>4-bedrooms</w:t>
            </w:r>
          </w:p>
        </w:tc>
        <w:tc>
          <w:tcPr>
            <w:tcW w:w="736"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outlineLvl w:val="2"/>
              <w:rPr>
                <w:rFonts w:ascii="Arial Narrow" w:hAnsi="Arial Narrow" w:cs="Arial"/>
                <w:bCs/>
                <w:sz w:val="24"/>
                <w:szCs w:val="24"/>
              </w:rPr>
            </w:pPr>
            <w:r w:rsidRPr="000E3FB0">
              <w:rPr>
                <w:rFonts w:ascii="Arial Narrow" w:hAnsi="Arial Narrow" w:cs="Arial"/>
                <w:bCs/>
                <w:color w:val="000000"/>
                <w:sz w:val="24"/>
                <w:szCs w:val="24"/>
              </w:rPr>
              <w:t>£1,365</w:t>
            </w:r>
          </w:p>
        </w:tc>
        <w:tc>
          <w:tcPr>
            <w:tcW w:w="700"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outlineLvl w:val="2"/>
              <w:rPr>
                <w:rFonts w:ascii="Arial Narrow" w:hAnsi="Arial Narrow" w:cs="Arial"/>
                <w:bCs/>
                <w:sz w:val="24"/>
                <w:szCs w:val="24"/>
              </w:rPr>
            </w:pPr>
            <w:r w:rsidRPr="000E3FB0">
              <w:rPr>
                <w:rFonts w:ascii="Arial Narrow" w:hAnsi="Arial Narrow" w:cs="Arial"/>
                <w:bCs/>
                <w:color w:val="000000"/>
                <w:sz w:val="24"/>
                <w:szCs w:val="24"/>
              </w:rPr>
              <w:t>£1,275</w:t>
            </w:r>
          </w:p>
        </w:tc>
        <w:tc>
          <w:tcPr>
            <w:tcW w:w="724"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outlineLvl w:val="2"/>
              <w:rPr>
                <w:rFonts w:ascii="Arial Narrow" w:hAnsi="Arial Narrow" w:cs="Arial"/>
                <w:bCs/>
                <w:sz w:val="24"/>
                <w:szCs w:val="24"/>
              </w:rPr>
            </w:pPr>
            <w:r w:rsidRPr="000E3FB0">
              <w:rPr>
                <w:rFonts w:ascii="Arial Narrow" w:hAnsi="Arial Narrow" w:cs="Arial"/>
                <w:bCs/>
                <w:color w:val="000000"/>
                <w:sz w:val="24"/>
                <w:szCs w:val="24"/>
              </w:rPr>
              <w:t>£1,195</w:t>
            </w:r>
          </w:p>
        </w:tc>
        <w:tc>
          <w:tcPr>
            <w:tcW w:w="683"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outlineLvl w:val="2"/>
              <w:rPr>
                <w:rFonts w:ascii="Arial Narrow" w:hAnsi="Arial Narrow" w:cs="Arial"/>
                <w:bCs/>
                <w:sz w:val="24"/>
                <w:szCs w:val="24"/>
              </w:rPr>
            </w:pPr>
            <w:r w:rsidRPr="000E3FB0">
              <w:rPr>
                <w:rFonts w:ascii="Arial Narrow" w:hAnsi="Arial Narrow" w:cs="Arial"/>
                <w:bCs/>
                <w:color w:val="000000"/>
                <w:sz w:val="24"/>
                <w:szCs w:val="24"/>
              </w:rPr>
              <w:t>£1,580</w:t>
            </w:r>
          </w:p>
        </w:tc>
        <w:tc>
          <w:tcPr>
            <w:tcW w:w="682"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outlineLvl w:val="2"/>
              <w:rPr>
                <w:rFonts w:ascii="Arial Narrow" w:hAnsi="Arial Narrow" w:cs="Arial"/>
                <w:bCs/>
                <w:sz w:val="24"/>
                <w:szCs w:val="24"/>
              </w:rPr>
            </w:pPr>
            <w:r w:rsidRPr="000E3FB0">
              <w:rPr>
                <w:rFonts w:ascii="Arial Narrow" w:hAnsi="Arial Narrow" w:cs="Arial"/>
                <w:bCs/>
                <w:color w:val="000000"/>
                <w:sz w:val="24"/>
                <w:szCs w:val="24"/>
              </w:rPr>
              <w:t>£1,420</w:t>
            </w:r>
          </w:p>
        </w:tc>
        <w:tc>
          <w:tcPr>
            <w:tcW w:w="637"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outlineLvl w:val="2"/>
              <w:rPr>
                <w:rFonts w:ascii="Arial Narrow" w:hAnsi="Arial Narrow" w:cs="Arial"/>
                <w:bCs/>
                <w:sz w:val="24"/>
                <w:szCs w:val="24"/>
              </w:rPr>
            </w:pPr>
            <w:r w:rsidRPr="000E3FB0">
              <w:rPr>
                <w:rFonts w:ascii="Arial Narrow" w:hAnsi="Arial Narrow" w:cs="Arial"/>
                <w:bCs/>
                <w:color w:val="000000"/>
                <w:sz w:val="24"/>
                <w:szCs w:val="24"/>
              </w:rPr>
              <w:t>£1,400</w:t>
            </w:r>
          </w:p>
        </w:tc>
      </w:tr>
      <w:tr w:rsidR="00B008D9" w:rsidRPr="000E3FB0" w:rsidTr="00AE5604">
        <w:trPr>
          <w:trHeight w:val="276"/>
        </w:trPr>
        <w:tc>
          <w:tcPr>
            <w:tcW w:w="837" w:type="pct"/>
            <w:tcBorders>
              <w:top w:val="single" w:sz="4" w:space="0" w:color="auto"/>
              <w:left w:val="single" w:sz="4" w:space="0" w:color="auto"/>
              <w:bottom w:val="single" w:sz="4" w:space="0" w:color="auto"/>
              <w:right w:val="single" w:sz="4" w:space="0" w:color="auto"/>
            </w:tcBorders>
            <w:hideMark/>
          </w:tcPr>
          <w:p w:rsidR="00B008D9" w:rsidRPr="000E3FB0" w:rsidRDefault="00B008D9" w:rsidP="005200A0">
            <w:pPr>
              <w:spacing w:line="300" w:lineRule="auto"/>
              <w:rPr>
                <w:rFonts w:ascii="Arial Narrow" w:hAnsi="Arial Narrow" w:cs="Arial"/>
                <w:bCs/>
                <w:sz w:val="24"/>
                <w:szCs w:val="24"/>
              </w:rPr>
            </w:pPr>
            <w:r w:rsidRPr="000E3FB0">
              <w:rPr>
                <w:rFonts w:ascii="Arial Narrow" w:hAnsi="Arial Narrow" w:cs="Arial"/>
                <w:bCs/>
                <w:sz w:val="24"/>
                <w:szCs w:val="24"/>
              </w:rPr>
              <w:t>All properties</w:t>
            </w:r>
          </w:p>
        </w:tc>
        <w:tc>
          <w:tcPr>
            <w:tcW w:w="736"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outlineLvl w:val="2"/>
              <w:rPr>
                <w:rFonts w:ascii="Arial Narrow" w:hAnsi="Arial Narrow" w:cs="Arial"/>
                <w:bCs/>
                <w:sz w:val="24"/>
                <w:szCs w:val="24"/>
              </w:rPr>
            </w:pPr>
            <w:r w:rsidRPr="000E3FB0">
              <w:rPr>
                <w:rFonts w:ascii="Arial Narrow" w:hAnsi="Arial Narrow" w:cs="Arial"/>
                <w:bCs/>
                <w:color w:val="000000"/>
                <w:sz w:val="24"/>
                <w:szCs w:val="24"/>
              </w:rPr>
              <w:t>£670</w:t>
            </w:r>
          </w:p>
        </w:tc>
        <w:tc>
          <w:tcPr>
            <w:tcW w:w="700"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outlineLvl w:val="2"/>
              <w:rPr>
                <w:rFonts w:ascii="Arial Narrow" w:hAnsi="Arial Narrow" w:cs="Arial"/>
                <w:bCs/>
                <w:sz w:val="24"/>
                <w:szCs w:val="24"/>
              </w:rPr>
            </w:pPr>
            <w:r w:rsidRPr="000E3FB0">
              <w:rPr>
                <w:rFonts w:ascii="Arial Narrow" w:hAnsi="Arial Narrow" w:cs="Arial"/>
                <w:bCs/>
                <w:color w:val="000000"/>
                <w:sz w:val="24"/>
                <w:szCs w:val="24"/>
              </w:rPr>
              <w:t>£705</w:t>
            </w:r>
          </w:p>
        </w:tc>
        <w:tc>
          <w:tcPr>
            <w:tcW w:w="724"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outlineLvl w:val="2"/>
              <w:rPr>
                <w:rFonts w:ascii="Arial Narrow" w:hAnsi="Arial Narrow" w:cs="Arial"/>
                <w:bCs/>
                <w:sz w:val="24"/>
                <w:szCs w:val="24"/>
              </w:rPr>
            </w:pPr>
            <w:r w:rsidRPr="000E3FB0">
              <w:rPr>
                <w:rFonts w:ascii="Arial Narrow" w:hAnsi="Arial Narrow" w:cs="Arial"/>
                <w:bCs/>
                <w:color w:val="000000"/>
                <w:sz w:val="24"/>
                <w:szCs w:val="24"/>
              </w:rPr>
              <w:t>£695</w:t>
            </w:r>
          </w:p>
        </w:tc>
        <w:tc>
          <w:tcPr>
            <w:tcW w:w="683"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outlineLvl w:val="2"/>
              <w:rPr>
                <w:rFonts w:ascii="Arial Narrow" w:hAnsi="Arial Narrow" w:cs="Arial"/>
                <w:bCs/>
                <w:sz w:val="24"/>
                <w:szCs w:val="24"/>
              </w:rPr>
            </w:pPr>
            <w:r w:rsidRPr="000E3FB0">
              <w:rPr>
                <w:rFonts w:ascii="Arial Narrow" w:hAnsi="Arial Narrow" w:cs="Arial"/>
                <w:bCs/>
                <w:color w:val="000000"/>
                <w:sz w:val="24"/>
                <w:szCs w:val="24"/>
              </w:rPr>
              <w:t>£1,020</w:t>
            </w:r>
          </w:p>
        </w:tc>
        <w:tc>
          <w:tcPr>
            <w:tcW w:w="682"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outlineLvl w:val="2"/>
              <w:rPr>
                <w:rFonts w:ascii="Arial Narrow" w:hAnsi="Arial Narrow" w:cs="Arial"/>
                <w:bCs/>
                <w:sz w:val="24"/>
                <w:szCs w:val="24"/>
              </w:rPr>
            </w:pPr>
            <w:r w:rsidRPr="000E3FB0">
              <w:rPr>
                <w:rFonts w:ascii="Arial Narrow" w:hAnsi="Arial Narrow" w:cs="Arial"/>
                <w:bCs/>
                <w:color w:val="000000"/>
                <w:sz w:val="24"/>
                <w:szCs w:val="24"/>
              </w:rPr>
              <w:t>£820</w:t>
            </w:r>
          </w:p>
        </w:tc>
        <w:tc>
          <w:tcPr>
            <w:tcW w:w="637" w:type="pct"/>
            <w:tcBorders>
              <w:top w:val="single" w:sz="4" w:space="0" w:color="auto"/>
              <w:left w:val="single" w:sz="4" w:space="0" w:color="auto"/>
              <w:bottom w:val="single" w:sz="4" w:space="0" w:color="auto"/>
              <w:right w:val="single" w:sz="4" w:space="0" w:color="auto"/>
            </w:tcBorders>
            <w:vAlign w:val="center"/>
            <w:hideMark/>
          </w:tcPr>
          <w:p w:rsidR="00B008D9" w:rsidRPr="000E3FB0" w:rsidRDefault="00B008D9" w:rsidP="00AE5604">
            <w:pPr>
              <w:spacing w:line="300" w:lineRule="auto"/>
              <w:jc w:val="center"/>
              <w:outlineLvl w:val="2"/>
              <w:rPr>
                <w:rFonts w:ascii="Arial Narrow" w:hAnsi="Arial Narrow" w:cs="Arial"/>
                <w:bCs/>
                <w:sz w:val="24"/>
                <w:szCs w:val="24"/>
              </w:rPr>
            </w:pPr>
            <w:r w:rsidRPr="000E3FB0">
              <w:rPr>
                <w:rFonts w:ascii="Arial Narrow" w:hAnsi="Arial Narrow" w:cs="Arial"/>
                <w:bCs/>
                <w:color w:val="000000"/>
                <w:sz w:val="24"/>
                <w:szCs w:val="24"/>
              </w:rPr>
              <w:t>£720</w:t>
            </w:r>
          </w:p>
        </w:tc>
      </w:tr>
    </w:tbl>
    <w:p w:rsidR="00B008D9" w:rsidRPr="00CA47B9" w:rsidRDefault="00B008D9" w:rsidP="00AE5604">
      <w:pPr>
        <w:spacing w:after="120" w:line="360" w:lineRule="auto"/>
      </w:pPr>
      <w:r w:rsidRPr="00CA47B9">
        <w:t>Source: Valuation Office Agency</w:t>
      </w:r>
    </w:p>
    <w:p w:rsidR="00C41EB7" w:rsidRPr="00CA47B9" w:rsidRDefault="00C221A0" w:rsidP="000C05B0">
      <w:pPr>
        <w:pStyle w:val="11Bodytext"/>
        <w:tabs>
          <w:tab w:val="clear" w:pos="2212"/>
          <w:tab w:val="num" w:pos="567"/>
        </w:tabs>
        <w:ind w:left="567" w:hanging="567"/>
      </w:pPr>
      <w:r>
        <w:lastRenderedPageBreak/>
        <w:t>Lower quartile r</w:t>
      </w:r>
      <w:r w:rsidR="00C41EB7" w:rsidRPr="00CA47B9">
        <w:t xml:space="preserve">ental values are highest in Plan Area North, achieving £1,020 per month for all properties. This is followed by the SDNP (£820 per month) and the East-West Corridor (£705 per month). Rental prices in the Manhood </w:t>
      </w:r>
      <w:r w:rsidR="00056D14">
        <w:t>Peninsula</w:t>
      </w:r>
      <w:r w:rsidR="00C41EB7" w:rsidRPr="00CA47B9">
        <w:t xml:space="preserve"> and Chichester </w:t>
      </w:r>
      <w:r w:rsidR="002638EB">
        <w:t xml:space="preserve">City </w:t>
      </w:r>
      <w:r w:rsidR="00C41EB7" w:rsidRPr="00CA47B9">
        <w:t xml:space="preserve">are below the </w:t>
      </w:r>
      <w:r w:rsidR="00855CA6" w:rsidRPr="00CA47B9">
        <w:t>District</w:t>
      </w:r>
      <w:r w:rsidR="00855CA6">
        <w:t>-</w:t>
      </w:r>
      <w:r w:rsidR="00C41EB7" w:rsidRPr="00CA47B9">
        <w:t xml:space="preserve">wide value at £695 and £670 per month. </w:t>
      </w:r>
    </w:p>
    <w:p w:rsidR="00B008D9" w:rsidRPr="00CA47B9" w:rsidRDefault="00B008D9" w:rsidP="00805614">
      <w:pPr>
        <w:pStyle w:val="SubheadBlue12"/>
        <w:ind w:left="567" w:firstLine="0"/>
      </w:pPr>
      <w:r w:rsidRPr="00CA47B9">
        <w:t>Income Required to Access Different Tenures of Housing</w:t>
      </w:r>
    </w:p>
    <w:p w:rsidR="00B008D9" w:rsidRPr="00CA47B9" w:rsidRDefault="00B008D9" w:rsidP="000C05B0">
      <w:pPr>
        <w:pStyle w:val="11Bodytext"/>
        <w:tabs>
          <w:tab w:val="clear" w:pos="2212"/>
          <w:tab w:val="num" w:pos="567"/>
        </w:tabs>
        <w:ind w:left="567" w:hanging="567"/>
      </w:pPr>
      <w:r w:rsidRPr="00CA47B9">
        <w:t xml:space="preserve">Having established the likely cost of housing, the next step is to estimate what level of income might be required to access the different products. Separate tests are applied for </w:t>
      </w:r>
      <w:r w:rsidR="00451CFA">
        <w:t>home ownership</w:t>
      </w:r>
      <w:r w:rsidRPr="00CA47B9">
        <w:t xml:space="preserve"> and private renting; </w:t>
      </w:r>
      <w:r w:rsidR="00451CFA">
        <w:t>home ownership</w:t>
      </w:r>
      <w:r w:rsidRPr="00CA47B9">
        <w:t xml:space="preserve"> is based on looking at mortgage multiples (mortgage affordability) with accessing private rented housing being based on consideration of the proportion of income that might need to be spent on housing (rental affordability). These tests assume:</w:t>
      </w:r>
    </w:p>
    <w:p w:rsidR="00B008D9" w:rsidRPr="00CA47B9" w:rsidRDefault="00B008D9" w:rsidP="00901C92">
      <w:pPr>
        <w:pStyle w:val="Bulletblueplain"/>
      </w:pPr>
      <w:r w:rsidRPr="00CA47B9">
        <w:t xml:space="preserve">Mortgage affordability – a 10% deposit and </w:t>
      </w:r>
      <w:r w:rsidR="006931FF">
        <w:t xml:space="preserve">remaining equity that does not exceed </w:t>
      </w:r>
      <w:r w:rsidRPr="00CA47B9">
        <w:t xml:space="preserve"> 4.5 times </w:t>
      </w:r>
      <w:r w:rsidR="006931FF">
        <w:t>annual income</w:t>
      </w:r>
      <w:r w:rsidRPr="00CA47B9">
        <w:t>; and</w:t>
      </w:r>
    </w:p>
    <w:p w:rsidR="00B008D9" w:rsidRPr="00CA47B9" w:rsidRDefault="00B008D9" w:rsidP="00901C92">
      <w:pPr>
        <w:pStyle w:val="Bulletblueplain"/>
      </w:pPr>
      <w:r w:rsidRPr="00CA47B9">
        <w:t>Rental affordability – spending no more than 31% of income on housing.</w:t>
      </w:r>
    </w:p>
    <w:p w:rsidR="00056D14" w:rsidRDefault="00B008D9" w:rsidP="000C05B0">
      <w:pPr>
        <w:pStyle w:val="11Bodytext"/>
        <w:tabs>
          <w:tab w:val="clear" w:pos="2212"/>
          <w:tab w:val="num" w:pos="567"/>
        </w:tabs>
        <w:ind w:left="567" w:hanging="567"/>
      </w:pPr>
      <w:r w:rsidRPr="00CA47B9">
        <w:t xml:space="preserve">The table below provides an analysis of the income levels required to access a home. Although the measures for mortgage and rental affordability are different; both ultimately lead to an estimate of the income required. </w:t>
      </w:r>
    </w:p>
    <w:p w:rsidR="00B008D9" w:rsidRPr="00CA47B9" w:rsidRDefault="00B008D9" w:rsidP="000C05B0">
      <w:pPr>
        <w:pStyle w:val="11Bodytext"/>
        <w:tabs>
          <w:tab w:val="clear" w:pos="2212"/>
          <w:tab w:val="num" w:pos="567"/>
        </w:tabs>
        <w:ind w:left="567" w:hanging="567"/>
      </w:pPr>
      <w:r w:rsidRPr="00CA47B9">
        <w:t xml:space="preserve">Looking at </w:t>
      </w:r>
      <w:r w:rsidR="00056D14">
        <w:t xml:space="preserve">the </w:t>
      </w:r>
      <w:r w:rsidRPr="00CA47B9">
        <w:t>figures for the whole of the District, it can be seen that it is estimated that an income of around £55,000</w:t>
      </w:r>
      <w:r>
        <w:t xml:space="preserve"> per household</w:t>
      </w:r>
      <w:r w:rsidRPr="00CA47B9">
        <w:t xml:space="preserve"> would be required for open market purchase</w:t>
      </w:r>
      <w:r w:rsidR="00922984">
        <w:t>. However</w:t>
      </w:r>
      <w:r w:rsidR="00855CA6">
        <w:t>,</w:t>
      </w:r>
      <w:r w:rsidR="00922984">
        <w:t xml:space="preserve"> there is</w:t>
      </w:r>
      <w:r w:rsidR="00855CA6">
        <w:t xml:space="preserve"> </w:t>
      </w:r>
      <w:r w:rsidRPr="00CA47B9">
        <w:t>a much lower</w:t>
      </w:r>
      <w:r w:rsidR="00855CA6">
        <w:t xml:space="preserve"> </w:t>
      </w:r>
      <w:r w:rsidRPr="00CA47B9">
        <w:t>income require</w:t>
      </w:r>
      <w:r w:rsidR="00922984">
        <w:t>ment</w:t>
      </w:r>
      <w:r w:rsidRPr="00CA47B9">
        <w:t xml:space="preserve"> to rent (£27,600). </w:t>
      </w:r>
    </w:p>
    <w:p w:rsidR="00B008D9" w:rsidRPr="00CA47B9" w:rsidRDefault="002638EB" w:rsidP="00AE5604">
      <w:pPr>
        <w:pStyle w:val="Tableheading"/>
        <w:tabs>
          <w:tab w:val="clear" w:pos="794"/>
          <w:tab w:val="clear" w:pos="1843"/>
          <w:tab w:val="left" w:pos="0"/>
        </w:tabs>
        <w:ind w:left="0" w:firstLine="0"/>
      </w:pPr>
      <w:r>
        <w:t>Household i</w:t>
      </w:r>
      <w:r w:rsidR="00B008D9" w:rsidRPr="00CA47B9">
        <w:t xml:space="preserve">ncome thresholds for different tenures of housing </w:t>
      </w:r>
    </w:p>
    <w:tbl>
      <w:tblPr>
        <w:tblStyle w:val="Compressed"/>
        <w:tblW w:w="4894" w:type="pct"/>
        <w:tblInd w:w="108" w:type="dxa"/>
        <w:tblLook w:val="04A0" w:firstRow="1" w:lastRow="0" w:firstColumn="1" w:lastColumn="0" w:noHBand="0" w:noVBand="1"/>
        <w:tblCaption w:val="Table 26: Household income thresholds for different tenures of housing "/>
      </w:tblPr>
      <w:tblGrid>
        <w:gridCol w:w="3194"/>
        <w:gridCol w:w="3271"/>
        <w:gridCol w:w="3173"/>
      </w:tblGrid>
      <w:tr w:rsidR="00B008D9" w:rsidRPr="00CA47B9" w:rsidTr="00AE56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57" w:type="pct"/>
          </w:tcPr>
          <w:p w:rsidR="00B008D9" w:rsidRPr="00CA47B9" w:rsidRDefault="00B008D9" w:rsidP="005200A0">
            <w:pPr>
              <w:keepNext/>
              <w:spacing w:line="300" w:lineRule="auto"/>
              <w:rPr>
                <w:bCs/>
                <w:lang w:eastAsia="en-US"/>
              </w:rPr>
            </w:pPr>
          </w:p>
        </w:tc>
        <w:tc>
          <w:tcPr>
            <w:tcW w:w="1697" w:type="pct"/>
            <w:hideMark/>
          </w:tcPr>
          <w:p w:rsidR="00B008D9" w:rsidRPr="00CA47B9" w:rsidRDefault="00B008D9" w:rsidP="005200A0">
            <w:pPr>
              <w:keepNext/>
              <w:spacing w:line="300" w:lineRule="auto"/>
              <w:cnfStyle w:val="100000000000" w:firstRow="1" w:lastRow="0" w:firstColumn="0" w:lastColumn="0" w:oddVBand="0" w:evenVBand="0" w:oddHBand="0" w:evenHBand="0" w:firstRowFirstColumn="0" w:firstRowLastColumn="0" w:lastRowFirstColumn="0" w:lastRowLastColumn="0"/>
              <w:rPr>
                <w:bCs/>
                <w:lang w:eastAsia="en-US"/>
              </w:rPr>
            </w:pPr>
            <w:r w:rsidRPr="00CA47B9">
              <w:rPr>
                <w:bCs/>
                <w:lang w:eastAsia="en-US"/>
              </w:rPr>
              <w:t>To buy</w:t>
            </w:r>
          </w:p>
        </w:tc>
        <w:tc>
          <w:tcPr>
            <w:tcW w:w="1646" w:type="pct"/>
            <w:hideMark/>
          </w:tcPr>
          <w:p w:rsidR="00B008D9" w:rsidRPr="00CA47B9" w:rsidRDefault="00B008D9" w:rsidP="005200A0">
            <w:pPr>
              <w:keepNext/>
              <w:spacing w:line="300" w:lineRule="auto"/>
              <w:cnfStyle w:val="100000000000" w:firstRow="1" w:lastRow="0" w:firstColumn="0" w:lastColumn="0" w:oddVBand="0" w:evenVBand="0" w:oddHBand="0" w:evenHBand="0" w:firstRowFirstColumn="0" w:firstRowLastColumn="0" w:lastRowFirstColumn="0" w:lastRowLastColumn="0"/>
              <w:rPr>
                <w:bCs/>
                <w:lang w:eastAsia="en-US"/>
              </w:rPr>
            </w:pPr>
            <w:r w:rsidRPr="00CA47B9">
              <w:rPr>
                <w:bCs/>
                <w:lang w:eastAsia="en-US"/>
              </w:rPr>
              <w:t>To rent</w:t>
            </w:r>
          </w:p>
        </w:tc>
      </w:tr>
      <w:tr w:rsidR="00B008D9" w:rsidRPr="00CA47B9" w:rsidTr="00AE5604">
        <w:tc>
          <w:tcPr>
            <w:cnfStyle w:val="001000000000" w:firstRow="0" w:lastRow="0" w:firstColumn="1" w:lastColumn="0" w:oddVBand="0" w:evenVBand="0" w:oddHBand="0" w:evenHBand="0" w:firstRowFirstColumn="0" w:firstRowLastColumn="0" w:lastRowFirstColumn="0" w:lastRowLastColumn="0"/>
            <w:tcW w:w="1657" w:type="pct"/>
            <w:hideMark/>
          </w:tcPr>
          <w:p w:rsidR="00B008D9" w:rsidRPr="00CA47B9" w:rsidRDefault="00B008D9" w:rsidP="005200A0">
            <w:pPr>
              <w:keepNext/>
              <w:spacing w:line="300" w:lineRule="auto"/>
              <w:rPr>
                <w:lang w:eastAsia="en-US"/>
              </w:rPr>
            </w:pPr>
            <w:r w:rsidRPr="00CA47B9">
              <w:rPr>
                <w:lang w:eastAsia="en-US"/>
              </w:rPr>
              <w:t>Chichester City</w:t>
            </w:r>
          </w:p>
        </w:tc>
        <w:tc>
          <w:tcPr>
            <w:tcW w:w="1697" w:type="pct"/>
            <w:hideMark/>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rPr>
                <w:lang w:eastAsia="en-US"/>
              </w:rPr>
            </w:pPr>
            <w:r w:rsidRPr="00CA47B9">
              <w:rPr>
                <w:color w:val="000000"/>
                <w:lang w:eastAsia="en-US"/>
              </w:rPr>
              <w:t>£50,800</w:t>
            </w:r>
          </w:p>
        </w:tc>
        <w:tc>
          <w:tcPr>
            <w:tcW w:w="1646" w:type="pct"/>
            <w:hideMark/>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rPr>
                <w:lang w:eastAsia="en-US"/>
              </w:rPr>
            </w:pPr>
            <w:r w:rsidRPr="00CA47B9">
              <w:rPr>
                <w:color w:val="000000"/>
                <w:lang w:eastAsia="en-US"/>
              </w:rPr>
              <w:t>£25,700</w:t>
            </w:r>
          </w:p>
        </w:tc>
      </w:tr>
      <w:tr w:rsidR="00B008D9" w:rsidRPr="00CA47B9" w:rsidTr="00AE5604">
        <w:tc>
          <w:tcPr>
            <w:cnfStyle w:val="001000000000" w:firstRow="0" w:lastRow="0" w:firstColumn="1" w:lastColumn="0" w:oddVBand="0" w:evenVBand="0" w:oddHBand="0" w:evenHBand="0" w:firstRowFirstColumn="0" w:firstRowLastColumn="0" w:lastRowFirstColumn="0" w:lastRowLastColumn="0"/>
            <w:tcW w:w="1657" w:type="pct"/>
            <w:hideMark/>
          </w:tcPr>
          <w:p w:rsidR="00B008D9" w:rsidRPr="00CA47B9" w:rsidRDefault="00B008D9" w:rsidP="005200A0">
            <w:pPr>
              <w:keepNext/>
              <w:spacing w:line="300" w:lineRule="auto"/>
              <w:rPr>
                <w:lang w:eastAsia="en-US"/>
              </w:rPr>
            </w:pPr>
            <w:r w:rsidRPr="00CA47B9">
              <w:rPr>
                <w:lang w:eastAsia="en-US"/>
              </w:rPr>
              <w:t>East-West Corridor</w:t>
            </w:r>
          </w:p>
        </w:tc>
        <w:tc>
          <w:tcPr>
            <w:tcW w:w="1697" w:type="pct"/>
            <w:hideMark/>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rPr>
                <w:lang w:eastAsia="en-US"/>
              </w:rPr>
            </w:pPr>
            <w:r w:rsidRPr="00CA47B9">
              <w:rPr>
                <w:color w:val="000000"/>
                <w:lang w:eastAsia="en-US"/>
              </w:rPr>
              <w:t>£53,600</w:t>
            </w:r>
          </w:p>
        </w:tc>
        <w:tc>
          <w:tcPr>
            <w:tcW w:w="1646" w:type="pct"/>
            <w:hideMark/>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rPr>
                <w:lang w:eastAsia="en-US"/>
              </w:rPr>
            </w:pPr>
            <w:r w:rsidRPr="00CA47B9">
              <w:rPr>
                <w:color w:val="000000"/>
                <w:lang w:eastAsia="en-US"/>
              </w:rPr>
              <w:t>£27,100</w:t>
            </w:r>
          </w:p>
        </w:tc>
      </w:tr>
      <w:tr w:rsidR="00B008D9" w:rsidRPr="00CA47B9" w:rsidTr="00AE5604">
        <w:tc>
          <w:tcPr>
            <w:cnfStyle w:val="001000000000" w:firstRow="0" w:lastRow="0" w:firstColumn="1" w:lastColumn="0" w:oddVBand="0" w:evenVBand="0" w:oddHBand="0" w:evenHBand="0" w:firstRowFirstColumn="0" w:firstRowLastColumn="0" w:lastRowFirstColumn="0" w:lastRowLastColumn="0"/>
            <w:tcW w:w="1657" w:type="pct"/>
            <w:hideMark/>
          </w:tcPr>
          <w:p w:rsidR="00B008D9" w:rsidRPr="00CA47B9" w:rsidRDefault="00B008D9" w:rsidP="005200A0">
            <w:pPr>
              <w:keepNext/>
              <w:spacing w:line="300" w:lineRule="auto"/>
              <w:rPr>
                <w:lang w:eastAsia="en-US"/>
              </w:rPr>
            </w:pPr>
            <w:r w:rsidRPr="00CA47B9">
              <w:rPr>
                <w:lang w:eastAsia="en-US"/>
              </w:rPr>
              <w:t xml:space="preserve">Manhood </w:t>
            </w:r>
            <w:r w:rsidR="00056D14">
              <w:rPr>
                <w:lang w:eastAsia="en-US"/>
              </w:rPr>
              <w:t>Peninsula</w:t>
            </w:r>
          </w:p>
        </w:tc>
        <w:tc>
          <w:tcPr>
            <w:tcW w:w="1697" w:type="pct"/>
            <w:hideMark/>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rPr>
                <w:lang w:eastAsia="en-US"/>
              </w:rPr>
            </w:pPr>
            <w:r w:rsidRPr="00CA47B9">
              <w:rPr>
                <w:color w:val="000000"/>
                <w:lang w:eastAsia="en-US"/>
              </w:rPr>
              <w:t>£53,000</w:t>
            </w:r>
          </w:p>
        </w:tc>
        <w:tc>
          <w:tcPr>
            <w:tcW w:w="1646" w:type="pct"/>
            <w:hideMark/>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rPr>
                <w:lang w:eastAsia="en-US"/>
              </w:rPr>
            </w:pPr>
            <w:r w:rsidRPr="00CA47B9">
              <w:rPr>
                <w:color w:val="000000"/>
                <w:lang w:eastAsia="en-US"/>
              </w:rPr>
              <w:t>£26,700</w:t>
            </w:r>
          </w:p>
        </w:tc>
      </w:tr>
      <w:tr w:rsidR="00B008D9" w:rsidRPr="00CA47B9" w:rsidTr="00AE5604">
        <w:tc>
          <w:tcPr>
            <w:cnfStyle w:val="001000000000" w:firstRow="0" w:lastRow="0" w:firstColumn="1" w:lastColumn="0" w:oddVBand="0" w:evenVBand="0" w:oddHBand="0" w:evenHBand="0" w:firstRowFirstColumn="0" w:firstRowLastColumn="0" w:lastRowFirstColumn="0" w:lastRowLastColumn="0"/>
            <w:tcW w:w="1657" w:type="pct"/>
            <w:hideMark/>
          </w:tcPr>
          <w:p w:rsidR="00B008D9" w:rsidRPr="00CA47B9" w:rsidRDefault="00B008D9" w:rsidP="005200A0">
            <w:pPr>
              <w:keepNext/>
              <w:spacing w:line="300" w:lineRule="auto"/>
              <w:rPr>
                <w:lang w:eastAsia="en-US"/>
              </w:rPr>
            </w:pPr>
            <w:r w:rsidRPr="00CA47B9">
              <w:rPr>
                <w:lang w:eastAsia="en-US"/>
              </w:rPr>
              <w:t>Plan Area North</w:t>
            </w:r>
          </w:p>
        </w:tc>
        <w:tc>
          <w:tcPr>
            <w:tcW w:w="1697" w:type="pct"/>
            <w:hideMark/>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rPr>
                <w:lang w:eastAsia="en-US"/>
              </w:rPr>
            </w:pPr>
            <w:r w:rsidRPr="00CA47B9">
              <w:rPr>
                <w:color w:val="000000"/>
                <w:lang w:eastAsia="en-US"/>
              </w:rPr>
              <w:t>£81,000</w:t>
            </w:r>
          </w:p>
        </w:tc>
        <w:tc>
          <w:tcPr>
            <w:tcW w:w="1646" w:type="pct"/>
            <w:hideMark/>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rPr>
                <w:lang w:eastAsia="en-US"/>
              </w:rPr>
            </w:pPr>
            <w:r w:rsidRPr="00CA47B9">
              <w:rPr>
                <w:color w:val="000000"/>
                <w:lang w:eastAsia="en-US"/>
              </w:rPr>
              <w:t>£39,200</w:t>
            </w:r>
          </w:p>
        </w:tc>
      </w:tr>
      <w:tr w:rsidR="00B008D9" w:rsidRPr="00CA47B9" w:rsidTr="00AE5604">
        <w:tc>
          <w:tcPr>
            <w:cnfStyle w:val="001000000000" w:firstRow="0" w:lastRow="0" w:firstColumn="1" w:lastColumn="0" w:oddVBand="0" w:evenVBand="0" w:oddHBand="0" w:evenHBand="0" w:firstRowFirstColumn="0" w:firstRowLastColumn="0" w:lastRowFirstColumn="0" w:lastRowLastColumn="0"/>
            <w:tcW w:w="1657" w:type="pct"/>
            <w:hideMark/>
          </w:tcPr>
          <w:p w:rsidR="00B008D9" w:rsidRPr="00CA47B9" w:rsidRDefault="00B008D9" w:rsidP="005200A0">
            <w:pPr>
              <w:keepNext/>
              <w:spacing w:line="300" w:lineRule="auto"/>
              <w:rPr>
                <w:lang w:eastAsia="en-US"/>
              </w:rPr>
            </w:pPr>
            <w:r w:rsidRPr="00CA47B9">
              <w:rPr>
                <w:lang w:eastAsia="en-US"/>
              </w:rPr>
              <w:t>SDNP</w:t>
            </w:r>
          </w:p>
        </w:tc>
        <w:tc>
          <w:tcPr>
            <w:tcW w:w="1697" w:type="pct"/>
            <w:hideMark/>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rPr>
                <w:lang w:eastAsia="en-US"/>
              </w:rPr>
            </w:pPr>
            <w:r w:rsidRPr="00CA47B9">
              <w:rPr>
                <w:color w:val="000000"/>
                <w:lang w:eastAsia="en-US"/>
              </w:rPr>
              <w:t>£63,600</w:t>
            </w:r>
          </w:p>
        </w:tc>
        <w:tc>
          <w:tcPr>
            <w:tcW w:w="1646" w:type="pct"/>
            <w:hideMark/>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rPr>
                <w:lang w:eastAsia="en-US"/>
              </w:rPr>
            </w:pPr>
            <w:r w:rsidRPr="00CA47B9">
              <w:rPr>
                <w:color w:val="000000"/>
                <w:lang w:eastAsia="en-US"/>
              </w:rPr>
              <w:t>£31,500</w:t>
            </w:r>
          </w:p>
        </w:tc>
      </w:tr>
      <w:tr w:rsidR="00B008D9" w:rsidRPr="00CA47B9" w:rsidTr="00AE5604">
        <w:tc>
          <w:tcPr>
            <w:cnfStyle w:val="001000000000" w:firstRow="0" w:lastRow="0" w:firstColumn="1" w:lastColumn="0" w:oddVBand="0" w:evenVBand="0" w:oddHBand="0" w:evenHBand="0" w:firstRowFirstColumn="0" w:firstRowLastColumn="0" w:lastRowFirstColumn="0" w:lastRowLastColumn="0"/>
            <w:tcW w:w="1657" w:type="pct"/>
            <w:hideMark/>
          </w:tcPr>
          <w:p w:rsidR="00B008D9" w:rsidRPr="00CA47B9" w:rsidRDefault="00B008D9" w:rsidP="005200A0">
            <w:pPr>
              <w:keepNext/>
              <w:spacing w:line="300" w:lineRule="auto"/>
              <w:rPr>
                <w:lang w:eastAsia="en-US"/>
              </w:rPr>
            </w:pPr>
            <w:r w:rsidRPr="00CA47B9">
              <w:rPr>
                <w:lang w:eastAsia="en-US"/>
              </w:rPr>
              <w:t>District-wide</w:t>
            </w:r>
          </w:p>
        </w:tc>
        <w:tc>
          <w:tcPr>
            <w:tcW w:w="1697" w:type="pct"/>
            <w:hideMark/>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rPr>
                <w:lang w:eastAsia="en-US"/>
              </w:rPr>
            </w:pPr>
            <w:r w:rsidRPr="00CA47B9">
              <w:rPr>
                <w:color w:val="000000"/>
                <w:lang w:eastAsia="en-US"/>
              </w:rPr>
              <w:t>£55,000</w:t>
            </w:r>
          </w:p>
        </w:tc>
        <w:tc>
          <w:tcPr>
            <w:tcW w:w="1646" w:type="pct"/>
            <w:hideMark/>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rPr>
                <w:lang w:eastAsia="en-US"/>
              </w:rPr>
            </w:pPr>
            <w:r w:rsidRPr="00CA47B9">
              <w:rPr>
                <w:color w:val="000000"/>
                <w:lang w:eastAsia="en-US"/>
              </w:rPr>
              <w:t>£27,600</w:t>
            </w:r>
          </w:p>
        </w:tc>
      </w:tr>
    </w:tbl>
    <w:p w:rsidR="00B008D9" w:rsidRPr="00600807" w:rsidRDefault="00B008D9" w:rsidP="00AE5604">
      <w:pPr>
        <w:rPr>
          <w:sz w:val="24"/>
          <w:szCs w:val="24"/>
        </w:rPr>
      </w:pPr>
      <w:r w:rsidRPr="00600807">
        <w:rPr>
          <w:sz w:val="24"/>
          <w:szCs w:val="24"/>
        </w:rPr>
        <w:t>Source: GLH modelling, 2019</w:t>
      </w:r>
    </w:p>
    <w:p w:rsidR="00056D14" w:rsidRDefault="00056D14" w:rsidP="000C05B0">
      <w:pPr>
        <w:pStyle w:val="11Bodytext"/>
        <w:tabs>
          <w:tab w:val="clear" w:pos="2212"/>
          <w:tab w:val="num" w:pos="567"/>
        </w:tabs>
        <w:ind w:left="567" w:hanging="567"/>
      </w:pPr>
      <w:r w:rsidRPr="00CA47B9">
        <w:t xml:space="preserve">To buy in the Plan Area North requires the highest income at £81,000 which is substantially greater than the income required to purchase in Chichester </w:t>
      </w:r>
      <w:r>
        <w:t>C</w:t>
      </w:r>
      <w:r w:rsidRPr="00CA47B9">
        <w:t>ity</w:t>
      </w:r>
      <w:r>
        <w:t xml:space="preserve"> (£50,800)</w:t>
      </w:r>
      <w:r w:rsidRPr="00CA47B9">
        <w:t>, the East-West Corridor</w:t>
      </w:r>
      <w:r>
        <w:t xml:space="preserve"> (£53,600)</w:t>
      </w:r>
      <w:r w:rsidRPr="00CA47B9">
        <w:t xml:space="preserve"> and Manhood </w:t>
      </w:r>
      <w:r>
        <w:t>Peninsula (£53,000)</w:t>
      </w:r>
      <w:r w:rsidRPr="00CA47B9">
        <w:t xml:space="preserve">. </w:t>
      </w:r>
    </w:p>
    <w:p w:rsidR="00D8394E" w:rsidRDefault="00C41EB7" w:rsidP="000C05B0">
      <w:pPr>
        <w:pStyle w:val="11Bodytext"/>
        <w:tabs>
          <w:tab w:val="clear" w:pos="2212"/>
          <w:tab w:val="num" w:pos="567"/>
        </w:tabs>
        <w:ind w:left="567" w:hanging="567"/>
      </w:pPr>
      <w:r w:rsidRPr="00CA47B9">
        <w:lastRenderedPageBreak/>
        <w:t>However</w:t>
      </w:r>
      <w:r w:rsidR="00D8394E">
        <w:t xml:space="preserve"> in all areas and overall</w:t>
      </w:r>
      <w:r w:rsidRPr="00CA47B9">
        <w:t xml:space="preserve"> the income required to rent</w:t>
      </w:r>
      <w:r w:rsidR="00D8394E">
        <w:t xml:space="preserve"> (£27,600) is much lower than that to buy (£55,000). At a sub</w:t>
      </w:r>
      <w:r w:rsidR="00944025">
        <w:t>-</w:t>
      </w:r>
      <w:r w:rsidR="00D8394E">
        <w:t>area level</w:t>
      </w:r>
      <w:r w:rsidR="00855CA6">
        <w:t>,</w:t>
      </w:r>
      <w:r w:rsidR="00D8394E">
        <w:t xml:space="preserve"> the income required to rent is still highest </w:t>
      </w:r>
      <w:r w:rsidR="00D8394E" w:rsidRPr="00CA47B9">
        <w:t xml:space="preserve">in the Plan Area North £39,200 </w:t>
      </w:r>
      <w:r w:rsidR="00D8394E">
        <w:t xml:space="preserve">and at </w:t>
      </w:r>
      <w:r w:rsidR="00D8394E" w:rsidRPr="00CA47B9">
        <w:t xml:space="preserve">£25,700 in Chichester </w:t>
      </w:r>
      <w:r w:rsidR="00D8394E">
        <w:t>C</w:t>
      </w:r>
      <w:r w:rsidR="00D8394E" w:rsidRPr="00CA47B9">
        <w:t>ity, the lowest in the District.</w:t>
      </w:r>
    </w:p>
    <w:p w:rsidR="00D8394E" w:rsidRPr="00CA47B9" w:rsidRDefault="00D8394E" w:rsidP="000C05B0">
      <w:pPr>
        <w:pStyle w:val="11Bodytext"/>
        <w:tabs>
          <w:tab w:val="clear" w:pos="2212"/>
          <w:tab w:val="num" w:pos="567"/>
        </w:tabs>
        <w:ind w:left="567" w:hanging="567"/>
      </w:pPr>
      <w:r w:rsidRPr="00C41EB7">
        <w:t>The</w:t>
      </w:r>
      <w:r>
        <w:t>refore the</w:t>
      </w:r>
      <w:r w:rsidRPr="00C41EB7">
        <w:t xml:space="preserve"> </w:t>
      </w:r>
      <w:r>
        <w:t>threshold</w:t>
      </w:r>
      <w:r w:rsidRPr="00C41EB7">
        <w:t xml:space="preserve"> for Affordable </w:t>
      </w:r>
      <w:r>
        <w:t>Ho</w:t>
      </w:r>
      <w:r w:rsidRPr="00C41EB7">
        <w:t>using is driven by the rental costs rather than the purchase costs as this is where it is easier to enter the market.</w:t>
      </w:r>
      <w:r w:rsidR="00855CA6">
        <w:t xml:space="preserve"> </w:t>
      </w:r>
    </w:p>
    <w:p w:rsidR="00B008D9" w:rsidRPr="00CA47B9" w:rsidRDefault="00B008D9" w:rsidP="00805614">
      <w:pPr>
        <w:pStyle w:val="SubheadBlue12"/>
        <w:ind w:left="567" w:firstLine="0"/>
      </w:pPr>
      <w:r w:rsidRPr="00CA47B9">
        <w:t>Income Levels and Affordability</w:t>
      </w:r>
    </w:p>
    <w:p w:rsidR="00B008D9" w:rsidRPr="00CA47B9" w:rsidRDefault="00B008D9" w:rsidP="000C05B0">
      <w:pPr>
        <w:pStyle w:val="11Bodytext"/>
        <w:tabs>
          <w:tab w:val="clear" w:pos="2212"/>
          <w:tab w:val="num" w:pos="567"/>
        </w:tabs>
        <w:ind w:left="567" w:hanging="567"/>
      </w:pPr>
      <w:r w:rsidRPr="00CA47B9">
        <w:t>Following on from the assessment of local prices and rents, it is important to understand local income levels as these (along with the price/rent data) will determine levels of affordability (i.e. the ability of a household to afford to buy or rent housing in the market without the need for some sort of subsidy). Data about total household income has been based on ONS mid-year estimates modelled income estimates, with additional data from the English Housing Survey (EHS) being used to provide information about the distribution of incomes.</w:t>
      </w:r>
    </w:p>
    <w:p w:rsidR="00B008D9" w:rsidRPr="00CA47B9" w:rsidRDefault="00B008D9" w:rsidP="000C05B0">
      <w:pPr>
        <w:pStyle w:val="11Bodytext"/>
        <w:tabs>
          <w:tab w:val="clear" w:pos="2212"/>
          <w:tab w:val="num" w:pos="567"/>
        </w:tabs>
        <w:ind w:left="567" w:hanging="567"/>
      </w:pPr>
      <w:r w:rsidRPr="00CA47B9">
        <w:t>Drawing all of this data together we have therefore been able to construct an income distribution for the whole District based on mid-2018 estimates. Figure 3</w:t>
      </w:r>
      <w:r w:rsidR="00442CA7">
        <w:t>7</w:t>
      </w:r>
      <w:r w:rsidRPr="00CA47B9">
        <w:t xml:space="preserve"> shows that around 22% of households have incomes less than £20,000 almost a third (32%) in the range of £20,000 to £40,000. The overall average (median) income of all households in the District was estimated to be around £37,100 with a mean income of £49,100.</w:t>
      </w:r>
      <w:bookmarkStart w:id="143" w:name="_Toc434179727"/>
    </w:p>
    <w:p w:rsidR="00B008D9" w:rsidRPr="006D50B1" w:rsidRDefault="00B008D9" w:rsidP="00AE5604">
      <w:pPr>
        <w:pStyle w:val="FigureHeading"/>
        <w:tabs>
          <w:tab w:val="clear" w:pos="794"/>
          <w:tab w:val="clear" w:pos="1843"/>
          <w:tab w:val="left" w:pos="0"/>
        </w:tabs>
        <w:ind w:left="1134"/>
        <w:rPr>
          <w:szCs w:val="24"/>
        </w:rPr>
      </w:pPr>
      <w:r w:rsidRPr="006D50B1">
        <w:rPr>
          <w:szCs w:val="24"/>
        </w:rPr>
        <w:lastRenderedPageBreak/>
        <w:t>Dist of Household In</w:t>
      </w:r>
      <w:r w:rsidR="00600807" w:rsidRPr="006D50B1">
        <w:rPr>
          <w:szCs w:val="24"/>
        </w:rPr>
        <w:t>come</w:t>
      </w:r>
      <w:r w:rsidRPr="006D50B1">
        <w:rPr>
          <w:szCs w:val="24"/>
        </w:rPr>
        <w:t xml:space="preserve"> in</w:t>
      </w:r>
      <w:bookmarkEnd w:id="143"/>
      <w:r w:rsidRPr="006D50B1">
        <w:rPr>
          <w:szCs w:val="24"/>
        </w:rPr>
        <w:t xml:space="preserve"> Chichester District (mid-2018 est)</w:t>
      </w:r>
    </w:p>
    <w:p w:rsidR="00B008D9" w:rsidRPr="002E26AC" w:rsidRDefault="00B008D9" w:rsidP="00163B4B">
      <w:pPr>
        <w:keepNext/>
        <w:widowControl w:val="0"/>
        <w:rPr>
          <w:sz w:val="24"/>
          <w:szCs w:val="24"/>
        </w:rPr>
      </w:pPr>
      <w:r w:rsidRPr="002E26AC">
        <w:rPr>
          <w:noProof/>
          <w:color w:val="auto"/>
          <w:sz w:val="24"/>
          <w:szCs w:val="24"/>
          <w:lang w:eastAsia="en-GB"/>
        </w:rPr>
        <w:drawing>
          <wp:inline distT="0" distB="0" distL="0" distR="0" wp14:anchorId="7F6A32AC" wp14:editId="2827000C">
            <wp:extent cx="6120000" cy="2880000"/>
            <wp:effectExtent l="0" t="0" r="14605" b="15875"/>
            <wp:docPr id="1030" name="Chart 1030" descr="Percent breakdown of all households according to their household income in Chichester District" title="Figure 37: Dist of Household Income in Chichester District (mid-2018 est)"/>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B008D9" w:rsidRPr="002E26AC" w:rsidRDefault="00B008D9" w:rsidP="00AE5604">
      <w:pPr>
        <w:widowControl w:val="0"/>
        <w:spacing w:after="120" w:line="360" w:lineRule="auto"/>
        <w:rPr>
          <w:sz w:val="24"/>
          <w:szCs w:val="24"/>
        </w:rPr>
      </w:pPr>
      <w:r w:rsidRPr="002E26AC">
        <w:rPr>
          <w:sz w:val="24"/>
          <w:szCs w:val="24"/>
        </w:rPr>
        <w:t>Source: Derived from EHS and ONS data</w:t>
      </w:r>
    </w:p>
    <w:p w:rsidR="003E3A92" w:rsidRDefault="00B008D9" w:rsidP="000C05B0">
      <w:pPr>
        <w:pStyle w:val="11Bodytext"/>
        <w:tabs>
          <w:tab w:val="clear" w:pos="2212"/>
          <w:tab w:val="num" w:pos="567"/>
        </w:tabs>
        <w:ind w:left="567" w:hanging="567"/>
      </w:pPr>
      <w:r w:rsidRPr="00CA47B9">
        <w:t xml:space="preserve">To assess affordability, the analysis has looked at </w:t>
      </w:r>
      <w:r w:rsidR="00855CA6">
        <w:t xml:space="preserve">a </w:t>
      </w:r>
      <w:r w:rsidRPr="00CA47B9">
        <w:t>household’s ability to afford private rented housing</w:t>
      </w:r>
      <w:r>
        <w:t xml:space="preserve"> based on the </w:t>
      </w:r>
      <w:r w:rsidR="003E3A92">
        <w:t xml:space="preserve">incomes </w:t>
      </w:r>
      <w:r>
        <w:t>required above</w:t>
      </w:r>
      <w:r w:rsidRPr="00CA47B9">
        <w:t xml:space="preserve">. This is because the income threshold for such housing (across the district) is lower than for buying a home. </w:t>
      </w:r>
    </w:p>
    <w:p w:rsidR="00B008D9" w:rsidRPr="00CA47B9" w:rsidRDefault="00B008D9" w:rsidP="000C05B0">
      <w:pPr>
        <w:pStyle w:val="11Bodytext"/>
        <w:tabs>
          <w:tab w:val="clear" w:pos="2212"/>
          <w:tab w:val="num" w:pos="567"/>
        </w:tabs>
        <w:ind w:left="567" w:hanging="567"/>
      </w:pPr>
      <w:r w:rsidRPr="00CA47B9">
        <w:t xml:space="preserve">The distribution of household incomes is then used to estimate the likely proportion of households who are unable to afford to meet their needs in the private sector without support, </w:t>
      </w:r>
      <w:r w:rsidR="00855CA6">
        <w:t>based on</w:t>
      </w:r>
      <w:r w:rsidRPr="00CA47B9">
        <w:t xml:space="preserve"> existing incomes. This analysis brings together the data on household incomes with the estimated incomes required to access private rented housing.</w:t>
      </w:r>
    </w:p>
    <w:p w:rsidR="00B008D9" w:rsidRPr="00CA47B9" w:rsidRDefault="00B008D9" w:rsidP="000C05B0">
      <w:pPr>
        <w:pStyle w:val="11Bodytext"/>
        <w:tabs>
          <w:tab w:val="clear" w:pos="2212"/>
          <w:tab w:val="num" w:pos="567"/>
        </w:tabs>
        <w:ind w:left="567" w:hanging="567"/>
      </w:pPr>
      <w:r w:rsidRPr="00CA47B9">
        <w:t>Different affordability tests are applied to different parts of the analysis depending on the group being studied (e.g. recognising that newly forming households are likely on average to have lower incomes than existing households (this has consistently been shown to be the case in the English Housing Survey and the Survey of English Housing). Assumptions about income levels for specific elements of the modelling are discussed where relevant in the analysis that follows.</w:t>
      </w:r>
    </w:p>
    <w:p w:rsidR="00B008D9" w:rsidRPr="00CA47B9" w:rsidRDefault="00B008D9" w:rsidP="00805614">
      <w:pPr>
        <w:pStyle w:val="SubheadBlue12"/>
        <w:ind w:left="567" w:firstLine="0"/>
      </w:pPr>
      <w:r w:rsidRPr="00CA47B9">
        <w:lastRenderedPageBreak/>
        <w:t>Affordable Housing Needs Assessment</w:t>
      </w:r>
    </w:p>
    <w:p w:rsidR="00B008D9" w:rsidRDefault="00B008D9" w:rsidP="000C05B0">
      <w:pPr>
        <w:pStyle w:val="11Bodytext"/>
        <w:tabs>
          <w:tab w:val="clear" w:pos="2212"/>
          <w:tab w:val="num" w:pos="567"/>
        </w:tabs>
        <w:ind w:left="567" w:hanging="567"/>
      </w:pPr>
      <w:r w:rsidRPr="00CA47B9">
        <w:t xml:space="preserve">Affordable housing need has been assessed using the Affordable Needs Assessment Model as set out in the PPG which is virtually identical to models set out in previous guidance (such as the 2007 CLG SHMA guide). </w:t>
      </w:r>
    </w:p>
    <w:p w:rsidR="00B008D9" w:rsidRPr="00CA47B9" w:rsidRDefault="00B008D9" w:rsidP="000C05B0">
      <w:pPr>
        <w:pStyle w:val="11Bodytext"/>
        <w:tabs>
          <w:tab w:val="clear" w:pos="2212"/>
          <w:tab w:val="num" w:pos="567"/>
        </w:tabs>
        <w:ind w:left="567" w:hanging="567"/>
      </w:pPr>
      <w:r w:rsidRPr="00CA47B9">
        <w:t>The analysis is essentially a</w:t>
      </w:r>
      <w:r>
        <w:t xml:space="preserve"> full </w:t>
      </w:r>
      <w:r w:rsidRPr="00CA47B9">
        <w:t>update to the affordable needs assessment presented in the previous</w:t>
      </w:r>
      <w:r>
        <w:t xml:space="preserve"> HEDNA</w:t>
      </w:r>
      <w:r w:rsidR="00E04141">
        <w:t xml:space="preserve"> 2018</w:t>
      </w:r>
      <w:r>
        <w:t>.</w:t>
      </w:r>
      <w:r w:rsidRPr="00CA47B9">
        <w:t xml:space="preserve"> The methodology used is summarised in Figure 3</w:t>
      </w:r>
      <w:r w:rsidR="00442CA7">
        <w:t>8</w:t>
      </w:r>
      <w:r w:rsidRPr="00CA47B9">
        <w:t>, which as noted, is in line with the Affordable Needs Assessment Model as set out in the PPG</w:t>
      </w:r>
      <w:r>
        <w:t>.</w:t>
      </w:r>
    </w:p>
    <w:p w:rsidR="00B008D9" w:rsidRPr="00CA47B9" w:rsidRDefault="00B008D9" w:rsidP="00AE5604">
      <w:pPr>
        <w:pStyle w:val="FigureHeading"/>
        <w:tabs>
          <w:tab w:val="clear" w:pos="794"/>
          <w:tab w:val="clear" w:pos="1843"/>
          <w:tab w:val="left" w:pos="709"/>
          <w:tab w:val="left" w:pos="1701"/>
        </w:tabs>
        <w:ind w:hanging="1134"/>
      </w:pPr>
      <w:r w:rsidRPr="00CA47B9">
        <w:t>Overview of affordable housing needs model</w:t>
      </w:r>
    </w:p>
    <w:tbl>
      <w:tblPr>
        <w:tblW w:w="8856" w:type="dxa"/>
        <w:tblInd w:w="79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Figure 38: Overview of affordable housing needs model"/>
      </w:tblPr>
      <w:tblGrid>
        <w:gridCol w:w="8856"/>
      </w:tblGrid>
      <w:tr w:rsidR="00B008D9" w:rsidRPr="00CA47B9" w:rsidTr="005200A0">
        <w:tc>
          <w:tcPr>
            <w:tcW w:w="8856" w:type="dxa"/>
          </w:tcPr>
          <w:p w:rsidR="00B008D9" w:rsidRPr="00CA47B9" w:rsidRDefault="00B008D9" w:rsidP="00ED1C06">
            <w:pPr>
              <w:pStyle w:val="11Bodytext"/>
              <w:numPr>
                <w:ilvl w:val="0"/>
                <w:numId w:val="0"/>
              </w:numPr>
            </w:pPr>
            <w:r w:rsidRPr="00CA47B9">
              <w:rPr>
                <w:noProof/>
                <w:lang w:eastAsia="en-GB"/>
              </w:rPr>
              <mc:AlternateContent>
                <mc:Choice Requires="wpg">
                  <w:drawing>
                    <wp:inline distT="0" distB="0" distL="0" distR="0" wp14:anchorId="7B39A718" wp14:editId="6DCC42A5">
                      <wp:extent cx="5448300" cy="1972867"/>
                      <wp:effectExtent l="19050" t="19050" r="19050" b="66040"/>
                      <wp:docPr id="31" name="Group 81" descr="Flowchart showing the relationship between various inputs for arriving at net current ne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1972867"/>
                                <a:chOff x="1125" y="3770"/>
                                <a:chExt cx="9615" cy="3221"/>
                              </a:xfrm>
                            </wpg:grpSpPr>
                            <wps:wsp>
                              <wps:cNvPr id="32" name="Text Box 32"/>
                              <wps:cNvSpPr txBox="1">
                                <a:spLocks noChangeArrowheads="1"/>
                              </wps:cNvSpPr>
                              <wps:spPr bwMode="auto">
                                <a:xfrm>
                                  <a:off x="1125" y="3770"/>
                                  <a:ext cx="2940" cy="1461"/>
                                </a:xfrm>
                                <a:prstGeom prst="rect">
                                  <a:avLst/>
                                </a:prstGeom>
                                <a:solidFill>
                                  <a:srgbClr val="D2711C"/>
                                </a:solidFill>
                                <a:ln w="38100">
                                  <a:solidFill>
                                    <a:srgbClr val="FFFFFF"/>
                                  </a:solidFill>
                                  <a:miter lim="800000"/>
                                  <a:headEnd/>
                                  <a:tailEnd/>
                                </a:ln>
                                <a:effectLst>
                                  <a:outerShdw dist="20000" dir="5400000" rotWithShape="0">
                                    <a:srgbClr val="000000">
                                      <a:alpha val="37999"/>
                                    </a:srgbClr>
                                  </a:outerShdw>
                                </a:effectLst>
                              </wps:spPr>
                              <wps:txbx>
                                <w:txbxContent>
                                  <w:p w:rsidR="00D23B55" w:rsidRPr="00BB3E25" w:rsidRDefault="00D23B55" w:rsidP="00B008D9">
                                    <w:pPr>
                                      <w:jc w:val="center"/>
                                      <w:rPr>
                                        <w:rFonts w:ascii="Arial Narrow" w:hAnsi="Arial Narrow"/>
                                        <w:b/>
                                        <w:color w:val="FFFFFF"/>
                                      </w:rPr>
                                    </w:pPr>
                                    <w:r w:rsidRPr="00BB3E25">
                                      <w:rPr>
                                        <w:rFonts w:ascii="Arial Narrow" w:hAnsi="Arial Narrow"/>
                                        <w:b/>
                                        <w:color w:val="FFFFFF"/>
                                      </w:rPr>
                                      <w:t>Future</w:t>
                                    </w:r>
                                    <w:r>
                                      <w:rPr>
                                        <w:rFonts w:ascii="Arial Narrow" w:hAnsi="Arial Narrow"/>
                                        <w:b/>
                                        <w:color w:val="FFFFFF"/>
                                      </w:rPr>
                                      <w:t xml:space="preserve"> </w:t>
                                    </w:r>
                                    <w:r w:rsidRPr="00BB3E25">
                                      <w:rPr>
                                        <w:rFonts w:ascii="Arial Narrow" w:hAnsi="Arial Narrow"/>
                                        <w:b/>
                                        <w:color w:val="FFFFFF"/>
                                      </w:rPr>
                                      <w:t>Housing</w:t>
                                    </w:r>
                                    <w:r>
                                      <w:rPr>
                                        <w:rFonts w:ascii="Arial Narrow" w:hAnsi="Arial Narrow"/>
                                        <w:b/>
                                        <w:color w:val="FFFFFF"/>
                                      </w:rPr>
                                      <w:t xml:space="preserve"> </w:t>
                                    </w:r>
                                    <w:r w:rsidRPr="00BB3E25">
                                      <w:rPr>
                                        <w:rFonts w:ascii="Arial Narrow" w:hAnsi="Arial Narrow"/>
                                        <w:b/>
                                        <w:color w:val="FFFFFF"/>
                                      </w:rPr>
                                      <w:t>Need</w:t>
                                    </w:r>
                                    <w:r>
                                      <w:rPr>
                                        <w:rFonts w:ascii="Arial Narrow" w:hAnsi="Arial Narrow"/>
                                        <w:b/>
                                        <w:color w:val="FFFFFF"/>
                                      </w:rPr>
                                      <w:t xml:space="preserve"> </w:t>
                                    </w:r>
                                  </w:p>
                                  <w:p w:rsidR="00D23B55" w:rsidRPr="00A71076" w:rsidRDefault="00D23B55" w:rsidP="00B008D9">
                                    <w:pPr>
                                      <w:jc w:val="center"/>
                                      <w:rPr>
                                        <w:rFonts w:ascii="Arial Narrow" w:hAnsi="Arial Narrow"/>
                                        <w:b/>
                                        <w:color w:val="FFFFFF"/>
                                        <w:sz w:val="12"/>
                                        <w:szCs w:val="12"/>
                                      </w:rPr>
                                    </w:pPr>
                                  </w:p>
                                  <w:p w:rsidR="00D23B55" w:rsidRPr="00BD25ED" w:rsidRDefault="00D23B55" w:rsidP="00B008D9">
                                    <w:pPr>
                                      <w:jc w:val="center"/>
                                      <w:rPr>
                                        <w:rFonts w:ascii="Arial Narrow" w:hAnsi="Arial Narrow"/>
                                        <w:color w:val="FFFFFF"/>
                                        <w:spacing w:val="-2"/>
                                        <w:sz w:val="16"/>
                                        <w:szCs w:val="16"/>
                                      </w:rPr>
                                    </w:pPr>
                                    <w:r w:rsidRPr="00BD25ED">
                                      <w:rPr>
                                        <w:rFonts w:ascii="Arial Narrow" w:hAnsi="Arial Narrow"/>
                                        <w:color w:val="FFFFFF"/>
                                        <w:spacing w:val="-2"/>
                                        <w:sz w:val="16"/>
                                        <w:szCs w:val="16"/>
                                      </w:rPr>
                                      <w:t>Estimate</w:t>
                                    </w:r>
                                    <w:r>
                                      <w:rPr>
                                        <w:rFonts w:ascii="Arial Narrow" w:hAnsi="Arial Narrow"/>
                                        <w:color w:val="FFFFFF"/>
                                        <w:spacing w:val="-2"/>
                                        <w:sz w:val="16"/>
                                        <w:szCs w:val="16"/>
                                      </w:rPr>
                                      <w:t xml:space="preserve"> </w:t>
                                    </w:r>
                                    <w:r w:rsidRPr="00BD25ED">
                                      <w:rPr>
                                        <w:rFonts w:ascii="Arial Narrow" w:hAnsi="Arial Narrow"/>
                                        <w:color w:val="FFFFFF"/>
                                        <w:spacing w:val="-2"/>
                                        <w:sz w:val="16"/>
                                        <w:szCs w:val="16"/>
                                      </w:rPr>
                                      <w:t>of</w:t>
                                    </w:r>
                                    <w:r>
                                      <w:rPr>
                                        <w:rFonts w:ascii="Arial Narrow" w:hAnsi="Arial Narrow"/>
                                        <w:color w:val="FFFFFF"/>
                                        <w:spacing w:val="-2"/>
                                        <w:sz w:val="16"/>
                                        <w:szCs w:val="16"/>
                                      </w:rPr>
                                      <w:t xml:space="preserve"> </w:t>
                                    </w:r>
                                    <w:r w:rsidRPr="00BD25ED">
                                      <w:rPr>
                                        <w:rFonts w:ascii="Arial Narrow" w:hAnsi="Arial Narrow"/>
                                        <w:i/>
                                        <w:color w:val="FFFFFF"/>
                                        <w:spacing w:val="-2"/>
                                        <w:sz w:val="16"/>
                                        <w:szCs w:val="16"/>
                                      </w:rPr>
                                      <w:t>Newly-Forming</w:t>
                                    </w:r>
                                    <w:r>
                                      <w:rPr>
                                        <w:rFonts w:ascii="Arial Narrow" w:hAnsi="Arial Narrow"/>
                                        <w:i/>
                                        <w:color w:val="FFFFFF"/>
                                        <w:spacing w:val="-2"/>
                                        <w:sz w:val="16"/>
                                        <w:szCs w:val="16"/>
                                      </w:rPr>
                                      <w:t xml:space="preserve"> </w:t>
                                    </w:r>
                                    <w:r w:rsidRPr="00BD25ED">
                                      <w:rPr>
                                        <w:rFonts w:ascii="Arial Narrow" w:hAnsi="Arial Narrow"/>
                                        <w:i/>
                                        <w:color w:val="FFFFFF"/>
                                        <w:spacing w:val="-2"/>
                                        <w:sz w:val="16"/>
                                        <w:szCs w:val="16"/>
                                      </w:rPr>
                                      <w:t>Households</w:t>
                                    </w:r>
                                    <w:r>
                                      <w:rPr>
                                        <w:rFonts w:ascii="Arial Narrow" w:hAnsi="Arial Narrow"/>
                                        <w:i/>
                                        <w:color w:val="FFFFFF"/>
                                        <w:spacing w:val="-2"/>
                                        <w:sz w:val="16"/>
                                        <w:szCs w:val="16"/>
                                      </w:rPr>
                                      <w:t xml:space="preserve"> </w:t>
                                    </w:r>
                                    <w:r w:rsidRPr="00BD25ED">
                                      <w:rPr>
                                        <w:rFonts w:ascii="Arial Narrow" w:hAnsi="Arial Narrow"/>
                                        <w:i/>
                                        <w:color w:val="FFFFFF"/>
                                        <w:spacing w:val="-2"/>
                                        <w:sz w:val="16"/>
                                        <w:szCs w:val="16"/>
                                      </w:rPr>
                                      <w:t>in</w:t>
                                    </w:r>
                                    <w:r>
                                      <w:rPr>
                                        <w:rFonts w:ascii="Arial Narrow" w:hAnsi="Arial Narrow"/>
                                        <w:i/>
                                        <w:color w:val="FFFFFF"/>
                                        <w:spacing w:val="-2"/>
                                        <w:sz w:val="16"/>
                                        <w:szCs w:val="16"/>
                                      </w:rPr>
                                      <w:t xml:space="preserve"> </w:t>
                                    </w:r>
                                    <w:r w:rsidRPr="00BD25ED">
                                      <w:rPr>
                                        <w:rFonts w:ascii="Arial Narrow" w:hAnsi="Arial Narrow"/>
                                        <w:i/>
                                        <w:color w:val="FFFFFF"/>
                                        <w:spacing w:val="-2"/>
                                        <w:sz w:val="16"/>
                                        <w:szCs w:val="16"/>
                                      </w:rPr>
                                      <w:t>Need</w:t>
                                    </w:r>
                                    <w:r>
                                      <w:rPr>
                                        <w:rFonts w:ascii="Arial Narrow" w:hAnsi="Arial Narrow"/>
                                        <w:color w:val="FFFFFF"/>
                                        <w:spacing w:val="-2"/>
                                        <w:sz w:val="16"/>
                                        <w:szCs w:val="16"/>
                                      </w:rPr>
                                      <w:t xml:space="preserve"> </w:t>
                                    </w:r>
                                    <w:r w:rsidRPr="00BD25ED">
                                      <w:rPr>
                                        <w:rFonts w:ascii="Arial Narrow" w:hAnsi="Arial Narrow"/>
                                        <w:color w:val="FFFFFF"/>
                                        <w:spacing w:val="-2"/>
                                        <w:sz w:val="16"/>
                                        <w:szCs w:val="16"/>
                                      </w:rPr>
                                      <w:t>&amp;</w:t>
                                    </w:r>
                                    <w:r>
                                      <w:rPr>
                                        <w:rFonts w:ascii="Arial Narrow" w:hAnsi="Arial Narrow"/>
                                        <w:color w:val="FFFFFF"/>
                                        <w:spacing w:val="-2"/>
                                        <w:sz w:val="16"/>
                                        <w:szCs w:val="16"/>
                                      </w:rPr>
                                      <w:t xml:space="preserve"> </w:t>
                                    </w:r>
                                    <w:r w:rsidRPr="00BD25ED">
                                      <w:rPr>
                                        <w:rFonts w:ascii="Arial Narrow" w:hAnsi="Arial Narrow"/>
                                        <w:i/>
                                        <w:color w:val="FFFFFF"/>
                                        <w:spacing w:val="-2"/>
                                        <w:sz w:val="16"/>
                                        <w:szCs w:val="16"/>
                                      </w:rPr>
                                      <w:t>Existing</w:t>
                                    </w:r>
                                    <w:r>
                                      <w:rPr>
                                        <w:rFonts w:ascii="Arial Narrow" w:hAnsi="Arial Narrow"/>
                                        <w:i/>
                                        <w:color w:val="FFFFFF"/>
                                        <w:spacing w:val="-2"/>
                                        <w:sz w:val="16"/>
                                        <w:szCs w:val="16"/>
                                      </w:rPr>
                                      <w:t xml:space="preserve"> </w:t>
                                    </w:r>
                                    <w:r w:rsidRPr="00BD25ED">
                                      <w:rPr>
                                        <w:rFonts w:ascii="Arial Narrow" w:hAnsi="Arial Narrow"/>
                                        <w:i/>
                                        <w:color w:val="FFFFFF"/>
                                        <w:spacing w:val="-2"/>
                                        <w:sz w:val="16"/>
                                        <w:szCs w:val="16"/>
                                      </w:rPr>
                                      <w:t>Households</w:t>
                                    </w:r>
                                    <w:r>
                                      <w:rPr>
                                        <w:rFonts w:ascii="Arial Narrow" w:hAnsi="Arial Narrow"/>
                                        <w:i/>
                                        <w:color w:val="FFFFFF"/>
                                        <w:spacing w:val="-2"/>
                                        <w:sz w:val="16"/>
                                        <w:szCs w:val="16"/>
                                      </w:rPr>
                                      <w:t xml:space="preserve"> </w:t>
                                    </w:r>
                                    <w:r w:rsidRPr="00BD25ED">
                                      <w:rPr>
                                        <w:rFonts w:ascii="Arial Narrow" w:hAnsi="Arial Narrow"/>
                                        <w:i/>
                                        <w:color w:val="FFFFFF"/>
                                        <w:spacing w:val="-2"/>
                                        <w:sz w:val="16"/>
                                        <w:szCs w:val="16"/>
                                      </w:rPr>
                                      <w:t>falling</w:t>
                                    </w:r>
                                    <w:r>
                                      <w:rPr>
                                        <w:rFonts w:ascii="Arial Narrow" w:hAnsi="Arial Narrow"/>
                                        <w:i/>
                                        <w:color w:val="FFFFFF"/>
                                        <w:spacing w:val="-2"/>
                                        <w:sz w:val="16"/>
                                        <w:szCs w:val="16"/>
                                      </w:rPr>
                                      <w:t xml:space="preserve"> </w:t>
                                    </w:r>
                                    <w:r w:rsidRPr="00BD25ED">
                                      <w:rPr>
                                        <w:rFonts w:ascii="Arial Narrow" w:hAnsi="Arial Narrow"/>
                                        <w:i/>
                                        <w:color w:val="FFFFFF"/>
                                        <w:spacing w:val="-2"/>
                                        <w:sz w:val="16"/>
                                        <w:szCs w:val="16"/>
                                      </w:rPr>
                                      <w:t>into</w:t>
                                    </w:r>
                                    <w:r>
                                      <w:rPr>
                                        <w:rFonts w:ascii="Arial Narrow" w:hAnsi="Arial Narrow"/>
                                        <w:i/>
                                        <w:color w:val="FFFFFF"/>
                                        <w:spacing w:val="-2"/>
                                        <w:sz w:val="16"/>
                                        <w:szCs w:val="16"/>
                                      </w:rPr>
                                      <w:t xml:space="preserve"> </w:t>
                                    </w:r>
                                    <w:r w:rsidRPr="00BD25ED">
                                      <w:rPr>
                                        <w:rFonts w:ascii="Arial Narrow" w:hAnsi="Arial Narrow"/>
                                        <w:i/>
                                        <w:color w:val="FFFFFF"/>
                                        <w:spacing w:val="-2"/>
                                        <w:sz w:val="16"/>
                                        <w:szCs w:val="16"/>
                                      </w:rPr>
                                      <w:t>Need</w:t>
                                    </w:r>
                                    <w:r>
                                      <w:rPr>
                                        <w:rFonts w:ascii="Arial Narrow" w:hAnsi="Arial Narrow"/>
                                        <w:color w:val="FFFFFF"/>
                                        <w:spacing w:val="-2"/>
                                        <w:sz w:val="16"/>
                                        <w:szCs w:val="16"/>
                                      </w:rPr>
                                      <w:t xml:space="preserve"> </w:t>
                                    </w:r>
                                    <w:r w:rsidRPr="00BD25ED">
                                      <w:rPr>
                                        <w:rFonts w:ascii="Arial Narrow" w:hAnsi="Arial Narrow"/>
                                        <w:color w:val="FFFFFF"/>
                                        <w:spacing w:val="-2"/>
                                        <w:sz w:val="16"/>
                                        <w:szCs w:val="16"/>
                                      </w:rPr>
                                      <w:t>over</w:t>
                                    </w:r>
                                    <w:r>
                                      <w:rPr>
                                        <w:rFonts w:ascii="Arial Narrow" w:hAnsi="Arial Narrow"/>
                                        <w:color w:val="FFFFFF"/>
                                        <w:spacing w:val="-2"/>
                                        <w:sz w:val="16"/>
                                        <w:szCs w:val="16"/>
                                      </w:rPr>
                                      <w:t xml:space="preserve"> </w:t>
                                    </w:r>
                                    <w:r w:rsidRPr="00BD25ED">
                                      <w:rPr>
                                        <w:rFonts w:ascii="Arial Narrow" w:hAnsi="Arial Narrow"/>
                                        <w:color w:val="FFFFFF"/>
                                        <w:spacing w:val="-2"/>
                                        <w:sz w:val="16"/>
                                        <w:szCs w:val="16"/>
                                      </w:rPr>
                                      <w:t>plan</w:t>
                                    </w:r>
                                    <w:r>
                                      <w:rPr>
                                        <w:rFonts w:ascii="Arial Narrow" w:hAnsi="Arial Narrow"/>
                                        <w:color w:val="FFFFFF"/>
                                        <w:spacing w:val="-2"/>
                                        <w:sz w:val="16"/>
                                        <w:szCs w:val="16"/>
                                      </w:rPr>
                                      <w:t xml:space="preserve"> </w:t>
                                    </w:r>
                                    <w:r w:rsidRPr="00BD25ED">
                                      <w:rPr>
                                        <w:rFonts w:ascii="Arial Narrow" w:hAnsi="Arial Narrow"/>
                                        <w:color w:val="FFFFFF"/>
                                        <w:spacing w:val="-2"/>
                                        <w:sz w:val="16"/>
                                        <w:szCs w:val="16"/>
                                      </w:rPr>
                                      <w:t>period</w:t>
                                    </w:r>
                                  </w:p>
                                </w:txbxContent>
                              </wps:txbx>
                              <wps:bodyPr rot="0" vert="horz" wrap="square" lIns="91440" tIns="45720" rIns="91440" bIns="45720" anchor="ctr" anchorCtr="0" upright="1">
                                <a:noAutofit/>
                              </wps:bodyPr>
                            </wps:wsp>
                            <wps:wsp>
                              <wps:cNvPr id="33" name="Text Box 33"/>
                              <wps:cNvSpPr txBox="1">
                                <a:spLocks noChangeArrowheads="1"/>
                              </wps:cNvSpPr>
                              <wps:spPr bwMode="auto">
                                <a:xfrm>
                                  <a:off x="1125" y="5355"/>
                                  <a:ext cx="2940" cy="1636"/>
                                </a:xfrm>
                                <a:prstGeom prst="rect">
                                  <a:avLst/>
                                </a:prstGeom>
                                <a:solidFill>
                                  <a:srgbClr val="D2711C"/>
                                </a:solidFill>
                                <a:ln w="38100">
                                  <a:solidFill>
                                    <a:srgbClr val="FFFFFF"/>
                                  </a:solidFill>
                                  <a:miter lim="800000"/>
                                  <a:headEnd/>
                                  <a:tailEnd/>
                                </a:ln>
                                <a:effectLst>
                                  <a:outerShdw dist="20000" dir="5400000" rotWithShape="0">
                                    <a:srgbClr val="000000">
                                      <a:alpha val="37999"/>
                                    </a:srgbClr>
                                  </a:outerShdw>
                                </a:effectLst>
                              </wps:spPr>
                              <wps:txbx>
                                <w:txbxContent>
                                  <w:p w:rsidR="00D23B55" w:rsidRPr="00BB3E25" w:rsidRDefault="00D23B55" w:rsidP="00B008D9">
                                    <w:pPr>
                                      <w:jc w:val="center"/>
                                      <w:rPr>
                                        <w:rFonts w:ascii="Arial Narrow" w:hAnsi="Arial Narrow"/>
                                        <w:b/>
                                        <w:color w:val="FFFFFF"/>
                                        <w:spacing w:val="-4"/>
                                      </w:rPr>
                                    </w:pPr>
                                    <w:r w:rsidRPr="00BB3E25">
                                      <w:rPr>
                                        <w:rFonts w:ascii="Arial Narrow" w:hAnsi="Arial Narrow"/>
                                        <w:b/>
                                        <w:color w:val="FFFFFF"/>
                                        <w:spacing w:val="-4"/>
                                      </w:rPr>
                                      <w:t>Future</w:t>
                                    </w:r>
                                    <w:r>
                                      <w:rPr>
                                        <w:rFonts w:ascii="Arial Narrow" w:hAnsi="Arial Narrow"/>
                                        <w:b/>
                                        <w:color w:val="FFFFFF"/>
                                        <w:spacing w:val="-4"/>
                                      </w:rPr>
                                      <w:t xml:space="preserve"> </w:t>
                                    </w:r>
                                    <w:r w:rsidRPr="00BB3E25">
                                      <w:rPr>
                                        <w:rFonts w:ascii="Arial Narrow" w:hAnsi="Arial Narrow"/>
                                        <w:b/>
                                        <w:color w:val="FFFFFF"/>
                                        <w:spacing w:val="-4"/>
                                      </w:rPr>
                                      <w:t>Affordable</w:t>
                                    </w:r>
                                    <w:r>
                                      <w:rPr>
                                        <w:rFonts w:ascii="Arial Narrow" w:hAnsi="Arial Narrow"/>
                                        <w:b/>
                                        <w:color w:val="FFFFFF"/>
                                        <w:spacing w:val="-4"/>
                                      </w:rPr>
                                      <w:t xml:space="preserve"> </w:t>
                                    </w:r>
                                    <w:r w:rsidRPr="00BB3E25">
                                      <w:rPr>
                                        <w:rFonts w:ascii="Arial Narrow" w:hAnsi="Arial Narrow"/>
                                        <w:b/>
                                        <w:color w:val="FFFFFF"/>
                                        <w:spacing w:val="-4"/>
                                      </w:rPr>
                                      <w:t>Housing</w:t>
                                    </w:r>
                                    <w:r>
                                      <w:rPr>
                                        <w:rFonts w:ascii="Arial Narrow" w:hAnsi="Arial Narrow"/>
                                        <w:b/>
                                        <w:color w:val="FFFFFF"/>
                                        <w:spacing w:val="-4"/>
                                      </w:rPr>
                                      <w:t xml:space="preserve"> </w:t>
                                    </w:r>
                                    <w:r w:rsidRPr="00BB3E25">
                                      <w:rPr>
                                        <w:rFonts w:ascii="Arial Narrow" w:hAnsi="Arial Narrow"/>
                                        <w:b/>
                                        <w:color w:val="FFFFFF"/>
                                        <w:spacing w:val="-4"/>
                                      </w:rPr>
                                      <w:t>Supply</w:t>
                                    </w:r>
                                  </w:p>
                                  <w:p w:rsidR="00D23B55" w:rsidRPr="00A71076" w:rsidRDefault="00D23B55" w:rsidP="00B008D9">
                                    <w:pPr>
                                      <w:jc w:val="center"/>
                                      <w:rPr>
                                        <w:rFonts w:ascii="Arial Narrow" w:hAnsi="Arial Narrow"/>
                                        <w:b/>
                                        <w:color w:val="FFFFFF"/>
                                        <w:sz w:val="12"/>
                                        <w:szCs w:val="12"/>
                                      </w:rPr>
                                    </w:pPr>
                                  </w:p>
                                  <w:p w:rsidR="00D23B55" w:rsidRPr="00BB3E25" w:rsidRDefault="00D23B55" w:rsidP="00B008D9">
                                    <w:pPr>
                                      <w:jc w:val="center"/>
                                      <w:rPr>
                                        <w:rFonts w:ascii="Arial Narrow" w:hAnsi="Arial Narrow"/>
                                        <w:color w:val="FFFFFF"/>
                                        <w:sz w:val="16"/>
                                        <w:szCs w:val="16"/>
                                      </w:rPr>
                                    </w:pPr>
                                    <w:r w:rsidRPr="00BB3E25">
                                      <w:rPr>
                                        <w:rFonts w:ascii="Arial Narrow" w:hAnsi="Arial Narrow"/>
                                        <w:color w:val="FFFFFF"/>
                                        <w:sz w:val="16"/>
                                        <w:szCs w:val="16"/>
                                      </w:rPr>
                                      <w:t>Estimate</w:t>
                                    </w:r>
                                    <w:r>
                                      <w:rPr>
                                        <w:rFonts w:ascii="Arial Narrow" w:hAnsi="Arial Narrow"/>
                                        <w:color w:val="FFFFFF"/>
                                        <w:sz w:val="16"/>
                                        <w:szCs w:val="16"/>
                                      </w:rPr>
                                      <w:t xml:space="preserve"> </w:t>
                                    </w:r>
                                    <w:r w:rsidRPr="00BB3E25">
                                      <w:rPr>
                                        <w:rFonts w:ascii="Arial Narrow" w:hAnsi="Arial Narrow"/>
                                        <w:color w:val="FFFFFF"/>
                                        <w:sz w:val="16"/>
                                        <w:szCs w:val="16"/>
                                      </w:rPr>
                                      <w:t>of</w:t>
                                    </w:r>
                                    <w:r>
                                      <w:rPr>
                                        <w:rFonts w:ascii="Arial Narrow" w:hAnsi="Arial Narrow"/>
                                        <w:color w:val="FFFFFF"/>
                                        <w:sz w:val="16"/>
                                        <w:szCs w:val="16"/>
                                      </w:rPr>
                                      <w:t xml:space="preserve"> </w:t>
                                    </w:r>
                                    <w:r w:rsidRPr="00BB3E25">
                                      <w:rPr>
                                        <w:rFonts w:ascii="Arial Narrow" w:hAnsi="Arial Narrow"/>
                                        <w:i/>
                                        <w:color w:val="FFFFFF"/>
                                        <w:sz w:val="16"/>
                                        <w:szCs w:val="16"/>
                                      </w:rPr>
                                      <w:t>Supply</w:t>
                                    </w:r>
                                    <w:r>
                                      <w:rPr>
                                        <w:rFonts w:ascii="Arial Narrow" w:hAnsi="Arial Narrow"/>
                                        <w:i/>
                                        <w:color w:val="FFFFFF"/>
                                        <w:sz w:val="16"/>
                                        <w:szCs w:val="16"/>
                                      </w:rPr>
                                      <w:t xml:space="preserve"> </w:t>
                                    </w:r>
                                    <w:r w:rsidRPr="00BB3E25">
                                      <w:rPr>
                                        <w:rFonts w:ascii="Arial Narrow" w:hAnsi="Arial Narrow"/>
                                        <w:i/>
                                        <w:color w:val="FFFFFF"/>
                                        <w:sz w:val="16"/>
                                        <w:szCs w:val="16"/>
                                      </w:rPr>
                                      <w:t>of</w:t>
                                    </w:r>
                                    <w:r>
                                      <w:rPr>
                                        <w:rFonts w:ascii="Arial Narrow" w:hAnsi="Arial Narrow"/>
                                        <w:i/>
                                        <w:color w:val="FFFFFF"/>
                                        <w:sz w:val="16"/>
                                        <w:szCs w:val="16"/>
                                      </w:rPr>
                                      <w:t xml:space="preserve"> </w:t>
                                    </w:r>
                                    <w:r w:rsidRPr="00BB3E25">
                                      <w:rPr>
                                        <w:rFonts w:ascii="Arial Narrow" w:hAnsi="Arial Narrow"/>
                                        <w:i/>
                                        <w:color w:val="FFFFFF"/>
                                        <w:sz w:val="16"/>
                                        <w:szCs w:val="16"/>
                                      </w:rPr>
                                      <w:t>Affordable</w:t>
                                    </w:r>
                                    <w:r>
                                      <w:rPr>
                                        <w:rFonts w:ascii="Arial Narrow" w:hAnsi="Arial Narrow"/>
                                        <w:i/>
                                        <w:color w:val="FFFFFF"/>
                                        <w:sz w:val="16"/>
                                        <w:szCs w:val="16"/>
                                      </w:rPr>
                                      <w:t xml:space="preserve"> </w:t>
                                    </w:r>
                                    <w:r w:rsidRPr="00BB3E25">
                                      <w:rPr>
                                        <w:rFonts w:ascii="Arial Narrow" w:hAnsi="Arial Narrow"/>
                                        <w:i/>
                                        <w:color w:val="FFFFFF"/>
                                        <w:sz w:val="16"/>
                                        <w:szCs w:val="16"/>
                                      </w:rPr>
                                      <w:t>Housing</w:t>
                                    </w:r>
                                    <w:r>
                                      <w:rPr>
                                        <w:rFonts w:ascii="Arial Narrow" w:hAnsi="Arial Narrow"/>
                                        <w:i/>
                                        <w:color w:val="FFFFFF"/>
                                        <w:sz w:val="16"/>
                                        <w:szCs w:val="16"/>
                                      </w:rPr>
                                      <w:t xml:space="preserve"> </w:t>
                                    </w:r>
                                    <w:r w:rsidRPr="00BB3E25">
                                      <w:rPr>
                                        <w:rFonts w:ascii="Arial Narrow" w:hAnsi="Arial Narrow"/>
                                        <w:i/>
                                        <w:color w:val="FFFFFF"/>
                                        <w:sz w:val="16"/>
                                        <w:szCs w:val="16"/>
                                      </w:rPr>
                                      <w:t>from</w:t>
                                    </w:r>
                                    <w:r>
                                      <w:rPr>
                                        <w:rFonts w:ascii="Arial Narrow" w:hAnsi="Arial Narrow"/>
                                        <w:i/>
                                        <w:color w:val="FFFFFF"/>
                                        <w:sz w:val="16"/>
                                        <w:szCs w:val="16"/>
                                      </w:rPr>
                                      <w:t xml:space="preserve"> </w:t>
                                    </w:r>
                                    <w:r w:rsidRPr="00BB3E25">
                                      <w:rPr>
                                        <w:rFonts w:ascii="Arial Narrow" w:hAnsi="Arial Narrow"/>
                                        <w:i/>
                                        <w:color w:val="FFFFFF"/>
                                        <w:sz w:val="16"/>
                                        <w:szCs w:val="16"/>
                                      </w:rPr>
                                      <w:t>Relets</w:t>
                                    </w:r>
                                    <w:r>
                                      <w:rPr>
                                        <w:rFonts w:ascii="Arial Narrow" w:hAnsi="Arial Narrow"/>
                                        <w:i/>
                                        <w:color w:val="FFFFFF"/>
                                        <w:sz w:val="16"/>
                                        <w:szCs w:val="16"/>
                                      </w:rPr>
                                      <w:t xml:space="preserve"> </w:t>
                                    </w:r>
                                    <w:r w:rsidRPr="00BB3E25">
                                      <w:rPr>
                                        <w:rFonts w:ascii="Arial Narrow" w:hAnsi="Arial Narrow"/>
                                        <w:i/>
                                        <w:color w:val="FFFFFF"/>
                                        <w:sz w:val="16"/>
                                        <w:szCs w:val="16"/>
                                      </w:rPr>
                                      <w:t>of</w:t>
                                    </w:r>
                                    <w:r>
                                      <w:rPr>
                                        <w:rFonts w:ascii="Arial Narrow" w:hAnsi="Arial Narrow"/>
                                        <w:i/>
                                        <w:color w:val="FFFFFF"/>
                                        <w:sz w:val="16"/>
                                        <w:szCs w:val="16"/>
                                      </w:rPr>
                                      <w:t xml:space="preserve"> </w:t>
                                    </w:r>
                                    <w:r w:rsidRPr="00BB3E25">
                                      <w:rPr>
                                        <w:rFonts w:ascii="Arial Narrow" w:hAnsi="Arial Narrow"/>
                                        <w:i/>
                                        <w:color w:val="FFFFFF"/>
                                        <w:sz w:val="16"/>
                                        <w:szCs w:val="16"/>
                                      </w:rPr>
                                      <w:t>Existing</w:t>
                                    </w:r>
                                    <w:r>
                                      <w:rPr>
                                        <w:rFonts w:ascii="Arial Narrow" w:hAnsi="Arial Narrow"/>
                                        <w:i/>
                                        <w:color w:val="FFFFFF"/>
                                        <w:sz w:val="16"/>
                                        <w:szCs w:val="16"/>
                                      </w:rPr>
                                      <w:t xml:space="preserve"> </w:t>
                                    </w:r>
                                    <w:r w:rsidRPr="00BB3E25">
                                      <w:rPr>
                                        <w:rFonts w:ascii="Arial Narrow" w:hAnsi="Arial Narrow"/>
                                        <w:i/>
                                        <w:color w:val="FFFFFF"/>
                                        <w:sz w:val="16"/>
                                        <w:szCs w:val="16"/>
                                      </w:rPr>
                                      <w:t>Properties</w:t>
                                    </w:r>
                                    <w:r>
                                      <w:rPr>
                                        <w:rFonts w:ascii="Arial Narrow" w:hAnsi="Arial Narrow"/>
                                        <w:color w:val="FFFFFF"/>
                                        <w:sz w:val="16"/>
                                        <w:szCs w:val="16"/>
                                      </w:rPr>
                                      <w:t xml:space="preserve"> </w:t>
                                    </w:r>
                                    <w:r w:rsidRPr="00BB3E25">
                                      <w:rPr>
                                        <w:rFonts w:ascii="Arial Narrow" w:hAnsi="Arial Narrow"/>
                                        <w:color w:val="FFFFFF"/>
                                        <w:sz w:val="16"/>
                                        <w:szCs w:val="16"/>
                                      </w:rPr>
                                      <w:t>over</w:t>
                                    </w:r>
                                    <w:r>
                                      <w:rPr>
                                        <w:rFonts w:ascii="Arial Narrow" w:hAnsi="Arial Narrow"/>
                                        <w:color w:val="FFFFFF"/>
                                        <w:sz w:val="16"/>
                                        <w:szCs w:val="16"/>
                                      </w:rPr>
                                      <w:t xml:space="preserve"> </w:t>
                                    </w:r>
                                    <w:r w:rsidRPr="00BB3E25">
                                      <w:rPr>
                                        <w:rFonts w:ascii="Arial Narrow" w:hAnsi="Arial Narrow"/>
                                        <w:color w:val="FFFFFF"/>
                                        <w:sz w:val="16"/>
                                        <w:szCs w:val="16"/>
                                      </w:rPr>
                                      <w:t>plan</w:t>
                                    </w:r>
                                    <w:r>
                                      <w:rPr>
                                        <w:rFonts w:ascii="Arial Narrow" w:hAnsi="Arial Narrow"/>
                                        <w:color w:val="FFFFFF"/>
                                        <w:sz w:val="16"/>
                                        <w:szCs w:val="16"/>
                                      </w:rPr>
                                      <w:t xml:space="preserve"> </w:t>
                                    </w:r>
                                    <w:r w:rsidRPr="00BB3E25">
                                      <w:rPr>
                                        <w:rFonts w:ascii="Arial Narrow" w:hAnsi="Arial Narrow"/>
                                        <w:color w:val="FFFFFF"/>
                                        <w:sz w:val="16"/>
                                        <w:szCs w:val="16"/>
                                      </w:rPr>
                                      <w:t>period</w:t>
                                    </w:r>
                                    <w:r>
                                      <w:rPr>
                                        <w:rFonts w:ascii="Arial Narrow" w:hAnsi="Arial Narrow"/>
                                        <w:color w:val="FFFFFF"/>
                                        <w:sz w:val="16"/>
                                        <w:szCs w:val="16"/>
                                      </w:rPr>
                                      <w:t xml:space="preserve"> </w:t>
                                    </w:r>
                                  </w:p>
                                </w:txbxContent>
                              </wps:txbx>
                              <wps:bodyPr rot="0" vert="horz" wrap="square" lIns="91440" tIns="45720" rIns="91440" bIns="45720" anchor="ctr" anchorCtr="0" upright="1">
                                <a:noAutofit/>
                              </wps:bodyPr>
                            </wps:wsp>
                            <wps:wsp>
                              <wps:cNvPr id="37" name="Text Box 37"/>
                              <wps:cNvSpPr txBox="1">
                                <a:spLocks noChangeArrowheads="1"/>
                              </wps:cNvSpPr>
                              <wps:spPr bwMode="auto">
                                <a:xfrm>
                                  <a:off x="7800" y="3770"/>
                                  <a:ext cx="2940" cy="1585"/>
                                </a:xfrm>
                                <a:prstGeom prst="rect">
                                  <a:avLst/>
                                </a:prstGeom>
                                <a:solidFill>
                                  <a:srgbClr val="D2711C"/>
                                </a:solidFill>
                                <a:ln w="38100">
                                  <a:solidFill>
                                    <a:srgbClr val="FFFFFF"/>
                                  </a:solidFill>
                                  <a:miter lim="800000"/>
                                  <a:headEnd/>
                                  <a:tailEnd/>
                                </a:ln>
                                <a:effectLst>
                                  <a:outerShdw dist="20000" dir="5400000" rotWithShape="0">
                                    <a:srgbClr val="000000">
                                      <a:alpha val="37999"/>
                                    </a:srgbClr>
                                  </a:outerShdw>
                                </a:effectLst>
                              </wps:spPr>
                              <wps:txbx>
                                <w:txbxContent>
                                  <w:p w:rsidR="00D23B55" w:rsidRPr="00BD25ED" w:rsidRDefault="00D23B55" w:rsidP="00B008D9">
                                    <w:pPr>
                                      <w:jc w:val="center"/>
                                      <w:rPr>
                                        <w:rFonts w:ascii="Arial Narrow" w:hAnsi="Arial Narrow"/>
                                        <w:b/>
                                        <w:color w:val="FFFFFF"/>
                                        <w:spacing w:val="-4"/>
                                      </w:rPr>
                                    </w:pPr>
                                    <w:r w:rsidRPr="00BD25ED">
                                      <w:rPr>
                                        <w:rFonts w:ascii="Arial Narrow" w:hAnsi="Arial Narrow"/>
                                        <w:b/>
                                        <w:color w:val="FFFFFF"/>
                                        <w:spacing w:val="-4"/>
                                      </w:rPr>
                                      <w:t>Current</w:t>
                                    </w:r>
                                    <w:r>
                                      <w:rPr>
                                        <w:rFonts w:ascii="Arial Narrow" w:hAnsi="Arial Narrow"/>
                                        <w:b/>
                                        <w:color w:val="FFFFFF"/>
                                        <w:spacing w:val="-4"/>
                                      </w:rPr>
                                      <w:t xml:space="preserve"> </w:t>
                                    </w:r>
                                    <w:r w:rsidRPr="00BD25ED">
                                      <w:rPr>
                                        <w:rFonts w:ascii="Arial Narrow" w:hAnsi="Arial Narrow"/>
                                        <w:b/>
                                        <w:color w:val="FFFFFF"/>
                                        <w:spacing w:val="-4"/>
                                      </w:rPr>
                                      <w:t>Housing</w:t>
                                    </w:r>
                                    <w:r>
                                      <w:rPr>
                                        <w:rFonts w:ascii="Arial Narrow" w:hAnsi="Arial Narrow"/>
                                        <w:b/>
                                        <w:color w:val="FFFFFF"/>
                                        <w:spacing w:val="-4"/>
                                      </w:rPr>
                                      <w:t xml:space="preserve"> </w:t>
                                    </w:r>
                                    <w:r w:rsidRPr="00BD25ED">
                                      <w:rPr>
                                        <w:rFonts w:ascii="Arial Narrow" w:hAnsi="Arial Narrow"/>
                                        <w:b/>
                                        <w:color w:val="FFFFFF"/>
                                        <w:spacing w:val="-4"/>
                                      </w:rPr>
                                      <w:t>Need</w:t>
                                    </w:r>
                                    <w:r>
                                      <w:rPr>
                                        <w:rFonts w:ascii="Arial Narrow" w:hAnsi="Arial Narrow"/>
                                        <w:b/>
                                        <w:color w:val="FFFFFF"/>
                                        <w:spacing w:val="-4"/>
                                      </w:rPr>
                                      <w:t xml:space="preserve"> </w:t>
                                    </w:r>
                                    <w:r w:rsidRPr="00BD25ED">
                                      <w:rPr>
                                        <w:rFonts w:ascii="Arial Narrow" w:hAnsi="Arial Narrow"/>
                                        <w:b/>
                                        <w:color w:val="FFFFFF"/>
                                        <w:spacing w:val="-4"/>
                                      </w:rPr>
                                      <w:t>(Gross)</w:t>
                                    </w:r>
                                  </w:p>
                                  <w:p w:rsidR="00D23B55" w:rsidRPr="00A71076" w:rsidRDefault="00D23B55" w:rsidP="00B008D9">
                                    <w:pPr>
                                      <w:jc w:val="center"/>
                                      <w:rPr>
                                        <w:rFonts w:ascii="Arial Narrow" w:hAnsi="Arial Narrow"/>
                                        <w:b/>
                                        <w:color w:val="FFFFFF"/>
                                        <w:sz w:val="12"/>
                                        <w:szCs w:val="12"/>
                                      </w:rPr>
                                    </w:pPr>
                                  </w:p>
                                  <w:p w:rsidR="00D23B55" w:rsidRPr="00BB3E25" w:rsidRDefault="00D23B55" w:rsidP="00B008D9">
                                    <w:pPr>
                                      <w:jc w:val="center"/>
                                      <w:rPr>
                                        <w:rFonts w:ascii="Arial Narrow" w:hAnsi="Arial Narrow"/>
                                        <w:color w:val="FFFFFF"/>
                                        <w:sz w:val="16"/>
                                        <w:szCs w:val="16"/>
                                      </w:rPr>
                                    </w:pPr>
                                    <w:r w:rsidRPr="00BB3E25">
                                      <w:rPr>
                                        <w:rFonts w:ascii="Arial Narrow" w:hAnsi="Arial Narrow"/>
                                        <w:i/>
                                        <w:color w:val="FFFFFF"/>
                                        <w:sz w:val="16"/>
                                        <w:szCs w:val="16"/>
                                      </w:rPr>
                                      <w:t>Current</w:t>
                                    </w:r>
                                    <w:r>
                                      <w:rPr>
                                        <w:rFonts w:ascii="Arial Narrow" w:hAnsi="Arial Narrow"/>
                                        <w:i/>
                                        <w:color w:val="FFFFFF"/>
                                        <w:sz w:val="16"/>
                                        <w:szCs w:val="16"/>
                                      </w:rPr>
                                      <w:t xml:space="preserve"> </w:t>
                                    </w:r>
                                    <w:r w:rsidRPr="00BB3E25">
                                      <w:rPr>
                                        <w:rFonts w:ascii="Arial Narrow" w:hAnsi="Arial Narrow"/>
                                        <w:i/>
                                        <w:color w:val="FFFFFF"/>
                                        <w:sz w:val="16"/>
                                        <w:szCs w:val="16"/>
                                      </w:rPr>
                                      <w:t>Households</w:t>
                                    </w:r>
                                    <w:r>
                                      <w:rPr>
                                        <w:rFonts w:ascii="Arial Narrow" w:hAnsi="Arial Narrow"/>
                                        <w:i/>
                                        <w:color w:val="FFFFFF"/>
                                        <w:sz w:val="16"/>
                                        <w:szCs w:val="16"/>
                                      </w:rPr>
                                      <w:t xml:space="preserve"> </w:t>
                                    </w:r>
                                    <w:r w:rsidRPr="00BB3E25">
                                      <w:rPr>
                                        <w:rFonts w:ascii="Arial Narrow" w:hAnsi="Arial Narrow"/>
                                        <w:i/>
                                        <w:color w:val="FFFFFF"/>
                                        <w:sz w:val="16"/>
                                        <w:szCs w:val="16"/>
                                      </w:rPr>
                                      <w:t>in</w:t>
                                    </w:r>
                                    <w:r>
                                      <w:rPr>
                                        <w:rFonts w:ascii="Arial Narrow" w:hAnsi="Arial Narrow"/>
                                        <w:i/>
                                        <w:color w:val="FFFFFF"/>
                                        <w:sz w:val="16"/>
                                        <w:szCs w:val="16"/>
                                      </w:rPr>
                                      <w:t xml:space="preserve"> </w:t>
                                    </w:r>
                                    <w:r w:rsidRPr="00BB3E25">
                                      <w:rPr>
                                        <w:rFonts w:ascii="Arial Narrow" w:hAnsi="Arial Narrow"/>
                                        <w:i/>
                                        <w:color w:val="FFFFFF"/>
                                        <w:sz w:val="16"/>
                                        <w:szCs w:val="16"/>
                                      </w:rPr>
                                      <w:t>Housing</w:t>
                                    </w:r>
                                    <w:r>
                                      <w:rPr>
                                        <w:rFonts w:ascii="Arial Narrow" w:hAnsi="Arial Narrow"/>
                                        <w:i/>
                                        <w:color w:val="FFFFFF"/>
                                        <w:sz w:val="16"/>
                                        <w:szCs w:val="16"/>
                                      </w:rPr>
                                      <w:t xml:space="preserve"> </w:t>
                                    </w:r>
                                    <w:r w:rsidRPr="00BB3E25">
                                      <w:rPr>
                                        <w:rFonts w:ascii="Arial Narrow" w:hAnsi="Arial Narrow"/>
                                        <w:i/>
                                        <w:color w:val="FFFFFF"/>
                                        <w:sz w:val="16"/>
                                        <w:szCs w:val="16"/>
                                      </w:rPr>
                                      <w:t>Need</w:t>
                                    </w:r>
                                    <w:r>
                                      <w:rPr>
                                        <w:rFonts w:ascii="Arial Narrow" w:hAnsi="Arial Narrow"/>
                                        <w:color w:val="FFFFFF"/>
                                        <w:sz w:val="16"/>
                                        <w:szCs w:val="16"/>
                                      </w:rPr>
                                      <w:t xml:space="preserve"> </w:t>
                                    </w:r>
                                    <w:r w:rsidRPr="00BB3E25">
                                      <w:rPr>
                                        <w:rFonts w:ascii="Arial Narrow" w:hAnsi="Arial Narrow"/>
                                        <w:color w:val="FFFFFF"/>
                                        <w:sz w:val="16"/>
                                        <w:szCs w:val="16"/>
                                      </w:rPr>
                                      <w:t>based</w:t>
                                    </w:r>
                                    <w:r>
                                      <w:rPr>
                                        <w:rFonts w:ascii="Arial Narrow" w:hAnsi="Arial Narrow"/>
                                        <w:color w:val="FFFFFF"/>
                                        <w:sz w:val="16"/>
                                        <w:szCs w:val="16"/>
                                      </w:rPr>
                                      <w:t xml:space="preserve"> </w:t>
                                    </w:r>
                                    <w:r w:rsidRPr="00BB3E25">
                                      <w:rPr>
                                        <w:rFonts w:ascii="Arial Narrow" w:hAnsi="Arial Narrow"/>
                                        <w:color w:val="FFFFFF"/>
                                        <w:sz w:val="16"/>
                                        <w:szCs w:val="16"/>
                                      </w:rPr>
                                      <w:t>on</w:t>
                                    </w:r>
                                    <w:r>
                                      <w:rPr>
                                        <w:rFonts w:ascii="Arial Narrow" w:hAnsi="Arial Narrow"/>
                                        <w:color w:val="FFFFFF"/>
                                        <w:sz w:val="16"/>
                                        <w:szCs w:val="16"/>
                                      </w:rPr>
                                      <w:t xml:space="preserve"> </w:t>
                                    </w:r>
                                    <w:r w:rsidRPr="00BB3E25">
                                      <w:rPr>
                                        <w:rFonts w:ascii="Arial Narrow" w:hAnsi="Arial Narrow"/>
                                        <w:color w:val="FFFFFF"/>
                                        <w:sz w:val="16"/>
                                        <w:szCs w:val="16"/>
                                      </w:rPr>
                                      <w:t>Census</w:t>
                                    </w:r>
                                    <w:r>
                                      <w:rPr>
                                        <w:rFonts w:ascii="Arial Narrow" w:hAnsi="Arial Narrow"/>
                                        <w:color w:val="FFFFFF"/>
                                        <w:sz w:val="16"/>
                                        <w:szCs w:val="16"/>
                                      </w:rPr>
                                      <w:t xml:space="preserve"> </w:t>
                                    </w:r>
                                    <w:r w:rsidRPr="00BB3E25">
                                      <w:rPr>
                                        <w:rFonts w:ascii="Arial Narrow" w:hAnsi="Arial Narrow"/>
                                        <w:color w:val="FFFFFF"/>
                                        <w:sz w:val="16"/>
                                        <w:szCs w:val="16"/>
                                      </w:rPr>
                                      <w:t>and</w:t>
                                    </w:r>
                                    <w:r>
                                      <w:rPr>
                                        <w:rFonts w:ascii="Arial Narrow" w:hAnsi="Arial Narrow"/>
                                        <w:color w:val="FFFFFF"/>
                                        <w:sz w:val="16"/>
                                        <w:szCs w:val="16"/>
                                      </w:rPr>
                                      <w:t xml:space="preserve"> </w:t>
                                    </w:r>
                                    <w:r w:rsidRPr="00BB3E25">
                                      <w:rPr>
                                        <w:rFonts w:ascii="Arial Narrow" w:hAnsi="Arial Narrow"/>
                                        <w:color w:val="FFFFFF"/>
                                        <w:sz w:val="16"/>
                                        <w:szCs w:val="16"/>
                                      </w:rPr>
                                      <w:t>other</w:t>
                                    </w:r>
                                    <w:r>
                                      <w:rPr>
                                        <w:rFonts w:ascii="Arial Narrow" w:hAnsi="Arial Narrow"/>
                                        <w:color w:val="FFFFFF"/>
                                        <w:sz w:val="16"/>
                                        <w:szCs w:val="16"/>
                                      </w:rPr>
                                      <w:t xml:space="preserve"> </w:t>
                                    </w:r>
                                    <w:r w:rsidRPr="00BB3E25">
                                      <w:rPr>
                                        <w:rFonts w:ascii="Arial Narrow" w:hAnsi="Arial Narrow"/>
                                        <w:color w:val="FFFFFF"/>
                                        <w:sz w:val="16"/>
                                        <w:szCs w:val="16"/>
                                      </w:rPr>
                                      <w:t>modelled</w:t>
                                    </w:r>
                                    <w:r>
                                      <w:rPr>
                                        <w:rFonts w:ascii="Arial Narrow" w:hAnsi="Arial Narrow"/>
                                        <w:color w:val="FFFFFF"/>
                                        <w:sz w:val="16"/>
                                        <w:szCs w:val="16"/>
                                      </w:rPr>
                                      <w:t xml:space="preserve"> </w:t>
                                    </w:r>
                                    <w:r w:rsidRPr="00BB3E25">
                                      <w:rPr>
                                        <w:rFonts w:ascii="Arial Narrow" w:hAnsi="Arial Narrow"/>
                                        <w:color w:val="FFFFFF"/>
                                        <w:sz w:val="16"/>
                                        <w:szCs w:val="16"/>
                                      </w:rPr>
                                      <w:t>data</w:t>
                                    </w:r>
                                    <w:r>
                                      <w:rPr>
                                        <w:rFonts w:ascii="Arial Narrow" w:hAnsi="Arial Narrow"/>
                                        <w:color w:val="FFFFFF"/>
                                        <w:sz w:val="16"/>
                                        <w:szCs w:val="16"/>
                                      </w:rPr>
                                      <w:t xml:space="preserve"> </w:t>
                                    </w:r>
                                  </w:p>
                                </w:txbxContent>
                              </wps:txbx>
                              <wps:bodyPr rot="0" vert="horz" wrap="square" lIns="91440" tIns="45720" rIns="91440" bIns="45720" anchor="ctr" anchorCtr="0" upright="1">
                                <a:noAutofit/>
                              </wps:bodyPr>
                            </wps:wsp>
                            <wps:wsp>
                              <wps:cNvPr id="38" name="Text Box 38"/>
                              <wps:cNvSpPr txBox="1">
                                <a:spLocks noChangeArrowheads="1"/>
                              </wps:cNvSpPr>
                              <wps:spPr bwMode="auto">
                                <a:xfrm>
                                  <a:off x="5925" y="4594"/>
                                  <a:ext cx="1485" cy="986"/>
                                </a:xfrm>
                                <a:prstGeom prst="rect">
                                  <a:avLst/>
                                </a:prstGeom>
                                <a:solidFill>
                                  <a:srgbClr val="0093D5"/>
                                </a:solidFill>
                                <a:ln w="38100">
                                  <a:solidFill>
                                    <a:srgbClr val="FFFFFF"/>
                                  </a:solidFill>
                                  <a:miter lim="800000"/>
                                  <a:headEnd/>
                                  <a:tailEnd/>
                                </a:ln>
                                <a:effectLst>
                                  <a:outerShdw dist="20000" dir="5400000" rotWithShape="0">
                                    <a:srgbClr val="000000">
                                      <a:alpha val="37999"/>
                                    </a:srgbClr>
                                  </a:outerShdw>
                                </a:effectLst>
                              </wps:spPr>
                              <wps:txbx>
                                <w:txbxContent>
                                  <w:p w:rsidR="00D23B55" w:rsidRPr="00BD25ED" w:rsidRDefault="00D23B55" w:rsidP="00B008D9">
                                    <w:pPr>
                                      <w:spacing w:line="216" w:lineRule="auto"/>
                                      <w:jc w:val="center"/>
                                      <w:rPr>
                                        <w:rFonts w:ascii="Arial Narrow" w:hAnsi="Arial Narrow"/>
                                        <w:b/>
                                        <w:color w:val="FFFFFF"/>
                                      </w:rPr>
                                    </w:pPr>
                                    <w:r w:rsidRPr="00BD25ED">
                                      <w:rPr>
                                        <w:rFonts w:ascii="Arial Narrow" w:hAnsi="Arial Narrow"/>
                                        <w:b/>
                                        <w:color w:val="FFFFFF"/>
                                      </w:rPr>
                                      <w:t>Total</w:t>
                                    </w:r>
                                    <w:r>
                                      <w:rPr>
                                        <w:rFonts w:ascii="Arial Narrow" w:hAnsi="Arial Narrow"/>
                                        <w:b/>
                                        <w:color w:val="FFFFFF"/>
                                      </w:rPr>
                                      <w:t xml:space="preserve"> </w:t>
                                    </w:r>
                                    <w:r w:rsidRPr="00BD25ED">
                                      <w:rPr>
                                        <w:rFonts w:ascii="Arial Narrow" w:hAnsi="Arial Narrow"/>
                                        <w:b/>
                                        <w:color w:val="FFFFFF"/>
                                      </w:rPr>
                                      <w:t>Net</w:t>
                                    </w:r>
                                    <w:r>
                                      <w:rPr>
                                        <w:rFonts w:ascii="Arial Narrow" w:hAnsi="Arial Narrow"/>
                                        <w:b/>
                                        <w:color w:val="FFFFFF"/>
                                      </w:rPr>
                                      <w:t xml:space="preserve"> </w:t>
                                    </w:r>
                                    <w:r w:rsidRPr="00BD25ED">
                                      <w:rPr>
                                        <w:rFonts w:ascii="Arial Narrow" w:hAnsi="Arial Narrow"/>
                                        <w:b/>
                                        <w:color w:val="FFFFFF"/>
                                      </w:rPr>
                                      <w:t>Current</w:t>
                                    </w:r>
                                    <w:r>
                                      <w:rPr>
                                        <w:rFonts w:ascii="Arial Narrow" w:hAnsi="Arial Narrow"/>
                                        <w:b/>
                                        <w:color w:val="FFFFFF"/>
                                      </w:rPr>
                                      <w:t xml:space="preserve"> </w:t>
                                    </w:r>
                                    <w:r w:rsidRPr="00BD25ED">
                                      <w:rPr>
                                        <w:rFonts w:ascii="Arial Narrow" w:hAnsi="Arial Narrow"/>
                                        <w:b/>
                                        <w:color w:val="FFFFFF"/>
                                      </w:rPr>
                                      <w:t>Need</w:t>
                                    </w:r>
                                  </w:p>
                                </w:txbxContent>
                              </wps:txbx>
                              <wps:bodyPr rot="0" vert="horz" wrap="square" lIns="91440" tIns="45720" rIns="91440" bIns="45720" anchor="ctr" anchorCtr="0" upright="1">
                                <a:noAutofit/>
                              </wps:bodyPr>
                            </wps:wsp>
                            <wps:wsp>
                              <wps:cNvPr id="41" name="Text Box 41"/>
                              <wps:cNvSpPr txBox="1">
                                <a:spLocks noChangeArrowheads="1"/>
                              </wps:cNvSpPr>
                              <wps:spPr bwMode="auto">
                                <a:xfrm>
                                  <a:off x="4440" y="4594"/>
                                  <a:ext cx="1485" cy="986"/>
                                </a:xfrm>
                                <a:prstGeom prst="rect">
                                  <a:avLst/>
                                </a:prstGeom>
                                <a:solidFill>
                                  <a:srgbClr val="0093D5"/>
                                </a:solidFill>
                                <a:ln w="38100">
                                  <a:solidFill>
                                    <a:srgbClr val="FFFFFF"/>
                                  </a:solidFill>
                                  <a:miter lim="800000"/>
                                  <a:headEnd/>
                                  <a:tailEnd/>
                                </a:ln>
                                <a:effectLst>
                                  <a:outerShdw dist="20000" dir="5400000" rotWithShape="0">
                                    <a:srgbClr val="000000">
                                      <a:alpha val="37999"/>
                                    </a:srgbClr>
                                  </a:outerShdw>
                                </a:effectLst>
                              </wps:spPr>
                              <wps:txbx>
                                <w:txbxContent>
                                  <w:p w:rsidR="00D23B55" w:rsidRPr="00BD25ED" w:rsidRDefault="00D23B55" w:rsidP="00B008D9">
                                    <w:pPr>
                                      <w:spacing w:line="216" w:lineRule="auto"/>
                                      <w:jc w:val="center"/>
                                      <w:rPr>
                                        <w:rFonts w:ascii="Arial Narrow" w:hAnsi="Arial Narrow"/>
                                        <w:b/>
                                        <w:color w:val="FFFFFF"/>
                                      </w:rPr>
                                    </w:pPr>
                                    <w:r w:rsidRPr="00BD25ED">
                                      <w:rPr>
                                        <w:rFonts w:ascii="Arial Narrow" w:hAnsi="Arial Narrow"/>
                                        <w:b/>
                                        <w:color w:val="FFFFFF"/>
                                      </w:rPr>
                                      <w:t>Net</w:t>
                                    </w:r>
                                    <w:r>
                                      <w:rPr>
                                        <w:rFonts w:ascii="Arial Narrow" w:hAnsi="Arial Narrow"/>
                                        <w:b/>
                                        <w:color w:val="FFFFFF"/>
                                      </w:rPr>
                                      <w:t xml:space="preserve"> </w:t>
                                    </w:r>
                                    <w:r w:rsidRPr="00BD25ED">
                                      <w:rPr>
                                        <w:rFonts w:ascii="Arial Narrow" w:hAnsi="Arial Narrow"/>
                                        <w:b/>
                                        <w:color w:val="FFFFFF"/>
                                      </w:rPr>
                                      <w:t>Housing</w:t>
                                    </w:r>
                                    <w:r>
                                      <w:rPr>
                                        <w:rFonts w:ascii="Arial Narrow" w:hAnsi="Arial Narrow"/>
                                        <w:b/>
                                        <w:color w:val="FFFFFF"/>
                                      </w:rPr>
                                      <w:t xml:space="preserve"> </w:t>
                                    </w:r>
                                    <w:r w:rsidRPr="00BD25ED">
                                      <w:rPr>
                                        <w:rFonts w:ascii="Arial Narrow" w:hAnsi="Arial Narrow"/>
                                        <w:b/>
                                        <w:color w:val="FFFFFF"/>
                                      </w:rPr>
                                      <w:t>Need</w:t>
                                    </w:r>
                                    <w:r>
                                      <w:rPr>
                                        <w:rFonts w:ascii="Arial Narrow" w:hAnsi="Arial Narrow"/>
                                        <w:b/>
                                        <w:color w:val="FFFFFF"/>
                                      </w:rPr>
                                      <w:t xml:space="preserve"> </w:t>
                                    </w:r>
                                    <w:r w:rsidRPr="00BD25ED">
                                      <w:rPr>
                                        <w:rFonts w:ascii="Arial Narrow" w:hAnsi="Arial Narrow"/>
                                        <w:b/>
                                        <w:color w:val="FFFFFF"/>
                                      </w:rPr>
                                      <w:t>Arising</w:t>
                                    </w:r>
                                  </w:p>
                                </w:txbxContent>
                              </wps:txbx>
                              <wps:bodyPr rot="0" vert="horz" wrap="square" lIns="91440" tIns="45720" rIns="91440" bIns="45720" anchor="ctr" anchorCtr="0" upright="1">
                                <a:noAutofit/>
                              </wps:bodyPr>
                            </wps:wsp>
                            <wps:wsp>
                              <wps:cNvPr id="42" name="Text Box 42"/>
                              <wps:cNvSpPr txBox="1">
                                <a:spLocks noChangeArrowheads="1"/>
                              </wps:cNvSpPr>
                              <wps:spPr bwMode="auto">
                                <a:xfrm>
                                  <a:off x="4515" y="6060"/>
                                  <a:ext cx="2895" cy="825"/>
                                </a:xfrm>
                                <a:prstGeom prst="rect">
                                  <a:avLst/>
                                </a:prstGeom>
                                <a:solidFill>
                                  <a:srgbClr val="525557"/>
                                </a:solidFill>
                                <a:ln w="25400">
                                  <a:solidFill>
                                    <a:srgbClr val="3A3C3E"/>
                                  </a:solidFill>
                                  <a:miter lim="800000"/>
                                  <a:headEnd/>
                                  <a:tailEnd/>
                                </a:ln>
                              </wps:spPr>
                              <wps:txbx>
                                <w:txbxContent>
                                  <w:p w:rsidR="00D23B55" w:rsidRPr="00BB3E25" w:rsidRDefault="00D23B55" w:rsidP="00B008D9">
                                    <w:pPr>
                                      <w:jc w:val="center"/>
                                      <w:rPr>
                                        <w:rFonts w:ascii="Arial Narrow" w:hAnsi="Arial Narrow"/>
                                        <w:b/>
                                        <w:color w:val="FFFFFF"/>
                                      </w:rPr>
                                    </w:pPr>
                                    <w:r w:rsidRPr="00BB3E25">
                                      <w:rPr>
                                        <w:rFonts w:ascii="Arial Narrow" w:hAnsi="Arial Narrow"/>
                                        <w:b/>
                                        <w:color w:val="FFFFFF"/>
                                      </w:rPr>
                                      <w:t>Total</w:t>
                                    </w:r>
                                    <w:r>
                                      <w:rPr>
                                        <w:rFonts w:ascii="Arial Narrow" w:hAnsi="Arial Narrow"/>
                                        <w:b/>
                                        <w:color w:val="FFFFFF"/>
                                      </w:rPr>
                                      <w:t xml:space="preserve"> </w:t>
                                    </w:r>
                                    <w:r w:rsidRPr="00BB3E25">
                                      <w:rPr>
                                        <w:rFonts w:ascii="Arial Narrow" w:hAnsi="Arial Narrow"/>
                                        <w:b/>
                                        <w:color w:val="FFFFFF"/>
                                      </w:rPr>
                                      <w:t>Net</w:t>
                                    </w:r>
                                    <w:r>
                                      <w:rPr>
                                        <w:rFonts w:ascii="Arial Narrow" w:hAnsi="Arial Narrow"/>
                                        <w:b/>
                                        <w:color w:val="FFFFFF"/>
                                      </w:rPr>
                                      <w:t xml:space="preserve"> </w:t>
                                    </w:r>
                                    <w:r w:rsidRPr="00BB3E25">
                                      <w:rPr>
                                        <w:rFonts w:ascii="Arial Narrow" w:hAnsi="Arial Narrow"/>
                                        <w:b/>
                                        <w:color w:val="FFFFFF"/>
                                      </w:rPr>
                                      <w:t>Current</w:t>
                                    </w:r>
                                    <w:r>
                                      <w:rPr>
                                        <w:rFonts w:ascii="Arial Narrow" w:hAnsi="Arial Narrow"/>
                                        <w:b/>
                                        <w:color w:val="FFFFFF"/>
                                      </w:rPr>
                                      <w:t xml:space="preserve"> </w:t>
                                    </w:r>
                                    <w:r w:rsidRPr="00BB3E25">
                                      <w:rPr>
                                        <w:rFonts w:ascii="Arial Narrow" w:hAnsi="Arial Narrow"/>
                                        <w:b/>
                                        <w:color w:val="FFFFFF"/>
                                      </w:rPr>
                                      <w:t>Need</w:t>
                                    </w:r>
                                    <w:r>
                                      <w:rPr>
                                        <w:rFonts w:ascii="Arial Narrow" w:hAnsi="Arial Narrow"/>
                                        <w:b/>
                                        <w:color w:val="FFFFFF"/>
                                      </w:rPr>
                                      <w:t xml:space="preserve"> </w:t>
                                    </w:r>
                                    <w:r w:rsidRPr="00BB3E25">
                                      <w:rPr>
                                        <w:rFonts w:ascii="Arial Narrow" w:hAnsi="Arial Narrow"/>
                                        <w:color w:val="FFFFFF"/>
                                      </w:rPr>
                                      <w:t>Over</w:t>
                                    </w:r>
                                    <w:r>
                                      <w:rPr>
                                        <w:rFonts w:ascii="Arial Narrow" w:hAnsi="Arial Narrow"/>
                                        <w:color w:val="FFFFFF"/>
                                      </w:rPr>
                                      <w:t xml:space="preserve"> </w:t>
                                    </w:r>
                                    <w:r w:rsidRPr="00BB3E25">
                                      <w:rPr>
                                        <w:rFonts w:ascii="Arial Narrow" w:hAnsi="Arial Narrow"/>
                                        <w:color w:val="FFFFFF"/>
                                      </w:rPr>
                                      <w:t>plan</w:t>
                                    </w:r>
                                    <w:r>
                                      <w:rPr>
                                        <w:rFonts w:ascii="Arial Narrow" w:hAnsi="Arial Narrow"/>
                                        <w:color w:val="FFFFFF"/>
                                      </w:rPr>
                                      <w:t xml:space="preserve"> </w:t>
                                    </w:r>
                                    <w:r w:rsidRPr="00BB3E25">
                                      <w:rPr>
                                        <w:rFonts w:ascii="Arial Narrow" w:hAnsi="Arial Narrow"/>
                                        <w:color w:val="FFFFFF"/>
                                      </w:rPr>
                                      <w:t>period</w:t>
                                    </w:r>
                                  </w:p>
                                </w:txbxContent>
                              </wps:txbx>
                              <wps:bodyPr rot="0" vert="horz" wrap="square" lIns="91440" tIns="45720" rIns="91440" bIns="45720" anchor="ctr" anchorCtr="0" upright="1">
                                <a:noAutofit/>
                              </wps:bodyPr>
                            </wps:wsp>
                            <wps:wsp>
                              <wps:cNvPr id="43" name="AutoShape 11"/>
                              <wps:cNvCnPr>
                                <a:cxnSpLocks noChangeShapeType="1"/>
                              </wps:cNvCnPr>
                              <wps:spPr bwMode="auto">
                                <a:xfrm>
                                  <a:off x="4065" y="4335"/>
                                  <a:ext cx="210" cy="1"/>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44" name="AutoShape 12"/>
                              <wps:cNvCnPr>
                                <a:cxnSpLocks noChangeShapeType="1"/>
                              </wps:cNvCnPr>
                              <wps:spPr bwMode="auto">
                                <a:xfrm>
                                  <a:off x="4275" y="5180"/>
                                  <a:ext cx="16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45" name="AutoShape 13"/>
                              <wps:cNvCnPr>
                                <a:cxnSpLocks noChangeShapeType="1"/>
                              </wps:cNvCnPr>
                              <wps:spPr bwMode="auto">
                                <a:xfrm>
                                  <a:off x="4275" y="4336"/>
                                  <a:ext cx="0" cy="1724"/>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46" name="AutoShape 14"/>
                              <wps:cNvCnPr>
                                <a:cxnSpLocks noChangeShapeType="1"/>
                              </wps:cNvCnPr>
                              <wps:spPr bwMode="auto">
                                <a:xfrm>
                                  <a:off x="4095" y="6059"/>
                                  <a:ext cx="210" cy="1"/>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47" name="AutoShape 15"/>
                              <wps:cNvCnPr>
                                <a:cxnSpLocks noChangeShapeType="1"/>
                              </wps:cNvCnPr>
                              <wps:spPr bwMode="auto">
                                <a:xfrm flipH="1">
                                  <a:off x="7575" y="4336"/>
                                  <a:ext cx="22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48" name="AutoShape 16"/>
                              <wps:cNvCnPr>
                                <a:cxnSpLocks noChangeShapeType="1"/>
                              </wps:cNvCnPr>
                              <wps:spPr bwMode="auto">
                                <a:xfrm flipH="1">
                                  <a:off x="7350" y="5180"/>
                                  <a:ext cx="22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50" name="AutoShape 18"/>
                              <wps:cNvCnPr>
                                <a:cxnSpLocks noChangeShapeType="1"/>
                              </wps:cNvCnPr>
                              <wps:spPr bwMode="auto">
                                <a:xfrm>
                                  <a:off x="7575" y="4335"/>
                                  <a:ext cx="0" cy="84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51" name="AutoShape 19"/>
                              <wps:cNvCnPr>
                                <a:cxnSpLocks noChangeShapeType="1"/>
                              </wps:cNvCnPr>
                              <wps:spPr bwMode="auto">
                                <a:xfrm>
                                  <a:off x="5325" y="5820"/>
                                  <a:ext cx="135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52" name="AutoShape 20"/>
                              <wps:cNvCnPr>
                                <a:cxnSpLocks noChangeShapeType="1"/>
                              </wps:cNvCnPr>
                              <wps:spPr bwMode="auto">
                                <a:xfrm>
                                  <a:off x="5325" y="5580"/>
                                  <a:ext cx="0" cy="24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53" name="AutoShape 21"/>
                              <wps:cNvCnPr>
                                <a:cxnSpLocks noChangeShapeType="1"/>
                              </wps:cNvCnPr>
                              <wps:spPr bwMode="auto">
                                <a:xfrm>
                                  <a:off x="5955" y="5835"/>
                                  <a:ext cx="0" cy="24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54" name="AutoShape 22"/>
                              <wps:cNvCnPr>
                                <a:cxnSpLocks noChangeShapeType="1"/>
                              </wps:cNvCnPr>
                              <wps:spPr bwMode="auto">
                                <a:xfrm>
                                  <a:off x="6660" y="5595"/>
                                  <a:ext cx="0" cy="24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g:wgp>
                        </a:graphicData>
                      </a:graphic>
                    </wp:inline>
                  </w:drawing>
                </mc:Choice>
                <mc:Fallback>
                  <w:pict>
                    <v:group id="Group 81" o:spid="_x0000_s1027" alt="Flowchart showing the relationship between various inputs for arriving at net current need" style="width:429pt;height:155.35pt;mso-position-horizontal-relative:char;mso-position-vertical-relative:line" coordorigin="1125,3770" coordsize="9615,3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">
                      <v:shapetype id="_x0000_t202" coordsize="21600,21600" o:spt="202" path="m,l,21600r21600,l21600,xe">
                        <v:stroke joinstyle="miter"/>
                        <v:path gradientshapeok="t" o:connecttype="rect"/>
                      </v:shapetype>
                      <v:shape id="Text Box 32" o:spid="_x0000_s1028" type="#_x0000_t202" style="position:absolute;left:1125;top:3770;width:2940;height:1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F//8QA&#10;AADbAAAADwAAAGRycy9kb3ducmV2LnhtbESPwWrDMBBE74H+g9hCb7FsN6TGiRJKodAecojTD9ha&#10;W9uJtTKSGrv5+ioQyHGYmTfMejuZXpzJ+c6ygixJQRDXVnfcKPg6vM8LED4ga+wtk4I/8rDdPMzW&#10;WGo78p7OVWhEhLAvUUEbwlBK6euWDPrEDsTR+7HOYIjSNVI7HCPc9DJP06U02HFcaHGgt5bqU/Vr&#10;FEwXu/jO9hhOOx7580gvVXFxSj09Tq8rEIGmcA/f2h9awXMO1y/xB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Bf//EAAAA2wAAAA8AAAAAAAAAAAAAAAAAmAIAAGRycy9k&#10;b3ducmV2LnhtbFBLBQYAAAAABAAEAPUAAACJAwAAAAA=&#10;" fillcolor="#d2711c" strokecolor="white" strokeweight="3pt">
                        <v:shadow on="t" color="black" opacity="24903f" origin=",.5" offset="0,.55556mm"/>
                        <v:textbox>
                          <w:txbxContent>
                            <w:p w:rsidR="00D23B55" w:rsidRPr="00BB3E25" w:rsidRDefault="00D23B55" w:rsidP="00B008D9">
                              <w:pPr>
                                <w:jc w:val="center"/>
                                <w:rPr>
                                  <w:rFonts w:ascii="Arial Narrow" w:hAnsi="Arial Narrow"/>
                                  <w:b/>
                                  <w:color w:val="FFFFFF"/>
                                </w:rPr>
                              </w:pPr>
                              <w:r w:rsidRPr="00BB3E25">
                                <w:rPr>
                                  <w:rFonts w:ascii="Arial Narrow" w:hAnsi="Arial Narrow"/>
                                  <w:b/>
                                  <w:color w:val="FFFFFF"/>
                                </w:rPr>
                                <w:t>Future</w:t>
                              </w:r>
                              <w:r>
                                <w:rPr>
                                  <w:rFonts w:ascii="Arial Narrow" w:hAnsi="Arial Narrow"/>
                                  <w:b/>
                                  <w:color w:val="FFFFFF"/>
                                </w:rPr>
                                <w:t xml:space="preserve"> </w:t>
                              </w:r>
                              <w:r w:rsidRPr="00BB3E25">
                                <w:rPr>
                                  <w:rFonts w:ascii="Arial Narrow" w:hAnsi="Arial Narrow"/>
                                  <w:b/>
                                  <w:color w:val="FFFFFF"/>
                                </w:rPr>
                                <w:t>Housing</w:t>
                              </w:r>
                              <w:r>
                                <w:rPr>
                                  <w:rFonts w:ascii="Arial Narrow" w:hAnsi="Arial Narrow"/>
                                  <w:b/>
                                  <w:color w:val="FFFFFF"/>
                                </w:rPr>
                                <w:t xml:space="preserve"> </w:t>
                              </w:r>
                              <w:r w:rsidRPr="00BB3E25">
                                <w:rPr>
                                  <w:rFonts w:ascii="Arial Narrow" w:hAnsi="Arial Narrow"/>
                                  <w:b/>
                                  <w:color w:val="FFFFFF"/>
                                </w:rPr>
                                <w:t>Need</w:t>
                              </w:r>
                              <w:r>
                                <w:rPr>
                                  <w:rFonts w:ascii="Arial Narrow" w:hAnsi="Arial Narrow"/>
                                  <w:b/>
                                  <w:color w:val="FFFFFF"/>
                                </w:rPr>
                                <w:t xml:space="preserve"> </w:t>
                              </w:r>
                            </w:p>
                            <w:p w:rsidR="00D23B55" w:rsidRPr="00A71076" w:rsidRDefault="00D23B55" w:rsidP="00B008D9">
                              <w:pPr>
                                <w:jc w:val="center"/>
                                <w:rPr>
                                  <w:rFonts w:ascii="Arial Narrow" w:hAnsi="Arial Narrow"/>
                                  <w:b/>
                                  <w:color w:val="FFFFFF"/>
                                  <w:sz w:val="12"/>
                                  <w:szCs w:val="12"/>
                                </w:rPr>
                              </w:pPr>
                            </w:p>
                            <w:p w:rsidR="00D23B55" w:rsidRPr="00BD25ED" w:rsidRDefault="00D23B55" w:rsidP="00B008D9">
                              <w:pPr>
                                <w:jc w:val="center"/>
                                <w:rPr>
                                  <w:rFonts w:ascii="Arial Narrow" w:hAnsi="Arial Narrow"/>
                                  <w:color w:val="FFFFFF"/>
                                  <w:spacing w:val="-2"/>
                                  <w:sz w:val="16"/>
                                  <w:szCs w:val="16"/>
                                </w:rPr>
                              </w:pPr>
                              <w:r w:rsidRPr="00BD25ED">
                                <w:rPr>
                                  <w:rFonts w:ascii="Arial Narrow" w:hAnsi="Arial Narrow"/>
                                  <w:color w:val="FFFFFF"/>
                                  <w:spacing w:val="-2"/>
                                  <w:sz w:val="16"/>
                                  <w:szCs w:val="16"/>
                                </w:rPr>
                                <w:t>Estimate</w:t>
                              </w:r>
                              <w:r>
                                <w:rPr>
                                  <w:rFonts w:ascii="Arial Narrow" w:hAnsi="Arial Narrow"/>
                                  <w:color w:val="FFFFFF"/>
                                  <w:spacing w:val="-2"/>
                                  <w:sz w:val="16"/>
                                  <w:szCs w:val="16"/>
                                </w:rPr>
                                <w:t xml:space="preserve"> </w:t>
                              </w:r>
                              <w:r w:rsidRPr="00BD25ED">
                                <w:rPr>
                                  <w:rFonts w:ascii="Arial Narrow" w:hAnsi="Arial Narrow"/>
                                  <w:color w:val="FFFFFF"/>
                                  <w:spacing w:val="-2"/>
                                  <w:sz w:val="16"/>
                                  <w:szCs w:val="16"/>
                                </w:rPr>
                                <w:t>of</w:t>
                              </w:r>
                              <w:r>
                                <w:rPr>
                                  <w:rFonts w:ascii="Arial Narrow" w:hAnsi="Arial Narrow"/>
                                  <w:color w:val="FFFFFF"/>
                                  <w:spacing w:val="-2"/>
                                  <w:sz w:val="16"/>
                                  <w:szCs w:val="16"/>
                                </w:rPr>
                                <w:t xml:space="preserve"> </w:t>
                              </w:r>
                              <w:r w:rsidRPr="00BD25ED">
                                <w:rPr>
                                  <w:rFonts w:ascii="Arial Narrow" w:hAnsi="Arial Narrow"/>
                                  <w:i/>
                                  <w:color w:val="FFFFFF"/>
                                  <w:spacing w:val="-2"/>
                                  <w:sz w:val="16"/>
                                  <w:szCs w:val="16"/>
                                </w:rPr>
                                <w:t>Newly-Forming</w:t>
                              </w:r>
                              <w:r>
                                <w:rPr>
                                  <w:rFonts w:ascii="Arial Narrow" w:hAnsi="Arial Narrow"/>
                                  <w:i/>
                                  <w:color w:val="FFFFFF"/>
                                  <w:spacing w:val="-2"/>
                                  <w:sz w:val="16"/>
                                  <w:szCs w:val="16"/>
                                </w:rPr>
                                <w:t xml:space="preserve"> </w:t>
                              </w:r>
                              <w:r w:rsidRPr="00BD25ED">
                                <w:rPr>
                                  <w:rFonts w:ascii="Arial Narrow" w:hAnsi="Arial Narrow"/>
                                  <w:i/>
                                  <w:color w:val="FFFFFF"/>
                                  <w:spacing w:val="-2"/>
                                  <w:sz w:val="16"/>
                                  <w:szCs w:val="16"/>
                                </w:rPr>
                                <w:t>Households</w:t>
                              </w:r>
                              <w:r>
                                <w:rPr>
                                  <w:rFonts w:ascii="Arial Narrow" w:hAnsi="Arial Narrow"/>
                                  <w:i/>
                                  <w:color w:val="FFFFFF"/>
                                  <w:spacing w:val="-2"/>
                                  <w:sz w:val="16"/>
                                  <w:szCs w:val="16"/>
                                </w:rPr>
                                <w:t xml:space="preserve"> </w:t>
                              </w:r>
                              <w:r w:rsidRPr="00BD25ED">
                                <w:rPr>
                                  <w:rFonts w:ascii="Arial Narrow" w:hAnsi="Arial Narrow"/>
                                  <w:i/>
                                  <w:color w:val="FFFFFF"/>
                                  <w:spacing w:val="-2"/>
                                  <w:sz w:val="16"/>
                                  <w:szCs w:val="16"/>
                                </w:rPr>
                                <w:t>in</w:t>
                              </w:r>
                              <w:r>
                                <w:rPr>
                                  <w:rFonts w:ascii="Arial Narrow" w:hAnsi="Arial Narrow"/>
                                  <w:i/>
                                  <w:color w:val="FFFFFF"/>
                                  <w:spacing w:val="-2"/>
                                  <w:sz w:val="16"/>
                                  <w:szCs w:val="16"/>
                                </w:rPr>
                                <w:t xml:space="preserve"> </w:t>
                              </w:r>
                              <w:r w:rsidRPr="00BD25ED">
                                <w:rPr>
                                  <w:rFonts w:ascii="Arial Narrow" w:hAnsi="Arial Narrow"/>
                                  <w:i/>
                                  <w:color w:val="FFFFFF"/>
                                  <w:spacing w:val="-2"/>
                                  <w:sz w:val="16"/>
                                  <w:szCs w:val="16"/>
                                </w:rPr>
                                <w:t>Need</w:t>
                              </w:r>
                              <w:r>
                                <w:rPr>
                                  <w:rFonts w:ascii="Arial Narrow" w:hAnsi="Arial Narrow"/>
                                  <w:color w:val="FFFFFF"/>
                                  <w:spacing w:val="-2"/>
                                  <w:sz w:val="16"/>
                                  <w:szCs w:val="16"/>
                                </w:rPr>
                                <w:t xml:space="preserve"> </w:t>
                              </w:r>
                              <w:r w:rsidRPr="00BD25ED">
                                <w:rPr>
                                  <w:rFonts w:ascii="Arial Narrow" w:hAnsi="Arial Narrow"/>
                                  <w:color w:val="FFFFFF"/>
                                  <w:spacing w:val="-2"/>
                                  <w:sz w:val="16"/>
                                  <w:szCs w:val="16"/>
                                </w:rPr>
                                <w:t>&amp;</w:t>
                              </w:r>
                              <w:r>
                                <w:rPr>
                                  <w:rFonts w:ascii="Arial Narrow" w:hAnsi="Arial Narrow"/>
                                  <w:color w:val="FFFFFF"/>
                                  <w:spacing w:val="-2"/>
                                  <w:sz w:val="16"/>
                                  <w:szCs w:val="16"/>
                                </w:rPr>
                                <w:t xml:space="preserve"> </w:t>
                              </w:r>
                              <w:r w:rsidRPr="00BD25ED">
                                <w:rPr>
                                  <w:rFonts w:ascii="Arial Narrow" w:hAnsi="Arial Narrow"/>
                                  <w:i/>
                                  <w:color w:val="FFFFFF"/>
                                  <w:spacing w:val="-2"/>
                                  <w:sz w:val="16"/>
                                  <w:szCs w:val="16"/>
                                </w:rPr>
                                <w:t>Existing</w:t>
                              </w:r>
                              <w:r>
                                <w:rPr>
                                  <w:rFonts w:ascii="Arial Narrow" w:hAnsi="Arial Narrow"/>
                                  <w:i/>
                                  <w:color w:val="FFFFFF"/>
                                  <w:spacing w:val="-2"/>
                                  <w:sz w:val="16"/>
                                  <w:szCs w:val="16"/>
                                </w:rPr>
                                <w:t xml:space="preserve"> </w:t>
                              </w:r>
                              <w:r w:rsidRPr="00BD25ED">
                                <w:rPr>
                                  <w:rFonts w:ascii="Arial Narrow" w:hAnsi="Arial Narrow"/>
                                  <w:i/>
                                  <w:color w:val="FFFFFF"/>
                                  <w:spacing w:val="-2"/>
                                  <w:sz w:val="16"/>
                                  <w:szCs w:val="16"/>
                                </w:rPr>
                                <w:t>Households</w:t>
                              </w:r>
                              <w:r>
                                <w:rPr>
                                  <w:rFonts w:ascii="Arial Narrow" w:hAnsi="Arial Narrow"/>
                                  <w:i/>
                                  <w:color w:val="FFFFFF"/>
                                  <w:spacing w:val="-2"/>
                                  <w:sz w:val="16"/>
                                  <w:szCs w:val="16"/>
                                </w:rPr>
                                <w:t xml:space="preserve"> </w:t>
                              </w:r>
                              <w:r w:rsidRPr="00BD25ED">
                                <w:rPr>
                                  <w:rFonts w:ascii="Arial Narrow" w:hAnsi="Arial Narrow"/>
                                  <w:i/>
                                  <w:color w:val="FFFFFF"/>
                                  <w:spacing w:val="-2"/>
                                  <w:sz w:val="16"/>
                                  <w:szCs w:val="16"/>
                                </w:rPr>
                                <w:t>falling</w:t>
                              </w:r>
                              <w:r>
                                <w:rPr>
                                  <w:rFonts w:ascii="Arial Narrow" w:hAnsi="Arial Narrow"/>
                                  <w:i/>
                                  <w:color w:val="FFFFFF"/>
                                  <w:spacing w:val="-2"/>
                                  <w:sz w:val="16"/>
                                  <w:szCs w:val="16"/>
                                </w:rPr>
                                <w:t xml:space="preserve"> </w:t>
                              </w:r>
                              <w:r w:rsidRPr="00BD25ED">
                                <w:rPr>
                                  <w:rFonts w:ascii="Arial Narrow" w:hAnsi="Arial Narrow"/>
                                  <w:i/>
                                  <w:color w:val="FFFFFF"/>
                                  <w:spacing w:val="-2"/>
                                  <w:sz w:val="16"/>
                                  <w:szCs w:val="16"/>
                                </w:rPr>
                                <w:t>into</w:t>
                              </w:r>
                              <w:r>
                                <w:rPr>
                                  <w:rFonts w:ascii="Arial Narrow" w:hAnsi="Arial Narrow"/>
                                  <w:i/>
                                  <w:color w:val="FFFFFF"/>
                                  <w:spacing w:val="-2"/>
                                  <w:sz w:val="16"/>
                                  <w:szCs w:val="16"/>
                                </w:rPr>
                                <w:t xml:space="preserve"> </w:t>
                              </w:r>
                              <w:r w:rsidRPr="00BD25ED">
                                <w:rPr>
                                  <w:rFonts w:ascii="Arial Narrow" w:hAnsi="Arial Narrow"/>
                                  <w:i/>
                                  <w:color w:val="FFFFFF"/>
                                  <w:spacing w:val="-2"/>
                                  <w:sz w:val="16"/>
                                  <w:szCs w:val="16"/>
                                </w:rPr>
                                <w:t>Need</w:t>
                              </w:r>
                              <w:r>
                                <w:rPr>
                                  <w:rFonts w:ascii="Arial Narrow" w:hAnsi="Arial Narrow"/>
                                  <w:color w:val="FFFFFF"/>
                                  <w:spacing w:val="-2"/>
                                  <w:sz w:val="16"/>
                                  <w:szCs w:val="16"/>
                                </w:rPr>
                                <w:t xml:space="preserve"> </w:t>
                              </w:r>
                              <w:r w:rsidRPr="00BD25ED">
                                <w:rPr>
                                  <w:rFonts w:ascii="Arial Narrow" w:hAnsi="Arial Narrow"/>
                                  <w:color w:val="FFFFFF"/>
                                  <w:spacing w:val="-2"/>
                                  <w:sz w:val="16"/>
                                  <w:szCs w:val="16"/>
                                </w:rPr>
                                <w:t>over</w:t>
                              </w:r>
                              <w:r>
                                <w:rPr>
                                  <w:rFonts w:ascii="Arial Narrow" w:hAnsi="Arial Narrow"/>
                                  <w:color w:val="FFFFFF"/>
                                  <w:spacing w:val="-2"/>
                                  <w:sz w:val="16"/>
                                  <w:szCs w:val="16"/>
                                </w:rPr>
                                <w:t xml:space="preserve"> </w:t>
                              </w:r>
                              <w:r w:rsidRPr="00BD25ED">
                                <w:rPr>
                                  <w:rFonts w:ascii="Arial Narrow" w:hAnsi="Arial Narrow"/>
                                  <w:color w:val="FFFFFF"/>
                                  <w:spacing w:val="-2"/>
                                  <w:sz w:val="16"/>
                                  <w:szCs w:val="16"/>
                                </w:rPr>
                                <w:t>plan</w:t>
                              </w:r>
                              <w:r>
                                <w:rPr>
                                  <w:rFonts w:ascii="Arial Narrow" w:hAnsi="Arial Narrow"/>
                                  <w:color w:val="FFFFFF"/>
                                  <w:spacing w:val="-2"/>
                                  <w:sz w:val="16"/>
                                  <w:szCs w:val="16"/>
                                </w:rPr>
                                <w:t xml:space="preserve"> </w:t>
                              </w:r>
                              <w:r w:rsidRPr="00BD25ED">
                                <w:rPr>
                                  <w:rFonts w:ascii="Arial Narrow" w:hAnsi="Arial Narrow"/>
                                  <w:color w:val="FFFFFF"/>
                                  <w:spacing w:val="-2"/>
                                  <w:sz w:val="16"/>
                                  <w:szCs w:val="16"/>
                                </w:rPr>
                                <w:t>period</w:t>
                              </w:r>
                            </w:p>
                          </w:txbxContent>
                        </v:textbox>
                      </v:shape>
                      <v:shape id="Text Box 33" o:spid="_x0000_s1029" type="#_x0000_t202" style="position:absolute;left:1125;top:5355;width:2940;height:1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3aZMIA&#10;AADbAAAADwAAAGRycy9kb3ducmV2LnhtbESP3YrCMBSE74V9h3AWvNPUH1ypRlkWBL3wwroPcLY5&#10;21abk5JEW316IwheDjPzDbNcd6YWV3K+sqxgNExAEOdWV1wo+D1uBnMQPiBrrC2Tght5WK8+ektM&#10;tW35QNcsFCJC2KeooAyhSaX0eUkG/dA2xNH7t85giNIVUjtsI9zUcpwkM2mw4rhQYkM/JeXn7GIU&#10;dHc7/RsdMJz33PLuRF/Z/O6U6n923wsQgbrwDr/aW61gMoHnl/g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zdpkwgAAANsAAAAPAAAAAAAAAAAAAAAAAJgCAABkcnMvZG93&#10;bnJldi54bWxQSwUGAAAAAAQABAD1AAAAhwMAAAAA&#10;" fillcolor="#d2711c" strokecolor="white" strokeweight="3pt">
                        <v:shadow on="t" color="black" opacity="24903f" origin=",.5" offset="0,.55556mm"/>
                        <v:textbox>
                          <w:txbxContent>
                            <w:p w:rsidR="00D23B55" w:rsidRPr="00BB3E25" w:rsidRDefault="00D23B55" w:rsidP="00B008D9">
                              <w:pPr>
                                <w:jc w:val="center"/>
                                <w:rPr>
                                  <w:rFonts w:ascii="Arial Narrow" w:hAnsi="Arial Narrow"/>
                                  <w:b/>
                                  <w:color w:val="FFFFFF"/>
                                  <w:spacing w:val="-4"/>
                                </w:rPr>
                              </w:pPr>
                              <w:r w:rsidRPr="00BB3E25">
                                <w:rPr>
                                  <w:rFonts w:ascii="Arial Narrow" w:hAnsi="Arial Narrow"/>
                                  <w:b/>
                                  <w:color w:val="FFFFFF"/>
                                  <w:spacing w:val="-4"/>
                                </w:rPr>
                                <w:t>Future</w:t>
                              </w:r>
                              <w:r>
                                <w:rPr>
                                  <w:rFonts w:ascii="Arial Narrow" w:hAnsi="Arial Narrow"/>
                                  <w:b/>
                                  <w:color w:val="FFFFFF"/>
                                  <w:spacing w:val="-4"/>
                                </w:rPr>
                                <w:t xml:space="preserve"> </w:t>
                              </w:r>
                              <w:r w:rsidRPr="00BB3E25">
                                <w:rPr>
                                  <w:rFonts w:ascii="Arial Narrow" w:hAnsi="Arial Narrow"/>
                                  <w:b/>
                                  <w:color w:val="FFFFFF"/>
                                  <w:spacing w:val="-4"/>
                                </w:rPr>
                                <w:t>Affordable</w:t>
                              </w:r>
                              <w:r>
                                <w:rPr>
                                  <w:rFonts w:ascii="Arial Narrow" w:hAnsi="Arial Narrow"/>
                                  <w:b/>
                                  <w:color w:val="FFFFFF"/>
                                  <w:spacing w:val="-4"/>
                                </w:rPr>
                                <w:t xml:space="preserve"> </w:t>
                              </w:r>
                              <w:r w:rsidRPr="00BB3E25">
                                <w:rPr>
                                  <w:rFonts w:ascii="Arial Narrow" w:hAnsi="Arial Narrow"/>
                                  <w:b/>
                                  <w:color w:val="FFFFFF"/>
                                  <w:spacing w:val="-4"/>
                                </w:rPr>
                                <w:t>Housing</w:t>
                              </w:r>
                              <w:r>
                                <w:rPr>
                                  <w:rFonts w:ascii="Arial Narrow" w:hAnsi="Arial Narrow"/>
                                  <w:b/>
                                  <w:color w:val="FFFFFF"/>
                                  <w:spacing w:val="-4"/>
                                </w:rPr>
                                <w:t xml:space="preserve"> </w:t>
                              </w:r>
                              <w:r w:rsidRPr="00BB3E25">
                                <w:rPr>
                                  <w:rFonts w:ascii="Arial Narrow" w:hAnsi="Arial Narrow"/>
                                  <w:b/>
                                  <w:color w:val="FFFFFF"/>
                                  <w:spacing w:val="-4"/>
                                </w:rPr>
                                <w:t>Supply</w:t>
                              </w:r>
                            </w:p>
                            <w:p w:rsidR="00D23B55" w:rsidRPr="00A71076" w:rsidRDefault="00D23B55" w:rsidP="00B008D9">
                              <w:pPr>
                                <w:jc w:val="center"/>
                                <w:rPr>
                                  <w:rFonts w:ascii="Arial Narrow" w:hAnsi="Arial Narrow"/>
                                  <w:b/>
                                  <w:color w:val="FFFFFF"/>
                                  <w:sz w:val="12"/>
                                  <w:szCs w:val="12"/>
                                </w:rPr>
                              </w:pPr>
                            </w:p>
                            <w:p w:rsidR="00D23B55" w:rsidRPr="00BB3E25" w:rsidRDefault="00D23B55" w:rsidP="00B008D9">
                              <w:pPr>
                                <w:jc w:val="center"/>
                                <w:rPr>
                                  <w:rFonts w:ascii="Arial Narrow" w:hAnsi="Arial Narrow"/>
                                  <w:color w:val="FFFFFF"/>
                                  <w:sz w:val="16"/>
                                  <w:szCs w:val="16"/>
                                </w:rPr>
                              </w:pPr>
                              <w:r w:rsidRPr="00BB3E25">
                                <w:rPr>
                                  <w:rFonts w:ascii="Arial Narrow" w:hAnsi="Arial Narrow"/>
                                  <w:color w:val="FFFFFF"/>
                                  <w:sz w:val="16"/>
                                  <w:szCs w:val="16"/>
                                </w:rPr>
                                <w:t>Estimate</w:t>
                              </w:r>
                              <w:r>
                                <w:rPr>
                                  <w:rFonts w:ascii="Arial Narrow" w:hAnsi="Arial Narrow"/>
                                  <w:color w:val="FFFFFF"/>
                                  <w:sz w:val="16"/>
                                  <w:szCs w:val="16"/>
                                </w:rPr>
                                <w:t xml:space="preserve"> </w:t>
                              </w:r>
                              <w:r w:rsidRPr="00BB3E25">
                                <w:rPr>
                                  <w:rFonts w:ascii="Arial Narrow" w:hAnsi="Arial Narrow"/>
                                  <w:color w:val="FFFFFF"/>
                                  <w:sz w:val="16"/>
                                  <w:szCs w:val="16"/>
                                </w:rPr>
                                <w:t>of</w:t>
                              </w:r>
                              <w:r>
                                <w:rPr>
                                  <w:rFonts w:ascii="Arial Narrow" w:hAnsi="Arial Narrow"/>
                                  <w:color w:val="FFFFFF"/>
                                  <w:sz w:val="16"/>
                                  <w:szCs w:val="16"/>
                                </w:rPr>
                                <w:t xml:space="preserve"> </w:t>
                              </w:r>
                              <w:r w:rsidRPr="00BB3E25">
                                <w:rPr>
                                  <w:rFonts w:ascii="Arial Narrow" w:hAnsi="Arial Narrow"/>
                                  <w:i/>
                                  <w:color w:val="FFFFFF"/>
                                  <w:sz w:val="16"/>
                                  <w:szCs w:val="16"/>
                                </w:rPr>
                                <w:t>Supply</w:t>
                              </w:r>
                              <w:r>
                                <w:rPr>
                                  <w:rFonts w:ascii="Arial Narrow" w:hAnsi="Arial Narrow"/>
                                  <w:i/>
                                  <w:color w:val="FFFFFF"/>
                                  <w:sz w:val="16"/>
                                  <w:szCs w:val="16"/>
                                </w:rPr>
                                <w:t xml:space="preserve"> </w:t>
                              </w:r>
                              <w:r w:rsidRPr="00BB3E25">
                                <w:rPr>
                                  <w:rFonts w:ascii="Arial Narrow" w:hAnsi="Arial Narrow"/>
                                  <w:i/>
                                  <w:color w:val="FFFFFF"/>
                                  <w:sz w:val="16"/>
                                  <w:szCs w:val="16"/>
                                </w:rPr>
                                <w:t>of</w:t>
                              </w:r>
                              <w:r>
                                <w:rPr>
                                  <w:rFonts w:ascii="Arial Narrow" w:hAnsi="Arial Narrow"/>
                                  <w:i/>
                                  <w:color w:val="FFFFFF"/>
                                  <w:sz w:val="16"/>
                                  <w:szCs w:val="16"/>
                                </w:rPr>
                                <w:t xml:space="preserve"> </w:t>
                              </w:r>
                              <w:r w:rsidRPr="00BB3E25">
                                <w:rPr>
                                  <w:rFonts w:ascii="Arial Narrow" w:hAnsi="Arial Narrow"/>
                                  <w:i/>
                                  <w:color w:val="FFFFFF"/>
                                  <w:sz w:val="16"/>
                                  <w:szCs w:val="16"/>
                                </w:rPr>
                                <w:t>Affordable</w:t>
                              </w:r>
                              <w:r>
                                <w:rPr>
                                  <w:rFonts w:ascii="Arial Narrow" w:hAnsi="Arial Narrow"/>
                                  <w:i/>
                                  <w:color w:val="FFFFFF"/>
                                  <w:sz w:val="16"/>
                                  <w:szCs w:val="16"/>
                                </w:rPr>
                                <w:t xml:space="preserve"> </w:t>
                              </w:r>
                              <w:r w:rsidRPr="00BB3E25">
                                <w:rPr>
                                  <w:rFonts w:ascii="Arial Narrow" w:hAnsi="Arial Narrow"/>
                                  <w:i/>
                                  <w:color w:val="FFFFFF"/>
                                  <w:sz w:val="16"/>
                                  <w:szCs w:val="16"/>
                                </w:rPr>
                                <w:t>Housing</w:t>
                              </w:r>
                              <w:r>
                                <w:rPr>
                                  <w:rFonts w:ascii="Arial Narrow" w:hAnsi="Arial Narrow"/>
                                  <w:i/>
                                  <w:color w:val="FFFFFF"/>
                                  <w:sz w:val="16"/>
                                  <w:szCs w:val="16"/>
                                </w:rPr>
                                <w:t xml:space="preserve"> </w:t>
                              </w:r>
                              <w:r w:rsidRPr="00BB3E25">
                                <w:rPr>
                                  <w:rFonts w:ascii="Arial Narrow" w:hAnsi="Arial Narrow"/>
                                  <w:i/>
                                  <w:color w:val="FFFFFF"/>
                                  <w:sz w:val="16"/>
                                  <w:szCs w:val="16"/>
                                </w:rPr>
                                <w:t>from</w:t>
                              </w:r>
                              <w:r>
                                <w:rPr>
                                  <w:rFonts w:ascii="Arial Narrow" w:hAnsi="Arial Narrow"/>
                                  <w:i/>
                                  <w:color w:val="FFFFFF"/>
                                  <w:sz w:val="16"/>
                                  <w:szCs w:val="16"/>
                                </w:rPr>
                                <w:t xml:space="preserve"> </w:t>
                              </w:r>
                              <w:r w:rsidRPr="00BB3E25">
                                <w:rPr>
                                  <w:rFonts w:ascii="Arial Narrow" w:hAnsi="Arial Narrow"/>
                                  <w:i/>
                                  <w:color w:val="FFFFFF"/>
                                  <w:sz w:val="16"/>
                                  <w:szCs w:val="16"/>
                                </w:rPr>
                                <w:t>Relets</w:t>
                              </w:r>
                              <w:r>
                                <w:rPr>
                                  <w:rFonts w:ascii="Arial Narrow" w:hAnsi="Arial Narrow"/>
                                  <w:i/>
                                  <w:color w:val="FFFFFF"/>
                                  <w:sz w:val="16"/>
                                  <w:szCs w:val="16"/>
                                </w:rPr>
                                <w:t xml:space="preserve"> </w:t>
                              </w:r>
                              <w:r w:rsidRPr="00BB3E25">
                                <w:rPr>
                                  <w:rFonts w:ascii="Arial Narrow" w:hAnsi="Arial Narrow"/>
                                  <w:i/>
                                  <w:color w:val="FFFFFF"/>
                                  <w:sz w:val="16"/>
                                  <w:szCs w:val="16"/>
                                </w:rPr>
                                <w:t>of</w:t>
                              </w:r>
                              <w:r>
                                <w:rPr>
                                  <w:rFonts w:ascii="Arial Narrow" w:hAnsi="Arial Narrow"/>
                                  <w:i/>
                                  <w:color w:val="FFFFFF"/>
                                  <w:sz w:val="16"/>
                                  <w:szCs w:val="16"/>
                                </w:rPr>
                                <w:t xml:space="preserve"> </w:t>
                              </w:r>
                              <w:r w:rsidRPr="00BB3E25">
                                <w:rPr>
                                  <w:rFonts w:ascii="Arial Narrow" w:hAnsi="Arial Narrow"/>
                                  <w:i/>
                                  <w:color w:val="FFFFFF"/>
                                  <w:sz w:val="16"/>
                                  <w:szCs w:val="16"/>
                                </w:rPr>
                                <w:t>Existing</w:t>
                              </w:r>
                              <w:r>
                                <w:rPr>
                                  <w:rFonts w:ascii="Arial Narrow" w:hAnsi="Arial Narrow"/>
                                  <w:i/>
                                  <w:color w:val="FFFFFF"/>
                                  <w:sz w:val="16"/>
                                  <w:szCs w:val="16"/>
                                </w:rPr>
                                <w:t xml:space="preserve"> </w:t>
                              </w:r>
                              <w:r w:rsidRPr="00BB3E25">
                                <w:rPr>
                                  <w:rFonts w:ascii="Arial Narrow" w:hAnsi="Arial Narrow"/>
                                  <w:i/>
                                  <w:color w:val="FFFFFF"/>
                                  <w:sz w:val="16"/>
                                  <w:szCs w:val="16"/>
                                </w:rPr>
                                <w:t>Properties</w:t>
                              </w:r>
                              <w:r>
                                <w:rPr>
                                  <w:rFonts w:ascii="Arial Narrow" w:hAnsi="Arial Narrow"/>
                                  <w:color w:val="FFFFFF"/>
                                  <w:sz w:val="16"/>
                                  <w:szCs w:val="16"/>
                                </w:rPr>
                                <w:t xml:space="preserve"> </w:t>
                              </w:r>
                              <w:r w:rsidRPr="00BB3E25">
                                <w:rPr>
                                  <w:rFonts w:ascii="Arial Narrow" w:hAnsi="Arial Narrow"/>
                                  <w:color w:val="FFFFFF"/>
                                  <w:sz w:val="16"/>
                                  <w:szCs w:val="16"/>
                                </w:rPr>
                                <w:t>over</w:t>
                              </w:r>
                              <w:r>
                                <w:rPr>
                                  <w:rFonts w:ascii="Arial Narrow" w:hAnsi="Arial Narrow"/>
                                  <w:color w:val="FFFFFF"/>
                                  <w:sz w:val="16"/>
                                  <w:szCs w:val="16"/>
                                </w:rPr>
                                <w:t xml:space="preserve"> </w:t>
                              </w:r>
                              <w:r w:rsidRPr="00BB3E25">
                                <w:rPr>
                                  <w:rFonts w:ascii="Arial Narrow" w:hAnsi="Arial Narrow"/>
                                  <w:color w:val="FFFFFF"/>
                                  <w:sz w:val="16"/>
                                  <w:szCs w:val="16"/>
                                </w:rPr>
                                <w:t>plan</w:t>
                              </w:r>
                              <w:r>
                                <w:rPr>
                                  <w:rFonts w:ascii="Arial Narrow" w:hAnsi="Arial Narrow"/>
                                  <w:color w:val="FFFFFF"/>
                                  <w:sz w:val="16"/>
                                  <w:szCs w:val="16"/>
                                </w:rPr>
                                <w:t xml:space="preserve"> </w:t>
                              </w:r>
                              <w:r w:rsidRPr="00BB3E25">
                                <w:rPr>
                                  <w:rFonts w:ascii="Arial Narrow" w:hAnsi="Arial Narrow"/>
                                  <w:color w:val="FFFFFF"/>
                                  <w:sz w:val="16"/>
                                  <w:szCs w:val="16"/>
                                </w:rPr>
                                <w:t>period</w:t>
                              </w:r>
                              <w:r>
                                <w:rPr>
                                  <w:rFonts w:ascii="Arial Narrow" w:hAnsi="Arial Narrow"/>
                                  <w:color w:val="FFFFFF"/>
                                  <w:sz w:val="16"/>
                                  <w:szCs w:val="16"/>
                                </w:rPr>
                                <w:t xml:space="preserve"> </w:t>
                              </w:r>
                            </w:p>
                          </w:txbxContent>
                        </v:textbox>
                      </v:shape>
                      <v:shape id="Text Box 37" o:spid="_x0000_s1030" type="#_x0000_t202" style="position:absolute;left:7800;top:3770;width:2940;height:1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cZ8MA&#10;AADbAAAADwAAAGRycy9kb3ducmV2LnhtbESPQWvCQBSE7wX/w/KE3urGWpoQXUUKBXvowegPeGaf&#10;2Wj2bdjdmtRf3y0Uehxm5htmtRltJ27kQ+tYwXyWgSCunW65UXA8vD8VIEJE1tg5JgXfFGCznjys&#10;sNRu4D3dqtiIBOFQogITY19KGWpDFsPM9cTJOztvMSbpG6k9DgluO/mcZa/SYstpwWBPb4bqa/Vl&#10;FYx393Ka7zFeP3ngjwvlVXH3Sj1Ox+0SRKQx/of/2jutYJHD75f0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bcZ8MAAADbAAAADwAAAAAAAAAAAAAAAACYAgAAZHJzL2Rv&#10;d25yZXYueG1sUEsFBgAAAAAEAAQA9QAAAIgDAAAAAA==&#10;" fillcolor="#d2711c" strokecolor="white" strokeweight="3pt">
                        <v:shadow on="t" color="black" opacity="24903f" origin=",.5" offset="0,.55556mm"/>
                        <v:textbox>
                          <w:txbxContent>
                            <w:p w:rsidR="00D23B55" w:rsidRPr="00BD25ED" w:rsidRDefault="00D23B55" w:rsidP="00B008D9">
                              <w:pPr>
                                <w:jc w:val="center"/>
                                <w:rPr>
                                  <w:rFonts w:ascii="Arial Narrow" w:hAnsi="Arial Narrow"/>
                                  <w:b/>
                                  <w:color w:val="FFFFFF"/>
                                  <w:spacing w:val="-4"/>
                                </w:rPr>
                              </w:pPr>
                              <w:r w:rsidRPr="00BD25ED">
                                <w:rPr>
                                  <w:rFonts w:ascii="Arial Narrow" w:hAnsi="Arial Narrow"/>
                                  <w:b/>
                                  <w:color w:val="FFFFFF"/>
                                  <w:spacing w:val="-4"/>
                                </w:rPr>
                                <w:t>Current</w:t>
                              </w:r>
                              <w:r>
                                <w:rPr>
                                  <w:rFonts w:ascii="Arial Narrow" w:hAnsi="Arial Narrow"/>
                                  <w:b/>
                                  <w:color w:val="FFFFFF"/>
                                  <w:spacing w:val="-4"/>
                                </w:rPr>
                                <w:t xml:space="preserve"> </w:t>
                              </w:r>
                              <w:r w:rsidRPr="00BD25ED">
                                <w:rPr>
                                  <w:rFonts w:ascii="Arial Narrow" w:hAnsi="Arial Narrow"/>
                                  <w:b/>
                                  <w:color w:val="FFFFFF"/>
                                  <w:spacing w:val="-4"/>
                                </w:rPr>
                                <w:t>Housing</w:t>
                              </w:r>
                              <w:r>
                                <w:rPr>
                                  <w:rFonts w:ascii="Arial Narrow" w:hAnsi="Arial Narrow"/>
                                  <w:b/>
                                  <w:color w:val="FFFFFF"/>
                                  <w:spacing w:val="-4"/>
                                </w:rPr>
                                <w:t xml:space="preserve"> </w:t>
                              </w:r>
                              <w:r w:rsidRPr="00BD25ED">
                                <w:rPr>
                                  <w:rFonts w:ascii="Arial Narrow" w:hAnsi="Arial Narrow"/>
                                  <w:b/>
                                  <w:color w:val="FFFFFF"/>
                                  <w:spacing w:val="-4"/>
                                </w:rPr>
                                <w:t>Need</w:t>
                              </w:r>
                              <w:r>
                                <w:rPr>
                                  <w:rFonts w:ascii="Arial Narrow" w:hAnsi="Arial Narrow"/>
                                  <w:b/>
                                  <w:color w:val="FFFFFF"/>
                                  <w:spacing w:val="-4"/>
                                </w:rPr>
                                <w:t xml:space="preserve"> </w:t>
                              </w:r>
                              <w:r w:rsidRPr="00BD25ED">
                                <w:rPr>
                                  <w:rFonts w:ascii="Arial Narrow" w:hAnsi="Arial Narrow"/>
                                  <w:b/>
                                  <w:color w:val="FFFFFF"/>
                                  <w:spacing w:val="-4"/>
                                </w:rPr>
                                <w:t>(Gross)</w:t>
                              </w:r>
                            </w:p>
                            <w:p w:rsidR="00D23B55" w:rsidRPr="00A71076" w:rsidRDefault="00D23B55" w:rsidP="00B008D9">
                              <w:pPr>
                                <w:jc w:val="center"/>
                                <w:rPr>
                                  <w:rFonts w:ascii="Arial Narrow" w:hAnsi="Arial Narrow"/>
                                  <w:b/>
                                  <w:color w:val="FFFFFF"/>
                                  <w:sz w:val="12"/>
                                  <w:szCs w:val="12"/>
                                </w:rPr>
                              </w:pPr>
                            </w:p>
                            <w:p w:rsidR="00D23B55" w:rsidRPr="00BB3E25" w:rsidRDefault="00D23B55" w:rsidP="00B008D9">
                              <w:pPr>
                                <w:jc w:val="center"/>
                                <w:rPr>
                                  <w:rFonts w:ascii="Arial Narrow" w:hAnsi="Arial Narrow"/>
                                  <w:color w:val="FFFFFF"/>
                                  <w:sz w:val="16"/>
                                  <w:szCs w:val="16"/>
                                </w:rPr>
                              </w:pPr>
                              <w:r w:rsidRPr="00BB3E25">
                                <w:rPr>
                                  <w:rFonts w:ascii="Arial Narrow" w:hAnsi="Arial Narrow"/>
                                  <w:i/>
                                  <w:color w:val="FFFFFF"/>
                                  <w:sz w:val="16"/>
                                  <w:szCs w:val="16"/>
                                </w:rPr>
                                <w:t>Current</w:t>
                              </w:r>
                              <w:r>
                                <w:rPr>
                                  <w:rFonts w:ascii="Arial Narrow" w:hAnsi="Arial Narrow"/>
                                  <w:i/>
                                  <w:color w:val="FFFFFF"/>
                                  <w:sz w:val="16"/>
                                  <w:szCs w:val="16"/>
                                </w:rPr>
                                <w:t xml:space="preserve"> </w:t>
                              </w:r>
                              <w:r w:rsidRPr="00BB3E25">
                                <w:rPr>
                                  <w:rFonts w:ascii="Arial Narrow" w:hAnsi="Arial Narrow"/>
                                  <w:i/>
                                  <w:color w:val="FFFFFF"/>
                                  <w:sz w:val="16"/>
                                  <w:szCs w:val="16"/>
                                </w:rPr>
                                <w:t>Households</w:t>
                              </w:r>
                              <w:r>
                                <w:rPr>
                                  <w:rFonts w:ascii="Arial Narrow" w:hAnsi="Arial Narrow"/>
                                  <w:i/>
                                  <w:color w:val="FFFFFF"/>
                                  <w:sz w:val="16"/>
                                  <w:szCs w:val="16"/>
                                </w:rPr>
                                <w:t xml:space="preserve"> </w:t>
                              </w:r>
                              <w:r w:rsidRPr="00BB3E25">
                                <w:rPr>
                                  <w:rFonts w:ascii="Arial Narrow" w:hAnsi="Arial Narrow"/>
                                  <w:i/>
                                  <w:color w:val="FFFFFF"/>
                                  <w:sz w:val="16"/>
                                  <w:szCs w:val="16"/>
                                </w:rPr>
                                <w:t>in</w:t>
                              </w:r>
                              <w:r>
                                <w:rPr>
                                  <w:rFonts w:ascii="Arial Narrow" w:hAnsi="Arial Narrow"/>
                                  <w:i/>
                                  <w:color w:val="FFFFFF"/>
                                  <w:sz w:val="16"/>
                                  <w:szCs w:val="16"/>
                                </w:rPr>
                                <w:t xml:space="preserve"> </w:t>
                              </w:r>
                              <w:r w:rsidRPr="00BB3E25">
                                <w:rPr>
                                  <w:rFonts w:ascii="Arial Narrow" w:hAnsi="Arial Narrow"/>
                                  <w:i/>
                                  <w:color w:val="FFFFFF"/>
                                  <w:sz w:val="16"/>
                                  <w:szCs w:val="16"/>
                                </w:rPr>
                                <w:t>Housing</w:t>
                              </w:r>
                              <w:r>
                                <w:rPr>
                                  <w:rFonts w:ascii="Arial Narrow" w:hAnsi="Arial Narrow"/>
                                  <w:i/>
                                  <w:color w:val="FFFFFF"/>
                                  <w:sz w:val="16"/>
                                  <w:szCs w:val="16"/>
                                </w:rPr>
                                <w:t xml:space="preserve"> </w:t>
                              </w:r>
                              <w:r w:rsidRPr="00BB3E25">
                                <w:rPr>
                                  <w:rFonts w:ascii="Arial Narrow" w:hAnsi="Arial Narrow"/>
                                  <w:i/>
                                  <w:color w:val="FFFFFF"/>
                                  <w:sz w:val="16"/>
                                  <w:szCs w:val="16"/>
                                </w:rPr>
                                <w:t>Need</w:t>
                              </w:r>
                              <w:r>
                                <w:rPr>
                                  <w:rFonts w:ascii="Arial Narrow" w:hAnsi="Arial Narrow"/>
                                  <w:color w:val="FFFFFF"/>
                                  <w:sz w:val="16"/>
                                  <w:szCs w:val="16"/>
                                </w:rPr>
                                <w:t xml:space="preserve"> </w:t>
                              </w:r>
                              <w:r w:rsidRPr="00BB3E25">
                                <w:rPr>
                                  <w:rFonts w:ascii="Arial Narrow" w:hAnsi="Arial Narrow"/>
                                  <w:color w:val="FFFFFF"/>
                                  <w:sz w:val="16"/>
                                  <w:szCs w:val="16"/>
                                </w:rPr>
                                <w:t>based</w:t>
                              </w:r>
                              <w:r>
                                <w:rPr>
                                  <w:rFonts w:ascii="Arial Narrow" w:hAnsi="Arial Narrow"/>
                                  <w:color w:val="FFFFFF"/>
                                  <w:sz w:val="16"/>
                                  <w:szCs w:val="16"/>
                                </w:rPr>
                                <w:t xml:space="preserve"> </w:t>
                              </w:r>
                              <w:r w:rsidRPr="00BB3E25">
                                <w:rPr>
                                  <w:rFonts w:ascii="Arial Narrow" w:hAnsi="Arial Narrow"/>
                                  <w:color w:val="FFFFFF"/>
                                  <w:sz w:val="16"/>
                                  <w:szCs w:val="16"/>
                                </w:rPr>
                                <w:t>on</w:t>
                              </w:r>
                              <w:r>
                                <w:rPr>
                                  <w:rFonts w:ascii="Arial Narrow" w:hAnsi="Arial Narrow"/>
                                  <w:color w:val="FFFFFF"/>
                                  <w:sz w:val="16"/>
                                  <w:szCs w:val="16"/>
                                </w:rPr>
                                <w:t xml:space="preserve"> </w:t>
                              </w:r>
                              <w:r w:rsidRPr="00BB3E25">
                                <w:rPr>
                                  <w:rFonts w:ascii="Arial Narrow" w:hAnsi="Arial Narrow"/>
                                  <w:color w:val="FFFFFF"/>
                                  <w:sz w:val="16"/>
                                  <w:szCs w:val="16"/>
                                </w:rPr>
                                <w:t>Census</w:t>
                              </w:r>
                              <w:r>
                                <w:rPr>
                                  <w:rFonts w:ascii="Arial Narrow" w:hAnsi="Arial Narrow"/>
                                  <w:color w:val="FFFFFF"/>
                                  <w:sz w:val="16"/>
                                  <w:szCs w:val="16"/>
                                </w:rPr>
                                <w:t xml:space="preserve"> </w:t>
                              </w:r>
                              <w:r w:rsidRPr="00BB3E25">
                                <w:rPr>
                                  <w:rFonts w:ascii="Arial Narrow" w:hAnsi="Arial Narrow"/>
                                  <w:color w:val="FFFFFF"/>
                                  <w:sz w:val="16"/>
                                  <w:szCs w:val="16"/>
                                </w:rPr>
                                <w:t>and</w:t>
                              </w:r>
                              <w:r>
                                <w:rPr>
                                  <w:rFonts w:ascii="Arial Narrow" w:hAnsi="Arial Narrow"/>
                                  <w:color w:val="FFFFFF"/>
                                  <w:sz w:val="16"/>
                                  <w:szCs w:val="16"/>
                                </w:rPr>
                                <w:t xml:space="preserve"> </w:t>
                              </w:r>
                              <w:r w:rsidRPr="00BB3E25">
                                <w:rPr>
                                  <w:rFonts w:ascii="Arial Narrow" w:hAnsi="Arial Narrow"/>
                                  <w:color w:val="FFFFFF"/>
                                  <w:sz w:val="16"/>
                                  <w:szCs w:val="16"/>
                                </w:rPr>
                                <w:t>other</w:t>
                              </w:r>
                              <w:r>
                                <w:rPr>
                                  <w:rFonts w:ascii="Arial Narrow" w:hAnsi="Arial Narrow"/>
                                  <w:color w:val="FFFFFF"/>
                                  <w:sz w:val="16"/>
                                  <w:szCs w:val="16"/>
                                </w:rPr>
                                <w:t xml:space="preserve"> </w:t>
                              </w:r>
                              <w:r w:rsidRPr="00BB3E25">
                                <w:rPr>
                                  <w:rFonts w:ascii="Arial Narrow" w:hAnsi="Arial Narrow"/>
                                  <w:color w:val="FFFFFF"/>
                                  <w:sz w:val="16"/>
                                  <w:szCs w:val="16"/>
                                </w:rPr>
                                <w:t>modelled</w:t>
                              </w:r>
                              <w:r>
                                <w:rPr>
                                  <w:rFonts w:ascii="Arial Narrow" w:hAnsi="Arial Narrow"/>
                                  <w:color w:val="FFFFFF"/>
                                  <w:sz w:val="16"/>
                                  <w:szCs w:val="16"/>
                                </w:rPr>
                                <w:t xml:space="preserve"> </w:t>
                              </w:r>
                              <w:r w:rsidRPr="00BB3E25">
                                <w:rPr>
                                  <w:rFonts w:ascii="Arial Narrow" w:hAnsi="Arial Narrow"/>
                                  <w:color w:val="FFFFFF"/>
                                  <w:sz w:val="16"/>
                                  <w:szCs w:val="16"/>
                                </w:rPr>
                                <w:t>data</w:t>
                              </w:r>
                              <w:r>
                                <w:rPr>
                                  <w:rFonts w:ascii="Arial Narrow" w:hAnsi="Arial Narrow"/>
                                  <w:color w:val="FFFFFF"/>
                                  <w:sz w:val="16"/>
                                  <w:szCs w:val="16"/>
                                </w:rPr>
                                <w:t xml:space="preserve"> </w:t>
                              </w:r>
                            </w:p>
                          </w:txbxContent>
                        </v:textbox>
                      </v:shape>
                      <v:shape id="Text Box 38" o:spid="_x0000_s1031" type="#_x0000_t202" style="position:absolute;left:5925;top:4594;width:1485;height:9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BjD8IA&#10;AADbAAAADwAAAGRycy9kb3ducmV2LnhtbERPTU/CQBC9m/AfNmPCDbZARC0shBDbmHAgosbr0B3b&#10;hu5s7S5Q/71zIPH48r6X69416kJdqD0bmIwTUMSFtzWXBj7es9ETqBCRLTaeycAvBVivBndLTK2/&#10;8htdDrFUEsIhRQNVjG2qdSgqchjGviUW7tt3DqPArtS2w6uEu0ZPk2SuHdYsDRW2tK2oOB3OTnrP&#10;P48vk2z/ldefeebzeNw8P+yMGd73mwWoSH38F9/cr9bATMbKF/kB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QGMPwgAAANsAAAAPAAAAAAAAAAAAAAAAAJgCAABkcnMvZG93&#10;bnJldi54bWxQSwUGAAAAAAQABAD1AAAAhwMAAAAA&#10;" fillcolor="#0093d5" strokecolor="white" strokeweight="3pt">
                        <v:shadow on="t" color="black" opacity="24903f" origin=",.5" offset="0,.55556mm"/>
                        <v:textbox>
                          <w:txbxContent>
                            <w:p w:rsidR="00D23B55" w:rsidRPr="00BD25ED" w:rsidRDefault="00D23B55" w:rsidP="00B008D9">
                              <w:pPr>
                                <w:spacing w:line="216" w:lineRule="auto"/>
                                <w:jc w:val="center"/>
                                <w:rPr>
                                  <w:rFonts w:ascii="Arial Narrow" w:hAnsi="Arial Narrow"/>
                                  <w:b/>
                                  <w:color w:val="FFFFFF"/>
                                </w:rPr>
                              </w:pPr>
                              <w:r w:rsidRPr="00BD25ED">
                                <w:rPr>
                                  <w:rFonts w:ascii="Arial Narrow" w:hAnsi="Arial Narrow"/>
                                  <w:b/>
                                  <w:color w:val="FFFFFF"/>
                                </w:rPr>
                                <w:t>Total</w:t>
                              </w:r>
                              <w:r>
                                <w:rPr>
                                  <w:rFonts w:ascii="Arial Narrow" w:hAnsi="Arial Narrow"/>
                                  <w:b/>
                                  <w:color w:val="FFFFFF"/>
                                </w:rPr>
                                <w:t xml:space="preserve"> </w:t>
                              </w:r>
                              <w:r w:rsidRPr="00BD25ED">
                                <w:rPr>
                                  <w:rFonts w:ascii="Arial Narrow" w:hAnsi="Arial Narrow"/>
                                  <w:b/>
                                  <w:color w:val="FFFFFF"/>
                                </w:rPr>
                                <w:t>Net</w:t>
                              </w:r>
                              <w:r>
                                <w:rPr>
                                  <w:rFonts w:ascii="Arial Narrow" w:hAnsi="Arial Narrow"/>
                                  <w:b/>
                                  <w:color w:val="FFFFFF"/>
                                </w:rPr>
                                <w:t xml:space="preserve"> </w:t>
                              </w:r>
                              <w:r w:rsidRPr="00BD25ED">
                                <w:rPr>
                                  <w:rFonts w:ascii="Arial Narrow" w:hAnsi="Arial Narrow"/>
                                  <w:b/>
                                  <w:color w:val="FFFFFF"/>
                                </w:rPr>
                                <w:t>Current</w:t>
                              </w:r>
                              <w:r>
                                <w:rPr>
                                  <w:rFonts w:ascii="Arial Narrow" w:hAnsi="Arial Narrow"/>
                                  <w:b/>
                                  <w:color w:val="FFFFFF"/>
                                </w:rPr>
                                <w:t xml:space="preserve"> </w:t>
                              </w:r>
                              <w:r w:rsidRPr="00BD25ED">
                                <w:rPr>
                                  <w:rFonts w:ascii="Arial Narrow" w:hAnsi="Arial Narrow"/>
                                  <w:b/>
                                  <w:color w:val="FFFFFF"/>
                                </w:rPr>
                                <w:t>Need</w:t>
                              </w:r>
                            </w:p>
                          </w:txbxContent>
                        </v:textbox>
                      </v:shape>
                      <v:shape id="Text Box 41" o:spid="_x0000_s1032" type="#_x0000_t202" style="position:absolute;left:4440;top:4594;width:1485;height:9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578UA&#10;AADbAAAADwAAAGRycy9kb3ducmV2LnhtbESPS2vCQBSF9wX/w3CF7uokYqtGRxExodBFqQ/cXjPX&#10;JJi5EzOjpv++Uyh0eTiPjzNfdqYWd2pdZVlBPIhAEOdWV1wo2O/SlwkI55E11pZJwTc5WC56T3NM&#10;tH3wF923vhBhhF2CCkrvm0RKl5dk0A1sQxy8s20N+iDbQuoWH2Hc1HIYRW/SYMWBUGJD65Lyy/Zm&#10;Avd2HW/i9POYVYcstZk/raavH0o997vVDISnzv+H/9rvWsEoht8v4Q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fLnvxQAAANsAAAAPAAAAAAAAAAAAAAAAAJgCAABkcnMv&#10;ZG93bnJldi54bWxQSwUGAAAAAAQABAD1AAAAigMAAAAA&#10;" fillcolor="#0093d5" strokecolor="white" strokeweight="3pt">
                        <v:shadow on="t" color="black" opacity="24903f" origin=",.5" offset="0,.55556mm"/>
                        <v:textbox>
                          <w:txbxContent>
                            <w:p w:rsidR="00D23B55" w:rsidRPr="00BD25ED" w:rsidRDefault="00D23B55" w:rsidP="00B008D9">
                              <w:pPr>
                                <w:spacing w:line="216" w:lineRule="auto"/>
                                <w:jc w:val="center"/>
                                <w:rPr>
                                  <w:rFonts w:ascii="Arial Narrow" w:hAnsi="Arial Narrow"/>
                                  <w:b/>
                                  <w:color w:val="FFFFFF"/>
                                </w:rPr>
                              </w:pPr>
                              <w:r w:rsidRPr="00BD25ED">
                                <w:rPr>
                                  <w:rFonts w:ascii="Arial Narrow" w:hAnsi="Arial Narrow"/>
                                  <w:b/>
                                  <w:color w:val="FFFFFF"/>
                                </w:rPr>
                                <w:t>Net</w:t>
                              </w:r>
                              <w:r>
                                <w:rPr>
                                  <w:rFonts w:ascii="Arial Narrow" w:hAnsi="Arial Narrow"/>
                                  <w:b/>
                                  <w:color w:val="FFFFFF"/>
                                </w:rPr>
                                <w:t xml:space="preserve"> </w:t>
                              </w:r>
                              <w:r w:rsidRPr="00BD25ED">
                                <w:rPr>
                                  <w:rFonts w:ascii="Arial Narrow" w:hAnsi="Arial Narrow"/>
                                  <w:b/>
                                  <w:color w:val="FFFFFF"/>
                                </w:rPr>
                                <w:t>Housing</w:t>
                              </w:r>
                              <w:r>
                                <w:rPr>
                                  <w:rFonts w:ascii="Arial Narrow" w:hAnsi="Arial Narrow"/>
                                  <w:b/>
                                  <w:color w:val="FFFFFF"/>
                                </w:rPr>
                                <w:t xml:space="preserve"> </w:t>
                              </w:r>
                              <w:r w:rsidRPr="00BD25ED">
                                <w:rPr>
                                  <w:rFonts w:ascii="Arial Narrow" w:hAnsi="Arial Narrow"/>
                                  <w:b/>
                                  <w:color w:val="FFFFFF"/>
                                </w:rPr>
                                <w:t>Need</w:t>
                              </w:r>
                              <w:r>
                                <w:rPr>
                                  <w:rFonts w:ascii="Arial Narrow" w:hAnsi="Arial Narrow"/>
                                  <w:b/>
                                  <w:color w:val="FFFFFF"/>
                                </w:rPr>
                                <w:t xml:space="preserve"> </w:t>
                              </w:r>
                              <w:r w:rsidRPr="00BD25ED">
                                <w:rPr>
                                  <w:rFonts w:ascii="Arial Narrow" w:hAnsi="Arial Narrow"/>
                                  <w:b/>
                                  <w:color w:val="FFFFFF"/>
                                </w:rPr>
                                <w:t>Arising</w:t>
                              </w:r>
                            </w:p>
                          </w:txbxContent>
                        </v:textbox>
                      </v:shape>
                      <v:shape id="Text Box 42" o:spid="_x0000_s1033" type="#_x0000_t202" style="position:absolute;left:4515;top:6060;width:2895;height: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rB8MA&#10;AADbAAAADwAAAGRycy9kb3ducmV2LnhtbESPzYrCQBCE7wu+w9CCF9GJQUWjo4ioux48+PMATaZN&#10;gpmekBk1+vQ7C8Iei6r6ipovG1OKB9WusKxg0I9AEKdWF5wpuJy3vQkI55E1lpZJwYscLBetrzkm&#10;2j75SI+Tz0SAsEtQQe59lUjp0pwMur6tiIN3tbVBH2SdSV3jM8BNKeMoGkuDBYeFHCta55TeTnej&#10;YMLDfbzprr4NSbuV3d30jaODUp12s5qB8NT4//Cn/aMVDGP4+x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rB8MAAADbAAAADwAAAAAAAAAAAAAAAACYAgAAZHJzL2Rv&#10;d25yZXYueG1sUEsFBgAAAAAEAAQA9QAAAIgDAAAAAA==&#10;" fillcolor="#525557" strokecolor="#3a3c3e" strokeweight="2pt">
                        <v:textbox>
                          <w:txbxContent>
                            <w:p w:rsidR="00D23B55" w:rsidRPr="00BB3E25" w:rsidRDefault="00D23B55" w:rsidP="00B008D9">
                              <w:pPr>
                                <w:jc w:val="center"/>
                                <w:rPr>
                                  <w:rFonts w:ascii="Arial Narrow" w:hAnsi="Arial Narrow"/>
                                  <w:b/>
                                  <w:color w:val="FFFFFF"/>
                                </w:rPr>
                              </w:pPr>
                              <w:r w:rsidRPr="00BB3E25">
                                <w:rPr>
                                  <w:rFonts w:ascii="Arial Narrow" w:hAnsi="Arial Narrow"/>
                                  <w:b/>
                                  <w:color w:val="FFFFFF"/>
                                </w:rPr>
                                <w:t>Total</w:t>
                              </w:r>
                              <w:r>
                                <w:rPr>
                                  <w:rFonts w:ascii="Arial Narrow" w:hAnsi="Arial Narrow"/>
                                  <w:b/>
                                  <w:color w:val="FFFFFF"/>
                                </w:rPr>
                                <w:t xml:space="preserve"> </w:t>
                              </w:r>
                              <w:r w:rsidRPr="00BB3E25">
                                <w:rPr>
                                  <w:rFonts w:ascii="Arial Narrow" w:hAnsi="Arial Narrow"/>
                                  <w:b/>
                                  <w:color w:val="FFFFFF"/>
                                </w:rPr>
                                <w:t>Net</w:t>
                              </w:r>
                              <w:r>
                                <w:rPr>
                                  <w:rFonts w:ascii="Arial Narrow" w:hAnsi="Arial Narrow"/>
                                  <w:b/>
                                  <w:color w:val="FFFFFF"/>
                                </w:rPr>
                                <w:t xml:space="preserve"> </w:t>
                              </w:r>
                              <w:r w:rsidRPr="00BB3E25">
                                <w:rPr>
                                  <w:rFonts w:ascii="Arial Narrow" w:hAnsi="Arial Narrow"/>
                                  <w:b/>
                                  <w:color w:val="FFFFFF"/>
                                </w:rPr>
                                <w:t>Current</w:t>
                              </w:r>
                              <w:r>
                                <w:rPr>
                                  <w:rFonts w:ascii="Arial Narrow" w:hAnsi="Arial Narrow"/>
                                  <w:b/>
                                  <w:color w:val="FFFFFF"/>
                                </w:rPr>
                                <w:t xml:space="preserve"> </w:t>
                              </w:r>
                              <w:r w:rsidRPr="00BB3E25">
                                <w:rPr>
                                  <w:rFonts w:ascii="Arial Narrow" w:hAnsi="Arial Narrow"/>
                                  <w:b/>
                                  <w:color w:val="FFFFFF"/>
                                </w:rPr>
                                <w:t>Need</w:t>
                              </w:r>
                              <w:r>
                                <w:rPr>
                                  <w:rFonts w:ascii="Arial Narrow" w:hAnsi="Arial Narrow"/>
                                  <w:b/>
                                  <w:color w:val="FFFFFF"/>
                                </w:rPr>
                                <w:t xml:space="preserve"> </w:t>
                              </w:r>
                              <w:r w:rsidRPr="00BB3E25">
                                <w:rPr>
                                  <w:rFonts w:ascii="Arial Narrow" w:hAnsi="Arial Narrow"/>
                                  <w:color w:val="FFFFFF"/>
                                </w:rPr>
                                <w:t>Over</w:t>
                              </w:r>
                              <w:r>
                                <w:rPr>
                                  <w:rFonts w:ascii="Arial Narrow" w:hAnsi="Arial Narrow"/>
                                  <w:color w:val="FFFFFF"/>
                                </w:rPr>
                                <w:t xml:space="preserve"> </w:t>
                              </w:r>
                              <w:r w:rsidRPr="00BB3E25">
                                <w:rPr>
                                  <w:rFonts w:ascii="Arial Narrow" w:hAnsi="Arial Narrow"/>
                                  <w:color w:val="FFFFFF"/>
                                </w:rPr>
                                <w:t>plan</w:t>
                              </w:r>
                              <w:r>
                                <w:rPr>
                                  <w:rFonts w:ascii="Arial Narrow" w:hAnsi="Arial Narrow"/>
                                  <w:color w:val="FFFFFF"/>
                                </w:rPr>
                                <w:t xml:space="preserve"> </w:t>
                              </w:r>
                              <w:r w:rsidRPr="00BB3E25">
                                <w:rPr>
                                  <w:rFonts w:ascii="Arial Narrow" w:hAnsi="Arial Narrow"/>
                                  <w:color w:val="FFFFFF"/>
                                </w:rPr>
                                <w:t>period</w:t>
                              </w:r>
                            </w:p>
                          </w:txbxContent>
                        </v:textbox>
                      </v:shape>
                      <v:shapetype id="_x0000_t32" coordsize="21600,21600" o:spt="32" o:oned="t" path="m,l21600,21600e" filled="f">
                        <v:path arrowok="t" fillok="f" o:connecttype="none"/>
                        <o:lock v:ext="edit" shapetype="t"/>
                      </v:shapetype>
                      <v:shape id="AutoShape 11" o:spid="_x0000_s1034" type="#_x0000_t32" style="position:absolute;left:4065;top:4335;width:21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lpecMAAADbAAAADwAAAGRycy9kb3ducmV2LnhtbESPQWvCQBSE74X+h+UVequbWhGNbkIr&#10;rQieEgWvj+xLNjT7NmS3Jv77bqHgcZiZb5htPtlOXGnwrWMFr7MEBHHldMuNgvPp62UFwgdkjZ1j&#10;UnAjD3n2+LDFVLuRC7qWoRERwj5FBSaEPpXSV4Ys+pnriaNXu8FiiHJopB5wjHDbyXmSLKXFluOC&#10;wZ52hqrv8scqON52Y1uPBdnlZb/mef3xWR6MUs9P0/sGRKAp3MP/7YNWsHiDvy/xB8j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paXnDAAAA2wAAAA8AAAAAAAAAAAAA&#10;AAAAoQIAAGRycy9kb3ducmV2LnhtbFBLBQYAAAAABAAEAPkAAACRAwAAAAA=&#10;" strokeweight="1pt">
                        <v:stroke endarrow="block"/>
                        <v:shadow color="#243f60" opacity=".5" offset="1pt"/>
                      </v:shape>
                      <v:shape id="AutoShape 12" o:spid="_x0000_s1035" type="#_x0000_t32" style="position:absolute;left:4275;top:5180;width:1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DxDcIAAADbAAAADwAAAGRycy9kb3ducmV2LnhtbESPQYvCMBSE7wv+h/AEb2uqiOxWo6js&#10;iuDJruD10bw2xealNNHWf28EYY/DzHzDLNe9rcWdWl85VjAZJyCIc6crLhWc/34/v0D4gKyxdkwK&#10;HuRhvRp8LDHVruMT3bNQighhn6ICE0KTSulzQxb92DXE0StcazFE2ZZSt9hFuK3lNEnm0mLFccFg&#10;QztD+TW7WQXHx66riu5Edn7Zf/O02P5kB6PUaNhvFiAC9eE//G4ftILZDF5f4g+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8DxDcIAAADbAAAADwAAAAAAAAAAAAAA&#10;AAChAgAAZHJzL2Rvd25yZXYueG1sUEsFBgAAAAAEAAQA+QAAAJADAAAAAA==&#10;" strokeweight="1pt">
                        <v:stroke endarrow="block"/>
                        <v:shadow color="#243f60" opacity=".5" offset="1pt"/>
                      </v:shape>
                      <v:shape id="AutoShape 13" o:spid="_x0000_s1036" type="#_x0000_t32" style="position:absolute;left:4275;top:4336;width:0;height:17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B2EcMAAADbAAAADwAAAGRycy9kb3ducmV2LnhtbESPQYvCMBSE78L+h/AWvGm6oiJdo6yi&#10;oAcPVg8eH83bptq8lCbV7r/fCILHYWa+YebLzlbiTo0vHSv4GiYgiHOnSy4UnE/bwQyED8gaK8ek&#10;4I88LBcfvTmm2j34SPcsFCJC2KeowIRQp1L63JBFP3Q1cfR+XWMxRNkUUjf4iHBbyVGSTKXFkuOC&#10;wZrWhvJb1tpIOWeX4/6wbttrl53y0X5VbCqjVP+z+/kGEagL7/CrvdMKxhN4fo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AdhHDAAAA2wAAAA8AAAAAAAAAAAAA&#10;AAAAoQIAAGRycy9kb3ducmV2LnhtbFBLBQYAAAAABAAEAPkAAACRAwAAAAA=&#10;" strokeweight="1pt">
                        <v:shadow color="#243f60" opacity=".5" offset="1pt"/>
                      </v:shape>
                      <v:shape id="AutoShape 14" o:spid="_x0000_s1037" type="#_x0000_t32" style="position:absolute;left:4095;top:6059;width:21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7K4cIAAADbAAAADwAAAGRycy9kb3ducmV2LnhtbESPQWvCQBSE7wX/w/IEb3WjSKjRVVSq&#10;CD0ZBa+P7Es2mH0bslsT/323UOhxmJlvmPV2sI14Uudrxwpm0wQEceF0zZWC2/X4/gHCB2SNjWNS&#10;8CIP283obY2Zdj1f6JmHSkQI+wwVmBDaTEpfGLLop64ljl7pOoshyq6SusM+wm0j50mSSos1xwWD&#10;LR0MFY/82yr4eh36uuwvZNP7acnzcv+Zn41Sk/GwW4EINIT/8F/7rBUsUvj9En+A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F7K4cIAAADbAAAADwAAAAAAAAAAAAAA&#10;AAChAgAAZHJzL2Rvd25yZXYueG1sUEsFBgAAAAAEAAQA+QAAAJADAAAAAA==&#10;" strokeweight="1pt">
                        <v:stroke endarrow="block"/>
                        <v:shadow color="#243f60" opacity=".5" offset="1pt"/>
                      </v:shape>
                      <v:shape id="AutoShape 15" o:spid="_x0000_s1038" type="#_x0000_t32" style="position:absolute;left:7575;top:4336;width:2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Uz/sMAAADbAAAADwAAAGRycy9kb3ducmV2LnhtbESPT4vCMBTE78J+h/AW9qapInWpRhFh&#10;xcMe/NPL3h7NM602L6XJ2vrtjSB4HGbmN8xi1dta3Kj1lWMF41ECgrhwumKjID/9DL9B+ICssXZM&#10;Cu7kYbX8GCww067jA92OwYgIYZ+hgjKEJpPSFyVZ9CPXEEfv7FqLIcrWSN1iF+G2lpMkSaXFiuNC&#10;iQ1tSiqux3+rYG/8bn0+mPzeuT/zOwnpZntJlfr67NdzEIH68A6/2jutYDqD55f4A+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1M/7DAAAA2wAAAA8AAAAAAAAAAAAA&#10;AAAAoQIAAGRycy9kb3ducmV2LnhtbFBLBQYAAAAABAAEAPkAAACRAwAAAAA=&#10;" strokeweight="1pt">
                        <v:stroke endarrow="block"/>
                        <v:shadow color="#243f60" opacity=".5" offset="1pt"/>
                      </v:shape>
                      <v:shape id="AutoShape 16" o:spid="_x0000_s1039" type="#_x0000_t32" style="position:absolute;left:7350;top:5180;width:2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qnjMEAAADbAAAADwAAAGRycy9kb3ducmV2LnhtbERPz2vCMBS+D/wfwhN2m6lllNEZRQob&#10;Hnawrhdvj+aZdjYvpcls+9+bg+Dx4/u92U22EzcafOtYwXqVgCCunW7ZKKh+v94+QPiArLFzTApm&#10;8rDbLl42mGs3ckm3UzAihrDPUUETQp9L6euGLPqV64kjd3GDxRDhYKQecIzhtpNpkmTSYsuxocGe&#10;iobq6+nfKjgaf9hfSlPNozubnzRkxfdfptTrctp/ggg0haf44T5oBe9xbPwSf4Dc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KqeMwQAAANsAAAAPAAAAAAAAAAAAAAAA&#10;AKECAABkcnMvZG93bnJldi54bWxQSwUGAAAAAAQABAD5AAAAjwMAAAAA&#10;" strokeweight="1pt">
                        <v:stroke endarrow="block"/>
                        <v:shadow color="#243f60" opacity=".5" offset="1pt"/>
                      </v:shape>
                      <v:shape id="AutoShape 18" o:spid="_x0000_s1040" type="#_x0000_t32" style="position:absolute;left:7575;top:4335;width:0;height: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DVMQAAADbAAAADwAAAGRycy9kb3ducmV2LnhtbESPwW7CMAyG75N4h8hI3EYKEmjqCGgg&#10;kOCwA4XDjlbjNd0ap2pSKG8/H5B2tH7/n/2tNoNv1I26WAc2MJtmoIjLYGuuDFwvh9c3UDEhW2wC&#10;k4EHRdisRy8rzG2485luRaqUQDjmaMCl1OZax9KRxzgNLbFk36HzmGTsKm07vAvcN3qeZUvtsWa5&#10;4LClnaPyt+i9UK7F1/n0uev7n6G4lPPTtto3zpjJePh4B5VoSP/Lz/bRGljI9+IiHq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7kNUxAAAANsAAAAPAAAAAAAAAAAA&#10;AAAAAKECAABkcnMvZG93bnJldi54bWxQSwUGAAAAAAQABAD5AAAAkgMAAAAA&#10;" strokeweight="1pt">
                        <v:shadow color="#243f60" opacity=".5" offset="1pt"/>
                      </v:shape>
                      <v:shape id="AutoShape 19" o:spid="_x0000_s1041" type="#_x0000_t32" style="position:absolute;left:5325;top:5820;width:13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Lmz8QAAADbAAAADwAAAGRycy9kb3ducmV2LnhtbESPT2vCQBTE7wW/w/IEb3WjYCmpq6hY&#10;aA49JHro8ZF9ZqPZtyG7+dNv3y0Uehxm5jfMdj/ZRgzU+dqxgtUyAUFcOl1zpeB6eX9+BeEDssbG&#10;MSn4Jg/73expi6l2I+c0FKESEcI+RQUmhDaV0peGLPqla4mjd3OdxRBlV0nd4RjhtpHrJHmRFmuO&#10;CwZbOhkqH0VvI+VafOXZ56nv71NxKdfZsTo3RqnFfDq8gQg0hf/wX/tDK9is4PdL/AF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oubPxAAAANsAAAAPAAAAAAAAAAAA&#10;AAAAAKECAABkcnMvZG93bnJldi54bWxQSwUGAAAAAAQABAD5AAAAkgMAAAAA&#10;" strokeweight="1pt">
                        <v:shadow color="#243f60" opacity=".5" offset="1pt"/>
                      </v:shape>
                      <v:shape id="AutoShape 20" o:spid="_x0000_s1042" type="#_x0000_t32" style="position:absolute;left:5325;top:5580;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xaP8IAAADbAAAADwAAAGRycy9kb3ducmV2LnhtbESPQWvCQBSE74L/YXkFb7ppoFJTV1Gx&#10;IvRkFHp9ZF+ywezbkF1N/PeuUOhxmJlvmOV6sI24U+drxwreZwkI4sLpmisFl/P39BOED8gaG8ek&#10;4EEe1qvxaImZdj2f6J6HSkQI+wwVmBDaTEpfGLLoZ64ljl7pOoshyq6SusM+wm0j0ySZS4s1xwWD&#10;Le0MFdf8ZhX8PHZ9XfYnsvPfw4LTcrvPj0apyduw+QIRaAj/4b/2USv4SOH1Jf4A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rxaP8IAAADbAAAADwAAAAAAAAAAAAAA&#10;AAChAgAAZHJzL2Rvd25yZXYueG1sUEsFBgAAAAAEAAQA+QAAAJADAAAAAA==&#10;" strokeweight="1pt">
                        <v:stroke endarrow="block"/>
                        <v:shadow color="#243f60" opacity=".5" offset="1pt"/>
                      </v:shape>
                      <v:shape id="AutoShape 21" o:spid="_x0000_s1043" type="#_x0000_t32" style="position:absolute;left:5955;top:5835;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D/pMMAAADbAAAADwAAAGRycy9kb3ducmV2LnhtbESPQWvCQBSE74X+h+UVequbWhSNbkIr&#10;rQieEgWvj+xLNjT7NmS3Jv77bqHgcZiZb5htPtlOXGnwrWMFr7MEBHHldMuNgvPp62UFwgdkjZ1j&#10;UnAjD3n2+LDFVLuRC7qWoRERwj5FBSaEPpXSV4Ys+pnriaNXu8FiiHJopB5wjHDbyXmSLKXFluOC&#10;wZ52hqrv8scqON52Y1uPBdnlZb/mef3xWR6MUs9P0/sGRKAp3MP/7YNWsHiDvy/xB8j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w/6TDAAAA2wAAAA8AAAAAAAAAAAAA&#10;AAAAoQIAAGRycy9kb3ducmV2LnhtbFBLBQYAAAAABAAEAPkAAACRAwAAAAA=&#10;" strokeweight="1pt">
                        <v:stroke endarrow="block"/>
                        <v:shadow color="#243f60" opacity=".5" offset="1pt"/>
                      </v:shape>
                      <v:shape id="AutoShape 22" o:spid="_x0000_s1044" type="#_x0000_t32" style="position:absolute;left:6660;top:5595;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ln0MMAAADbAAAADwAAAGRycy9kb3ducmV2LnhtbESPQWvCQBSE74X+h+UVequbShWNbkIr&#10;rQieEgWvj+xLNjT7NmS3Jv77bqHgcZiZb5htPtlOXGnwrWMFr7MEBHHldMuNgvPp62UFwgdkjZ1j&#10;UnAjD3n2+LDFVLuRC7qWoRERwj5FBSaEPpXSV4Ys+pnriaNXu8FiiHJopB5wjHDbyXmSLKXFluOC&#10;wZ52hqrv8scqON52Y1uPBdnlZb/mef3xWR6MUs9P0/sGRKAp3MP/7YNWsHiDvy/xB8j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ZZ9DDAAAA2wAAAA8AAAAAAAAAAAAA&#10;AAAAoQIAAGRycy9kb3ducmV2LnhtbFBLBQYAAAAABAAEAPkAAACRAwAAAAA=&#10;" strokeweight="1pt">
                        <v:stroke endarrow="block"/>
                        <v:shadow color="#243f60" opacity=".5" offset="1pt"/>
                      </v:shape>
                      <w10:anchorlock/>
                    </v:group>
                  </w:pict>
                </mc:Fallback>
              </mc:AlternateContent>
            </w:r>
          </w:p>
        </w:tc>
      </w:tr>
    </w:tbl>
    <w:p w:rsidR="00B008D9" w:rsidRPr="008970B2" w:rsidRDefault="00B008D9" w:rsidP="000C05B0">
      <w:pPr>
        <w:pStyle w:val="11Bodytext"/>
        <w:tabs>
          <w:tab w:val="clear" w:pos="2212"/>
          <w:tab w:val="num" w:pos="567"/>
        </w:tabs>
        <w:ind w:left="567" w:hanging="567"/>
      </w:pPr>
      <w:r w:rsidRPr="008970B2">
        <w:t>The table below shows the estimated need for affordable housing (social and rented) by sub-area. The analysis is based on the lower quartile rental costs in each sub-area as established in the previous chapter. The overall current need has been divided by 17 to arrive at an annual need</w:t>
      </w:r>
      <w:r w:rsidR="00666AB4">
        <w:t xml:space="preserve"> across the plan period</w:t>
      </w:r>
      <w:r w:rsidRPr="008970B2">
        <w:t xml:space="preserve">. </w:t>
      </w:r>
    </w:p>
    <w:p w:rsidR="00B008D9" w:rsidRPr="008970B2" w:rsidRDefault="00B008D9" w:rsidP="000C05B0">
      <w:pPr>
        <w:pStyle w:val="11Bodytext"/>
        <w:tabs>
          <w:tab w:val="clear" w:pos="2212"/>
          <w:tab w:val="num" w:pos="567"/>
        </w:tabs>
        <w:ind w:left="567" w:hanging="567"/>
      </w:pPr>
      <w:r w:rsidRPr="008970B2">
        <w:t xml:space="preserve">As illustrated in the table, the analysis calculated an overall net need of </w:t>
      </w:r>
      <w:r>
        <w:t>348</w:t>
      </w:r>
      <w:r w:rsidRPr="008970B2">
        <w:t xml:space="preserve"> social and affordable rented housing per annum to 20</w:t>
      </w:r>
      <w:r>
        <w:t>3</w:t>
      </w:r>
      <w:r w:rsidRPr="008970B2">
        <w:t>6</w:t>
      </w:r>
      <w:r w:rsidR="004B604F">
        <w:t xml:space="preserve"> for the district</w:t>
      </w:r>
      <w:r w:rsidRPr="008970B2">
        <w:t>.</w:t>
      </w:r>
      <w:r w:rsidR="00855CA6">
        <w:t xml:space="preserve"> </w:t>
      </w:r>
      <w:r w:rsidR="004B604F">
        <w:t>Once the SDNP area is subtracted then the Plan Area need would be 286 per annum.</w:t>
      </w:r>
      <w:r w:rsidRPr="008970B2">
        <w:t xml:space="preserve"> The net need is calculated as follows:</w:t>
      </w:r>
    </w:p>
    <w:p w:rsidR="00B008D9" w:rsidRPr="00CA47B9" w:rsidRDefault="00B008D9" w:rsidP="0030789D">
      <w:pPr>
        <w:pStyle w:val="Addressline1"/>
        <w:jc w:val="center"/>
      </w:pPr>
      <w:r w:rsidRPr="00CA47B9">
        <w:t>Net Need = Current Need + Need from Newly-Forming Households + Existing Households falling into Need – Supply of Affordable Housing</w:t>
      </w:r>
    </w:p>
    <w:p w:rsidR="002F7AD3" w:rsidRPr="00CA47B9" w:rsidRDefault="00B008D9" w:rsidP="000C05B0">
      <w:pPr>
        <w:pStyle w:val="11Bodytext"/>
        <w:tabs>
          <w:tab w:val="clear" w:pos="2212"/>
          <w:tab w:val="num" w:pos="567"/>
        </w:tabs>
        <w:ind w:left="567" w:hanging="567"/>
      </w:pPr>
      <w:r w:rsidRPr="00CA47B9">
        <w:t xml:space="preserve">As identified in the table below, the highest net need is located in Chichester City, although there is also considerable need in the Manhood Peninsula and East-West </w:t>
      </w:r>
      <w:r w:rsidRPr="00CA47B9">
        <w:lastRenderedPageBreak/>
        <w:t>Corridor su</w:t>
      </w:r>
      <w:r>
        <w:t>b</w:t>
      </w:r>
      <w:r w:rsidRPr="00CA47B9">
        <w:t xml:space="preserve">-areas. </w:t>
      </w:r>
      <w:r w:rsidR="002F7AD3">
        <w:t>This data is also provided in Appendix B for the alternative plan period.</w:t>
      </w:r>
    </w:p>
    <w:p w:rsidR="00B008D9" w:rsidRPr="00CA47B9" w:rsidRDefault="00B008D9" w:rsidP="00AE5604">
      <w:pPr>
        <w:pStyle w:val="Tableheading"/>
        <w:tabs>
          <w:tab w:val="clear" w:pos="794"/>
          <w:tab w:val="clear" w:pos="1843"/>
          <w:tab w:val="left" w:pos="0"/>
        </w:tabs>
        <w:ind w:left="0" w:firstLine="0"/>
      </w:pPr>
      <w:bookmarkStart w:id="144" w:name="_Hlk33519611"/>
      <w:r w:rsidRPr="00CA47B9">
        <w:t xml:space="preserve">Est level of Social/ Affordable Rented Housing Need per annum </w:t>
      </w:r>
    </w:p>
    <w:tbl>
      <w:tblPr>
        <w:tblStyle w:val="Compressed"/>
        <w:tblW w:w="4945" w:type="pct"/>
        <w:tblInd w:w="108" w:type="dxa"/>
        <w:tblLook w:val="04A0" w:firstRow="1" w:lastRow="0" w:firstColumn="1" w:lastColumn="0" w:noHBand="0" w:noVBand="1"/>
        <w:tblCaption w:val="Table 27: Est level of Social/ Affordable Rented Housing Need per annum "/>
      </w:tblPr>
      <w:tblGrid>
        <w:gridCol w:w="2319"/>
        <w:gridCol w:w="1104"/>
        <w:gridCol w:w="1397"/>
        <w:gridCol w:w="1558"/>
        <w:gridCol w:w="1136"/>
        <w:gridCol w:w="1280"/>
        <w:gridCol w:w="945"/>
      </w:tblGrid>
      <w:tr w:rsidR="00AE5604" w:rsidRPr="00CA47B9" w:rsidTr="00AE56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1" w:type="pct"/>
          </w:tcPr>
          <w:p w:rsidR="00B008D9" w:rsidRPr="00CA47B9" w:rsidRDefault="00B008D9" w:rsidP="005200A0">
            <w:pPr>
              <w:keepNext/>
              <w:rPr>
                <w:rFonts w:eastAsia="Times New Roman"/>
                <w:bCs/>
                <w:lang w:eastAsia="en-GB"/>
              </w:rPr>
            </w:pPr>
            <w:bookmarkStart w:id="145" w:name="_Hlk27722970"/>
          </w:p>
        </w:tc>
        <w:tc>
          <w:tcPr>
            <w:tcW w:w="567" w:type="pct"/>
          </w:tcPr>
          <w:p w:rsidR="00B008D9" w:rsidRPr="00CA47B9" w:rsidRDefault="00B008D9" w:rsidP="005200A0">
            <w:pPr>
              <w:keepNext/>
              <w:contextualSpacing/>
              <w:cnfStyle w:val="100000000000" w:firstRow="1" w:lastRow="0" w:firstColumn="0" w:lastColumn="0" w:oddVBand="0" w:evenVBand="0" w:oddHBand="0" w:evenHBand="0" w:firstRowFirstColumn="0" w:firstRowLastColumn="0" w:lastRowFirstColumn="0" w:lastRowLastColumn="0"/>
              <w:rPr>
                <w:bCs/>
              </w:rPr>
            </w:pPr>
            <w:r w:rsidRPr="00CA47B9">
              <w:rPr>
                <w:bCs/>
              </w:rPr>
              <w:t>Current need</w:t>
            </w:r>
          </w:p>
        </w:tc>
        <w:tc>
          <w:tcPr>
            <w:tcW w:w="717" w:type="pct"/>
          </w:tcPr>
          <w:p w:rsidR="00B008D9" w:rsidRPr="00CA47B9" w:rsidRDefault="00B008D9" w:rsidP="005200A0">
            <w:pPr>
              <w:keepNext/>
              <w:contextualSpacing/>
              <w:cnfStyle w:val="100000000000" w:firstRow="1" w:lastRow="0" w:firstColumn="0" w:lastColumn="0" w:oddVBand="0" w:evenVBand="0" w:oddHBand="0" w:evenHBand="0" w:firstRowFirstColumn="0" w:firstRowLastColumn="0" w:lastRowFirstColumn="0" w:lastRowLastColumn="0"/>
              <w:rPr>
                <w:bCs/>
              </w:rPr>
            </w:pPr>
            <w:r w:rsidRPr="00CA47B9">
              <w:rPr>
                <w:bCs/>
              </w:rPr>
              <w:t>Newly forming house-holds</w:t>
            </w:r>
          </w:p>
        </w:tc>
        <w:tc>
          <w:tcPr>
            <w:tcW w:w="800" w:type="pct"/>
          </w:tcPr>
          <w:p w:rsidR="00B008D9" w:rsidRPr="00CA47B9" w:rsidRDefault="00B008D9" w:rsidP="005200A0">
            <w:pPr>
              <w:keepNext/>
              <w:contextualSpacing/>
              <w:cnfStyle w:val="100000000000" w:firstRow="1" w:lastRow="0" w:firstColumn="0" w:lastColumn="0" w:oddVBand="0" w:evenVBand="0" w:oddHBand="0" w:evenHBand="0" w:firstRowFirstColumn="0" w:firstRowLastColumn="0" w:lastRowFirstColumn="0" w:lastRowLastColumn="0"/>
              <w:rPr>
                <w:bCs/>
              </w:rPr>
            </w:pPr>
            <w:r w:rsidRPr="00CA47B9">
              <w:rPr>
                <w:bCs/>
              </w:rPr>
              <w:t>Existing house</w:t>
            </w:r>
            <w:r w:rsidR="00855CA6">
              <w:rPr>
                <w:bCs/>
              </w:rPr>
              <w:t>-</w:t>
            </w:r>
            <w:r w:rsidRPr="00CA47B9">
              <w:rPr>
                <w:bCs/>
              </w:rPr>
              <w:t>holds falling into need</w:t>
            </w:r>
          </w:p>
        </w:tc>
        <w:tc>
          <w:tcPr>
            <w:tcW w:w="583" w:type="pct"/>
          </w:tcPr>
          <w:p w:rsidR="00B008D9" w:rsidRPr="00CA47B9" w:rsidRDefault="00B008D9" w:rsidP="005200A0">
            <w:pPr>
              <w:keepNext/>
              <w:contextualSpacing/>
              <w:cnfStyle w:val="100000000000" w:firstRow="1" w:lastRow="0" w:firstColumn="0" w:lastColumn="0" w:oddVBand="0" w:evenVBand="0" w:oddHBand="0" w:evenHBand="0" w:firstRowFirstColumn="0" w:firstRowLastColumn="0" w:lastRowFirstColumn="0" w:lastRowLastColumn="0"/>
              <w:rPr>
                <w:bCs/>
              </w:rPr>
            </w:pPr>
            <w:r w:rsidRPr="00CA47B9">
              <w:rPr>
                <w:bCs/>
              </w:rPr>
              <w:t>Total Gross Need</w:t>
            </w:r>
          </w:p>
        </w:tc>
        <w:tc>
          <w:tcPr>
            <w:tcW w:w="657" w:type="pct"/>
          </w:tcPr>
          <w:p w:rsidR="00B008D9" w:rsidRPr="00CA47B9" w:rsidRDefault="00B008D9" w:rsidP="005200A0">
            <w:pPr>
              <w:keepNext/>
              <w:contextualSpacing/>
              <w:cnfStyle w:val="100000000000" w:firstRow="1" w:lastRow="0" w:firstColumn="0" w:lastColumn="0" w:oddVBand="0" w:evenVBand="0" w:oddHBand="0" w:evenHBand="0" w:firstRowFirstColumn="0" w:firstRowLastColumn="0" w:lastRowFirstColumn="0" w:lastRowLastColumn="0"/>
              <w:rPr>
                <w:bCs/>
              </w:rPr>
            </w:pPr>
            <w:r w:rsidRPr="00CA47B9">
              <w:rPr>
                <w:bCs/>
              </w:rPr>
              <w:t>Supply from existing stock</w:t>
            </w:r>
          </w:p>
        </w:tc>
        <w:tc>
          <w:tcPr>
            <w:tcW w:w="485" w:type="pct"/>
          </w:tcPr>
          <w:p w:rsidR="00B008D9" w:rsidRPr="00CA47B9" w:rsidRDefault="00B008D9" w:rsidP="005200A0">
            <w:pPr>
              <w:keepNext/>
              <w:contextualSpacing/>
              <w:cnfStyle w:val="100000000000" w:firstRow="1" w:lastRow="0" w:firstColumn="0" w:lastColumn="0" w:oddVBand="0" w:evenVBand="0" w:oddHBand="0" w:evenHBand="0" w:firstRowFirstColumn="0" w:firstRowLastColumn="0" w:lastRowFirstColumn="0" w:lastRowLastColumn="0"/>
              <w:rPr>
                <w:bCs/>
              </w:rPr>
            </w:pPr>
            <w:r w:rsidRPr="00CA47B9">
              <w:rPr>
                <w:bCs/>
              </w:rPr>
              <w:t>Net Need</w:t>
            </w:r>
          </w:p>
        </w:tc>
      </w:tr>
      <w:tr w:rsidR="00AE5604" w:rsidRPr="00CA47B9" w:rsidTr="00AE5604">
        <w:tc>
          <w:tcPr>
            <w:cnfStyle w:val="001000000000" w:firstRow="0" w:lastRow="0" w:firstColumn="1" w:lastColumn="0" w:oddVBand="0" w:evenVBand="0" w:oddHBand="0" w:evenHBand="0" w:firstRowFirstColumn="0" w:firstRowLastColumn="0" w:lastRowFirstColumn="0" w:lastRowLastColumn="0"/>
            <w:tcW w:w="1191" w:type="pct"/>
          </w:tcPr>
          <w:p w:rsidR="00B008D9" w:rsidRPr="00CA47B9" w:rsidRDefault="00B008D9" w:rsidP="005200A0">
            <w:pPr>
              <w:keepNext/>
              <w:rPr>
                <w:rFonts w:eastAsia="Times New Roman"/>
                <w:color w:val="000000"/>
                <w:lang w:eastAsia="en-GB"/>
              </w:rPr>
            </w:pPr>
            <w:r w:rsidRPr="00CA47B9">
              <w:rPr>
                <w:color w:val="000000"/>
              </w:rPr>
              <w:t>Chichester City</w:t>
            </w:r>
          </w:p>
        </w:tc>
        <w:tc>
          <w:tcPr>
            <w:tcW w:w="567"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GB"/>
              </w:rPr>
            </w:pPr>
            <w:r>
              <w:rPr>
                <w:color w:val="000000"/>
              </w:rPr>
              <w:t>16</w:t>
            </w:r>
          </w:p>
        </w:tc>
        <w:tc>
          <w:tcPr>
            <w:tcW w:w="717"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115</w:t>
            </w:r>
          </w:p>
        </w:tc>
        <w:tc>
          <w:tcPr>
            <w:tcW w:w="800"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62</w:t>
            </w:r>
          </w:p>
        </w:tc>
        <w:tc>
          <w:tcPr>
            <w:tcW w:w="583"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193</w:t>
            </w:r>
          </w:p>
        </w:tc>
        <w:tc>
          <w:tcPr>
            <w:tcW w:w="657"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96</w:t>
            </w:r>
          </w:p>
        </w:tc>
        <w:tc>
          <w:tcPr>
            <w:tcW w:w="485"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97</w:t>
            </w:r>
          </w:p>
        </w:tc>
      </w:tr>
      <w:tr w:rsidR="00AE5604" w:rsidRPr="00CA47B9" w:rsidTr="00AE5604">
        <w:tc>
          <w:tcPr>
            <w:cnfStyle w:val="001000000000" w:firstRow="0" w:lastRow="0" w:firstColumn="1" w:lastColumn="0" w:oddVBand="0" w:evenVBand="0" w:oddHBand="0" w:evenHBand="0" w:firstRowFirstColumn="0" w:firstRowLastColumn="0" w:lastRowFirstColumn="0" w:lastRowLastColumn="0"/>
            <w:tcW w:w="1191" w:type="pct"/>
          </w:tcPr>
          <w:p w:rsidR="00B008D9" w:rsidRPr="00CA47B9" w:rsidRDefault="00B008D9" w:rsidP="005200A0">
            <w:pPr>
              <w:keepNext/>
              <w:rPr>
                <w:color w:val="000000"/>
              </w:rPr>
            </w:pPr>
            <w:r w:rsidRPr="00CA47B9">
              <w:rPr>
                <w:color w:val="000000"/>
              </w:rPr>
              <w:t>East-West Corridor</w:t>
            </w:r>
          </w:p>
        </w:tc>
        <w:tc>
          <w:tcPr>
            <w:tcW w:w="567"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9</w:t>
            </w:r>
          </w:p>
        </w:tc>
        <w:tc>
          <w:tcPr>
            <w:tcW w:w="717"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80</w:t>
            </w:r>
          </w:p>
        </w:tc>
        <w:tc>
          <w:tcPr>
            <w:tcW w:w="800"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24</w:t>
            </w:r>
          </w:p>
        </w:tc>
        <w:tc>
          <w:tcPr>
            <w:tcW w:w="583"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113</w:t>
            </w:r>
          </w:p>
        </w:tc>
        <w:tc>
          <w:tcPr>
            <w:tcW w:w="657"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39</w:t>
            </w:r>
          </w:p>
        </w:tc>
        <w:tc>
          <w:tcPr>
            <w:tcW w:w="485"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74</w:t>
            </w:r>
          </w:p>
        </w:tc>
      </w:tr>
      <w:tr w:rsidR="00AE5604" w:rsidRPr="00CA47B9" w:rsidTr="00AE5604">
        <w:tc>
          <w:tcPr>
            <w:cnfStyle w:val="001000000000" w:firstRow="0" w:lastRow="0" w:firstColumn="1" w:lastColumn="0" w:oddVBand="0" w:evenVBand="0" w:oddHBand="0" w:evenHBand="0" w:firstRowFirstColumn="0" w:firstRowLastColumn="0" w:lastRowFirstColumn="0" w:lastRowLastColumn="0"/>
            <w:tcW w:w="1191" w:type="pct"/>
          </w:tcPr>
          <w:p w:rsidR="00B008D9" w:rsidRPr="00CA47B9" w:rsidRDefault="00B008D9" w:rsidP="005200A0">
            <w:pPr>
              <w:keepNext/>
              <w:rPr>
                <w:color w:val="000000"/>
              </w:rPr>
            </w:pPr>
            <w:r w:rsidRPr="00CA47B9">
              <w:rPr>
                <w:color w:val="000000"/>
              </w:rPr>
              <w:t>Manhood Peninsula</w:t>
            </w:r>
          </w:p>
        </w:tc>
        <w:tc>
          <w:tcPr>
            <w:tcW w:w="567"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14</w:t>
            </w:r>
          </w:p>
        </w:tc>
        <w:tc>
          <w:tcPr>
            <w:tcW w:w="717"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82</w:t>
            </w:r>
          </w:p>
        </w:tc>
        <w:tc>
          <w:tcPr>
            <w:tcW w:w="800"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24</w:t>
            </w:r>
          </w:p>
        </w:tc>
        <w:tc>
          <w:tcPr>
            <w:tcW w:w="583"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120</w:t>
            </w:r>
          </w:p>
        </w:tc>
        <w:tc>
          <w:tcPr>
            <w:tcW w:w="657"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36</w:t>
            </w:r>
          </w:p>
        </w:tc>
        <w:tc>
          <w:tcPr>
            <w:tcW w:w="485"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84</w:t>
            </w:r>
          </w:p>
        </w:tc>
      </w:tr>
      <w:tr w:rsidR="00AE5604" w:rsidRPr="00CA47B9" w:rsidTr="00AE5604">
        <w:tc>
          <w:tcPr>
            <w:cnfStyle w:val="001000000000" w:firstRow="0" w:lastRow="0" w:firstColumn="1" w:lastColumn="0" w:oddVBand="0" w:evenVBand="0" w:oddHBand="0" w:evenHBand="0" w:firstRowFirstColumn="0" w:firstRowLastColumn="0" w:lastRowFirstColumn="0" w:lastRowLastColumn="0"/>
            <w:tcW w:w="1191" w:type="pct"/>
          </w:tcPr>
          <w:p w:rsidR="00B008D9" w:rsidRPr="00CA47B9" w:rsidRDefault="00B008D9" w:rsidP="005200A0">
            <w:pPr>
              <w:keepNext/>
              <w:rPr>
                <w:color w:val="000000"/>
              </w:rPr>
            </w:pPr>
            <w:r w:rsidRPr="00CA47B9">
              <w:rPr>
                <w:color w:val="000000"/>
              </w:rPr>
              <w:t>Plan Area North</w:t>
            </w:r>
          </w:p>
        </w:tc>
        <w:tc>
          <w:tcPr>
            <w:tcW w:w="567"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p>
        </w:tc>
        <w:tc>
          <w:tcPr>
            <w:tcW w:w="717"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31</w:t>
            </w:r>
          </w:p>
        </w:tc>
        <w:tc>
          <w:tcPr>
            <w:tcW w:w="800"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7</w:t>
            </w:r>
          </w:p>
        </w:tc>
        <w:tc>
          <w:tcPr>
            <w:tcW w:w="583"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41</w:t>
            </w:r>
          </w:p>
        </w:tc>
        <w:tc>
          <w:tcPr>
            <w:tcW w:w="657"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485"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30</w:t>
            </w:r>
          </w:p>
        </w:tc>
      </w:tr>
      <w:tr w:rsidR="00AE5604" w:rsidRPr="00CA47B9" w:rsidTr="00AE5604">
        <w:tc>
          <w:tcPr>
            <w:cnfStyle w:val="001000000000" w:firstRow="0" w:lastRow="0" w:firstColumn="1" w:lastColumn="0" w:oddVBand="0" w:evenVBand="0" w:oddHBand="0" w:evenHBand="0" w:firstRowFirstColumn="0" w:firstRowLastColumn="0" w:lastRowFirstColumn="0" w:lastRowLastColumn="0"/>
            <w:tcW w:w="1191" w:type="pct"/>
          </w:tcPr>
          <w:p w:rsidR="00B008D9" w:rsidRPr="00CA47B9" w:rsidRDefault="00B008D9" w:rsidP="005200A0">
            <w:pPr>
              <w:keepNext/>
              <w:rPr>
                <w:color w:val="000000"/>
              </w:rPr>
            </w:pPr>
            <w:r w:rsidRPr="00CA47B9">
              <w:rPr>
                <w:color w:val="000000"/>
              </w:rPr>
              <w:t>SDNP</w:t>
            </w:r>
          </w:p>
        </w:tc>
        <w:tc>
          <w:tcPr>
            <w:tcW w:w="567"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13</w:t>
            </w:r>
          </w:p>
        </w:tc>
        <w:tc>
          <w:tcPr>
            <w:tcW w:w="717"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75</w:t>
            </w:r>
          </w:p>
        </w:tc>
        <w:tc>
          <w:tcPr>
            <w:tcW w:w="800"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49</w:t>
            </w:r>
          </w:p>
        </w:tc>
        <w:tc>
          <w:tcPr>
            <w:tcW w:w="583"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137</w:t>
            </w:r>
          </w:p>
        </w:tc>
        <w:tc>
          <w:tcPr>
            <w:tcW w:w="657"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75</w:t>
            </w:r>
          </w:p>
        </w:tc>
        <w:tc>
          <w:tcPr>
            <w:tcW w:w="485"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62</w:t>
            </w:r>
          </w:p>
        </w:tc>
      </w:tr>
      <w:tr w:rsidR="00AE5604" w:rsidRPr="008970B2" w:rsidTr="00AE5604">
        <w:tc>
          <w:tcPr>
            <w:cnfStyle w:val="001000000000" w:firstRow="0" w:lastRow="0" w:firstColumn="1" w:lastColumn="0" w:oddVBand="0" w:evenVBand="0" w:oddHBand="0" w:evenHBand="0" w:firstRowFirstColumn="0" w:firstRowLastColumn="0" w:lastRowFirstColumn="0" w:lastRowLastColumn="0"/>
            <w:tcW w:w="1191" w:type="pct"/>
          </w:tcPr>
          <w:p w:rsidR="00B008D9" w:rsidRPr="008970B2" w:rsidRDefault="00B008D9" w:rsidP="005200A0">
            <w:pPr>
              <w:keepNext/>
              <w:rPr>
                <w:rFonts w:eastAsia="Times New Roman"/>
                <w:b/>
                <w:lang w:eastAsia="en-GB"/>
              </w:rPr>
            </w:pPr>
            <w:r w:rsidRPr="008970B2">
              <w:rPr>
                <w:b/>
              </w:rPr>
              <w:t>Chichester District</w:t>
            </w:r>
            <w:r>
              <w:rPr>
                <w:b/>
              </w:rPr>
              <w:t>*</w:t>
            </w:r>
          </w:p>
        </w:tc>
        <w:tc>
          <w:tcPr>
            <w:tcW w:w="567" w:type="pct"/>
          </w:tcPr>
          <w:p w:rsidR="00B008D9" w:rsidRPr="008970B2" w:rsidRDefault="00B008D9" w:rsidP="005200A0">
            <w:pPr>
              <w:keepNext/>
              <w:cnfStyle w:val="000000000000" w:firstRow="0" w:lastRow="0" w:firstColumn="0" w:lastColumn="0" w:oddVBand="0" w:evenVBand="0" w:oddHBand="0" w:evenHBand="0" w:firstRowFirstColumn="0" w:firstRowLastColumn="0" w:lastRowFirstColumn="0" w:lastRowLastColumn="0"/>
              <w:rPr>
                <w:b/>
                <w:color w:val="000000"/>
              </w:rPr>
            </w:pPr>
            <w:r w:rsidRPr="008970B2">
              <w:rPr>
                <w:b/>
                <w:color w:val="000000"/>
              </w:rPr>
              <w:t>55</w:t>
            </w:r>
          </w:p>
        </w:tc>
        <w:tc>
          <w:tcPr>
            <w:tcW w:w="717" w:type="pct"/>
          </w:tcPr>
          <w:p w:rsidR="00B008D9" w:rsidRPr="008970B2" w:rsidRDefault="00B008D9" w:rsidP="005200A0">
            <w:pPr>
              <w:keepNext/>
              <w:cnfStyle w:val="000000000000" w:firstRow="0" w:lastRow="0" w:firstColumn="0" w:lastColumn="0" w:oddVBand="0" w:evenVBand="0" w:oddHBand="0" w:evenHBand="0" w:firstRowFirstColumn="0" w:firstRowLastColumn="0" w:lastRowFirstColumn="0" w:lastRowLastColumn="0"/>
              <w:rPr>
                <w:b/>
                <w:color w:val="000000"/>
              </w:rPr>
            </w:pPr>
            <w:r w:rsidRPr="008970B2">
              <w:rPr>
                <w:b/>
                <w:color w:val="000000"/>
              </w:rPr>
              <w:t>383</w:t>
            </w:r>
          </w:p>
        </w:tc>
        <w:tc>
          <w:tcPr>
            <w:tcW w:w="800" w:type="pct"/>
          </w:tcPr>
          <w:p w:rsidR="00B008D9" w:rsidRPr="008970B2" w:rsidRDefault="00B008D9" w:rsidP="005200A0">
            <w:pPr>
              <w:keepNext/>
              <w:cnfStyle w:val="000000000000" w:firstRow="0" w:lastRow="0" w:firstColumn="0" w:lastColumn="0" w:oddVBand="0" w:evenVBand="0" w:oddHBand="0" w:evenHBand="0" w:firstRowFirstColumn="0" w:firstRowLastColumn="0" w:lastRowFirstColumn="0" w:lastRowLastColumn="0"/>
              <w:rPr>
                <w:b/>
                <w:color w:val="000000"/>
              </w:rPr>
            </w:pPr>
            <w:r w:rsidRPr="008970B2">
              <w:rPr>
                <w:b/>
                <w:color w:val="000000"/>
              </w:rPr>
              <w:t>167</w:t>
            </w:r>
          </w:p>
        </w:tc>
        <w:tc>
          <w:tcPr>
            <w:tcW w:w="583" w:type="pct"/>
          </w:tcPr>
          <w:p w:rsidR="00B008D9" w:rsidRPr="008970B2" w:rsidRDefault="00B008D9" w:rsidP="005200A0">
            <w:pPr>
              <w:keepNext/>
              <w:cnfStyle w:val="000000000000" w:firstRow="0" w:lastRow="0" w:firstColumn="0" w:lastColumn="0" w:oddVBand="0" w:evenVBand="0" w:oddHBand="0" w:evenHBand="0" w:firstRowFirstColumn="0" w:firstRowLastColumn="0" w:lastRowFirstColumn="0" w:lastRowLastColumn="0"/>
              <w:rPr>
                <w:b/>
                <w:color w:val="000000"/>
              </w:rPr>
            </w:pPr>
            <w:r w:rsidRPr="008970B2">
              <w:rPr>
                <w:b/>
                <w:color w:val="000000"/>
              </w:rPr>
              <w:t>605</w:t>
            </w:r>
          </w:p>
        </w:tc>
        <w:tc>
          <w:tcPr>
            <w:tcW w:w="657" w:type="pct"/>
          </w:tcPr>
          <w:p w:rsidR="00B008D9" w:rsidRPr="008970B2" w:rsidRDefault="00B008D9" w:rsidP="005200A0">
            <w:pPr>
              <w:keepNext/>
              <w:cnfStyle w:val="000000000000" w:firstRow="0" w:lastRow="0" w:firstColumn="0" w:lastColumn="0" w:oddVBand="0" w:evenVBand="0" w:oddHBand="0" w:evenHBand="0" w:firstRowFirstColumn="0" w:firstRowLastColumn="0" w:lastRowFirstColumn="0" w:lastRowLastColumn="0"/>
              <w:rPr>
                <w:b/>
                <w:color w:val="000000"/>
              </w:rPr>
            </w:pPr>
            <w:r w:rsidRPr="008970B2">
              <w:rPr>
                <w:b/>
                <w:color w:val="000000"/>
              </w:rPr>
              <w:t>257</w:t>
            </w:r>
          </w:p>
        </w:tc>
        <w:tc>
          <w:tcPr>
            <w:tcW w:w="485" w:type="pct"/>
          </w:tcPr>
          <w:p w:rsidR="00B008D9" w:rsidRPr="008970B2" w:rsidRDefault="00B008D9" w:rsidP="005200A0">
            <w:pPr>
              <w:keepNext/>
              <w:cnfStyle w:val="000000000000" w:firstRow="0" w:lastRow="0" w:firstColumn="0" w:lastColumn="0" w:oddVBand="0" w:evenVBand="0" w:oddHBand="0" w:evenHBand="0" w:firstRowFirstColumn="0" w:firstRowLastColumn="0" w:lastRowFirstColumn="0" w:lastRowLastColumn="0"/>
              <w:rPr>
                <w:b/>
                <w:color w:val="000000"/>
              </w:rPr>
            </w:pPr>
            <w:r w:rsidRPr="008970B2">
              <w:rPr>
                <w:b/>
                <w:color w:val="000000"/>
              </w:rPr>
              <w:t>348</w:t>
            </w:r>
          </w:p>
        </w:tc>
      </w:tr>
    </w:tbl>
    <w:bookmarkEnd w:id="145"/>
    <w:p w:rsidR="00B008D9" w:rsidRPr="00600807" w:rsidRDefault="00B008D9" w:rsidP="00AE5604">
      <w:pPr>
        <w:widowControl w:val="0"/>
        <w:rPr>
          <w:sz w:val="24"/>
          <w:szCs w:val="24"/>
        </w:rPr>
      </w:pPr>
      <w:r w:rsidRPr="00600807">
        <w:rPr>
          <w:sz w:val="24"/>
          <w:szCs w:val="24"/>
        </w:rPr>
        <w:t>Source: Housing Register/Census (2011)/CoRe/Projection Modelling and affordability analysis</w:t>
      </w:r>
    </w:p>
    <w:p w:rsidR="00B008D9" w:rsidRPr="00600807" w:rsidRDefault="00B008D9" w:rsidP="00AE5604">
      <w:pPr>
        <w:widowControl w:val="0"/>
        <w:rPr>
          <w:sz w:val="24"/>
          <w:szCs w:val="24"/>
        </w:rPr>
      </w:pPr>
      <w:r w:rsidRPr="00600807">
        <w:rPr>
          <w:sz w:val="24"/>
          <w:szCs w:val="24"/>
        </w:rPr>
        <w:t xml:space="preserve">*The total District figures are rounded. </w:t>
      </w:r>
    </w:p>
    <w:bookmarkEnd w:id="144"/>
    <w:p w:rsidR="00B008D9" w:rsidRDefault="00B008D9" w:rsidP="000C05B0">
      <w:pPr>
        <w:pStyle w:val="11Bodytext"/>
        <w:tabs>
          <w:tab w:val="clear" w:pos="2212"/>
          <w:tab w:val="num" w:pos="567"/>
        </w:tabs>
        <w:ind w:left="567" w:hanging="567"/>
      </w:pPr>
      <w:r>
        <w:t xml:space="preserve">This is a notable increase </w:t>
      </w:r>
      <w:r w:rsidR="004B604F">
        <w:t xml:space="preserve">from </w:t>
      </w:r>
      <w:r>
        <w:t>the previous assessment</w:t>
      </w:r>
      <w:r w:rsidR="004B604F">
        <w:t>, however</w:t>
      </w:r>
      <w:r w:rsidR="00C41EB7">
        <w:t>,</w:t>
      </w:r>
      <w:r>
        <w:t xml:space="preserve"> the gross need is almost identical (previously 610) therefore the only difference is the reduction in supply (previously 325) as turnover</w:t>
      </w:r>
      <w:r w:rsidR="004B604F">
        <w:t xml:space="preserve"> in existing stock</w:t>
      </w:r>
      <w:r>
        <w:t xml:space="preserve"> has reduced, although this part of the data can fluctuate on a year by year basis. </w:t>
      </w:r>
    </w:p>
    <w:p w:rsidR="00C41EB7" w:rsidRDefault="00C41EB7" w:rsidP="000C05B0">
      <w:pPr>
        <w:pStyle w:val="11Bodytext"/>
        <w:tabs>
          <w:tab w:val="clear" w:pos="2212"/>
          <w:tab w:val="num" w:pos="567"/>
        </w:tabs>
        <w:ind w:left="567" w:hanging="567"/>
      </w:pPr>
      <w:r>
        <w:t>When compared to the overall need the affordable housing need is fairly substantial.</w:t>
      </w:r>
      <w:r w:rsidR="00855CA6">
        <w:t xml:space="preserve"> </w:t>
      </w:r>
      <w:r w:rsidR="008F021B">
        <w:t>For the Plan Area</w:t>
      </w:r>
      <w:r w:rsidR="00855CA6">
        <w:t>,</w:t>
      </w:r>
      <w:r w:rsidR="008F021B">
        <w:t xml:space="preserve"> the identified annual affordable housing need of 286 equates to 44% of </w:t>
      </w:r>
      <w:r w:rsidR="00855CA6">
        <w:t xml:space="preserve">the </w:t>
      </w:r>
      <w:r w:rsidR="008F021B">
        <w:t>overall need for 650 dpa.</w:t>
      </w:r>
      <w:r w:rsidR="00855CA6">
        <w:t xml:space="preserve"> </w:t>
      </w:r>
      <w:r>
        <w:t>This would justify the Council seeking to gain as much affordable housing as viably possible.</w:t>
      </w:r>
    </w:p>
    <w:bookmarkEnd w:id="141"/>
    <w:p w:rsidR="00B008D9" w:rsidRPr="00D653EB" w:rsidRDefault="00B008D9" w:rsidP="00805614">
      <w:pPr>
        <w:pStyle w:val="SubheadBlue12"/>
        <w:ind w:left="567" w:firstLine="0"/>
      </w:pPr>
      <w:r w:rsidRPr="00D653EB">
        <w:t xml:space="preserve">Establishing a Need for Affordable </w:t>
      </w:r>
      <w:r w:rsidR="00451CFA">
        <w:t>Home ownership</w:t>
      </w:r>
    </w:p>
    <w:p w:rsidR="00B008D9" w:rsidRPr="00D653EB" w:rsidRDefault="00B008D9" w:rsidP="000C05B0">
      <w:pPr>
        <w:pStyle w:val="11Bodytext"/>
        <w:tabs>
          <w:tab w:val="clear" w:pos="2212"/>
          <w:tab w:val="num" w:pos="567"/>
        </w:tabs>
        <w:ind w:left="567" w:hanging="567"/>
        <w:rPr>
          <w:color w:val="auto"/>
        </w:rPr>
      </w:pPr>
      <w:r w:rsidRPr="00D653EB">
        <w:t xml:space="preserve">As set out above, the previously established method to look at affordable need estimates that there is a need for around </w:t>
      </w:r>
      <w:r>
        <w:rPr>
          <w:color w:val="000000"/>
        </w:rPr>
        <w:t>348</w:t>
      </w:r>
      <w:r w:rsidRPr="00D653EB">
        <w:rPr>
          <w:color w:val="000000"/>
        </w:rPr>
        <w:t xml:space="preserve"> </w:t>
      </w:r>
      <w:r w:rsidRPr="00D653EB">
        <w:t>dwellings per annum – this is for subsidised housing at a cost below that to access the private rented sector (i.e. for households unable to access any form of market housing without some form of subsidy) using the standard method. It would be expected that this housing would be delivered primarily as social/affordable rented housing.</w:t>
      </w:r>
    </w:p>
    <w:p w:rsidR="00B008D9" w:rsidRPr="00D653EB" w:rsidRDefault="00B008D9" w:rsidP="000C05B0">
      <w:pPr>
        <w:pStyle w:val="11Bodytext"/>
        <w:tabs>
          <w:tab w:val="clear" w:pos="2212"/>
          <w:tab w:val="num" w:pos="567"/>
        </w:tabs>
        <w:ind w:left="567" w:hanging="567"/>
        <w:rPr>
          <w:color w:val="auto"/>
        </w:rPr>
      </w:pPr>
      <w:r>
        <w:rPr>
          <w:lang w:eastAsia="en-GB"/>
        </w:rPr>
        <w:t>However</w:t>
      </w:r>
      <w:r w:rsidRPr="00D653EB">
        <w:rPr>
          <w:lang w:eastAsia="en-GB"/>
        </w:rPr>
        <w:t>, the NPPF (2018) introduced a new category of household</w:t>
      </w:r>
      <w:r w:rsidR="003D0CB9">
        <w:rPr>
          <w:lang w:eastAsia="en-GB"/>
        </w:rPr>
        <w:t>s</w:t>
      </w:r>
      <w:r w:rsidRPr="00D653EB">
        <w:rPr>
          <w:lang w:eastAsia="en-GB"/>
        </w:rPr>
        <w:t xml:space="preserve"> in affordable housing need and</w:t>
      </w:r>
      <w:r w:rsidRPr="00D653EB">
        <w:t xml:space="preserve"> </w:t>
      </w:r>
      <w:r w:rsidR="003D0CB9" w:rsidRPr="00D653EB">
        <w:t>widen</w:t>
      </w:r>
      <w:r w:rsidR="003D0CB9">
        <w:t>ed</w:t>
      </w:r>
      <w:r w:rsidR="003D0CB9" w:rsidRPr="00D653EB">
        <w:t xml:space="preserve"> </w:t>
      </w:r>
      <w:r w:rsidRPr="00D653EB">
        <w:t xml:space="preserve">the definition of affordable housing (as found in the NPPF (2018 and 2019) – Annex 2). It is considered that households falling into the </w:t>
      </w:r>
      <w:r w:rsidRPr="00D653EB">
        <w:lastRenderedPageBreak/>
        <w:t>definition</w:t>
      </w:r>
      <w:r w:rsidR="003D0CB9">
        <w:t xml:space="preserve"> (aspiring to </w:t>
      </w:r>
      <w:r w:rsidR="00451CFA">
        <w:t>home ownership</w:t>
      </w:r>
      <w:r w:rsidR="003D0CB9">
        <w:t>)</w:t>
      </w:r>
      <w:r w:rsidRPr="00D653EB">
        <w:t xml:space="preserve"> would be suitable for Starter Homes or Discounted market sales housing, and other forms of affordable </w:t>
      </w:r>
      <w:r w:rsidR="00451CFA">
        <w:rPr>
          <w:noProof/>
        </w:rPr>
        <w:t>home ownership</w:t>
      </w:r>
      <w:r w:rsidRPr="00D653EB">
        <w:t xml:space="preserve"> such as shared ownership.</w:t>
      </w:r>
    </w:p>
    <w:p w:rsidR="00C41EB7" w:rsidRPr="00C41EB7" w:rsidRDefault="00B008D9" w:rsidP="000C05B0">
      <w:pPr>
        <w:pStyle w:val="11Bodytext"/>
        <w:tabs>
          <w:tab w:val="clear" w:pos="2212"/>
          <w:tab w:val="num" w:pos="567"/>
        </w:tabs>
        <w:ind w:left="567" w:hanging="567"/>
        <w:rPr>
          <w:color w:val="auto"/>
        </w:rPr>
      </w:pPr>
      <w:r w:rsidRPr="00D653EB">
        <w:t xml:space="preserve">This section considers the level of need for these types of dwellings in </w:t>
      </w:r>
      <w:r>
        <w:t>Chichester</w:t>
      </w:r>
      <w:r w:rsidR="00C41EB7">
        <w:t>. P</w:t>
      </w:r>
      <w:r w:rsidR="00C41EB7" w:rsidRPr="00D653EB">
        <w:t>aragraph 64</w:t>
      </w:r>
      <w:r w:rsidR="00C41EB7">
        <w:t xml:space="preserve"> of t</w:t>
      </w:r>
      <w:r w:rsidRPr="00D653EB">
        <w:t>he NPPF (2019) states</w:t>
      </w:r>
      <w:r w:rsidR="00C41EB7">
        <w:t>:</w:t>
      </w:r>
    </w:p>
    <w:p w:rsidR="00B008D9" w:rsidRPr="00D653EB" w:rsidRDefault="00B008D9" w:rsidP="00ED1C06">
      <w:pPr>
        <w:pStyle w:val="11Bodytext"/>
        <w:numPr>
          <w:ilvl w:val="0"/>
          <w:numId w:val="0"/>
        </w:numPr>
        <w:ind w:left="709"/>
        <w:rPr>
          <w:color w:val="auto"/>
        </w:rPr>
      </w:pPr>
      <w:r w:rsidRPr="00C41EB7">
        <w:t xml:space="preserve">“Where major development involving the provision of housing is proposed, planning policies and decisions should expect at least 10% of the homes to be available for affordable </w:t>
      </w:r>
      <w:r w:rsidR="00451CFA">
        <w:t>home ownership</w:t>
      </w:r>
      <w:r w:rsidRPr="00C41EB7">
        <w:t>, unless this would exceed the level of affordable housing required in the area, or significantly prejudice the ability to meet the identified affordable housing needs of specific groups.”</w:t>
      </w:r>
    </w:p>
    <w:p w:rsidR="00B008D9" w:rsidRPr="004F4DBD" w:rsidRDefault="00B008D9" w:rsidP="000C05B0">
      <w:pPr>
        <w:pStyle w:val="11Bodytext"/>
        <w:tabs>
          <w:tab w:val="clear" w:pos="2212"/>
          <w:tab w:val="num" w:pos="567"/>
        </w:tabs>
        <w:ind w:left="567" w:hanging="567"/>
        <w:rPr>
          <w:color w:val="auto"/>
        </w:rPr>
      </w:pPr>
      <w:r w:rsidRPr="00D653EB">
        <w:t xml:space="preserve">The methodology used in this report to quantify this need, therefore, draws on the current standard </w:t>
      </w:r>
      <w:r w:rsidRPr="00D653EB">
        <w:rPr>
          <w:noProof/>
        </w:rPr>
        <w:t>method</w:t>
      </w:r>
      <w:r w:rsidRPr="00D653EB">
        <w:t xml:space="preserve"> and includes an assessment of current needs and projected need (including housing need for newly forming and existing households). </w:t>
      </w:r>
    </w:p>
    <w:p w:rsidR="00B008D9" w:rsidRPr="004F4DBD" w:rsidRDefault="00B008D9" w:rsidP="000C05B0">
      <w:pPr>
        <w:pStyle w:val="11Bodytext"/>
        <w:tabs>
          <w:tab w:val="clear" w:pos="2212"/>
          <w:tab w:val="num" w:pos="567"/>
        </w:tabs>
        <w:ind w:left="567" w:hanging="567"/>
        <w:rPr>
          <w:color w:val="auto"/>
        </w:rPr>
      </w:pPr>
      <w:r w:rsidRPr="00D653EB">
        <w:t xml:space="preserve">The key difference is that in looking at affordability, an estimate of the number of households in the ‘gap’ between buying and renting is used. </w:t>
      </w:r>
      <w:r>
        <w:t>This can be drawn from Table 2</w:t>
      </w:r>
      <w:r w:rsidR="00C41EB7">
        <w:t>6</w:t>
      </w:r>
      <w:r>
        <w:t xml:space="preserve"> above which shows that these products are effectively being target</w:t>
      </w:r>
      <w:r w:rsidR="00860952">
        <w:t>ed</w:t>
      </w:r>
      <w:r>
        <w:t xml:space="preserve"> for those earning between £27,600 and £55,000</w:t>
      </w:r>
      <w:r w:rsidR="00F67C39">
        <w:t xml:space="preserve"> for renting and buying respectively. </w:t>
      </w:r>
    </w:p>
    <w:p w:rsidR="00B008D9" w:rsidRPr="00D653EB" w:rsidRDefault="00B008D9" w:rsidP="000C05B0">
      <w:pPr>
        <w:pStyle w:val="11Bodytext"/>
        <w:tabs>
          <w:tab w:val="clear" w:pos="2212"/>
          <w:tab w:val="num" w:pos="567"/>
        </w:tabs>
        <w:ind w:left="567" w:hanging="567"/>
      </w:pPr>
      <w:r w:rsidRPr="00D653EB">
        <w:t xml:space="preserve">There is also the issue of establishing an estimate of the supply of affordable </w:t>
      </w:r>
      <w:r w:rsidR="00451CFA">
        <w:t>home ownership</w:t>
      </w:r>
      <w:r w:rsidRPr="00D653EB">
        <w:t xml:space="preserve"> homes</w:t>
      </w:r>
      <w:r>
        <w:t>.</w:t>
      </w:r>
      <w:r w:rsidR="00855CA6">
        <w:t xml:space="preserve"> </w:t>
      </w:r>
      <w:r w:rsidRPr="00D653EB">
        <w:t xml:space="preserve">As with assessing the need for affordable </w:t>
      </w:r>
      <w:r w:rsidR="00451CFA">
        <w:t>home ownership</w:t>
      </w:r>
      <w:r w:rsidRPr="00D653EB">
        <w:t xml:space="preserve">, it is the case that at present, PPG does not include any suggestions about how the supply of housing to meet these needs should be calculated. </w:t>
      </w:r>
    </w:p>
    <w:p w:rsidR="00B008D9" w:rsidRPr="00D653EB" w:rsidRDefault="00B008D9" w:rsidP="000C05B0">
      <w:pPr>
        <w:pStyle w:val="11Bodytext"/>
        <w:tabs>
          <w:tab w:val="clear" w:pos="2212"/>
          <w:tab w:val="num" w:pos="567"/>
        </w:tabs>
        <w:ind w:left="567" w:hanging="567"/>
      </w:pPr>
      <w:r w:rsidRPr="00D653EB">
        <w:t xml:space="preserve">In projecting forward, the analysis </w:t>
      </w:r>
      <w:r w:rsidR="00031E2C">
        <w:t>is only able to</w:t>
      </w:r>
      <w:r w:rsidRPr="00D653EB">
        <w:t xml:space="preserve"> consider newly forming households and the remaining existing households who expect to become owners further into the future. </w:t>
      </w:r>
    </w:p>
    <w:p w:rsidR="00B008D9" w:rsidRPr="00D653EB" w:rsidRDefault="00B008D9" w:rsidP="000C05B0">
      <w:pPr>
        <w:pStyle w:val="11Bodytext"/>
        <w:tabs>
          <w:tab w:val="clear" w:pos="2212"/>
          <w:tab w:val="num" w:pos="567"/>
        </w:tabs>
        <w:ind w:left="567" w:hanging="567"/>
        <w:rPr>
          <w:color w:val="auto"/>
        </w:rPr>
      </w:pPr>
      <w:r w:rsidRPr="00D653EB">
        <w:t xml:space="preserve">The method has applied the same affordability test (albeit on a very slightly different income assumption for newly forming households). </w:t>
      </w:r>
      <w:r w:rsidRPr="00D653EB">
        <w:rPr>
          <w:color w:val="auto"/>
        </w:rPr>
        <w:t xml:space="preserve">To clarify, the supply range maximum is based on the number of homes sold at below the lower quartile price. </w:t>
      </w:r>
    </w:p>
    <w:p w:rsidR="009B3A36" w:rsidRDefault="00C41EB7" w:rsidP="000C05B0">
      <w:pPr>
        <w:pStyle w:val="11Bodytext"/>
        <w:tabs>
          <w:tab w:val="clear" w:pos="2212"/>
          <w:tab w:val="num" w:pos="567"/>
        </w:tabs>
        <w:ind w:left="567" w:hanging="567"/>
      </w:pPr>
      <w:r>
        <w:lastRenderedPageBreak/>
        <w:t>The supply side is</w:t>
      </w:r>
      <w:r w:rsidR="00B008D9" w:rsidRPr="00D653EB">
        <w:t xml:space="preserve"> assum</w:t>
      </w:r>
      <w:r>
        <w:t>ed as</w:t>
      </w:r>
      <w:r w:rsidR="00B008D9" w:rsidRPr="00D653EB">
        <w:t xml:space="preserve"> half of the lower quartile (LQ) supply </w:t>
      </w:r>
      <w:r>
        <w:t xml:space="preserve">which </w:t>
      </w:r>
      <w:r w:rsidR="00B008D9" w:rsidRPr="00D653EB">
        <w:t>would be able to meet the needs.</w:t>
      </w:r>
      <w:r w:rsidR="00855CA6">
        <w:t xml:space="preserve"> </w:t>
      </w:r>
      <w:r w:rsidR="00B008D9" w:rsidRPr="00D653EB">
        <w:t>This is just a broad assumption on the basis that some of the properties in the lower quartile range will not be fit for habitation or will be age</w:t>
      </w:r>
      <w:r w:rsidR="00B008D9">
        <w:t>-</w:t>
      </w:r>
      <w:r w:rsidR="00B008D9" w:rsidRPr="00D653EB">
        <w:t>restricted.</w:t>
      </w:r>
    </w:p>
    <w:p w:rsidR="00B008D9" w:rsidRDefault="00860952" w:rsidP="000C05B0">
      <w:pPr>
        <w:pStyle w:val="11Bodytext"/>
        <w:tabs>
          <w:tab w:val="clear" w:pos="2212"/>
          <w:tab w:val="num" w:pos="567"/>
        </w:tabs>
        <w:ind w:left="567" w:hanging="567"/>
      </w:pPr>
      <w:r>
        <w:t>Using Land Registry data there were 2,040 homes sold in Chichester District</w:t>
      </w:r>
      <w:r w:rsidR="009B3A36">
        <w:t xml:space="preserve"> in the last year</w:t>
      </w:r>
      <w:r w:rsidR="00015AE0">
        <w:t xml:space="preserve"> (2019)</w:t>
      </w:r>
      <w:r w:rsidR="009B3A36">
        <w:t>.</w:t>
      </w:r>
      <w:r>
        <w:t xml:space="preserve"> </w:t>
      </w:r>
      <w:r w:rsidR="009B3A36">
        <w:t>B</w:t>
      </w:r>
      <w:r>
        <w:t>y definition</w:t>
      </w:r>
      <w:r w:rsidR="00855CA6">
        <w:t>,</w:t>
      </w:r>
      <w:r>
        <w:t xml:space="preserve"> there were 510 sold at or below the lower quartile price.</w:t>
      </w:r>
      <w:r w:rsidR="00855CA6">
        <w:t xml:space="preserve"> </w:t>
      </w:r>
      <w:r>
        <w:t>Using the assumption set out above we have assumed a supply of 255 homes per annum.</w:t>
      </w:r>
    </w:p>
    <w:p w:rsidR="006E29A2" w:rsidRPr="00681EBB" w:rsidRDefault="00B008D9" w:rsidP="00681EBB">
      <w:pPr>
        <w:pStyle w:val="11Bodytext"/>
        <w:tabs>
          <w:tab w:val="clear" w:pos="2212"/>
          <w:tab w:val="num" w:pos="567"/>
        </w:tabs>
        <w:spacing w:after="200"/>
        <w:ind w:left="567" w:hanging="567"/>
        <w:rPr>
          <w:b/>
        </w:rPr>
      </w:pPr>
      <w:r w:rsidRPr="00D653EB">
        <w:t xml:space="preserve">The analysis </w:t>
      </w:r>
      <w:r>
        <w:t xml:space="preserve">set out in the table below </w:t>
      </w:r>
      <w:r w:rsidRPr="00D653EB">
        <w:t xml:space="preserve">identifies a gross need for around </w:t>
      </w:r>
      <w:r>
        <w:t>385</w:t>
      </w:r>
      <w:r w:rsidRPr="00D653EB">
        <w:t xml:space="preserve"> affordable </w:t>
      </w:r>
      <w:r w:rsidR="00451CFA">
        <w:t>home ownership</w:t>
      </w:r>
      <w:r w:rsidRPr="00D653EB">
        <w:t xml:space="preserve"> dwellings per annum in </w:t>
      </w:r>
      <w:r>
        <w:t>Chichester</w:t>
      </w:r>
      <w:r w:rsidRPr="00D653EB">
        <w:t xml:space="preserve"> </w:t>
      </w:r>
      <w:r w:rsidR="00E460EA">
        <w:t xml:space="preserve">District </w:t>
      </w:r>
      <w:r w:rsidRPr="00D653EB">
        <w:t>over the period 2019 to 20</w:t>
      </w:r>
      <w:r>
        <w:t>36</w:t>
      </w:r>
      <w:r w:rsidRPr="00D653EB">
        <w:t xml:space="preserve">. Once the supply position is taken into account under the standard methodology, there is a net need for </w:t>
      </w:r>
      <w:r>
        <w:t>130</w:t>
      </w:r>
      <w:r w:rsidRPr="00D653EB">
        <w:t xml:space="preserve"> low</w:t>
      </w:r>
      <w:r>
        <w:t>-</w:t>
      </w:r>
      <w:r w:rsidRPr="00D653EB">
        <w:t xml:space="preserve">cost </w:t>
      </w:r>
      <w:r w:rsidR="00451CFA">
        <w:t>home ownership</w:t>
      </w:r>
      <w:r w:rsidRPr="00D653EB">
        <w:t xml:space="preserve"> dwellings</w:t>
      </w:r>
      <w:r w:rsidR="009B3A36">
        <w:t xml:space="preserve"> for the district</w:t>
      </w:r>
      <w:r w:rsidRPr="00D653EB">
        <w:t>.</w:t>
      </w:r>
      <w:r w:rsidR="009B3A36">
        <w:t xml:space="preserve"> Removing the need generated from the SDNP gives a Plan Area need of 97 per annum.</w:t>
      </w:r>
      <w:bookmarkStart w:id="146" w:name="_Hlk33519627"/>
      <w:r w:rsidR="009B3A36" w:rsidRPr="00681EBB">
        <w:rPr>
          <w:b/>
        </w:rPr>
        <w:t xml:space="preserve"> </w:t>
      </w:r>
      <w:r w:rsidR="002F7AD3">
        <w:t>This data is also provided in Appendix B for the alternative plan period.</w:t>
      </w:r>
    </w:p>
    <w:p w:rsidR="00B008D9" w:rsidRPr="00CA47B9" w:rsidRDefault="00B008D9" w:rsidP="00AE5604">
      <w:pPr>
        <w:pStyle w:val="Tableheading"/>
        <w:tabs>
          <w:tab w:val="clear" w:pos="794"/>
          <w:tab w:val="clear" w:pos="1843"/>
          <w:tab w:val="left" w:pos="0"/>
        </w:tabs>
        <w:ind w:left="0" w:firstLine="0"/>
      </w:pPr>
      <w:r w:rsidRPr="00CA47B9">
        <w:t xml:space="preserve">Estimated level of Affordable </w:t>
      </w:r>
      <w:r w:rsidR="00451CFA">
        <w:t>Home ownership</w:t>
      </w:r>
      <w:r w:rsidRPr="00CA47B9">
        <w:t xml:space="preserve"> Need per annum </w:t>
      </w:r>
    </w:p>
    <w:tbl>
      <w:tblPr>
        <w:tblStyle w:val="Compressed"/>
        <w:tblW w:w="4894" w:type="pct"/>
        <w:tblInd w:w="108" w:type="dxa"/>
        <w:tblLook w:val="04A0" w:firstRow="1" w:lastRow="0" w:firstColumn="1" w:lastColumn="0" w:noHBand="0" w:noVBand="1"/>
        <w:tblCaption w:val="Table 28: Estimated level of Affordable Home ownership Need per annum "/>
      </w:tblPr>
      <w:tblGrid>
        <w:gridCol w:w="1984"/>
        <w:gridCol w:w="991"/>
        <w:gridCol w:w="1419"/>
        <w:gridCol w:w="1843"/>
        <w:gridCol w:w="993"/>
        <w:gridCol w:w="1417"/>
        <w:gridCol w:w="991"/>
      </w:tblGrid>
      <w:tr w:rsidR="00AE5604" w:rsidRPr="00CA47B9" w:rsidTr="00AE56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30" w:type="pct"/>
          </w:tcPr>
          <w:p w:rsidR="00B008D9" w:rsidRPr="00CA47B9" w:rsidRDefault="00B008D9" w:rsidP="005200A0">
            <w:pPr>
              <w:keepNext/>
              <w:rPr>
                <w:rFonts w:eastAsia="Times New Roman"/>
                <w:bCs/>
                <w:lang w:eastAsia="en-GB"/>
              </w:rPr>
            </w:pPr>
          </w:p>
        </w:tc>
        <w:tc>
          <w:tcPr>
            <w:tcW w:w="514" w:type="pct"/>
          </w:tcPr>
          <w:p w:rsidR="00B008D9" w:rsidRPr="00CA47B9" w:rsidRDefault="00B008D9" w:rsidP="005200A0">
            <w:pPr>
              <w:keepNext/>
              <w:contextualSpacing/>
              <w:cnfStyle w:val="100000000000" w:firstRow="1" w:lastRow="0" w:firstColumn="0" w:lastColumn="0" w:oddVBand="0" w:evenVBand="0" w:oddHBand="0" w:evenHBand="0" w:firstRowFirstColumn="0" w:firstRowLastColumn="0" w:lastRowFirstColumn="0" w:lastRowLastColumn="0"/>
              <w:rPr>
                <w:bCs/>
              </w:rPr>
            </w:pPr>
            <w:r w:rsidRPr="00CA47B9">
              <w:rPr>
                <w:bCs/>
              </w:rPr>
              <w:t>Current need</w:t>
            </w:r>
          </w:p>
        </w:tc>
        <w:tc>
          <w:tcPr>
            <w:tcW w:w="736" w:type="pct"/>
          </w:tcPr>
          <w:p w:rsidR="00B008D9" w:rsidRPr="00CA47B9" w:rsidRDefault="00B008D9" w:rsidP="005200A0">
            <w:pPr>
              <w:keepNext/>
              <w:contextualSpacing/>
              <w:cnfStyle w:val="100000000000" w:firstRow="1" w:lastRow="0" w:firstColumn="0" w:lastColumn="0" w:oddVBand="0" w:evenVBand="0" w:oddHBand="0" w:evenHBand="0" w:firstRowFirstColumn="0" w:firstRowLastColumn="0" w:lastRowFirstColumn="0" w:lastRowLastColumn="0"/>
              <w:rPr>
                <w:bCs/>
              </w:rPr>
            </w:pPr>
            <w:r w:rsidRPr="00CA47B9">
              <w:rPr>
                <w:bCs/>
              </w:rPr>
              <w:t>Newly forming households</w:t>
            </w:r>
          </w:p>
        </w:tc>
        <w:tc>
          <w:tcPr>
            <w:tcW w:w="956" w:type="pct"/>
          </w:tcPr>
          <w:p w:rsidR="00B008D9" w:rsidRPr="00CA47B9" w:rsidRDefault="00B008D9" w:rsidP="005200A0">
            <w:pPr>
              <w:keepNext/>
              <w:contextualSpacing/>
              <w:cnfStyle w:val="100000000000" w:firstRow="1" w:lastRow="0" w:firstColumn="0" w:lastColumn="0" w:oddVBand="0" w:evenVBand="0" w:oddHBand="0" w:evenHBand="0" w:firstRowFirstColumn="0" w:firstRowLastColumn="0" w:lastRowFirstColumn="0" w:lastRowLastColumn="0"/>
              <w:rPr>
                <w:bCs/>
              </w:rPr>
            </w:pPr>
            <w:r w:rsidRPr="00CA47B9">
              <w:rPr>
                <w:bCs/>
              </w:rPr>
              <w:t>Existing households falling into need</w:t>
            </w:r>
          </w:p>
        </w:tc>
        <w:tc>
          <w:tcPr>
            <w:tcW w:w="515" w:type="pct"/>
          </w:tcPr>
          <w:p w:rsidR="00B008D9" w:rsidRPr="00CA47B9" w:rsidRDefault="00B008D9" w:rsidP="005200A0">
            <w:pPr>
              <w:keepNext/>
              <w:contextualSpacing/>
              <w:cnfStyle w:val="100000000000" w:firstRow="1" w:lastRow="0" w:firstColumn="0" w:lastColumn="0" w:oddVBand="0" w:evenVBand="0" w:oddHBand="0" w:evenHBand="0" w:firstRowFirstColumn="0" w:firstRowLastColumn="0" w:lastRowFirstColumn="0" w:lastRowLastColumn="0"/>
              <w:rPr>
                <w:bCs/>
              </w:rPr>
            </w:pPr>
            <w:r w:rsidRPr="00CA47B9">
              <w:rPr>
                <w:bCs/>
              </w:rPr>
              <w:t>Total Gross Need</w:t>
            </w:r>
          </w:p>
        </w:tc>
        <w:tc>
          <w:tcPr>
            <w:tcW w:w="735" w:type="pct"/>
          </w:tcPr>
          <w:p w:rsidR="00B008D9" w:rsidRPr="00CA47B9" w:rsidRDefault="00B008D9" w:rsidP="005200A0">
            <w:pPr>
              <w:keepNext/>
              <w:contextualSpacing/>
              <w:cnfStyle w:val="100000000000" w:firstRow="1" w:lastRow="0" w:firstColumn="0" w:lastColumn="0" w:oddVBand="0" w:evenVBand="0" w:oddHBand="0" w:evenHBand="0" w:firstRowFirstColumn="0" w:firstRowLastColumn="0" w:lastRowFirstColumn="0" w:lastRowLastColumn="0"/>
              <w:rPr>
                <w:bCs/>
              </w:rPr>
            </w:pPr>
            <w:r w:rsidRPr="00CA47B9">
              <w:rPr>
                <w:bCs/>
              </w:rPr>
              <w:t>Supply (50% LQ +AHO resales)</w:t>
            </w:r>
          </w:p>
        </w:tc>
        <w:tc>
          <w:tcPr>
            <w:tcW w:w="514" w:type="pct"/>
          </w:tcPr>
          <w:p w:rsidR="00B008D9" w:rsidRPr="00CA47B9" w:rsidRDefault="00B008D9" w:rsidP="005200A0">
            <w:pPr>
              <w:keepNext/>
              <w:contextualSpacing/>
              <w:cnfStyle w:val="100000000000" w:firstRow="1" w:lastRow="0" w:firstColumn="0" w:lastColumn="0" w:oddVBand="0" w:evenVBand="0" w:oddHBand="0" w:evenHBand="0" w:firstRowFirstColumn="0" w:firstRowLastColumn="0" w:lastRowFirstColumn="0" w:lastRowLastColumn="0"/>
              <w:rPr>
                <w:bCs/>
              </w:rPr>
            </w:pPr>
            <w:r w:rsidRPr="00CA47B9">
              <w:rPr>
                <w:bCs/>
              </w:rPr>
              <w:t>Net Need</w:t>
            </w:r>
          </w:p>
        </w:tc>
      </w:tr>
      <w:tr w:rsidR="00AE5604" w:rsidRPr="00CA47B9" w:rsidTr="00AE5604">
        <w:tc>
          <w:tcPr>
            <w:cnfStyle w:val="001000000000" w:firstRow="0" w:lastRow="0" w:firstColumn="1" w:lastColumn="0" w:oddVBand="0" w:evenVBand="0" w:oddHBand="0" w:evenHBand="0" w:firstRowFirstColumn="0" w:firstRowLastColumn="0" w:lastRowFirstColumn="0" w:lastRowLastColumn="0"/>
            <w:tcW w:w="1030" w:type="pct"/>
          </w:tcPr>
          <w:p w:rsidR="00B008D9" w:rsidRPr="00CA47B9" w:rsidRDefault="00B008D9" w:rsidP="005200A0">
            <w:pPr>
              <w:keepNext/>
              <w:rPr>
                <w:rFonts w:eastAsia="Times New Roman"/>
                <w:color w:val="000000"/>
                <w:lang w:eastAsia="en-GB"/>
              </w:rPr>
            </w:pPr>
            <w:r w:rsidRPr="00CA47B9">
              <w:rPr>
                <w:color w:val="000000"/>
              </w:rPr>
              <w:t>Chichester City</w:t>
            </w:r>
          </w:p>
        </w:tc>
        <w:tc>
          <w:tcPr>
            <w:tcW w:w="514"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GB"/>
              </w:rPr>
            </w:pPr>
            <w:r>
              <w:rPr>
                <w:color w:val="000000"/>
              </w:rPr>
              <w:t>9</w:t>
            </w:r>
          </w:p>
        </w:tc>
        <w:tc>
          <w:tcPr>
            <w:tcW w:w="736"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83</w:t>
            </w:r>
          </w:p>
        </w:tc>
        <w:tc>
          <w:tcPr>
            <w:tcW w:w="956"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26</w:t>
            </w:r>
          </w:p>
        </w:tc>
        <w:tc>
          <w:tcPr>
            <w:tcW w:w="515"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117</w:t>
            </w:r>
          </w:p>
        </w:tc>
        <w:tc>
          <w:tcPr>
            <w:tcW w:w="735"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63</w:t>
            </w:r>
          </w:p>
        </w:tc>
        <w:tc>
          <w:tcPr>
            <w:tcW w:w="514"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55</w:t>
            </w:r>
          </w:p>
        </w:tc>
      </w:tr>
      <w:tr w:rsidR="00AE5604" w:rsidRPr="00CA47B9" w:rsidTr="00AE5604">
        <w:tc>
          <w:tcPr>
            <w:cnfStyle w:val="001000000000" w:firstRow="0" w:lastRow="0" w:firstColumn="1" w:lastColumn="0" w:oddVBand="0" w:evenVBand="0" w:oddHBand="0" w:evenHBand="0" w:firstRowFirstColumn="0" w:firstRowLastColumn="0" w:lastRowFirstColumn="0" w:lastRowLastColumn="0"/>
            <w:tcW w:w="1030" w:type="pct"/>
          </w:tcPr>
          <w:p w:rsidR="00B008D9" w:rsidRPr="00CA47B9" w:rsidRDefault="00B008D9" w:rsidP="005200A0">
            <w:pPr>
              <w:keepNext/>
              <w:rPr>
                <w:color w:val="000000"/>
              </w:rPr>
            </w:pPr>
            <w:r w:rsidRPr="00CA47B9">
              <w:rPr>
                <w:color w:val="000000"/>
              </w:rPr>
              <w:t>East-West Corridor</w:t>
            </w:r>
          </w:p>
        </w:tc>
        <w:tc>
          <w:tcPr>
            <w:tcW w:w="514"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c>
          <w:tcPr>
            <w:tcW w:w="736"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65</w:t>
            </w:r>
          </w:p>
        </w:tc>
        <w:tc>
          <w:tcPr>
            <w:tcW w:w="956"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14</w:t>
            </w:r>
          </w:p>
        </w:tc>
        <w:tc>
          <w:tcPr>
            <w:tcW w:w="515"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83</w:t>
            </w:r>
          </w:p>
        </w:tc>
        <w:tc>
          <w:tcPr>
            <w:tcW w:w="735"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61</w:t>
            </w:r>
          </w:p>
        </w:tc>
        <w:tc>
          <w:tcPr>
            <w:tcW w:w="514"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22</w:t>
            </w:r>
          </w:p>
        </w:tc>
      </w:tr>
      <w:tr w:rsidR="00AE5604" w:rsidRPr="00CA47B9" w:rsidTr="00AE5604">
        <w:tc>
          <w:tcPr>
            <w:cnfStyle w:val="001000000000" w:firstRow="0" w:lastRow="0" w:firstColumn="1" w:lastColumn="0" w:oddVBand="0" w:evenVBand="0" w:oddHBand="0" w:evenHBand="0" w:firstRowFirstColumn="0" w:firstRowLastColumn="0" w:lastRowFirstColumn="0" w:lastRowLastColumn="0"/>
            <w:tcW w:w="1030" w:type="pct"/>
          </w:tcPr>
          <w:p w:rsidR="00B008D9" w:rsidRPr="00CA47B9" w:rsidRDefault="00B008D9" w:rsidP="005200A0">
            <w:pPr>
              <w:keepNext/>
              <w:rPr>
                <w:color w:val="000000"/>
              </w:rPr>
            </w:pPr>
            <w:r w:rsidRPr="00CA47B9">
              <w:rPr>
                <w:color w:val="000000"/>
              </w:rPr>
              <w:t>Manhood Peninsula</w:t>
            </w:r>
          </w:p>
        </w:tc>
        <w:tc>
          <w:tcPr>
            <w:tcW w:w="514"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c>
          <w:tcPr>
            <w:tcW w:w="736"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57</w:t>
            </w:r>
          </w:p>
        </w:tc>
        <w:tc>
          <w:tcPr>
            <w:tcW w:w="956"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15</w:t>
            </w:r>
          </w:p>
        </w:tc>
        <w:tc>
          <w:tcPr>
            <w:tcW w:w="515"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76</w:t>
            </w:r>
          </w:p>
        </w:tc>
        <w:tc>
          <w:tcPr>
            <w:tcW w:w="735"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63</w:t>
            </w:r>
          </w:p>
        </w:tc>
        <w:tc>
          <w:tcPr>
            <w:tcW w:w="514"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14</w:t>
            </w:r>
          </w:p>
        </w:tc>
      </w:tr>
      <w:tr w:rsidR="00AE5604" w:rsidRPr="00CA47B9" w:rsidTr="00AE5604">
        <w:tc>
          <w:tcPr>
            <w:cnfStyle w:val="001000000000" w:firstRow="0" w:lastRow="0" w:firstColumn="1" w:lastColumn="0" w:oddVBand="0" w:evenVBand="0" w:oddHBand="0" w:evenHBand="0" w:firstRowFirstColumn="0" w:firstRowLastColumn="0" w:lastRowFirstColumn="0" w:lastRowLastColumn="0"/>
            <w:tcW w:w="1030" w:type="pct"/>
          </w:tcPr>
          <w:p w:rsidR="00B008D9" w:rsidRPr="00CA47B9" w:rsidRDefault="00B008D9" w:rsidP="005200A0">
            <w:pPr>
              <w:keepNext/>
              <w:rPr>
                <w:color w:val="000000"/>
              </w:rPr>
            </w:pPr>
            <w:r w:rsidRPr="00CA47B9">
              <w:rPr>
                <w:color w:val="000000"/>
              </w:rPr>
              <w:t>Plan Area North</w:t>
            </w:r>
          </w:p>
        </w:tc>
        <w:tc>
          <w:tcPr>
            <w:tcW w:w="514"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736"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21</w:t>
            </w:r>
          </w:p>
        </w:tc>
        <w:tc>
          <w:tcPr>
            <w:tcW w:w="956"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p>
        </w:tc>
        <w:tc>
          <w:tcPr>
            <w:tcW w:w="515"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24</w:t>
            </w:r>
          </w:p>
        </w:tc>
        <w:tc>
          <w:tcPr>
            <w:tcW w:w="735"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18</w:t>
            </w:r>
          </w:p>
        </w:tc>
        <w:tc>
          <w:tcPr>
            <w:tcW w:w="514"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6</w:t>
            </w:r>
          </w:p>
        </w:tc>
      </w:tr>
      <w:tr w:rsidR="00AE5604" w:rsidRPr="00CA47B9" w:rsidTr="00AE5604">
        <w:tc>
          <w:tcPr>
            <w:cnfStyle w:val="001000000000" w:firstRow="0" w:lastRow="0" w:firstColumn="1" w:lastColumn="0" w:oddVBand="0" w:evenVBand="0" w:oddHBand="0" w:evenHBand="0" w:firstRowFirstColumn="0" w:firstRowLastColumn="0" w:lastRowFirstColumn="0" w:lastRowLastColumn="0"/>
            <w:tcW w:w="1030" w:type="pct"/>
          </w:tcPr>
          <w:p w:rsidR="00B008D9" w:rsidRPr="00CA47B9" w:rsidRDefault="00B008D9" w:rsidP="005200A0">
            <w:pPr>
              <w:keepNext/>
              <w:rPr>
                <w:color w:val="000000"/>
              </w:rPr>
            </w:pPr>
            <w:r w:rsidRPr="00CA47B9">
              <w:rPr>
                <w:color w:val="000000"/>
              </w:rPr>
              <w:t>SDNP</w:t>
            </w:r>
          </w:p>
        </w:tc>
        <w:tc>
          <w:tcPr>
            <w:tcW w:w="514"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7</w:t>
            </w:r>
          </w:p>
        </w:tc>
        <w:tc>
          <w:tcPr>
            <w:tcW w:w="736"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55</w:t>
            </w:r>
          </w:p>
        </w:tc>
        <w:tc>
          <w:tcPr>
            <w:tcW w:w="956"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22</w:t>
            </w:r>
          </w:p>
        </w:tc>
        <w:tc>
          <w:tcPr>
            <w:tcW w:w="515"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84</w:t>
            </w:r>
          </w:p>
        </w:tc>
        <w:tc>
          <w:tcPr>
            <w:tcW w:w="735"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51</w:t>
            </w:r>
          </w:p>
        </w:tc>
        <w:tc>
          <w:tcPr>
            <w:tcW w:w="514" w:type="pct"/>
          </w:tcPr>
          <w:p w:rsidR="00B008D9" w:rsidRPr="00CA47B9" w:rsidRDefault="00B008D9" w:rsidP="005200A0">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33</w:t>
            </w:r>
          </w:p>
        </w:tc>
      </w:tr>
      <w:tr w:rsidR="00AE5604" w:rsidRPr="008970B2" w:rsidTr="00AE5604">
        <w:tc>
          <w:tcPr>
            <w:cnfStyle w:val="001000000000" w:firstRow="0" w:lastRow="0" w:firstColumn="1" w:lastColumn="0" w:oddVBand="0" w:evenVBand="0" w:oddHBand="0" w:evenHBand="0" w:firstRowFirstColumn="0" w:firstRowLastColumn="0" w:lastRowFirstColumn="0" w:lastRowLastColumn="0"/>
            <w:tcW w:w="1030" w:type="pct"/>
          </w:tcPr>
          <w:p w:rsidR="00B008D9" w:rsidRPr="008970B2" w:rsidRDefault="00B008D9" w:rsidP="005200A0">
            <w:pPr>
              <w:keepNext/>
              <w:rPr>
                <w:rFonts w:eastAsia="Times New Roman"/>
                <w:b/>
                <w:lang w:eastAsia="en-GB"/>
              </w:rPr>
            </w:pPr>
            <w:r w:rsidRPr="008970B2">
              <w:rPr>
                <w:b/>
              </w:rPr>
              <w:t>Chichester District</w:t>
            </w:r>
          </w:p>
        </w:tc>
        <w:tc>
          <w:tcPr>
            <w:tcW w:w="514" w:type="pct"/>
          </w:tcPr>
          <w:p w:rsidR="00B008D9" w:rsidRPr="008970B2" w:rsidRDefault="00B008D9" w:rsidP="005200A0">
            <w:pPr>
              <w:keepNext/>
              <w:cnfStyle w:val="000000000000" w:firstRow="0" w:lastRow="0" w:firstColumn="0" w:lastColumn="0" w:oddVBand="0" w:evenVBand="0" w:oddHBand="0" w:evenHBand="0" w:firstRowFirstColumn="0" w:firstRowLastColumn="0" w:lastRowFirstColumn="0" w:lastRowLastColumn="0"/>
              <w:rPr>
                <w:b/>
                <w:color w:val="000000"/>
              </w:rPr>
            </w:pPr>
            <w:r w:rsidRPr="008970B2">
              <w:rPr>
                <w:b/>
                <w:color w:val="000000"/>
              </w:rPr>
              <w:t>26</w:t>
            </w:r>
          </w:p>
        </w:tc>
        <w:tc>
          <w:tcPr>
            <w:tcW w:w="736" w:type="pct"/>
          </w:tcPr>
          <w:p w:rsidR="00B008D9" w:rsidRPr="008970B2" w:rsidRDefault="00B008D9" w:rsidP="005200A0">
            <w:pPr>
              <w:keepNext/>
              <w:cnfStyle w:val="000000000000" w:firstRow="0" w:lastRow="0" w:firstColumn="0" w:lastColumn="0" w:oddVBand="0" w:evenVBand="0" w:oddHBand="0" w:evenHBand="0" w:firstRowFirstColumn="0" w:firstRowLastColumn="0" w:lastRowFirstColumn="0" w:lastRowLastColumn="0"/>
              <w:rPr>
                <w:b/>
                <w:color w:val="000000"/>
              </w:rPr>
            </w:pPr>
            <w:r w:rsidRPr="008970B2">
              <w:rPr>
                <w:b/>
                <w:color w:val="000000"/>
              </w:rPr>
              <w:t>280</w:t>
            </w:r>
          </w:p>
        </w:tc>
        <w:tc>
          <w:tcPr>
            <w:tcW w:w="956" w:type="pct"/>
          </w:tcPr>
          <w:p w:rsidR="00B008D9" w:rsidRPr="008970B2" w:rsidRDefault="00B008D9" w:rsidP="005200A0">
            <w:pPr>
              <w:keepNext/>
              <w:cnfStyle w:val="000000000000" w:firstRow="0" w:lastRow="0" w:firstColumn="0" w:lastColumn="0" w:oddVBand="0" w:evenVBand="0" w:oddHBand="0" w:evenHBand="0" w:firstRowFirstColumn="0" w:firstRowLastColumn="0" w:lastRowFirstColumn="0" w:lastRowLastColumn="0"/>
              <w:rPr>
                <w:b/>
                <w:color w:val="000000"/>
              </w:rPr>
            </w:pPr>
            <w:r w:rsidRPr="008970B2">
              <w:rPr>
                <w:b/>
                <w:color w:val="000000"/>
              </w:rPr>
              <w:t>79</w:t>
            </w:r>
          </w:p>
        </w:tc>
        <w:tc>
          <w:tcPr>
            <w:tcW w:w="515" w:type="pct"/>
          </w:tcPr>
          <w:p w:rsidR="00B008D9" w:rsidRPr="008970B2" w:rsidRDefault="00B008D9" w:rsidP="005200A0">
            <w:pPr>
              <w:keepNext/>
              <w:cnfStyle w:val="000000000000" w:firstRow="0" w:lastRow="0" w:firstColumn="0" w:lastColumn="0" w:oddVBand="0" w:evenVBand="0" w:oddHBand="0" w:evenHBand="0" w:firstRowFirstColumn="0" w:firstRowLastColumn="0" w:lastRowFirstColumn="0" w:lastRowLastColumn="0"/>
              <w:rPr>
                <w:b/>
                <w:color w:val="000000"/>
              </w:rPr>
            </w:pPr>
            <w:r w:rsidRPr="008970B2">
              <w:rPr>
                <w:b/>
                <w:color w:val="000000"/>
              </w:rPr>
              <w:t>385</w:t>
            </w:r>
          </w:p>
        </w:tc>
        <w:tc>
          <w:tcPr>
            <w:tcW w:w="735" w:type="pct"/>
          </w:tcPr>
          <w:p w:rsidR="00B008D9" w:rsidRPr="008970B2" w:rsidRDefault="00B008D9" w:rsidP="005200A0">
            <w:pPr>
              <w:keepNext/>
              <w:cnfStyle w:val="000000000000" w:firstRow="0" w:lastRow="0" w:firstColumn="0" w:lastColumn="0" w:oddVBand="0" w:evenVBand="0" w:oddHBand="0" w:evenHBand="0" w:firstRowFirstColumn="0" w:firstRowLastColumn="0" w:lastRowFirstColumn="0" w:lastRowLastColumn="0"/>
              <w:rPr>
                <w:b/>
                <w:color w:val="000000"/>
              </w:rPr>
            </w:pPr>
            <w:r w:rsidRPr="008970B2">
              <w:rPr>
                <w:b/>
                <w:color w:val="000000"/>
              </w:rPr>
              <w:t>255</w:t>
            </w:r>
          </w:p>
        </w:tc>
        <w:tc>
          <w:tcPr>
            <w:tcW w:w="514" w:type="pct"/>
          </w:tcPr>
          <w:p w:rsidR="00B008D9" w:rsidRPr="008970B2" w:rsidRDefault="00B008D9" w:rsidP="005200A0">
            <w:pPr>
              <w:keepNext/>
              <w:cnfStyle w:val="000000000000" w:firstRow="0" w:lastRow="0" w:firstColumn="0" w:lastColumn="0" w:oddVBand="0" w:evenVBand="0" w:oddHBand="0" w:evenHBand="0" w:firstRowFirstColumn="0" w:firstRowLastColumn="0" w:lastRowFirstColumn="0" w:lastRowLastColumn="0"/>
              <w:rPr>
                <w:b/>
                <w:color w:val="000000"/>
              </w:rPr>
            </w:pPr>
            <w:r w:rsidRPr="008970B2">
              <w:rPr>
                <w:b/>
                <w:color w:val="000000"/>
              </w:rPr>
              <w:t>130</w:t>
            </w:r>
          </w:p>
        </w:tc>
      </w:tr>
    </w:tbl>
    <w:p w:rsidR="00B008D9" w:rsidRPr="00CA47B9" w:rsidRDefault="00B008D9" w:rsidP="00AE5604">
      <w:pPr>
        <w:widowControl w:val="0"/>
        <w:spacing w:after="120" w:line="360" w:lineRule="auto"/>
      </w:pPr>
      <w:r w:rsidRPr="00CA47B9">
        <w:t>Source: Housing Register/Census (2011)/CoRe/Projection Modelling and affordability analysis</w:t>
      </w:r>
    </w:p>
    <w:bookmarkEnd w:id="146"/>
    <w:p w:rsidR="00BB6B3C" w:rsidRPr="00CA47B9" w:rsidRDefault="00B008D9" w:rsidP="000C05B0">
      <w:pPr>
        <w:pStyle w:val="11Bodytext"/>
        <w:tabs>
          <w:tab w:val="clear" w:pos="2212"/>
          <w:tab w:val="num" w:pos="567"/>
        </w:tabs>
        <w:ind w:left="567" w:hanging="567"/>
      </w:pPr>
      <w:r w:rsidRPr="00F967A2">
        <w:t xml:space="preserve">The table </w:t>
      </w:r>
      <w:r>
        <w:t>also</w:t>
      </w:r>
      <w:r w:rsidRPr="00F967A2">
        <w:t xml:space="preserve"> shows the estimated need for affordable </w:t>
      </w:r>
      <w:r w:rsidR="00451CFA">
        <w:t>home ownership</w:t>
      </w:r>
      <w:r w:rsidRPr="00F967A2">
        <w:t xml:space="preserve"> by sub-area. </w:t>
      </w:r>
      <w:r w:rsidRPr="00CA47B9">
        <w:t xml:space="preserve">The net need for affordable </w:t>
      </w:r>
      <w:r w:rsidR="00451CFA">
        <w:t>home ownership</w:t>
      </w:r>
      <w:r w:rsidRPr="00CA47B9">
        <w:t xml:space="preserve"> in Chichester District is </w:t>
      </w:r>
      <w:r>
        <w:t>130</w:t>
      </w:r>
      <w:r w:rsidRPr="00CA47B9">
        <w:t xml:space="preserve"> dwellings per annum. Chichester City has the highest net need for affordable </w:t>
      </w:r>
      <w:r w:rsidR="00451CFA">
        <w:t>home ownership</w:t>
      </w:r>
      <w:r w:rsidRPr="00CA47B9">
        <w:t xml:space="preserve"> dwellings at </w:t>
      </w:r>
      <w:r>
        <w:t>55</w:t>
      </w:r>
      <w:r w:rsidRPr="00CA47B9">
        <w:t xml:space="preserve"> dpa. This is followed by the SDNP (</w:t>
      </w:r>
      <w:r>
        <w:t>33</w:t>
      </w:r>
      <w:r w:rsidRPr="00CA47B9">
        <w:t>)</w:t>
      </w:r>
      <w:r>
        <w:t>,</w:t>
      </w:r>
      <w:r w:rsidRPr="00CA47B9">
        <w:t xml:space="preserve"> East-West Corridor (2</w:t>
      </w:r>
      <w:r>
        <w:t>2</w:t>
      </w:r>
      <w:r w:rsidRPr="00CA47B9">
        <w:t>), Manhood Peninsula (1</w:t>
      </w:r>
      <w:r>
        <w:t>4</w:t>
      </w:r>
      <w:r w:rsidRPr="00CA47B9">
        <w:t>) and Plan Area North (</w:t>
      </w:r>
      <w:r>
        <w:t>6</w:t>
      </w:r>
      <w:r w:rsidRPr="00CA47B9">
        <w:t>).</w:t>
      </w:r>
    </w:p>
    <w:p w:rsidR="00B008D9" w:rsidRPr="00CA47B9" w:rsidRDefault="00B008D9" w:rsidP="00805614">
      <w:pPr>
        <w:pStyle w:val="SubheadBlue12"/>
        <w:ind w:left="567" w:firstLine="0"/>
      </w:pPr>
      <w:r w:rsidRPr="00CA47B9">
        <w:lastRenderedPageBreak/>
        <w:t xml:space="preserve">How Much Should Affordable </w:t>
      </w:r>
      <w:r w:rsidR="00451CFA">
        <w:t xml:space="preserve">Home </w:t>
      </w:r>
      <w:r w:rsidR="004C735B">
        <w:t>O</w:t>
      </w:r>
      <w:r w:rsidR="00451CFA">
        <w:t>wnership</w:t>
      </w:r>
      <w:r w:rsidRPr="00CA47B9">
        <w:t xml:space="preserve"> Cost?</w:t>
      </w:r>
    </w:p>
    <w:p w:rsidR="0011202F" w:rsidRDefault="00B008D9" w:rsidP="000C05B0">
      <w:pPr>
        <w:pStyle w:val="11Bodytext"/>
        <w:tabs>
          <w:tab w:val="clear" w:pos="2212"/>
          <w:tab w:val="num" w:pos="567"/>
        </w:tabs>
        <w:ind w:left="567" w:hanging="567"/>
      </w:pPr>
      <w:r w:rsidRPr="00CA47B9">
        <w:t xml:space="preserve">The evidence in this report suggests that there are </w:t>
      </w:r>
      <w:r w:rsidR="00BB6B3C">
        <w:t>many</w:t>
      </w:r>
      <w:r w:rsidRPr="00CA47B9">
        <w:t xml:space="preserve"> households likely to fall under the new PPG definition of affordable housing need</w:t>
      </w:r>
      <w:r w:rsidR="0011202F">
        <w:t xml:space="preserve"> to buy</w:t>
      </w:r>
      <w:r w:rsidR="00855CA6">
        <w:t xml:space="preserve"> </w:t>
      </w:r>
      <w:r w:rsidRPr="00CA47B9">
        <w:t xml:space="preserve">(i.e. in the gap between renting and buying), although the potential supply of housing to buy makes it difficult to fully quantify this need. </w:t>
      </w:r>
    </w:p>
    <w:p w:rsidR="00B008D9" w:rsidRPr="00CA47B9" w:rsidRDefault="00B008D9" w:rsidP="000C05B0">
      <w:pPr>
        <w:pStyle w:val="11Bodytext"/>
        <w:tabs>
          <w:tab w:val="clear" w:pos="2212"/>
          <w:tab w:val="num" w:pos="567"/>
        </w:tabs>
        <w:ind w:left="567" w:hanging="567"/>
      </w:pPr>
      <w:r w:rsidRPr="00CA47B9">
        <w:t xml:space="preserve">The NPPF details that where major development involving the provision of housing is proposed, </w:t>
      </w:r>
      <w:r w:rsidR="00855CA6">
        <w:t xml:space="preserve">the </w:t>
      </w:r>
      <w:r w:rsidRPr="00CA47B9">
        <w:t xml:space="preserve">Council should expect 10% of additional homes to be available for </w:t>
      </w:r>
      <w:r w:rsidR="00451CFA">
        <w:t>home ownership</w:t>
      </w:r>
      <w:r w:rsidR="008D48B4">
        <w:t xml:space="preserve"> as part of the overall affordable housing provision</w:t>
      </w:r>
      <w:r w:rsidRPr="00CA47B9">
        <w:t xml:space="preserve">. </w:t>
      </w:r>
    </w:p>
    <w:p w:rsidR="00B008D9" w:rsidRPr="00CA47B9" w:rsidRDefault="00B008D9" w:rsidP="000C05B0">
      <w:pPr>
        <w:pStyle w:val="11Bodytext"/>
        <w:tabs>
          <w:tab w:val="clear" w:pos="2212"/>
          <w:tab w:val="num" w:pos="567"/>
        </w:tabs>
        <w:ind w:left="567" w:hanging="567"/>
      </w:pPr>
      <w:r w:rsidRPr="00CA47B9">
        <w:t xml:space="preserve">Forms of housing such as Starter Homes, Shared Ownership and discounted market sale are considered to be appropriate forms of affordable </w:t>
      </w:r>
      <w:r w:rsidR="00451CFA">
        <w:t>home ownership</w:t>
      </w:r>
      <w:r w:rsidRPr="00CA47B9">
        <w:t>. Another option is providing support for deposits. It will be important for the Council to ensure that such homes are sold at a price that is genuinely affordable for the intended target group.</w:t>
      </w:r>
    </w:p>
    <w:p w:rsidR="00B008D9" w:rsidRPr="00CA47B9" w:rsidRDefault="00B008D9" w:rsidP="000C05B0">
      <w:pPr>
        <w:pStyle w:val="11Bodytext"/>
        <w:tabs>
          <w:tab w:val="clear" w:pos="2212"/>
          <w:tab w:val="num" w:pos="567"/>
        </w:tabs>
        <w:ind w:left="567" w:hanging="567"/>
      </w:pPr>
      <w:r w:rsidRPr="00CA47B9">
        <w:t xml:space="preserve">On this basis, it is worth discussing what sort of costs affordable </w:t>
      </w:r>
      <w:r w:rsidR="00451CFA">
        <w:t>home ownership</w:t>
      </w:r>
      <w:r w:rsidRPr="00CA47B9">
        <w:t xml:space="preserve"> properties should be sold for. The Annex 2 (NPPF) definitions suggest that such housing should be made available at a discount of at least 20% from Open Market Value (OMV). </w:t>
      </w:r>
    </w:p>
    <w:p w:rsidR="00B008D9" w:rsidRPr="00CA47B9" w:rsidRDefault="00B008D9" w:rsidP="000C05B0">
      <w:pPr>
        <w:pStyle w:val="11Bodytext"/>
        <w:tabs>
          <w:tab w:val="clear" w:pos="2212"/>
          <w:tab w:val="num" w:pos="567"/>
        </w:tabs>
        <w:ind w:left="567" w:hanging="567"/>
      </w:pPr>
      <w:r w:rsidRPr="00CA47B9">
        <w:t>The problem with having a percentage discount is that it is possible in some locations or types of property that such a discount still means that housing is more expensive than that typically available in the open market</w:t>
      </w:r>
      <w:r w:rsidR="00341ADE">
        <w:t>, particularly given the premium associated with new-build housing</w:t>
      </w:r>
      <w:r w:rsidRPr="00CA47B9">
        <w:t>.</w:t>
      </w:r>
    </w:p>
    <w:p w:rsidR="00B008D9" w:rsidRPr="00CA47B9" w:rsidRDefault="00B008D9" w:rsidP="000C05B0">
      <w:pPr>
        <w:pStyle w:val="11Bodytext"/>
        <w:tabs>
          <w:tab w:val="clear" w:pos="2212"/>
          <w:tab w:val="num" w:pos="567"/>
        </w:tabs>
        <w:ind w:left="567" w:hanging="567"/>
      </w:pPr>
      <w:r w:rsidRPr="00CA47B9">
        <w:t xml:space="preserve">The preferred approach in this report is to set out a series of affordable purchase costs for different sizes of accommodation. The analysis forms cost recommendations for, affordable </w:t>
      </w:r>
      <w:r w:rsidR="00451CFA">
        <w:t>home ownership</w:t>
      </w:r>
      <w:r w:rsidRPr="00CA47B9">
        <w:t xml:space="preserve"> and shared ownership. </w:t>
      </w:r>
      <w:r w:rsidR="009F0C86">
        <w:t>Later in this chapter</w:t>
      </w:r>
      <w:r w:rsidR="00855CA6">
        <w:t>,</w:t>
      </w:r>
      <w:r w:rsidR="009F0C86">
        <w:t xml:space="preserve"> we have provided recommendations on the cost of </w:t>
      </w:r>
      <w:r w:rsidR="009F0C86" w:rsidRPr="00CA47B9">
        <w:t>renting affordable housing</w:t>
      </w:r>
      <w:r w:rsidR="009F0C86">
        <w:t>.</w:t>
      </w:r>
      <w:r w:rsidR="00855CA6">
        <w:t xml:space="preserve"> </w:t>
      </w:r>
      <w:r w:rsidR="009F0C86">
        <w:t xml:space="preserve">This is to ensure that any affordable housing contribution is pitched at a </w:t>
      </w:r>
      <w:r w:rsidR="00855CA6">
        <w:t>truly affordable level</w:t>
      </w:r>
      <w:r w:rsidR="009F0C86">
        <w:t>.</w:t>
      </w:r>
    </w:p>
    <w:p w:rsidR="00766669" w:rsidRDefault="00766669" w:rsidP="00805614">
      <w:pPr>
        <w:pStyle w:val="Subheadingbold"/>
        <w:ind w:left="567" w:firstLine="0"/>
        <w:sectPr w:rsidR="00766669" w:rsidSect="008B43C6">
          <w:pgSz w:w="11900" w:h="16840"/>
          <w:pgMar w:top="1668" w:right="851" w:bottom="1418" w:left="1418" w:header="709" w:footer="709" w:gutter="0"/>
          <w:cols w:space="720"/>
          <w:formProt w:val="0"/>
        </w:sectPr>
      </w:pPr>
    </w:p>
    <w:p w:rsidR="00B4192D" w:rsidRPr="00CA47B9" w:rsidRDefault="00B4192D" w:rsidP="00766669">
      <w:pPr>
        <w:pStyle w:val="Subheadingbold"/>
        <w:spacing w:before="0"/>
        <w:ind w:left="567" w:firstLine="0"/>
      </w:pPr>
      <w:r w:rsidRPr="00CA47B9">
        <w:lastRenderedPageBreak/>
        <w:t xml:space="preserve">Affordable </w:t>
      </w:r>
      <w:r w:rsidR="00451CFA">
        <w:t>Home ownership</w:t>
      </w:r>
    </w:p>
    <w:p w:rsidR="00F4225A" w:rsidRDefault="00F4225A" w:rsidP="000C05B0">
      <w:pPr>
        <w:pStyle w:val="11Bodytext"/>
        <w:tabs>
          <w:tab w:val="clear" w:pos="2212"/>
          <w:tab w:val="num" w:pos="567"/>
        </w:tabs>
        <w:ind w:left="567" w:hanging="567"/>
      </w:pPr>
      <w:r w:rsidRPr="00CA47B9">
        <w:t>The table below sets out suggested</w:t>
      </w:r>
      <w:r w:rsidR="00855CA6">
        <w:t xml:space="preserve"> </w:t>
      </w:r>
      <w:r w:rsidRPr="00CA47B9">
        <w:t xml:space="preserve">prices for affordable </w:t>
      </w:r>
      <w:r w:rsidR="00451CFA">
        <w:t>home ownership</w:t>
      </w:r>
      <w:r>
        <w:t xml:space="preserve"> products</w:t>
      </w:r>
      <w:r w:rsidRPr="00CA47B9">
        <w:t xml:space="preserve"> in </w:t>
      </w:r>
      <w:r>
        <w:t>Chichester District</w:t>
      </w:r>
      <w:r w:rsidRPr="00CA47B9">
        <w:t xml:space="preserve">. </w:t>
      </w:r>
      <w:r w:rsidR="0083540B">
        <w:t>The lower limit is</w:t>
      </w:r>
      <w:r w:rsidR="00B008D9" w:rsidRPr="00CA47B9">
        <w:t xml:space="preserve"> based on equalising the private rent figures into a house price so that the sale price will meet the needs of all households in the gap between buying and renting. </w:t>
      </w:r>
      <w:r>
        <w:t>The upper limit was based on the estimated lower quartile price for purchasing different size of properties.</w:t>
      </w:r>
      <w:r w:rsidR="00855CA6">
        <w:t xml:space="preserve"> </w:t>
      </w:r>
    </w:p>
    <w:p w:rsidR="00B008D9" w:rsidRDefault="00F4225A" w:rsidP="000C05B0">
      <w:pPr>
        <w:pStyle w:val="11Bodytext"/>
        <w:tabs>
          <w:tab w:val="clear" w:pos="2212"/>
          <w:tab w:val="num" w:pos="567"/>
        </w:tabs>
        <w:ind w:left="567" w:hanging="567"/>
      </w:pPr>
      <w:r w:rsidRPr="00CA47B9">
        <w:t>It is suggested that prices are not set at any more than the midpoint of the range.</w:t>
      </w:r>
      <w:r>
        <w:t xml:space="preserve"> </w:t>
      </w:r>
      <w:r w:rsidR="00B008D9" w:rsidRPr="00CA47B9">
        <w:t>Setting higher prices</w:t>
      </w:r>
      <w:r w:rsidR="009F0C86">
        <w:t xml:space="preserve"> for affordable </w:t>
      </w:r>
      <w:r w:rsidR="00451CFA">
        <w:t>home ownership</w:t>
      </w:r>
      <w:r w:rsidR="00B008D9" w:rsidRPr="00CA47B9">
        <w:t xml:space="preserve"> would mean </w:t>
      </w:r>
      <w:r>
        <w:t xml:space="preserve">the needs of fewer </w:t>
      </w:r>
      <w:r w:rsidR="00B008D9" w:rsidRPr="00CA47B9">
        <w:t>households</w:t>
      </w:r>
      <w:r w:rsidR="009F0C86">
        <w:t xml:space="preserve"> in affordable housing need (to buy)</w:t>
      </w:r>
      <w:r w:rsidR="00B008D9" w:rsidRPr="00CA47B9">
        <w:t xml:space="preserve"> for whom the Government is seeking to provide an ‘affordable’ option</w:t>
      </w:r>
      <w:r>
        <w:t xml:space="preserve"> would be met</w:t>
      </w:r>
      <w:r w:rsidR="00B008D9" w:rsidRPr="00CA47B9">
        <w:t>.</w:t>
      </w:r>
    </w:p>
    <w:p w:rsidR="00A21AA2" w:rsidRDefault="00F4225A" w:rsidP="000C05B0">
      <w:pPr>
        <w:pStyle w:val="11Bodytext"/>
        <w:tabs>
          <w:tab w:val="clear" w:pos="2212"/>
          <w:tab w:val="num" w:pos="567"/>
        </w:tabs>
        <w:ind w:left="567" w:hanging="567"/>
      </w:pPr>
      <w:r>
        <w:t>For comparison</w:t>
      </w:r>
      <w:r w:rsidR="00855CA6">
        <w:t>,</w:t>
      </w:r>
      <w:r>
        <w:t xml:space="preserve"> we have also provided the typical cost of new-build properties based on a </w:t>
      </w:r>
      <w:r w:rsidR="009B1821">
        <w:t>20</w:t>
      </w:r>
      <w:r>
        <w:t>% premium being added to the lower quartile costs.</w:t>
      </w:r>
      <w:r w:rsidR="00855CA6">
        <w:t xml:space="preserve"> </w:t>
      </w:r>
      <w:r>
        <w:t>This is based on the difference nationally between resale and new build property.</w:t>
      </w:r>
      <w:r w:rsidR="00855CA6">
        <w:t xml:space="preserve"> </w:t>
      </w:r>
      <w:r>
        <w:t xml:space="preserve">It is applied to the lower quartile cost on the basis that </w:t>
      </w:r>
      <w:r w:rsidR="00855CA6">
        <w:t>low-</w:t>
      </w:r>
      <w:r>
        <w:t xml:space="preserve">cost </w:t>
      </w:r>
      <w:r w:rsidR="00451CFA">
        <w:t>home ownership</w:t>
      </w:r>
      <w:r>
        <w:t xml:space="preserve"> products are likely to be more </w:t>
      </w:r>
      <w:r w:rsidR="00015AE0">
        <w:t xml:space="preserve">basic </w:t>
      </w:r>
      <w:r>
        <w:t>than</w:t>
      </w:r>
      <w:r w:rsidR="00015AE0">
        <w:t xml:space="preserve"> typical</w:t>
      </w:r>
      <w:r>
        <w:t xml:space="preserve"> new build for </w:t>
      </w:r>
      <w:r w:rsidR="00CA03DD">
        <w:t>sale property.</w:t>
      </w:r>
      <w:r>
        <w:t xml:space="preserve"> </w:t>
      </w:r>
    </w:p>
    <w:p w:rsidR="00B008D9" w:rsidRPr="00CA47B9" w:rsidRDefault="00B008D9" w:rsidP="000C05B0">
      <w:pPr>
        <w:pStyle w:val="11Bodytext"/>
        <w:tabs>
          <w:tab w:val="clear" w:pos="2212"/>
          <w:tab w:val="num" w:pos="567"/>
        </w:tabs>
        <w:ind w:left="567" w:hanging="567"/>
      </w:pPr>
      <w:r w:rsidRPr="00CA47B9">
        <w:t>The modelling</w:t>
      </w:r>
      <w:r w:rsidR="000C13F6">
        <w:t xml:space="preserve"> (based on rental costs)</w:t>
      </w:r>
      <w:r w:rsidRPr="00CA47B9">
        <w:t xml:space="preserve"> suggests a </w:t>
      </w:r>
      <w:r w:rsidR="00A21AA2">
        <w:t>mid-point</w:t>
      </w:r>
      <w:r w:rsidRPr="00CA47B9">
        <w:t xml:space="preserve"> of a 1-bedroom at an ‘affordable’ price £</w:t>
      </w:r>
      <w:r w:rsidR="00A21AA2" w:rsidRPr="00CA47B9">
        <w:t>1</w:t>
      </w:r>
      <w:r w:rsidR="00A21AA2">
        <w:t>23</w:t>
      </w:r>
      <w:r w:rsidRPr="00CA47B9">
        <w:t xml:space="preserve">,000 </w:t>
      </w:r>
      <w:r w:rsidR="00A21AA2">
        <w:t>which</w:t>
      </w:r>
      <w:r w:rsidRPr="00CA47B9">
        <w:t xml:space="preserve"> increases to </w:t>
      </w:r>
      <w:r w:rsidR="00A21AA2">
        <w:t xml:space="preserve">£179,000 </w:t>
      </w:r>
      <w:r w:rsidRPr="00CA47B9">
        <w:t>for a 2-bedroom.</w:t>
      </w:r>
      <w:r w:rsidR="00B644EA">
        <w:t xml:space="preserve"> </w:t>
      </w:r>
      <w:r w:rsidRPr="00CA47B9">
        <w:t xml:space="preserve">For larger homes (3 and 4+ bedroom), prices reach a </w:t>
      </w:r>
      <w:r w:rsidR="00A21AA2">
        <w:t>midpoint</w:t>
      </w:r>
      <w:r w:rsidRPr="00CA47B9">
        <w:t xml:space="preserve"> of £</w:t>
      </w:r>
      <w:r w:rsidR="00A21AA2">
        <w:t>240</w:t>
      </w:r>
      <w:r w:rsidRPr="00CA47B9">
        <w:t>,000 and</w:t>
      </w:r>
      <w:r w:rsidR="00A21AA2">
        <w:t xml:space="preserve"> £3</w:t>
      </w:r>
      <w:r w:rsidR="00786E20">
        <w:t xml:space="preserve">50,500 </w:t>
      </w:r>
      <w:r w:rsidR="00A21AA2">
        <w:t>respectively</w:t>
      </w:r>
      <w:r w:rsidRPr="00CA47B9">
        <w:t xml:space="preserve">. </w:t>
      </w:r>
    </w:p>
    <w:p w:rsidR="00B008D9" w:rsidRPr="00CA47B9" w:rsidRDefault="00B008D9" w:rsidP="00AE5604">
      <w:pPr>
        <w:pStyle w:val="Tableheading"/>
        <w:tabs>
          <w:tab w:val="clear" w:pos="794"/>
          <w:tab w:val="clear" w:pos="1843"/>
          <w:tab w:val="left" w:pos="0"/>
        </w:tabs>
        <w:ind w:left="0" w:firstLine="0"/>
      </w:pPr>
      <w:bookmarkStart w:id="147" w:name="_Hlk34147046"/>
      <w:r w:rsidRPr="00CA47B9">
        <w:t xml:space="preserve">Affordable </w:t>
      </w:r>
      <w:r w:rsidR="00451CFA">
        <w:t>home ownership</w:t>
      </w:r>
      <w:r w:rsidRPr="00CA47B9">
        <w:t xml:space="preserve"> prices – Chichester District </w:t>
      </w:r>
    </w:p>
    <w:tbl>
      <w:tblPr>
        <w:tblStyle w:val="Compressed"/>
        <w:tblW w:w="4894" w:type="pct"/>
        <w:tblInd w:w="108" w:type="dxa"/>
        <w:tblLook w:val="04A0" w:firstRow="1" w:lastRow="0" w:firstColumn="1" w:lastColumn="0" w:noHBand="0" w:noVBand="1"/>
        <w:tblCaption w:val="Table 29: Affordable home ownership prices – Chichester District "/>
      </w:tblPr>
      <w:tblGrid>
        <w:gridCol w:w="3262"/>
        <w:gridCol w:w="1559"/>
        <w:gridCol w:w="1559"/>
        <w:gridCol w:w="1567"/>
        <w:gridCol w:w="1691"/>
      </w:tblGrid>
      <w:tr w:rsidR="00AE5604" w:rsidRPr="00D371BD" w:rsidTr="00AE5604">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692" w:type="pct"/>
            <w:hideMark/>
          </w:tcPr>
          <w:p w:rsidR="00F6060E" w:rsidRPr="00600807" w:rsidRDefault="00F6060E" w:rsidP="00F6060E">
            <w:pPr>
              <w:rPr>
                <w:color w:val="FFFFFF"/>
                <w:lang w:eastAsia="en-GB"/>
              </w:rPr>
            </w:pPr>
            <w:r w:rsidRPr="00600807">
              <w:rPr>
                <w:color w:val="FFFFFF"/>
                <w:lang w:eastAsia="en-GB"/>
              </w:rPr>
              <w:t> </w:t>
            </w:r>
          </w:p>
        </w:tc>
        <w:tc>
          <w:tcPr>
            <w:tcW w:w="809" w:type="pct"/>
            <w:hideMark/>
          </w:tcPr>
          <w:p w:rsidR="00F6060E" w:rsidRPr="00600807" w:rsidRDefault="00F6060E" w:rsidP="00F6060E">
            <w:pPr>
              <w:cnfStyle w:val="100000000000" w:firstRow="1" w:lastRow="0" w:firstColumn="0" w:lastColumn="0" w:oddVBand="0" w:evenVBand="0" w:oddHBand="0" w:evenHBand="0" w:firstRowFirstColumn="0" w:firstRowLastColumn="0" w:lastRowFirstColumn="0" w:lastRowLastColumn="0"/>
              <w:rPr>
                <w:color w:val="FFFFFF"/>
                <w:lang w:eastAsia="en-GB"/>
              </w:rPr>
            </w:pPr>
            <w:r w:rsidRPr="00600807">
              <w:rPr>
                <w:color w:val="FFFFFF"/>
                <w:lang w:eastAsia="en-GB"/>
              </w:rPr>
              <w:t>1-Bedroom</w:t>
            </w:r>
          </w:p>
        </w:tc>
        <w:tc>
          <w:tcPr>
            <w:tcW w:w="809" w:type="pct"/>
            <w:hideMark/>
          </w:tcPr>
          <w:p w:rsidR="00F6060E" w:rsidRPr="00600807" w:rsidRDefault="00F6060E" w:rsidP="00F6060E">
            <w:pPr>
              <w:cnfStyle w:val="100000000000" w:firstRow="1" w:lastRow="0" w:firstColumn="0" w:lastColumn="0" w:oddVBand="0" w:evenVBand="0" w:oddHBand="0" w:evenHBand="0" w:firstRowFirstColumn="0" w:firstRowLastColumn="0" w:lastRowFirstColumn="0" w:lastRowLastColumn="0"/>
              <w:rPr>
                <w:color w:val="FFFFFF"/>
                <w:lang w:eastAsia="en-GB"/>
              </w:rPr>
            </w:pPr>
            <w:r w:rsidRPr="00600807">
              <w:rPr>
                <w:color w:val="FFFFFF"/>
                <w:lang w:eastAsia="en-GB"/>
              </w:rPr>
              <w:t>2-Bedroom</w:t>
            </w:r>
          </w:p>
        </w:tc>
        <w:tc>
          <w:tcPr>
            <w:tcW w:w="813" w:type="pct"/>
            <w:hideMark/>
          </w:tcPr>
          <w:p w:rsidR="00F6060E" w:rsidRPr="00600807" w:rsidRDefault="00F6060E" w:rsidP="00F6060E">
            <w:pPr>
              <w:cnfStyle w:val="100000000000" w:firstRow="1" w:lastRow="0" w:firstColumn="0" w:lastColumn="0" w:oddVBand="0" w:evenVBand="0" w:oddHBand="0" w:evenHBand="0" w:firstRowFirstColumn="0" w:firstRowLastColumn="0" w:lastRowFirstColumn="0" w:lastRowLastColumn="0"/>
              <w:rPr>
                <w:color w:val="FFFFFF"/>
                <w:lang w:eastAsia="en-GB"/>
              </w:rPr>
            </w:pPr>
            <w:r w:rsidRPr="00600807">
              <w:rPr>
                <w:color w:val="FFFFFF"/>
                <w:lang w:eastAsia="en-GB"/>
              </w:rPr>
              <w:t>3-Bedroom</w:t>
            </w:r>
          </w:p>
        </w:tc>
        <w:tc>
          <w:tcPr>
            <w:tcW w:w="877" w:type="pct"/>
            <w:hideMark/>
          </w:tcPr>
          <w:p w:rsidR="00F6060E" w:rsidRPr="00600807" w:rsidRDefault="00F6060E" w:rsidP="00F6060E">
            <w:pPr>
              <w:cnfStyle w:val="100000000000" w:firstRow="1" w:lastRow="0" w:firstColumn="0" w:lastColumn="0" w:oddVBand="0" w:evenVBand="0" w:oddHBand="0" w:evenHBand="0" w:firstRowFirstColumn="0" w:firstRowLastColumn="0" w:lastRowFirstColumn="0" w:lastRowLastColumn="0"/>
              <w:rPr>
                <w:color w:val="FFFFFF"/>
                <w:lang w:eastAsia="en-GB"/>
              </w:rPr>
            </w:pPr>
            <w:r w:rsidRPr="00600807">
              <w:rPr>
                <w:color w:val="FFFFFF"/>
                <w:lang w:eastAsia="en-GB"/>
              </w:rPr>
              <w:t>4+ Bedroom</w:t>
            </w:r>
          </w:p>
        </w:tc>
      </w:tr>
      <w:tr w:rsidR="00AE5604" w:rsidRPr="00D371BD" w:rsidTr="00AE5604">
        <w:trPr>
          <w:trHeight w:val="315"/>
        </w:trPr>
        <w:tc>
          <w:tcPr>
            <w:cnfStyle w:val="001000000000" w:firstRow="0" w:lastRow="0" w:firstColumn="1" w:lastColumn="0" w:oddVBand="0" w:evenVBand="0" w:oddHBand="0" w:evenHBand="0" w:firstRowFirstColumn="0" w:firstRowLastColumn="0" w:lastRowFirstColumn="0" w:lastRowLastColumn="0"/>
            <w:tcW w:w="1692" w:type="pct"/>
            <w:hideMark/>
          </w:tcPr>
          <w:p w:rsidR="00F6060E" w:rsidRPr="00600807" w:rsidRDefault="00F6060E" w:rsidP="00F6060E">
            <w:pPr>
              <w:rPr>
                <w:lang w:eastAsia="en-GB"/>
              </w:rPr>
            </w:pPr>
            <w:r w:rsidRPr="00600807">
              <w:t>Lower limit (Equivalent of Rent)</w:t>
            </w:r>
          </w:p>
        </w:tc>
        <w:tc>
          <w:tcPr>
            <w:tcW w:w="809" w:type="pct"/>
            <w:hideMark/>
          </w:tcPr>
          <w:p w:rsidR="00F6060E" w:rsidRPr="00600807" w:rsidRDefault="00F6060E" w:rsidP="00F6060E">
            <w:pPr>
              <w:cnfStyle w:val="000000000000" w:firstRow="0" w:lastRow="0" w:firstColumn="0" w:lastColumn="0" w:oddVBand="0" w:evenVBand="0" w:oddHBand="0" w:evenHBand="0" w:firstRowFirstColumn="0" w:firstRowLastColumn="0" w:lastRowFirstColumn="0" w:lastRowLastColumn="0"/>
              <w:rPr>
                <w:color w:val="000000"/>
                <w:lang w:eastAsia="en-GB"/>
              </w:rPr>
            </w:pPr>
            <w:r w:rsidRPr="00600807">
              <w:rPr>
                <w:color w:val="000000"/>
              </w:rPr>
              <w:t>£117,000</w:t>
            </w:r>
          </w:p>
        </w:tc>
        <w:tc>
          <w:tcPr>
            <w:tcW w:w="809" w:type="pct"/>
            <w:hideMark/>
          </w:tcPr>
          <w:p w:rsidR="00F6060E" w:rsidRPr="00600807" w:rsidRDefault="00F6060E" w:rsidP="00F6060E">
            <w:pPr>
              <w:cnfStyle w:val="000000000000" w:firstRow="0" w:lastRow="0" w:firstColumn="0" w:lastColumn="0" w:oddVBand="0" w:evenVBand="0" w:oddHBand="0" w:evenHBand="0" w:firstRowFirstColumn="0" w:firstRowLastColumn="0" w:lastRowFirstColumn="0" w:lastRowLastColumn="0"/>
              <w:rPr>
                <w:color w:val="000000"/>
                <w:lang w:eastAsia="en-GB"/>
              </w:rPr>
            </w:pPr>
            <w:r w:rsidRPr="00600807">
              <w:rPr>
                <w:color w:val="000000"/>
              </w:rPr>
              <w:t>£153,000</w:t>
            </w:r>
          </w:p>
        </w:tc>
        <w:tc>
          <w:tcPr>
            <w:tcW w:w="813" w:type="pct"/>
            <w:hideMark/>
          </w:tcPr>
          <w:p w:rsidR="00F6060E" w:rsidRPr="00600807" w:rsidRDefault="00F6060E" w:rsidP="00F6060E">
            <w:pPr>
              <w:cnfStyle w:val="000000000000" w:firstRow="0" w:lastRow="0" w:firstColumn="0" w:lastColumn="0" w:oddVBand="0" w:evenVBand="0" w:oddHBand="0" w:evenHBand="0" w:firstRowFirstColumn="0" w:firstRowLastColumn="0" w:lastRowFirstColumn="0" w:lastRowLastColumn="0"/>
              <w:rPr>
                <w:color w:val="000000"/>
                <w:lang w:eastAsia="en-GB"/>
              </w:rPr>
            </w:pPr>
            <w:r w:rsidRPr="00600807">
              <w:rPr>
                <w:color w:val="000000"/>
              </w:rPr>
              <w:t>£187,000</w:t>
            </w:r>
          </w:p>
        </w:tc>
        <w:tc>
          <w:tcPr>
            <w:tcW w:w="877" w:type="pct"/>
            <w:hideMark/>
          </w:tcPr>
          <w:p w:rsidR="00F6060E" w:rsidRPr="00600807" w:rsidRDefault="00F6060E" w:rsidP="00F6060E">
            <w:pPr>
              <w:cnfStyle w:val="000000000000" w:firstRow="0" w:lastRow="0" w:firstColumn="0" w:lastColumn="0" w:oddVBand="0" w:evenVBand="0" w:oddHBand="0" w:evenHBand="0" w:firstRowFirstColumn="0" w:firstRowLastColumn="0" w:lastRowFirstColumn="0" w:lastRowLastColumn="0"/>
              <w:rPr>
                <w:color w:val="000000"/>
                <w:lang w:eastAsia="en-GB"/>
              </w:rPr>
            </w:pPr>
            <w:r w:rsidRPr="00600807">
              <w:rPr>
                <w:color w:val="000000"/>
              </w:rPr>
              <w:t>£269,000</w:t>
            </w:r>
          </w:p>
        </w:tc>
      </w:tr>
      <w:tr w:rsidR="00AE5604" w:rsidRPr="00D371BD" w:rsidTr="00AE5604">
        <w:trPr>
          <w:trHeight w:val="315"/>
        </w:trPr>
        <w:tc>
          <w:tcPr>
            <w:cnfStyle w:val="001000000000" w:firstRow="0" w:lastRow="0" w:firstColumn="1" w:lastColumn="0" w:oddVBand="0" w:evenVBand="0" w:oddHBand="0" w:evenHBand="0" w:firstRowFirstColumn="0" w:firstRowLastColumn="0" w:lastRowFirstColumn="0" w:lastRowLastColumn="0"/>
            <w:tcW w:w="1692" w:type="pct"/>
            <w:hideMark/>
          </w:tcPr>
          <w:p w:rsidR="00F6060E" w:rsidRPr="00600807" w:rsidRDefault="00F6060E" w:rsidP="00F6060E">
            <w:pPr>
              <w:rPr>
                <w:color w:val="000000"/>
                <w:lang w:eastAsia="en-GB"/>
              </w:rPr>
            </w:pPr>
            <w:r w:rsidRPr="00600807">
              <w:rPr>
                <w:color w:val="000000"/>
              </w:rPr>
              <w:t>Upper limit (LQ Prices)</w:t>
            </w:r>
          </w:p>
        </w:tc>
        <w:tc>
          <w:tcPr>
            <w:tcW w:w="809" w:type="pct"/>
            <w:hideMark/>
          </w:tcPr>
          <w:p w:rsidR="00F6060E" w:rsidRPr="00600807" w:rsidRDefault="00F6060E" w:rsidP="00F6060E">
            <w:pPr>
              <w:cnfStyle w:val="000000000000" w:firstRow="0" w:lastRow="0" w:firstColumn="0" w:lastColumn="0" w:oddVBand="0" w:evenVBand="0" w:oddHBand="0" w:evenHBand="0" w:firstRowFirstColumn="0" w:firstRowLastColumn="0" w:lastRowFirstColumn="0" w:lastRowLastColumn="0"/>
              <w:rPr>
                <w:color w:val="000000"/>
                <w:lang w:eastAsia="en-GB"/>
              </w:rPr>
            </w:pPr>
            <w:r w:rsidRPr="00600807">
              <w:rPr>
                <w:color w:val="000000"/>
              </w:rPr>
              <w:t>£129,000</w:t>
            </w:r>
          </w:p>
        </w:tc>
        <w:tc>
          <w:tcPr>
            <w:tcW w:w="809" w:type="pct"/>
            <w:hideMark/>
          </w:tcPr>
          <w:p w:rsidR="00F6060E" w:rsidRPr="00600807" w:rsidRDefault="00F6060E" w:rsidP="00F6060E">
            <w:pPr>
              <w:cnfStyle w:val="000000000000" w:firstRow="0" w:lastRow="0" w:firstColumn="0" w:lastColumn="0" w:oddVBand="0" w:evenVBand="0" w:oddHBand="0" w:evenHBand="0" w:firstRowFirstColumn="0" w:firstRowLastColumn="0" w:lastRowFirstColumn="0" w:lastRowLastColumn="0"/>
              <w:rPr>
                <w:color w:val="000000"/>
                <w:lang w:eastAsia="en-GB"/>
              </w:rPr>
            </w:pPr>
            <w:r w:rsidRPr="00600807">
              <w:rPr>
                <w:color w:val="000000"/>
              </w:rPr>
              <w:t>£205,000</w:t>
            </w:r>
          </w:p>
        </w:tc>
        <w:tc>
          <w:tcPr>
            <w:tcW w:w="813" w:type="pct"/>
            <w:hideMark/>
          </w:tcPr>
          <w:p w:rsidR="00F6060E" w:rsidRPr="00600807" w:rsidRDefault="00F6060E" w:rsidP="00F6060E">
            <w:pPr>
              <w:cnfStyle w:val="000000000000" w:firstRow="0" w:lastRow="0" w:firstColumn="0" w:lastColumn="0" w:oddVBand="0" w:evenVBand="0" w:oddHBand="0" w:evenHBand="0" w:firstRowFirstColumn="0" w:firstRowLastColumn="0" w:lastRowFirstColumn="0" w:lastRowLastColumn="0"/>
              <w:rPr>
                <w:color w:val="000000"/>
                <w:lang w:eastAsia="en-GB"/>
              </w:rPr>
            </w:pPr>
            <w:r w:rsidRPr="00600807">
              <w:rPr>
                <w:color w:val="000000"/>
              </w:rPr>
              <w:t>£293,000</w:t>
            </w:r>
          </w:p>
        </w:tc>
        <w:tc>
          <w:tcPr>
            <w:tcW w:w="877" w:type="pct"/>
            <w:hideMark/>
          </w:tcPr>
          <w:p w:rsidR="00F6060E" w:rsidRPr="00600807" w:rsidRDefault="00F6060E" w:rsidP="00F6060E">
            <w:pPr>
              <w:cnfStyle w:val="000000000000" w:firstRow="0" w:lastRow="0" w:firstColumn="0" w:lastColumn="0" w:oddVBand="0" w:evenVBand="0" w:oddHBand="0" w:evenHBand="0" w:firstRowFirstColumn="0" w:firstRowLastColumn="0" w:lastRowFirstColumn="0" w:lastRowLastColumn="0"/>
              <w:rPr>
                <w:color w:val="000000"/>
                <w:lang w:eastAsia="en-GB"/>
              </w:rPr>
            </w:pPr>
            <w:r w:rsidRPr="00600807">
              <w:rPr>
                <w:color w:val="000000"/>
              </w:rPr>
              <w:t>£432,000</w:t>
            </w:r>
          </w:p>
        </w:tc>
      </w:tr>
      <w:tr w:rsidR="00AE5604" w:rsidRPr="00D371BD" w:rsidTr="00AE5604">
        <w:trPr>
          <w:trHeight w:val="315"/>
        </w:trPr>
        <w:tc>
          <w:tcPr>
            <w:cnfStyle w:val="001000000000" w:firstRow="0" w:lastRow="0" w:firstColumn="1" w:lastColumn="0" w:oddVBand="0" w:evenVBand="0" w:oddHBand="0" w:evenHBand="0" w:firstRowFirstColumn="0" w:firstRowLastColumn="0" w:lastRowFirstColumn="0" w:lastRowLastColumn="0"/>
            <w:tcW w:w="1692" w:type="pct"/>
            <w:hideMark/>
          </w:tcPr>
          <w:p w:rsidR="00F6060E" w:rsidRPr="00600807" w:rsidRDefault="00F6060E" w:rsidP="00F6060E">
            <w:pPr>
              <w:rPr>
                <w:color w:val="000000"/>
                <w:lang w:eastAsia="en-GB"/>
              </w:rPr>
            </w:pPr>
            <w:r w:rsidRPr="00600807">
              <w:rPr>
                <w:color w:val="000000"/>
                <w:lang w:eastAsia="en-GB"/>
              </w:rPr>
              <w:t>Midpoint</w:t>
            </w:r>
          </w:p>
        </w:tc>
        <w:tc>
          <w:tcPr>
            <w:tcW w:w="809" w:type="pct"/>
            <w:hideMark/>
          </w:tcPr>
          <w:p w:rsidR="00F6060E" w:rsidRPr="00600807" w:rsidRDefault="00F6060E" w:rsidP="00F6060E">
            <w:pPr>
              <w:cnfStyle w:val="000000000000" w:firstRow="0" w:lastRow="0" w:firstColumn="0" w:lastColumn="0" w:oddVBand="0" w:evenVBand="0" w:oddHBand="0" w:evenHBand="0" w:firstRowFirstColumn="0" w:firstRowLastColumn="0" w:lastRowFirstColumn="0" w:lastRowLastColumn="0"/>
              <w:rPr>
                <w:color w:val="000000"/>
                <w:lang w:eastAsia="en-GB"/>
              </w:rPr>
            </w:pPr>
            <w:r w:rsidRPr="00600807">
              <w:rPr>
                <w:color w:val="000000"/>
                <w:lang w:eastAsia="en-GB"/>
              </w:rPr>
              <w:t>£123,000</w:t>
            </w:r>
          </w:p>
        </w:tc>
        <w:tc>
          <w:tcPr>
            <w:tcW w:w="809" w:type="pct"/>
            <w:hideMark/>
          </w:tcPr>
          <w:p w:rsidR="00F6060E" w:rsidRPr="00600807" w:rsidRDefault="00F6060E" w:rsidP="00F6060E">
            <w:pPr>
              <w:cnfStyle w:val="000000000000" w:firstRow="0" w:lastRow="0" w:firstColumn="0" w:lastColumn="0" w:oddVBand="0" w:evenVBand="0" w:oddHBand="0" w:evenHBand="0" w:firstRowFirstColumn="0" w:firstRowLastColumn="0" w:lastRowFirstColumn="0" w:lastRowLastColumn="0"/>
              <w:rPr>
                <w:color w:val="000000"/>
                <w:lang w:eastAsia="en-GB"/>
              </w:rPr>
            </w:pPr>
            <w:r w:rsidRPr="00600807">
              <w:rPr>
                <w:color w:val="000000"/>
                <w:lang w:eastAsia="en-GB"/>
              </w:rPr>
              <w:t>£179,000</w:t>
            </w:r>
          </w:p>
        </w:tc>
        <w:tc>
          <w:tcPr>
            <w:tcW w:w="813" w:type="pct"/>
            <w:hideMark/>
          </w:tcPr>
          <w:p w:rsidR="00F6060E" w:rsidRPr="00600807" w:rsidRDefault="00F6060E" w:rsidP="00F6060E">
            <w:pPr>
              <w:cnfStyle w:val="000000000000" w:firstRow="0" w:lastRow="0" w:firstColumn="0" w:lastColumn="0" w:oddVBand="0" w:evenVBand="0" w:oddHBand="0" w:evenHBand="0" w:firstRowFirstColumn="0" w:firstRowLastColumn="0" w:lastRowFirstColumn="0" w:lastRowLastColumn="0"/>
              <w:rPr>
                <w:color w:val="000000"/>
                <w:lang w:eastAsia="en-GB"/>
              </w:rPr>
            </w:pPr>
            <w:r w:rsidRPr="00600807">
              <w:rPr>
                <w:color w:val="000000"/>
                <w:lang w:eastAsia="en-GB"/>
              </w:rPr>
              <w:t>£240,000</w:t>
            </w:r>
          </w:p>
        </w:tc>
        <w:tc>
          <w:tcPr>
            <w:tcW w:w="877" w:type="pct"/>
            <w:hideMark/>
          </w:tcPr>
          <w:p w:rsidR="00F6060E" w:rsidRPr="00600807" w:rsidRDefault="00F6060E" w:rsidP="00F6060E">
            <w:pPr>
              <w:cnfStyle w:val="000000000000" w:firstRow="0" w:lastRow="0" w:firstColumn="0" w:lastColumn="0" w:oddVBand="0" w:evenVBand="0" w:oddHBand="0" w:evenHBand="0" w:firstRowFirstColumn="0" w:firstRowLastColumn="0" w:lastRowFirstColumn="0" w:lastRowLastColumn="0"/>
              <w:rPr>
                <w:color w:val="000000"/>
                <w:lang w:eastAsia="en-GB"/>
              </w:rPr>
            </w:pPr>
            <w:r w:rsidRPr="00600807">
              <w:rPr>
                <w:color w:val="000000"/>
                <w:lang w:eastAsia="en-GB"/>
              </w:rPr>
              <w:t>£350,500</w:t>
            </w:r>
          </w:p>
        </w:tc>
      </w:tr>
      <w:tr w:rsidR="00AE5604" w:rsidRPr="00D371BD" w:rsidTr="00AE5604">
        <w:trPr>
          <w:trHeight w:val="315"/>
        </w:trPr>
        <w:tc>
          <w:tcPr>
            <w:cnfStyle w:val="001000000000" w:firstRow="0" w:lastRow="0" w:firstColumn="1" w:lastColumn="0" w:oddVBand="0" w:evenVBand="0" w:oddHBand="0" w:evenHBand="0" w:firstRowFirstColumn="0" w:firstRowLastColumn="0" w:lastRowFirstColumn="0" w:lastRowLastColumn="0"/>
            <w:tcW w:w="1692" w:type="pct"/>
            <w:hideMark/>
          </w:tcPr>
          <w:p w:rsidR="00AA03D7" w:rsidRPr="00600807" w:rsidRDefault="00AA03D7" w:rsidP="00AA03D7">
            <w:pPr>
              <w:rPr>
                <w:color w:val="000000"/>
                <w:lang w:eastAsia="en-GB"/>
              </w:rPr>
            </w:pPr>
            <w:r w:rsidRPr="00600807">
              <w:rPr>
                <w:color w:val="000000"/>
              </w:rPr>
              <w:t>Basic New Build Price (20% Premium on LQ)</w:t>
            </w:r>
          </w:p>
        </w:tc>
        <w:tc>
          <w:tcPr>
            <w:tcW w:w="809" w:type="pct"/>
            <w:hideMark/>
          </w:tcPr>
          <w:p w:rsidR="00AA03D7" w:rsidRPr="00600807" w:rsidRDefault="00AA03D7" w:rsidP="00AA03D7">
            <w:pPr>
              <w:cnfStyle w:val="000000000000" w:firstRow="0" w:lastRow="0" w:firstColumn="0" w:lastColumn="0" w:oddVBand="0" w:evenVBand="0" w:oddHBand="0" w:evenHBand="0" w:firstRowFirstColumn="0" w:firstRowLastColumn="0" w:lastRowFirstColumn="0" w:lastRowLastColumn="0"/>
              <w:rPr>
                <w:color w:val="000000"/>
                <w:lang w:eastAsia="en-GB"/>
              </w:rPr>
            </w:pPr>
            <w:r w:rsidRPr="00600807">
              <w:rPr>
                <w:color w:val="000000"/>
              </w:rPr>
              <w:t>£154,800</w:t>
            </w:r>
          </w:p>
        </w:tc>
        <w:tc>
          <w:tcPr>
            <w:tcW w:w="809" w:type="pct"/>
            <w:hideMark/>
          </w:tcPr>
          <w:p w:rsidR="00AA03D7" w:rsidRPr="00600807" w:rsidRDefault="00AA03D7" w:rsidP="00AA03D7">
            <w:pPr>
              <w:cnfStyle w:val="000000000000" w:firstRow="0" w:lastRow="0" w:firstColumn="0" w:lastColumn="0" w:oddVBand="0" w:evenVBand="0" w:oddHBand="0" w:evenHBand="0" w:firstRowFirstColumn="0" w:firstRowLastColumn="0" w:lastRowFirstColumn="0" w:lastRowLastColumn="0"/>
              <w:rPr>
                <w:color w:val="000000"/>
                <w:lang w:eastAsia="en-GB"/>
              </w:rPr>
            </w:pPr>
            <w:r w:rsidRPr="00600807">
              <w:rPr>
                <w:color w:val="000000"/>
              </w:rPr>
              <w:t>£246,000</w:t>
            </w:r>
          </w:p>
        </w:tc>
        <w:tc>
          <w:tcPr>
            <w:tcW w:w="813" w:type="pct"/>
            <w:hideMark/>
          </w:tcPr>
          <w:p w:rsidR="00AA03D7" w:rsidRPr="00600807" w:rsidRDefault="00AA03D7" w:rsidP="00AA03D7">
            <w:pPr>
              <w:cnfStyle w:val="000000000000" w:firstRow="0" w:lastRow="0" w:firstColumn="0" w:lastColumn="0" w:oddVBand="0" w:evenVBand="0" w:oddHBand="0" w:evenHBand="0" w:firstRowFirstColumn="0" w:firstRowLastColumn="0" w:lastRowFirstColumn="0" w:lastRowLastColumn="0"/>
              <w:rPr>
                <w:color w:val="000000"/>
                <w:lang w:eastAsia="en-GB"/>
              </w:rPr>
            </w:pPr>
            <w:r w:rsidRPr="00600807">
              <w:rPr>
                <w:color w:val="000000"/>
              </w:rPr>
              <w:t>£351,600</w:t>
            </w:r>
          </w:p>
        </w:tc>
        <w:tc>
          <w:tcPr>
            <w:tcW w:w="877" w:type="pct"/>
            <w:hideMark/>
          </w:tcPr>
          <w:p w:rsidR="00AA03D7" w:rsidRPr="00600807" w:rsidRDefault="00AA03D7" w:rsidP="00AA03D7">
            <w:pPr>
              <w:cnfStyle w:val="000000000000" w:firstRow="0" w:lastRow="0" w:firstColumn="0" w:lastColumn="0" w:oddVBand="0" w:evenVBand="0" w:oddHBand="0" w:evenHBand="0" w:firstRowFirstColumn="0" w:firstRowLastColumn="0" w:lastRowFirstColumn="0" w:lastRowLastColumn="0"/>
              <w:rPr>
                <w:color w:val="000000"/>
                <w:lang w:eastAsia="en-GB"/>
              </w:rPr>
            </w:pPr>
            <w:r w:rsidRPr="00600807">
              <w:rPr>
                <w:color w:val="000000"/>
              </w:rPr>
              <w:t>£518,400</w:t>
            </w:r>
          </w:p>
        </w:tc>
      </w:tr>
      <w:tr w:rsidR="00AE5604" w:rsidRPr="00D371BD" w:rsidTr="00AE5604">
        <w:trPr>
          <w:trHeight w:val="315"/>
        </w:trPr>
        <w:tc>
          <w:tcPr>
            <w:cnfStyle w:val="001000000000" w:firstRow="0" w:lastRow="0" w:firstColumn="1" w:lastColumn="0" w:oddVBand="0" w:evenVBand="0" w:oddHBand="0" w:evenHBand="0" w:firstRowFirstColumn="0" w:firstRowLastColumn="0" w:lastRowFirstColumn="0" w:lastRowLastColumn="0"/>
            <w:tcW w:w="1692" w:type="pct"/>
            <w:hideMark/>
          </w:tcPr>
          <w:p w:rsidR="00AA03D7" w:rsidRPr="00600807" w:rsidRDefault="00AA03D7" w:rsidP="00AA03D7">
            <w:pPr>
              <w:rPr>
                <w:color w:val="000000"/>
                <w:lang w:eastAsia="en-GB"/>
              </w:rPr>
            </w:pPr>
            <w:r w:rsidRPr="00600807">
              <w:rPr>
                <w:color w:val="000000"/>
              </w:rPr>
              <w:t>Effective at Midpoint</w:t>
            </w:r>
            <w:r w:rsidR="00061564">
              <w:rPr>
                <w:color w:val="000000"/>
              </w:rPr>
              <w:t xml:space="preserve"> after discount</w:t>
            </w:r>
          </w:p>
        </w:tc>
        <w:tc>
          <w:tcPr>
            <w:tcW w:w="809" w:type="pct"/>
            <w:hideMark/>
          </w:tcPr>
          <w:p w:rsidR="00AA03D7" w:rsidRPr="00600807" w:rsidRDefault="00AA03D7" w:rsidP="00AA03D7">
            <w:pPr>
              <w:cnfStyle w:val="000000000000" w:firstRow="0" w:lastRow="0" w:firstColumn="0" w:lastColumn="0" w:oddVBand="0" w:evenVBand="0" w:oddHBand="0" w:evenHBand="0" w:firstRowFirstColumn="0" w:firstRowLastColumn="0" w:lastRowFirstColumn="0" w:lastRowLastColumn="0"/>
              <w:rPr>
                <w:color w:val="000000"/>
                <w:lang w:eastAsia="en-GB"/>
              </w:rPr>
            </w:pPr>
            <w:r w:rsidRPr="00600807">
              <w:rPr>
                <w:color w:val="000000"/>
              </w:rPr>
              <w:t>79%</w:t>
            </w:r>
          </w:p>
        </w:tc>
        <w:tc>
          <w:tcPr>
            <w:tcW w:w="809" w:type="pct"/>
            <w:hideMark/>
          </w:tcPr>
          <w:p w:rsidR="00AA03D7" w:rsidRPr="00600807" w:rsidRDefault="00AA03D7" w:rsidP="00AA03D7">
            <w:pPr>
              <w:cnfStyle w:val="000000000000" w:firstRow="0" w:lastRow="0" w:firstColumn="0" w:lastColumn="0" w:oddVBand="0" w:evenVBand="0" w:oddHBand="0" w:evenHBand="0" w:firstRowFirstColumn="0" w:firstRowLastColumn="0" w:lastRowFirstColumn="0" w:lastRowLastColumn="0"/>
              <w:rPr>
                <w:color w:val="000000"/>
                <w:lang w:eastAsia="en-GB"/>
              </w:rPr>
            </w:pPr>
            <w:r w:rsidRPr="00600807">
              <w:rPr>
                <w:color w:val="000000"/>
              </w:rPr>
              <w:t>73%</w:t>
            </w:r>
          </w:p>
        </w:tc>
        <w:tc>
          <w:tcPr>
            <w:tcW w:w="813" w:type="pct"/>
            <w:hideMark/>
          </w:tcPr>
          <w:p w:rsidR="00AA03D7" w:rsidRPr="00600807" w:rsidRDefault="00AA03D7" w:rsidP="00AA03D7">
            <w:pPr>
              <w:cnfStyle w:val="000000000000" w:firstRow="0" w:lastRow="0" w:firstColumn="0" w:lastColumn="0" w:oddVBand="0" w:evenVBand="0" w:oddHBand="0" w:evenHBand="0" w:firstRowFirstColumn="0" w:firstRowLastColumn="0" w:lastRowFirstColumn="0" w:lastRowLastColumn="0"/>
              <w:rPr>
                <w:color w:val="000000"/>
                <w:lang w:eastAsia="en-GB"/>
              </w:rPr>
            </w:pPr>
            <w:r w:rsidRPr="00600807">
              <w:rPr>
                <w:color w:val="000000"/>
              </w:rPr>
              <w:t>68%</w:t>
            </w:r>
          </w:p>
        </w:tc>
        <w:tc>
          <w:tcPr>
            <w:tcW w:w="877" w:type="pct"/>
            <w:hideMark/>
          </w:tcPr>
          <w:p w:rsidR="00AA03D7" w:rsidRPr="00600807" w:rsidRDefault="00AA03D7" w:rsidP="00AA03D7">
            <w:pPr>
              <w:cnfStyle w:val="000000000000" w:firstRow="0" w:lastRow="0" w:firstColumn="0" w:lastColumn="0" w:oddVBand="0" w:evenVBand="0" w:oddHBand="0" w:evenHBand="0" w:firstRowFirstColumn="0" w:firstRowLastColumn="0" w:lastRowFirstColumn="0" w:lastRowLastColumn="0"/>
              <w:rPr>
                <w:color w:val="000000"/>
                <w:lang w:eastAsia="en-GB"/>
              </w:rPr>
            </w:pPr>
            <w:r w:rsidRPr="00600807">
              <w:rPr>
                <w:color w:val="000000"/>
              </w:rPr>
              <w:t>68%</w:t>
            </w:r>
          </w:p>
        </w:tc>
      </w:tr>
    </w:tbl>
    <w:p w:rsidR="00B008D9" w:rsidRPr="00CA47B9" w:rsidRDefault="00B008D9" w:rsidP="00AE5604">
      <w:pPr>
        <w:pStyle w:val="11Bodytext"/>
        <w:numPr>
          <w:ilvl w:val="0"/>
          <w:numId w:val="0"/>
        </w:numPr>
        <w:spacing w:before="0" w:after="0"/>
      </w:pPr>
      <w:r w:rsidRPr="00CA47B9">
        <w:t>Source: derived from VOA and Land Registry data</w:t>
      </w:r>
    </w:p>
    <w:bookmarkEnd w:id="147"/>
    <w:p w:rsidR="0072766C" w:rsidRDefault="0072766C" w:rsidP="000C05B0">
      <w:pPr>
        <w:pStyle w:val="11Bodytext"/>
        <w:tabs>
          <w:tab w:val="clear" w:pos="2212"/>
          <w:tab w:val="num" w:pos="567"/>
        </w:tabs>
        <w:ind w:left="567" w:hanging="567"/>
      </w:pPr>
      <w:r>
        <w:t xml:space="preserve">As shown in Table 29 the midpoint for </w:t>
      </w:r>
      <w:r w:rsidR="009B1821">
        <w:t xml:space="preserve">all homes </w:t>
      </w:r>
      <w:r>
        <w:t>would require a greater discount than</w:t>
      </w:r>
      <w:r w:rsidR="009B1821">
        <w:t xml:space="preserve"> the</w:t>
      </w:r>
      <w:r>
        <w:t xml:space="preserve"> 20%</w:t>
      </w:r>
      <w:r w:rsidR="009B1821">
        <w:t xml:space="preserve"> minimum set out in the NPPF</w:t>
      </w:r>
      <w:r>
        <w:t>.</w:t>
      </w:r>
      <w:r w:rsidR="00855CA6">
        <w:t xml:space="preserve"> </w:t>
      </w:r>
      <w:r>
        <w:t xml:space="preserve"> At the midpoint</w:t>
      </w:r>
      <w:r w:rsidR="00855CA6">
        <w:t>,</w:t>
      </w:r>
      <w:r>
        <w:t xml:space="preserve"> half of all households in need</w:t>
      </w:r>
      <w:r w:rsidR="009B1821">
        <w:t xml:space="preserve"> for affordable </w:t>
      </w:r>
      <w:r w:rsidR="00451CFA">
        <w:t>home ownership</w:t>
      </w:r>
      <w:r w:rsidR="009B1821">
        <w:t xml:space="preserve"> </w:t>
      </w:r>
      <w:r>
        <w:t>would be catered for.</w:t>
      </w:r>
      <w:r w:rsidR="00855CA6">
        <w:t xml:space="preserve"> </w:t>
      </w:r>
      <w:r>
        <w:t xml:space="preserve">The other half could be </w:t>
      </w:r>
      <w:r>
        <w:lastRenderedPageBreak/>
        <w:t xml:space="preserve">catered for either through deeper discounts or other tenures such as shared ownership which would cater </w:t>
      </w:r>
      <w:r w:rsidR="00855CA6">
        <w:t xml:space="preserve">to </w:t>
      </w:r>
      <w:r>
        <w:t>those on a lower income</w:t>
      </w:r>
      <w:r w:rsidR="00B13180">
        <w:t xml:space="preserve"> (see below)</w:t>
      </w:r>
      <w:r>
        <w:t>.</w:t>
      </w:r>
    </w:p>
    <w:p w:rsidR="0072766C" w:rsidRDefault="0072766C" w:rsidP="000C05B0">
      <w:pPr>
        <w:pStyle w:val="11Bodytext"/>
        <w:tabs>
          <w:tab w:val="clear" w:pos="2212"/>
          <w:tab w:val="num" w:pos="567"/>
        </w:tabs>
        <w:ind w:left="567" w:hanging="567"/>
      </w:pPr>
      <w:r>
        <w:t>The Council have also set an alternative approach to affordability based on local earnings.</w:t>
      </w:r>
      <w:r w:rsidR="00855CA6">
        <w:t xml:space="preserve"> </w:t>
      </w:r>
      <w:r>
        <w:t>This is set out in the Planning Obligations &amp; Affordable Housing Supplementary Planning Document</w:t>
      </w:r>
      <w:r>
        <w:rPr>
          <w:rStyle w:val="FootnoteReference"/>
        </w:rPr>
        <w:footnoteReference w:id="10"/>
      </w:r>
      <w:r>
        <w:t>.</w:t>
      </w:r>
      <w:r w:rsidR="00855CA6">
        <w:t xml:space="preserve"> </w:t>
      </w:r>
      <w:r>
        <w:t xml:space="preserve"> This sets out that the affordability formula applied to any scheme is calculated by multiplying the district’s average household earnings by 4.5, which is then divided by the average unit market value of that particular scheme and converted into a percentage for the discount rate. </w:t>
      </w:r>
    </w:p>
    <w:p w:rsidR="0072766C" w:rsidRDefault="0072766C" w:rsidP="000C05B0">
      <w:pPr>
        <w:pStyle w:val="11Bodytext"/>
        <w:tabs>
          <w:tab w:val="clear" w:pos="2212"/>
          <w:tab w:val="num" w:pos="567"/>
        </w:tabs>
        <w:ind w:left="567" w:hanging="567"/>
      </w:pPr>
      <w:r>
        <w:t>This would typically result in greater discounts than 20% of those set out in the table below.</w:t>
      </w:r>
      <w:r w:rsidR="00855CA6">
        <w:t xml:space="preserve"> </w:t>
      </w:r>
      <w:r>
        <w:t>However, a balance will need to be struck between delivering homes at a greater discount and more homes at a lesser discount.</w:t>
      </w:r>
    </w:p>
    <w:p w:rsidR="000E16CA" w:rsidRDefault="00651CBB" w:rsidP="000C05B0">
      <w:pPr>
        <w:pStyle w:val="11Bodytext"/>
        <w:tabs>
          <w:tab w:val="clear" w:pos="2212"/>
          <w:tab w:val="num" w:pos="567"/>
        </w:tabs>
        <w:ind w:left="567" w:hanging="567"/>
      </w:pPr>
      <w:r w:rsidRPr="00487DF8">
        <w:t>We are also conscious that these figures are based on a given point in time.</w:t>
      </w:r>
      <w:r w:rsidR="00855CA6">
        <w:t xml:space="preserve"> </w:t>
      </w:r>
      <w:r w:rsidRPr="00487DF8">
        <w:t>However, they can be monitored and updated every six months by reference to VOA data</w:t>
      </w:r>
      <w:r>
        <w:rPr>
          <w:rStyle w:val="FootnoteReference"/>
        </w:rPr>
        <w:footnoteReference w:id="11"/>
      </w:r>
      <w:r w:rsidRPr="00487DF8">
        <w:t>.</w:t>
      </w:r>
      <w:r w:rsidR="00855CA6">
        <w:t xml:space="preserve"> </w:t>
      </w:r>
      <w:r w:rsidR="00487DF8" w:rsidRPr="00487DF8">
        <w:t xml:space="preserve"> This can </w:t>
      </w:r>
      <w:r w:rsidR="00855CA6">
        <w:t xml:space="preserve">be </w:t>
      </w:r>
      <w:r w:rsidR="00487DF8" w:rsidRPr="00487DF8">
        <w:t xml:space="preserve">calculated </w:t>
      </w:r>
      <w:r w:rsidR="00487DF8">
        <w:t>by working the</w:t>
      </w:r>
      <w:r w:rsidR="00020377">
        <w:t xml:space="preserve"> rental figure</w:t>
      </w:r>
      <w:r w:rsidR="00487DF8" w:rsidRPr="00842A07">
        <w:t xml:space="preserve"> backwards into an equivalent purchase price </w:t>
      </w:r>
      <w:r w:rsidR="00BE4F2C">
        <w:t>to</w:t>
      </w:r>
      <w:r w:rsidR="00487DF8" w:rsidRPr="00842A07">
        <w:t xml:space="preserve"> give an affordable price to buy</w:t>
      </w:r>
      <w:r w:rsidR="00487DF8">
        <w:t xml:space="preserve">. </w:t>
      </w:r>
    </w:p>
    <w:p w:rsidR="000E16CA" w:rsidRPr="00C26296" w:rsidRDefault="000E16CA" w:rsidP="000C05B0">
      <w:pPr>
        <w:pStyle w:val="11Bodytext"/>
        <w:tabs>
          <w:tab w:val="clear" w:pos="2212"/>
          <w:tab w:val="num" w:pos="567"/>
        </w:tabs>
        <w:ind w:left="567" w:hanging="567"/>
      </w:pPr>
      <w:r>
        <w:t>The income required is calculated as the monthly rent annualised and then assumed to be 31% of all income.</w:t>
      </w:r>
      <w:r w:rsidR="00855CA6">
        <w:t xml:space="preserve"> </w:t>
      </w:r>
      <w:r>
        <w:t>The mortgage cost is based on the income multiplier of 4 times incomes.</w:t>
      </w:r>
      <w:r w:rsidR="00855CA6">
        <w:t xml:space="preserve"> </w:t>
      </w:r>
      <w:r>
        <w:t xml:space="preserve">The final purchase cost then assumes a 10% deposit. The formula is as follows: </w:t>
      </w:r>
    </w:p>
    <w:p w:rsidR="00487DF8" w:rsidRPr="00873DCC" w:rsidRDefault="00487DF8" w:rsidP="00ED1C06">
      <w:pPr>
        <w:pStyle w:val="11Bodytext"/>
        <w:numPr>
          <w:ilvl w:val="0"/>
          <w:numId w:val="0"/>
        </w:numPr>
        <w:ind w:left="794"/>
      </w:pPr>
      <w:r w:rsidRPr="00873DCC">
        <w:t>((((Monthly Rent*12)/31)*100)*4)/0.9)</w:t>
      </w:r>
    </w:p>
    <w:p w:rsidR="00B008D9" w:rsidRDefault="00B008D9" w:rsidP="00ED1C06">
      <w:pPr>
        <w:pStyle w:val="11Bodytext"/>
        <w:numPr>
          <w:ilvl w:val="0"/>
          <w:numId w:val="0"/>
        </w:numPr>
        <w:ind w:left="794"/>
      </w:pPr>
      <w:r w:rsidRPr="000C13F6">
        <w:t>Intermediate Housing (shared ownership)</w:t>
      </w:r>
    </w:p>
    <w:p w:rsidR="00BB6B3C" w:rsidRPr="00BB6B3C" w:rsidRDefault="00B008D9" w:rsidP="000C05B0">
      <w:pPr>
        <w:pStyle w:val="11Bodytext"/>
        <w:tabs>
          <w:tab w:val="clear" w:pos="2212"/>
          <w:tab w:val="num" w:pos="567"/>
        </w:tabs>
        <w:ind w:left="567" w:hanging="567"/>
      </w:pPr>
      <w:r>
        <w:rPr>
          <w:lang w:eastAsia="en-GB"/>
        </w:rPr>
        <w:t xml:space="preserve">Looking at </w:t>
      </w:r>
      <w:r>
        <w:t>affordability</w:t>
      </w:r>
      <w:r>
        <w:rPr>
          <w:lang w:eastAsia="en-GB"/>
        </w:rPr>
        <w:t xml:space="preserve"> for shared ownership draws on both a mortgage and rental affordability test and is discussed separately below. Shared ownership starts with an </w:t>
      </w:r>
      <w:r>
        <w:rPr>
          <w:lang w:eastAsia="en-GB"/>
        </w:rPr>
        <w:lastRenderedPageBreak/>
        <w:t xml:space="preserve">open market value (OMV) and then part of the property is sold and the rest is rented (normally from a Registered Provider). </w:t>
      </w:r>
    </w:p>
    <w:p w:rsidR="00B008D9" w:rsidRDefault="00B008D9" w:rsidP="000C05B0">
      <w:pPr>
        <w:pStyle w:val="11Bodytext"/>
        <w:tabs>
          <w:tab w:val="clear" w:pos="2212"/>
          <w:tab w:val="num" w:pos="567"/>
        </w:tabs>
        <w:ind w:left="567" w:hanging="567"/>
      </w:pPr>
      <w:r>
        <w:rPr>
          <w:lang w:eastAsia="en-GB"/>
        </w:rPr>
        <w:t xml:space="preserve">It is </w:t>
      </w:r>
      <w:r>
        <w:t xml:space="preserve">difficult to know exactly what the OMV of shared ownership might be (as this will depend on a range of factors such as the location of the dwelling), however, for an indicative analysis, it is assumed that the OMV for shared ownership will be approximately lower quartile house price plus </w:t>
      </w:r>
      <w:r w:rsidR="009B1821">
        <w:t>20</w:t>
      </w:r>
      <w:r>
        <w:t>% (the estimated new-build premium).</w:t>
      </w:r>
    </w:p>
    <w:p w:rsidR="00B008D9" w:rsidRDefault="00B008D9" w:rsidP="000C05B0">
      <w:pPr>
        <w:pStyle w:val="11Bodytext"/>
        <w:tabs>
          <w:tab w:val="clear" w:pos="2212"/>
          <w:tab w:val="num" w:pos="567"/>
        </w:tabs>
        <w:ind w:left="567" w:hanging="567"/>
      </w:pPr>
      <w:r>
        <w:t xml:space="preserve">Taking the example of a 2-bedroom property, it is estimated that the OMV would be about £275,000 </w:t>
      </w:r>
      <w:r w:rsidR="00BE4F2C">
        <w:t>for</w:t>
      </w:r>
      <w:r>
        <w:t xml:space="preserve"> a new property. If buying a 25% share in the property, the income required for the purchase part of the tenure would be around £15,</w:t>
      </w:r>
      <w:r w:rsidR="00C43A50">
        <w:t xml:space="preserve">450 </w:t>
      </w:r>
      <w:r>
        <w:t>(this assumes a 10% deposit and 4× income multiple). The rental element would be about £</w:t>
      </w:r>
      <w:r w:rsidR="00177FCA">
        <w:t>5,700</w:t>
      </w:r>
      <w:r>
        <w:t xml:space="preserve">per annum (based on paying a rent of </w:t>
      </w:r>
      <w:r w:rsidR="00177FCA">
        <w:t>2.75</w:t>
      </w:r>
      <w:r>
        <w:t>% per annum on the unsold equity) and based on 33% of income for this (which seems to be a fairly standard figure for shared ownership) an additional income of about £1</w:t>
      </w:r>
      <w:r w:rsidR="00177FCA">
        <w:t>7</w:t>
      </w:r>
      <w:r>
        <w:t>,</w:t>
      </w:r>
      <w:r w:rsidR="00177FCA">
        <w:t xml:space="preserve">200 </w:t>
      </w:r>
      <w:r>
        <w:t>would be needed. The overall income required for shared ownership would</w:t>
      </w:r>
      <w:r w:rsidR="00855CA6">
        <w:t>, therefore,</w:t>
      </w:r>
      <w:r>
        <w:t xml:space="preserve"> be around £</w:t>
      </w:r>
      <w:r w:rsidR="00177FCA">
        <w:t>32</w:t>
      </w:r>
      <w:r>
        <w:t>,</w:t>
      </w:r>
      <w:r w:rsidR="00C43A50">
        <w:t>650</w:t>
      </w:r>
      <w:r>
        <w:t>.</w:t>
      </w:r>
    </w:p>
    <w:p w:rsidR="00882B84" w:rsidRDefault="00B008D9" w:rsidP="000C05B0">
      <w:pPr>
        <w:pStyle w:val="11Bodytext"/>
        <w:tabs>
          <w:tab w:val="clear" w:pos="2212"/>
          <w:tab w:val="num" w:pos="567"/>
        </w:tabs>
        <w:ind w:left="567" w:hanging="567"/>
      </w:pPr>
      <w:r>
        <w:t>The</w:t>
      </w:r>
      <w:r w:rsidR="00177FCA">
        <w:t xml:space="preserve"> table below</w:t>
      </w:r>
      <w:r>
        <w:t xml:space="preserve"> shows the same calculation (working through to an income requirement) for all dwelling</w:t>
      </w:r>
      <w:r>
        <w:rPr>
          <w:lang w:eastAsia="en-GB"/>
        </w:rPr>
        <w:t xml:space="preserve"> sizes and also considering a 50% share (as well as 25%).</w:t>
      </w:r>
      <w:r w:rsidR="00882B84">
        <w:rPr>
          <w:lang w:eastAsia="en-GB"/>
        </w:rPr>
        <w:t xml:space="preserve"> This is based on the same basic new build price as used in the previous table. </w:t>
      </w:r>
    </w:p>
    <w:p w:rsidR="009B1821" w:rsidRDefault="00882B84" w:rsidP="000C05B0">
      <w:pPr>
        <w:pStyle w:val="11Bodytext"/>
        <w:tabs>
          <w:tab w:val="clear" w:pos="2212"/>
          <w:tab w:val="num" w:pos="567"/>
        </w:tabs>
        <w:ind w:left="567" w:hanging="567"/>
      </w:pPr>
      <w:r>
        <w:rPr>
          <w:lang w:eastAsia="en-GB"/>
        </w:rPr>
        <w:t xml:space="preserve">As shown </w:t>
      </w:r>
      <w:r w:rsidR="00B008D9">
        <w:rPr>
          <w:lang w:eastAsia="en-GB"/>
        </w:rPr>
        <w:t>shared ownership is affordable for 1-bedroom homes with a 25%</w:t>
      </w:r>
      <w:r w:rsidR="009B1821">
        <w:rPr>
          <w:lang w:eastAsia="en-GB"/>
        </w:rPr>
        <w:t xml:space="preserve"> discount</w:t>
      </w:r>
      <w:r w:rsidR="00B008D9">
        <w:rPr>
          <w:lang w:eastAsia="en-GB"/>
        </w:rPr>
        <w:t xml:space="preserve"> (this is based on considering if there is an income requirement which </w:t>
      </w:r>
      <w:r w:rsidR="00B008D9">
        <w:t>is</w:t>
      </w:r>
      <w:r w:rsidR="00B008D9">
        <w:rPr>
          <w:lang w:eastAsia="en-GB"/>
        </w:rPr>
        <w:t xml:space="preserve"> less than the LQ private rent figure</w:t>
      </w:r>
      <w:r>
        <w:rPr>
          <w:lang w:eastAsia="en-GB"/>
        </w:rPr>
        <w:t xml:space="preserve"> </w:t>
      </w:r>
      <w:r w:rsidR="00AA03D7">
        <w:rPr>
          <w:lang w:eastAsia="en-GB"/>
        </w:rPr>
        <w:t>for each size</w:t>
      </w:r>
      <w:r w:rsidR="00B008D9">
        <w:rPr>
          <w:lang w:eastAsia="en-GB"/>
        </w:rPr>
        <w:t>).</w:t>
      </w:r>
      <w:r w:rsidR="00855CA6">
        <w:rPr>
          <w:lang w:eastAsia="en-GB"/>
        </w:rPr>
        <w:t xml:space="preserve"> </w:t>
      </w:r>
      <w:r w:rsidR="00B008D9">
        <w:rPr>
          <w:lang w:eastAsia="en-GB"/>
        </w:rPr>
        <w:t xml:space="preserve">Additionally, </w:t>
      </w:r>
      <w:r w:rsidR="009B1821">
        <w:rPr>
          <w:lang w:eastAsia="en-GB"/>
        </w:rPr>
        <w:t>2-bedrooms</w:t>
      </w:r>
      <w:r w:rsidR="00B008D9">
        <w:rPr>
          <w:lang w:eastAsia="en-GB"/>
        </w:rPr>
        <w:t xml:space="preserve"> look to just about ‘work’ with a 25% share but not if this is raised to 50%.</w:t>
      </w:r>
      <w:r w:rsidR="00855CA6">
        <w:rPr>
          <w:lang w:eastAsia="en-GB"/>
        </w:rPr>
        <w:t xml:space="preserve"> </w:t>
      </w:r>
      <w:r w:rsidR="009B1821">
        <w:rPr>
          <w:lang w:eastAsia="en-GB"/>
        </w:rPr>
        <w:t xml:space="preserve"> </w:t>
      </w:r>
    </w:p>
    <w:p w:rsidR="00882B84" w:rsidRDefault="009B1821" w:rsidP="000C05B0">
      <w:pPr>
        <w:pStyle w:val="11Bodytext"/>
        <w:tabs>
          <w:tab w:val="clear" w:pos="2212"/>
          <w:tab w:val="num" w:pos="567"/>
        </w:tabs>
        <w:ind w:left="567" w:hanging="567"/>
      </w:pPr>
      <w:r>
        <w:rPr>
          <w:lang w:eastAsia="en-GB"/>
        </w:rPr>
        <w:t>However, t</w:t>
      </w:r>
      <w:r>
        <w:t xml:space="preserve">hese figures exclude service charges, this may for flatted development mean an additional cost is likely. If the charge were to be £100 per month (£1,200 per annum) then the analysis would suggest an additional income of £3,600 per annum might be required. </w:t>
      </w:r>
    </w:p>
    <w:p w:rsidR="00B008D9" w:rsidRDefault="00B008D9" w:rsidP="000C05B0">
      <w:pPr>
        <w:pStyle w:val="11Bodytext"/>
        <w:tabs>
          <w:tab w:val="clear" w:pos="2212"/>
          <w:tab w:val="num" w:pos="567"/>
        </w:tabs>
        <w:ind w:left="567" w:hanging="567"/>
      </w:pPr>
      <w:r>
        <w:rPr>
          <w:lang w:eastAsia="en-GB"/>
        </w:rPr>
        <w:t xml:space="preserve">This means that </w:t>
      </w:r>
      <w:r w:rsidR="00011DC0">
        <w:rPr>
          <w:lang w:eastAsia="en-GB"/>
        </w:rPr>
        <w:t xml:space="preserve">even </w:t>
      </w:r>
      <w:r>
        <w:rPr>
          <w:lang w:eastAsia="en-GB"/>
        </w:rPr>
        <w:t>with a 50%</w:t>
      </w:r>
      <w:r w:rsidR="00011DC0">
        <w:rPr>
          <w:lang w:eastAsia="en-GB"/>
        </w:rPr>
        <w:t xml:space="preserve"> discount</w:t>
      </w:r>
      <w:r>
        <w:rPr>
          <w:lang w:eastAsia="en-GB"/>
        </w:rPr>
        <w:t xml:space="preserve">, shared ownership is arguably not an </w:t>
      </w:r>
      <w:r>
        <w:t>affordable</w:t>
      </w:r>
      <w:r>
        <w:rPr>
          <w:lang w:eastAsia="en-GB"/>
        </w:rPr>
        <w:t xml:space="preserve"> product. That said enabling households to access shared ownership would potentially release other accommodation into the market for use by another household.</w:t>
      </w:r>
    </w:p>
    <w:p w:rsidR="00AA03D7" w:rsidRDefault="00B008D9" w:rsidP="000C05B0">
      <w:pPr>
        <w:pStyle w:val="11Bodytext"/>
        <w:tabs>
          <w:tab w:val="clear" w:pos="2212"/>
          <w:tab w:val="num" w:pos="567"/>
        </w:tabs>
        <w:ind w:left="567" w:hanging="567"/>
      </w:pPr>
      <w:r>
        <w:rPr>
          <w:lang w:eastAsia="en-GB"/>
        </w:rPr>
        <w:lastRenderedPageBreak/>
        <w:t>The calculations below</w:t>
      </w:r>
      <w:r w:rsidR="008769C7">
        <w:rPr>
          <w:lang w:eastAsia="en-GB"/>
        </w:rPr>
        <w:t xml:space="preserve"> </w:t>
      </w:r>
      <w:r>
        <w:rPr>
          <w:lang w:eastAsia="en-GB"/>
        </w:rPr>
        <w:t xml:space="preserve">all assume a 10% deposit on the equity part of the home; if a </w:t>
      </w:r>
      <w:r>
        <w:t>household</w:t>
      </w:r>
      <w:r>
        <w:rPr>
          <w:lang w:eastAsia="en-GB"/>
        </w:rPr>
        <w:t xml:space="preserve"> were to be able to pay a larger deposit, then the mortgage cost (and income requirement) would reduce, and hence the housing would be more affordable. That said, it may be that some shared ownership is available with deposits lower than 10% - this</w:t>
      </w:r>
      <w:r w:rsidR="00855CA6">
        <w:rPr>
          <w:lang w:eastAsia="en-GB"/>
        </w:rPr>
        <w:t>, in turn,</w:t>
      </w:r>
      <w:r>
        <w:rPr>
          <w:lang w:eastAsia="en-GB"/>
        </w:rPr>
        <w:t xml:space="preserve"> would increase the monthly housing cost. </w:t>
      </w:r>
    </w:p>
    <w:p w:rsidR="00B008D9" w:rsidRDefault="00B008D9" w:rsidP="00700980">
      <w:pPr>
        <w:pStyle w:val="Tableheading"/>
        <w:tabs>
          <w:tab w:val="clear" w:pos="794"/>
          <w:tab w:val="clear" w:pos="1843"/>
          <w:tab w:val="left" w:pos="0"/>
        </w:tabs>
        <w:ind w:left="0" w:firstLine="0"/>
      </w:pPr>
      <w:r>
        <w:t>Indicative affordability (income) thresholds for shared ownership – by size – Chichester District</w:t>
      </w:r>
    </w:p>
    <w:tbl>
      <w:tblPr>
        <w:tblStyle w:val="Style1"/>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30: Indicative affordability (income) thresholds for shared ownership – by size – Chichester District"/>
      </w:tblPr>
      <w:tblGrid>
        <w:gridCol w:w="1403"/>
        <w:gridCol w:w="2851"/>
        <w:gridCol w:w="2579"/>
        <w:gridCol w:w="2805"/>
      </w:tblGrid>
      <w:tr w:rsidR="00AA03D7" w:rsidRPr="00600807" w:rsidTr="00700980">
        <w:trPr>
          <w:cnfStyle w:val="100000000000" w:firstRow="1" w:lastRow="0" w:firstColumn="0" w:lastColumn="0" w:oddVBand="0" w:evenVBand="0" w:oddHBand="0" w:evenHBand="0" w:firstRowFirstColumn="0" w:firstRowLastColumn="0" w:lastRowFirstColumn="0" w:lastRowLastColumn="0"/>
          <w:trHeight w:val="420"/>
          <w:tblHeader/>
        </w:trPr>
        <w:tc>
          <w:tcPr>
            <w:cnfStyle w:val="001000000000" w:firstRow="0" w:lastRow="0" w:firstColumn="1" w:lastColumn="0" w:oddVBand="0" w:evenVBand="0" w:oddHBand="0" w:evenHBand="0" w:firstRowFirstColumn="0" w:firstRowLastColumn="0" w:lastRowFirstColumn="0" w:lastRowLastColumn="0"/>
            <w:tcW w:w="728" w:type="pct"/>
            <w:tcBorders>
              <w:top w:val="single" w:sz="4" w:space="0" w:color="auto"/>
              <w:left w:val="single" w:sz="4" w:space="0" w:color="auto"/>
              <w:bottom w:val="single" w:sz="4" w:space="0" w:color="auto"/>
              <w:right w:val="single" w:sz="4" w:space="0" w:color="auto"/>
            </w:tcBorders>
          </w:tcPr>
          <w:p w:rsidR="00AA03D7" w:rsidRPr="00600807" w:rsidRDefault="00AA03D7" w:rsidP="005200A0">
            <w:pPr>
              <w:keepNext/>
              <w:spacing w:after="160" w:line="254" w:lineRule="auto"/>
              <w:rPr>
                <w:rFonts w:ascii="Arial Narrow" w:eastAsia="Times New Roman" w:hAnsi="Arial Narrow"/>
                <w:sz w:val="24"/>
                <w:szCs w:val="28"/>
              </w:rPr>
            </w:pPr>
          </w:p>
        </w:tc>
        <w:tc>
          <w:tcPr>
            <w:tcW w:w="1479" w:type="pct"/>
            <w:tcBorders>
              <w:top w:val="single" w:sz="4" w:space="0" w:color="auto"/>
              <w:left w:val="single" w:sz="4" w:space="0" w:color="auto"/>
              <w:bottom w:val="single" w:sz="4" w:space="0" w:color="auto"/>
              <w:right w:val="single" w:sz="4" w:space="0" w:color="auto"/>
            </w:tcBorders>
            <w:hideMark/>
          </w:tcPr>
          <w:p w:rsidR="00AA03D7" w:rsidRPr="00600807" w:rsidRDefault="00AA03D7" w:rsidP="005200A0">
            <w:pPr>
              <w:keepNext/>
              <w:widowControl w:val="0"/>
              <w:spacing w:before="60" w:after="6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sz w:val="24"/>
                <w:szCs w:val="28"/>
              </w:rPr>
            </w:pPr>
            <w:r w:rsidRPr="00600807">
              <w:rPr>
                <w:rFonts w:ascii="Arial Narrow" w:hAnsi="Arial Narrow"/>
                <w:sz w:val="24"/>
                <w:szCs w:val="28"/>
              </w:rPr>
              <w:t>25% equity share</w:t>
            </w:r>
          </w:p>
        </w:tc>
        <w:tc>
          <w:tcPr>
            <w:tcW w:w="1338" w:type="pct"/>
            <w:tcBorders>
              <w:top w:val="single" w:sz="4" w:space="0" w:color="auto"/>
              <w:left w:val="single" w:sz="4" w:space="0" w:color="auto"/>
              <w:bottom w:val="single" w:sz="4" w:space="0" w:color="auto"/>
              <w:right w:val="single" w:sz="4" w:space="0" w:color="auto"/>
            </w:tcBorders>
            <w:hideMark/>
          </w:tcPr>
          <w:p w:rsidR="00AA03D7" w:rsidRPr="00600807" w:rsidRDefault="00AA03D7" w:rsidP="005200A0">
            <w:pPr>
              <w:keepNext/>
              <w:widowControl w:val="0"/>
              <w:spacing w:before="60" w:after="6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sz w:val="24"/>
                <w:szCs w:val="28"/>
              </w:rPr>
            </w:pPr>
            <w:r w:rsidRPr="00600807">
              <w:rPr>
                <w:rFonts w:ascii="Arial Narrow" w:hAnsi="Arial Narrow"/>
                <w:sz w:val="24"/>
                <w:szCs w:val="28"/>
              </w:rPr>
              <w:t>50% equity share</w:t>
            </w:r>
          </w:p>
        </w:tc>
        <w:tc>
          <w:tcPr>
            <w:tcW w:w="1455" w:type="pct"/>
            <w:tcBorders>
              <w:top w:val="single" w:sz="4" w:space="0" w:color="auto"/>
              <w:left w:val="single" w:sz="4" w:space="0" w:color="auto"/>
              <w:bottom w:val="single" w:sz="4" w:space="0" w:color="auto"/>
              <w:right w:val="single" w:sz="4" w:space="0" w:color="auto"/>
            </w:tcBorders>
          </w:tcPr>
          <w:p w:rsidR="00AA03D7" w:rsidRPr="00600807" w:rsidRDefault="00AA03D7" w:rsidP="005200A0">
            <w:pPr>
              <w:keepNext/>
              <w:widowControl w:val="0"/>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Arial"/>
                <w:sz w:val="24"/>
                <w:szCs w:val="28"/>
              </w:rPr>
            </w:pPr>
            <w:r w:rsidRPr="00600807">
              <w:rPr>
                <w:rFonts w:ascii="Arial Narrow" w:hAnsi="Arial Narrow" w:cs="Arial"/>
                <w:sz w:val="24"/>
                <w:szCs w:val="28"/>
              </w:rPr>
              <w:t>Income required to rent</w:t>
            </w:r>
          </w:p>
        </w:tc>
      </w:tr>
      <w:tr w:rsidR="00CC2694" w:rsidRPr="00600807" w:rsidTr="00700980">
        <w:tc>
          <w:tcPr>
            <w:cnfStyle w:val="001000000000" w:firstRow="0" w:lastRow="0" w:firstColumn="1" w:lastColumn="0" w:oddVBand="0" w:evenVBand="0" w:oddHBand="0" w:evenHBand="0" w:firstRowFirstColumn="0" w:firstRowLastColumn="0" w:lastRowFirstColumn="0" w:lastRowLastColumn="0"/>
            <w:tcW w:w="728" w:type="pct"/>
            <w:tcBorders>
              <w:top w:val="single" w:sz="4" w:space="0" w:color="auto"/>
              <w:left w:val="single" w:sz="4" w:space="0" w:color="auto"/>
              <w:bottom w:val="single" w:sz="4" w:space="0" w:color="auto"/>
              <w:right w:val="single" w:sz="4" w:space="0" w:color="auto"/>
            </w:tcBorders>
            <w:hideMark/>
          </w:tcPr>
          <w:p w:rsidR="00CC2694" w:rsidRPr="00600807" w:rsidRDefault="00CC2694" w:rsidP="00CC2694">
            <w:pPr>
              <w:keepNext/>
              <w:rPr>
                <w:rFonts w:ascii="Arial Narrow" w:eastAsia="Times New Roman" w:hAnsi="Arial Narrow"/>
                <w:bCs/>
                <w:sz w:val="24"/>
                <w:szCs w:val="28"/>
              </w:rPr>
            </w:pPr>
            <w:r w:rsidRPr="00600807">
              <w:rPr>
                <w:rFonts w:ascii="Arial Narrow" w:hAnsi="Arial Narrow"/>
                <w:bCs/>
                <w:sz w:val="24"/>
                <w:szCs w:val="28"/>
              </w:rPr>
              <w:t>1-bedroom</w:t>
            </w:r>
          </w:p>
        </w:tc>
        <w:tc>
          <w:tcPr>
            <w:tcW w:w="1479" w:type="pct"/>
            <w:tcBorders>
              <w:top w:val="single" w:sz="4" w:space="0" w:color="auto"/>
              <w:left w:val="single" w:sz="4" w:space="0" w:color="auto"/>
              <w:bottom w:val="single" w:sz="4" w:space="0" w:color="auto"/>
              <w:right w:val="single" w:sz="4" w:space="0" w:color="auto"/>
            </w:tcBorders>
          </w:tcPr>
          <w:p w:rsidR="00CC2694" w:rsidRPr="00600807" w:rsidRDefault="00CC2694" w:rsidP="00CC2694">
            <w:pPr>
              <w:keepNex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4"/>
                <w:szCs w:val="28"/>
              </w:rPr>
            </w:pPr>
            <w:r w:rsidRPr="00600807">
              <w:rPr>
                <w:rFonts w:ascii="Arial Narrow" w:hAnsi="Arial Narrow" w:cs="Arial"/>
                <w:color w:val="000000"/>
                <w:sz w:val="24"/>
                <w:szCs w:val="28"/>
              </w:rPr>
              <w:t>£18,400</w:t>
            </w:r>
          </w:p>
        </w:tc>
        <w:tc>
          <w:tcPr>
            <w:tcW w:w="1338" w:type="pct"/>
            <w:tcBorders>
              <w:top w:val="single" w:sz="4" w:space="0" w:color="auto"/>
              <w:left w:val="single" w:sz="4" w:space="0" w:color="auto"/>
              <w:bottom w:val="single" w:sz="4" w:space="0" w:color="auto"/>
              <w:right w:val="single" w:sz="4" w:space="0" w:color="auto"/>
            </w:tcBorders>
          </w:tcPr>
          <w:p w:rsidR="00CC2694" w:rsidRPr="00600807" w:rsidRDefault="00CC2694" w:rsidP="00CC2694">
            <w:pPr>
              <w:keepNex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4"/>
                <w:szCs w:val="28"/>
              </w:rPr>
            </w:pPr>
            <w:r w:rsidRPr="00600807">
              <w:rPr>
                <w:rFonts w:ascii="Arial Narrow" w:hAnsi="Arial Narrow" w:cs="Arial"/>
                <w:color w:val="000000"/>
                <w:sz w:val="24"/>
                <w:szCs w:val="28"/>
              </w:rPr>
              <w:t>£23,850</w:t>
            </w:r>
          </w:p>
        </w:tc>
        <w:tc>
          <w:tcPr>
            <w:tcW w:w="1455" w:type="pct"/>
            <w:tcBorders>
              <w:top w:val="single" w:sz="4" w:space="0" w:color="auto"/>
              <w:left w:val="single" w:sz="4" w:space="0" w:color="auto"/>
              <w:bottom w:val="single" w:sz="4" w:space="0" w:color="auto"/>
              <w:right w:val="single" w:sz="4" w:space="0" w:color="auto"/>
            </w:tcBorders>
            <w:vAlign w:val="bottom"/>
          </w:tcPr>
          <w:p w:rsidR="00CC2694" w:rsidRPr="00600807" w:rsidRDefault="00CC2694" w:rsidP="00CC2694">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8"/>
              </w:rPr>
            </w:pPr>
            <w:r w:rsidRPr="00600807">
              <w:rPr>
                <w:rFonts w:ascii="Arial Narrow" w:hAnsi="Arial Narrow"/>
                <w:color w:val="000000"/>
                <w:sz w:val="24"/>
                <w:szCs w:val="28"/>
              </w:rPr>
              <w:t>£22,182</w:t>
            </w:r>
          </w:p>
        </w:tc>
      </w:tr>
      <w:tr w:rsidR="00CC2694" w:rsidRPr="00600807" w:rsidTr="00700980">
        <w:tc>
          <w:tcPr>
            <w:cnfStyle w:val="001000000000" w:firstRow="0" w:lastRow="0" w:firstColumn="1" w:lastColumn="0" w:oddVBand="0" w:evenVBand="0" w:oddHBand="0" w:evenHBand="0" w:firstRowFirstColumn="0" w:firstRowLastColumn="0" w:lastRowFirstColumn="0" w:lastRowLastColumn="0"/>
            <w:tcW w:w="728" w:type="pct"/>
            <w:tcBorders>
              <w:top w:val="single" w:sz="4" w:space="0" w:color="auto"/>
              <w:left w:val="single" w:sz="4" w:space="0" w:color="auto"/>
              <w:bottom w:val="single" w:sz="4" w:space="0" w:color="auto"/>
              <w:right w:val="single" w:sz="4" w:space="0" w:color="auto"/>
            </w:tcBorders>
            <w:hideMark/>
          </w:tcPr>
          <w:p w:rsidR="00CC2694" w:rsidRPr="00600807" w:rsidRDefault="00CC2694" w:rsidP="00CC2694">
            <w:pPr>
              <w:keepNext/>
              <w:rPr>
                <w:rFonts w:ascii="Arial Narrow" w:eastAsia="Times New Roman" w:hAnsi="Arial Narrow"/>
                <w:bCs/>
                <w:sz w:val="24"/>
                <w:szCs w:val="28"/>
              </w:rPr>
            </w:pPr>
            <w:r w:rsidRPr="00600807">
              <w:rPr>
                <w:rFonts w:ascii="Arial Narrow" w:hAnsi="Arial Narrow"/>
                <w:bCs/>
                <w:sz w:val="24"/>
                <w:szCs w:val="28"/>
              </w:rPr>
              <w:t>2-bedrooms</w:t>
            </w:r>
          </w:p>
        </w:tc>
        <w:tc>
          <w:tcPr>
            <w:tcW w:w="1479" w:type="pct"/>
            <w:tcBorders>
              <w:top w:val="single" w:sz="4" w:space="0" w:color="auto"/>
              <w:left w:val="single" w:sz="4" w:space="0" w:color="auto"/>
              <w:bottom w:val="single" w:sz="4" w:space="0" w:color="auto"/>
              <w:right w:val="single" w:sz="4" w:space="0" w:color="auto"/>
            </w:tcBorders>
          </w:tcPr>
          <w:p w:rsidR="00CC2694" w:rsidRPr="00600807" w:rsidRDefault="00CC2694" w:rsidP="00CC2694">
            <w:pPr>
              <w:keepNex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4"/>
                <w:szCs w:val="28"/>
              </w:rPr>
            </w:pPr>
            <w:r w:rsidRPr="00600807">
              <w:rPr>
                <w:rFonts w:ascii="Arial Narrow" w:hAnsi="Arial Narrow" w:cs="Arial"/>
                <w:color w:val="000000"/>
                <w:sz w:val="24"/>
                <w:szCs w:val="28"/>
              </w:rPr>
              <w:t>£29,250</w:t>
            </w:r>
          </w:p>
        </w:tc>
        <w:tc>
          <w:tcPr>
            <w:tcW w:w="1338" w:type="pct"/>
            <w:tcBorders>
              <w:top w:val="single" w:sz="4" w:space="0" w:color="auto"/>
              <w:left w:val="single" w:sz="4" w:space="0" w:color="auto"/>
              <w:bottom w:val="single" w:sz="4" w:space="0" w:color="auto"/>
              <w:right w:val="single" w:sz="4" w:space="0" w:color="auto"/>
            </w:tcBorders>
          </w:tcPr>
          <w:p w:rsidR="00CC2694" w:rsidRPr="00600807" w:rsidRDefault="00CC2694" w:rsidP="00CC2694">
            <w:pPr>
              <w:keepNex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4"/>
                <w:szCs w:val="28"/>
              </w:rPr>
            </w:pPr>
            <w:r w:rsidRPr="00600807">
              <w:rPr>
                <w:rFonts w:ascii="Arial Narrow" w:hAnsi="Arial Narrow" w:cs="Arial"/>
                <w:color w:val="000000"/>
                <w:sz w:val="24"/>
                <w:szCs w:val="28"/>
              </w:rPr>
              <w:t>£37,950</w:t>
            </w:r>
          </w:p>
        </w:tc>
        <w:tc>
          <w:tcPr>
            <w:tcW w:w="1455" w:type="pct"/>
            <w:tcBorders>
              <w:top w:val="single" w:sz="4" w:space="0" w:color="auto"/>
              <w:left w:val="single" w:sz="4" w:space="0" w:color="auto"/>
              <w:bottom w:val="single" w:sz="4" w:space="0" w:color="auto"/>
              <w:right w:val="single" w:sz="4" w:space="0" w:color="auto"/>
            </w:tcBorders>
            <w:vAlign w:val="bottom"/>
          </w:tcPr>
          <w:p w:rsidR="00CC2694" w:rsidRPr="00600807" w:rsidRDefault="00CC2694" w:rsidP="00CC2694">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8"/>
              </w:rPr>
            </w:pPr>
            <w:r w:rsidRPr="00600807">
              <w:rPr>
                <w:rFonts w:ascii="Arial Narrow" w:hAnsi="Arial Narrow"/>
                <w:color w:val="000000"/>
                <w:sz w:val="24"/>
                <w:szCs w:val="28"/>
              </w:rPr>
              <w:t>£28,909</w:t>
            </w:r>
          </w:p>
        </w:tc>
      </w:tr>
      <w:tr w:rsidR="00CC2694" w:rsidRPr="00600807" w:rsidTr="00700980">
        <w:tc>
          <w:tcPr>
            <w:cnfStyle w:val="001000000000" w:firstRow="0" w:lastRow="0" w:firstColumn="1" w:lastColumn="0" w:oddVBand="0" w:evenVBand="0" w:oddHBand="0" w:evenHBand="0" w:firstRowFirstColumn="0" w:firstRowLastColumn="0" w:lastRowFirstColumn="0" w:lastRowLastColumn="0"/>
            <w:tcW w:w="728" w:type="pct"/>
            <w:tcBorders>
              <w:top w:val="single" w:sz="4" w:space="0" w:color="auto"/>
              <w:left w:val="single" w:sz="4" w:space="0" w:color="auto"/>
              <w:bottom w:val="single" w:sz="4" w:space="0" w:color="auto"/>
              <w:right w:val="single" w:sz="4" w:space="0" w:color="auto"/>
            </w:tcBorders>
            <w:hideMark/>
          </w:tcPr>
          <w:p w:rsidR="00CC2694" w:rsidRPr="00600807" w:rsidRDefault="00CC2694" w:rsidP="00CC2694">
            <w:pPr>
              <w:keepNext/>
              <w:rPr>
                <w:rFonts w:ascii="Arial Narrow" w:eastAsia="Times New Roman" w:hAnsi="Arial Narrow"/>
                <w:bCs/>
                <w:sz w:val="24"/>
                <w:szCs w:val="28"/>
              </w:rPr>
            </w:pPr>
            <w:r w:rsidRPr="00600807">
              <w:rPr>
                <w:rFonts w:ascii="Arial Narrow" w:hAnsi="Arial Narrow"/>
                <w:bCs/>
                <w:sz w:val="24"/>
                <w:szCs w:val="28"/>
              </w:rPr>
              <w:t>3-bedrooms</w:t>
            </w:r>
          </w:p>
        </w:tc>
        <w:tc>
          <w:tcPr>
            <w:tcW w:w="1479" w:type="pct"/>
            <w:tcBorders>
              <w:top w:val="single" w:sz="4" w:space="0" w:color="auto"/>
              <w:left w:val="single" w:sz="4" w:space="0" w:color="auto"/>
              <w:bottom w:val="single" w:sz="4" w:space="0" w:color="auto"/>
              <w:right w:val="single" w:sz="4" w:space="0" w:color="auto"/>
            </w:tcBorders>
          </w:tcPr>
          <w:p w:rsidR="00CC2694" w:rsidRPr="00600807" w:rsidRDefault="00CC2694" w:rsidP="00CC2694">
            <w:pPr>
              <w:keepNex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4"/>
                <w:szCs w:val="28"/>
              </w:rPr>
            </w:pPr>
            <w:r w:rsidRPr="00600807">
              <w:rPr>
                <w:rFonts w:ascii="Arial Narrow" w:hAnsi="Arial Narrow" w:cs="Arial"/>
                <w:color w:val="000000"/>
                <w:sz w:val="24"/>
                <w:szCs w:val="28"/>
              </w:rPr>
              <w:t>£41,800</w:t>
            </w:r>
          </w:p>
        </w:tc>
        <w:tc>
          <w:tcPr>
            <w:tcW w:w="1338" w:type="pct"/>
            <w:tcBorders>
              <w:top w:val="single" w:sz="4" w:space="0" w:color="auto"/>
              <w:left w:val="single" w:sz="4" w:space="0" w:color="auto"/>
              <w:bottom w:val="single" w:sz="4" w:space="0" w:color="auto"/>
              <w:right w:val="single" w:sz="4" w:space="0" w:color="auto"/>
            </w:tcBorders>
          </w:tcPr>
          <w:p w:rsidR="00CC2694" w:rsidRPr="00600807" w:rsidRDefault="00CC2694" w:rsidP="00CC2694">
            <w:pPr>
              <w:keepNex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4"/>
                <w:szCs w:val="28"/>
              </w:rPr>
            </w:pPr>
            <w:r w:rsidRPr="00600807">
              <w:rPr>
                <w:rFonts w:ascii="Arial Narrow" w:hAnsi="Arial Narrow" w:cs="Arial"/>
                <w:color w:val="000000"/>
                <w:sz w:val="24"/>
                <w:szCs w:val="28"/>
              </w:rPr>
              <w:t>£54,200</w:t>
            </w:r>
          </w:p>
        </w:tc>
        <w:tc>
          <w:tcPr>
            <w:tcW w:w="1455" w:type="pct"/>
            <w:tcBorders>
              <w:top w:val="single" w:sz="4" w:space="0" w:color="auto"/>
              <w:left w:val="single" w:sz="4" w:space="0" w:color="auto"/>
              <w:bottom w:val="single" w:sz="4" w:space="0" w:color="auto"/>
              <w:right w:val="single" w:sz="4" w:space="0" w:color="auto"/>
            </w:tcBorders>
            <w:vAlign w:val="bottom"/>
          </w:tcPr>
          <w:p w:rsidR="00CC2694" w:rsidRPr="00600807" w:rsidRDefault="00CC2694" w:rsidP="00CC2694">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8"/>
              </w:rPr>
            </w:pPr>
            <w:r w:rsidRPr="00600807">
              <w:rPr>
                <w:rFonts w:ascii="Arial Narrow" w:hAnsi="Arial Narrow"/>
                <w:color w:val="000000"/>
                <w:sz w:val="24"/>
                <w:szCs w:val="28"/>
              </w:rPr>
              <w:t>£35,455</w:t>
            </w:r>
          </w:p>
        </w:tc>
      </w:tr>
      <w:tr w:rsidR="00CC2694" w:rsidRPr="00600807" w:rsidTr="00700980">
        <w:tc>
          <w:tcPr>
            <w:cnfStyle w:val="001000000000" w:firstRow="0" w:lastRow="0" w:firstColumn="1" w:lastColumn="0" w:oddVBand="0" w:evenVBand="0" w:oddHBand="0" w:evenHBand="0" w:firstRowFirstColumn="0" w:firstRowLastColumn="0" w:lastRowFirstColumn="0" w:lastRowLastColumn="0"/>
            <w:tcW w:w="728" w:type="pct"/>
            <w:tcBorders>
              <w:top w:val="single" w:sz="4" w:space="0" w:color="auto"/>
              <w:left w:val="single" w:sz="4" w:space="0" w:color="auto"/>
              <w:bottom w:val="single" w:sz="4" w:space="0" w:color="auto"/>
              <w:right w:val="single" w:sz="4" w:space="0" w:color="auto"/>
            </w:tcBorders>
            <w:hideMark/>
          </w:tcPr>
          <w:p w:rsidR="00CC2694" w:rsidRPr="00600807" w:rsidRDefault="00CC2694" w:rsidP="00CC2694">
            <w:pPr>
              <w:keepNext/>
              <w:rPr>
                <w:rFonts w:ascii="Arial Narrow" w:eastAsia="Times New Roman" w:hAnsi="Arial Narrow"/>
                <w:bCs/>
                <w:sz w:val="24"/>
                <w:szCs w:val="28"/>
              </w:rPr>
            </w:pPr>
            <w:r w:rsidRPr="00600807">
              <w:rPr>
                <w:rFonts w:ascii="Arial Narrow" w:hAnsi="Arial Narrow"/>
                <w:bCs/>
                <w:sz w:val="24"/>
                <w:szCs w:val="28"/>
              </w:rPr>
              <w:t>4-bedrooms</w:t>
            </w:r>
          </w:p>
        </w:tc>
        <w:tc>
          <w:tcPr>
            <w:tcW w:w="1479" w:type="pct"/>
            <w:tcBorders>
              <w:top w:val="single" w:sz="4" w:space="0" w:color="auto"/>
              <w:left w:val="single" w:sz="4" w:space="0" w:color="auto"/>
              <w:bottom w:val="single" w:sz="4" w:space="0" w:color="auto"/>
              <w:right w:val="single" w:sz="4" w:space="0" w:color="auto"/>
            </w:tcBorders>
          </w:tcPr>
          <w:p w:rsidR="00CC2694" w:rsidRPr="00600807" w:rsidRDefault="00CC2694" w:rsidP="00CC2694">
            <w:pPr>
              <w:keepNex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4"/>
                <w:szCs w:val="28"/>
              </w:rPr>
            </w:pPr>
            <w:r w:rsidRPr="00600807">
              <w:rPr>
                <w:rFonts w:ascii="Arial Narrow" w:hAnsi="Arial Narrow" w:cs="Arial"/>
                <w:color w:val="000000"/>
                <w:sz w:val="24"/>
                <w:szCs w:val="28"/>
              </w:rPr>
              <w:t>£61,550</w:t>
            </w:r>
          </w:p>
        </w:tc>
        <w:tc>
          <w:tcPr>
            <w:tcW w:w="1338" w:type="pct"/>
            <w:tcBorders>
              <w:top w:val="single" w:sz="4" w:space="0" w:color="auto"/>
              <w:left w:val="single" w:sz="4" w:space="0" w:color="auto"/>
              <w:bottom w:val="single" w:sz="4" w:space="0" w:color="auto"/>
              <w:right w:val="single" w:sz="4" w:space="0" w:color="auto"/>
            </w:tcBorders>
          </w:tcPr>
          <w:p w:rsidR="00CC2694" w:rsidRPr="00600807" w:rsidRDefault="00CC2694" w:rsidP="00CC2694">
            <w:pPr>
              <w:keepNex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4"/>
                <w:szCs w:val="28"/>
              </w:rPr>
            </w:pPr>
            <w:r w:rsidRPr="00600807">
              <w:rPr>
                <w:rFonts w:ascii="Arial Narrow" w:hAnsi="Arial Narrow" w:cs="Arial"/>
                <w:color w:val="000000"/>
                <w:sz w:val="24"/>
                <w:szCs w:val="28"/>
              </w:rPr>
              <w:t>£79,900</w:t>
            </w:r>
          </w:p>
        </w:tc>
        <w:tc>
          <w:tcPr>
            <w:tcW w:w="1455" w:type="pct"/>
            <w:tcBorders>
              <w:top w:val="single" w:sz="4" w:space="0" w:color="auto"/>
              <w:left w:val="single" w:sz="4" w:space="0" w:color="auto"/>
              <w:bottom w:val="single" w:sz="4" w:space="0" w:color="auto"/>
              <w:right w:val="single" w:sz="4" w:space="0" w:color="auto"/>
            </w:tcBorders>
            <w:vAlign w:val="bottom"/>
          </w:tcPr>
          <w:p w:rsidR="00CC2694" w:rsidRPr="00600807" w:rsidRDefault="00CC2694" w:rsidP="00CC2694">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8"/>
              </w:rPr>
            </w:pPr>
            <w:r w:rsidRPr="00600807">
              <w:rPr>
                <w:rFonts w:ascii="Arial Narrow" w:hAnsi="Arial Narrow"/>
                <w:color w:val="000000"/>
                <w:sz w:val="24"/>
                <w:szCs w:val="28"/>
              </w:rPr>
              <w:t>£50,909</w:t>
            </w:r>
          </w:p>
        </w:tc>
      </w:tr>
    </w:tbl>
    <w:p w:rsidR="00B008D9" w:rsidRPr="00600807" w:rsidRDefault="00B008D9" w:rsidP="00700980">
      <w:pPr>
        <w:spacing w:after="120" w:line="360" w:lineRule="auto"/>
        <w:rPr>
          <w:rFonts w:eastAsia="Times New Roman"/>
          <w:color w:val="auto"/>
          <w:sz w:val="24"/>
          <w:szCs w:val="24"/>
        </w:rPr>
      </w:pPr>
      <w:r w:rsidRPr="00600807">
        <w:rPr>
          <w:sz w:val="24"/>
          <w:szCs w:val="24"/>
        </w:rPr>
        <w:t>Source: Derived from a range of sources as described</w:t>
      </w:r>
    </w:p>
    <w:p w:rsidR="00B008D9" w:rsidRDefault="00AA03D7" w:rsidP="00362459">
      <w:pPr>
        <w:pStyle w:val="11Bodytext"/>
        <w:tabs>
          <w:tab w:val="clear" w:pos="2212"/>
          <w:tab w:val="num" w:pos="567"/>
        </w:tabs>
        <w:ind w:left="567" w:hanging="567"/>
      </w:pPr>
      <w:r>
        <w:rPr>
          <w:lang w:eastAsia="en-GB"/>
        </w:rPr>
        <w:t>Overall, it should</w:t>
      </w:r>
      <w:r w:rsidR="00855CA6">
        <w:rPr>
          <w:lang w:eastAsia="en-GB"/>
        </w:rPr>
        <w:t>, therefore,</w:t>
      </w:r>
      <w:r>
        <w:rPr>
          <w:lang w:eastAsia="en-GB"/>
        </w:rPr>
        <w:t xml:space="preserve"> be noted that the analysis is based on a specific set of circumstances; these would be different for individual households seeking to access shared ownership accommodation and should</w:t>
      </w:r>
      <w:r w:rsidR="00855CA6">
        <w:rPr>
          <w:lang w:eastAsia="en-GB"/>
        </w:rPr>
        <w:t xml:space="preserve">, </w:t>
      </w:r>
      <w:r w:rsidR="00855CA6">
        <w:t>therefore</w:t>
      </w:r>
      <w:r w:rsidR="00855CA6">
        <w:rPr>
          <w:lang w:eastAsia="en-GB"/>
        </w:rPr>
        <w:t>,</w:t>
      </w:r>
      <w:r>
        <w:rPr>
          <w:lang w:eastAsia="en-GB"/>
        </w:rPr>
        <w:t xml:space="preserve"> be seen as indicative (albeit consistent with the analysis carried out when looking at the affordability of other tenures).</w:t>
      </w:r>
      <w:r w:rsidR="00F54BE3">
        <w:rPr>
          <w:lang w:eastAsia="en-GB"/>
        </w:rPr>
        <w:t xml:space="preserve"> </w:t>
      </w:r>
      <w:r w:rsidR="00B008D9">
        <w:t>There may be some circumstances</w:t>
      </w:r>
      <w:r w:rsidR="00855CA6">
        <w:t>, for example,</w:t>
      </w:r>
      <w:r w:rsidR="00B008D9">
        <w:t xml:space="preserve"> rural shared ownership properties where a higher deposit may be required and where households are unable to staircase to full ownership.</w:t>
      </w:r>
    </w:p>
    <w:p w:rsidR="00125A72" w:rsidRPr="00873DCC" w:rsidRDefault="00B008D9" w:rsidP="00362459">
      <w:pPr>
        <w:pStyle w:val="11Bodytext"/>
        <w:tabs>
          <w:tab w:val="clear" w:pos="2212"/>
          <w:tab w:val="num" w:pos="567"/>
        </w:tabs>
        <w:ind w:left="567" w:hanging="567"/>
      </w:pPr>
      <w:r>
        <w:t xml:space="preserve">In looking at shared ownership, the question about affordability can be shifted to ask what level of equity purchases would be needed for a home to be affordable (i.e. at the same cost or less than access level private rented accommodation). </w:t>
      </w:r>
    </w:p>
    <w:p w:rsidR="00B008D9" w:rsidRDefault="00B008D9" w:rsidP="00362459">
      <w:pPr>
        <w:pStyle w:val="11Bodytext"/>
        <w:tabs>
          <w:tab w:val="clear" w:pos="2212"/>
          <w:tab w:val="num" w:pos="567"/>
        </w:tabs>
        <w:ind w:left="567" w:hanging="567"/>
      </w:pPr>
      <w:r>
        <w:t>The table below estimates these percentages and shows that an equity purchase of 4</w:t>
      </w:r>
      <w:r w:rsidR="0090128B">
        <w:t>2</w:t>
      </w:r>
      <w:r>
        <w:t xml:space="preserve">% for a 1-bedroom home would bring the cost in at a level close to the private rented sector. For other sizes of homes, a household would only be able to equal the income requirement to access the private rented sector if the equity purchase was as low as </w:t>
      </w:r>
      <w:r w:rsidR="0090128B">
        <w:t>10</w:t>
      </w:r>
      <w:r>
        <w:t>%-2</w:t>
      </w:r>
      <w:r w:rsidR="0090128B">
        <w:t>4</w:t>
      </w:r>
      <w:r>
        <w:t>%.</w:t>
      </w:r>
      <w:r w:rsidR="00855CA6">
        <w:t xml:space="preserve"> </w:t>
      </w:r>
    </w:p>
    <w:p w:rsidR="00B008D9" w:rsidRDefault="00B008D9" w:rsidP="00700980">
      <w:pPr>
        <w:pStyle w:val="Tableheading"/>
        <w:tabs>
          <w:tab w:val="clear" w:pos="794"/>
          <w:tab w:val="clear" w:pos="1843"/>
          <w:tab w:val="left" w:pos="0"/>
        </w:tabs>
        <w:ind w:left="0" w:firstLine="0"/>
      </w:pPr>
      <w:r>
        <w:lastRenderedPageBreak/>
        <w:t>Equity share needed to make shared ownership income requirements the same as requirements in the private rented sector – Chichester District</w:t>
      </w:r>
    </w:p>
    <w:tbl>
      <w:tblPr>
        <w:tblStyle w:val="Style1"/>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31: Equity share needed to make shared ownership income requirements the same as requirements in the private rented sector – Chichester District"/>
      </w:tblPr>
      <w:tblGrid>
        <w:gridCol w:w="4815"/>
        <w:gridCol w:w="4823"/>
      </w:tblGrid>
      <w:tr w:rsidR="00B008D9" w:rsidRPr="00600807" w:rsidTr="00700980">
        <w:trPr>
          <w:cnfStyle w:val="100000000000" w:firstRow="1" w:lastRow="0" w:firstColumn="0" w:lastColumn="0" w:oddVBand="0" w:evenVBand="0" w:oddHBand="0" w:evenHBand="0" w:firstRowFirstColumn="0" w:firstRowLastColumn="0" w:lastRowFirstColumn="0" w:lastRowLastColumn="0"/>
          <w:trHeight w:val="277"/>
          <w:tblHeader/>
        </w:trPr>
        <w:tc>
          <w:tcPr>
            <w:cnfStyle w:val="001000000000" w:firstRow="0" w:lastRow="0" w:firstColumn="1" w:lastColumn="0" w:oddVBand="0" w:evenVBand="0" w:oddHBand="0" w:evenHBand="0" w:firstRowFirstColumn="0" w:firstRowLastColumn="0" w:lastRowFirstColumn="0" w:lastRowLastColumn="0"/>
            <w:tcW w:w="2498" w:type="pct"/>
            <w:tcBorders>
              <w:top w:val="single" w:sz="4" w:space="0" w:color="auto"/>
              <w:left w:val="single" w:sz="4" w:space="0" w:color="auto"/>
              <w:bottom w:val="single" w:sz="4" w:space="0" w:color="auto"/>
              <w:right w:val="single" w:sz="4" w:space="0" w:color="auto"/>
            </w:tcBorders>
          </w:tcPr>
          <w:p w:rsidR="00B008D9" w:rsidRPr="00600807" w:rsidRDefault="00B008D9" w:rsidP="005200A0">
            <w:pPr>
              <w:keepNext/>
              <w:spacing w:after="160" w:line="254" w:lineRule="auto"/>
              <w:rPr>
                <w:rFonts w:eastAsia="Times New Roman"/>
                <w:bCs/>
                <w:sz w:val="24"/>
                <w:szCs w:val="28"/>
              </w:rPr>
            </w:pPr>
          </w:p>
        </w:tc>
        <w:tc>
          <w:tcPr>
            <w:tcW w:w="2502" w:type="pct"/>
            <w:tcBorders>
              <w:top w:val="single" w:sz="4" w:space="0" w:color="auto"/>
              <w:left w:val="single" w:sz="4" w:space="0" w:color="auto"/>
              <w:bottom w:val="single" w:sz="4" w:space="0" w:color="auto"/>
              <w:right w:val="single" w:sz="4" w:space="0" w:color="auto"/>
            </w:tcBorders>
            <w:noWrap/>
            <w:hideMark/>
          </w:tcPr>
          <w:p w:rsidR="00B008D9" w:rsidRPr="00600807" w:rsidRDefault="00B008D9" w:rsidP="005200A0">
            <w:pPr>
              <w:keepNext/>
              <w:spacing w:before="60" w:after="60"/>
              <w:cnfStyle w:val="100000000000" w:firstRow="1" w:lastRow="0" w:firstColumn="0" w:lastColumn="0" w:oddVBand="0" w:evenVBand="0" w:oddHBand="0" w:evenHBand="0" w:firstRowFirstColumn="0" w:firstRowLastColumn="0" w:lastRowFirstColumn="0" w:lastRowLastColumn="0"/>
              <w:rPr>
                <w:rFonts w:eastAsia="Times New Roman"/>
                <w:sz w:val="24"/>
                <w:szCs w:val="28"/>
              </w:rPr>
            </w:pPr>
            <w:r w:rsidRPr="00600807">
              <w:rPr>
                <w:sz w:val="24"/>
                <w:szCs w:val="28"/>
              </w:rPr>
              <w:t>Affordable equity share</w:t>
            </w:r>
          </w:p>
        </w:tc>
      </w:tr>
      <w:tr w:rsidR="00B008D9" w:rsidRPr="00600807" w:rsidTr="00700980">
        <w:trPr>
          <w:trHeight w:val="277"/>
        </w:trPr>
        <w:tc>
          <w:tcPr>
            <w:cnfStyle w:val="001000000000" w:firstRow="0" w:lastRow="0" w:firstColumn="1" w:lastColumn="0" w:oddVBand="0" w:evenVBand="0" w:oddHBand="0" w:evenHBand="0" w:firstRowFirstColumn="0" w:firstRowLastColumn="0" w:lastRowFirstColumn="0" w:lastRowLastColumn="0"/>
            <w:tcW w:w="2498" w:type="pct"/>
            <w:tcBorders>
              <w:top w:val="single" w:sz="4" w:space="0" w:color="auto"/>
              <w:left w:val="single" w:sz="4" w:space="0" w:color="auto"/>
              <w:bottom w:val="single" w:sz="4" w:space="0" w:color="auto"/>
              <w:right w:val="single" w:sz="4" w:space="0" w:color="auto"/>
            </w:tcBorders>
            <w:hideMark/>
          </w:tcPr>
          <w:p w:rsidR="00B008D9" w:rsidRPr="00600807" w:rsidRDefault="00B008D9" w:rsidP="005200A0">
            <w:pPr>
              <w:keepNext/>
              <w:rPr>
                <w:rFonts w:eastAsia="Times New Roman"/>
                <w:bCs/>
                <w:sz w:val="24"/>
                <w:szCs w:val="28"/>
              </w:rPr>
            </w:pPr>
            <w:r w:rsidRPr="00600807">
              <w:rPr>
                <w:bCs/>
                <w:sz w:val="24"/>
                <w:szCs w:val="28"/>
              </w:rPr>
              <w:t>1-bedroom</w:t>
            </w:r>
          </w:p>
        </w:tc>
        <w:tc>
          <w:tcPr>
            <w:tcW w:w="2502" w:type="pct"/>
            <w:tcBorders>
              <w:top w:val="single" w:sz="4" w:space="0" w:color="auto"/>
              <w:left w:val="single" w:sz="4" w:space="0" w:color="auto"/>
              <w:bottom w:val="single" w:sz="4" w:space="0" w:color="auto"/>
              <w:right w:val="single" w:sz="4" w:space="0" w:color="auto"/>
            </w:tcBorders>
            <w:noWrap/>
            <w:hideMark/>
          </w:tcPr>
          <w:p w:rsidR="00B008D9" w:rsidRPr="00600807" w:rsidRDefault="00F54BE3" w:rsidP="0090128B">
            <w:pPr>
              <w:keepNext/>
              <w:jc w:val="center"/>
              <w:cnfStyle w:val="000000000000" w:firstRow="0" w:lastRow="0" w:firstColumn="0" w:lastColumn="0" w:oddVBand="0" w:evenVBand="0" w:oddHBand="0" w:evenHBand="0" w:firstRowFirstColumn="0" w:firstRowLastColumn="0" w:lastRowFirstColumn="0" w:lastRowLastColumn="0"/>
              <w:rPr>
                <w:color w:val="000000"/>
                <w:sz w:val="24"/>
                <w:szCs w:val="28"/>
              </w:rPr>
            </w:pPr>
            <w:r w:rsidRPr="00600807">
              <w:rPr>
                <w:color w:val="000000"/>
                <w:sz w:val="24"/>
                <w:szCs w:val="28"/>
              </w:rPr>
              <w:t>42</w:t>
            </w:r>
            <w:r w:rsidR="00B008D9" w:rsidRPr="00600807">
              <w:rPr>
                <w:color w:val="000000"/>
                <w:sz w:val="24"/>
                <w:szCs w:val="28"/>
              </w:rPr>
              <w:t>%</w:t>
            </w:r>
          </w:p>
        </w:tc>
      </w:tr>
      <w:tr w:rsidR="00B008D9" w:rsidRPr="00600807" w:rsidTr="00700980">
        <w:trPr>
          <w:trHeight w:val="277"/>
        </w:trPr>
        <w:tc>
          <w:tcPr>
            <w:cnfStyle w:val="001000000000" w:firstRow="0" w:lastRow="0" w:firstColumn="1" w:lastColumn="0" w:oddVBand="0" w:evenVBand="0" w:oddHBand="0" w:evenHBand="0" w:firstRowFirstColumn="0" w:firstRowLastColumn="0" w:lastRowFirstColumn="0" w:lastRowLastColumn="0"/>
            <w:tcW w:w="2498" w:type="pct"/>
            <w:tcBorders>
              <w:top w:val="single" w:sz="4" w:space="0" w:color="auto"/>
              <w:left w:val="single" w:sz="4" w:space="0" w:color="auto"/>
              <w:bottom w:val="single" w:sz="4" w:space="0" w:color="auto"/>
              <w:right w:val="single" w:sz="4" w:space="0" w:color="auto"/>
            </w:tcBorders>
            <w:hideMark/>
          </w:tcPr>
          <w:p w:rsidR="00B008D9" w:rsidRPr="00600807" w:rsidRDefault="00B008D9" w:rsidP="005200A0">
            <w:pPr>
              <w:keepNext/>
              <w:rPr>
                <w:rFonts w:eastAsia="Times New Roman"/>
                <w:bCs/>
                <w:sz w:val="24"/>
                <w:szCs w:val="28"/>
              </w:rPr>
            </w:pPr>
            <w:r w:rsidRPr="00600807">
              <w:rPr>
                <w:bCs/>
                <w:sz w:val="24"/>
                <w:szCs w:val="28"/>
              </w:rPr>
              <w:t>2-bedrooms</w:t>
            </w:r>
          </w:p>
        </w:tc>
        <w:tc>
          <w:tcPr>
            <w:tcW w:w="2502" w:type="pct"/>
            <w:tcBorders>
              <w:top w:val="single" w:sz="4" w:space="0" w:color="auto"/>
              <w:left w:val="single" w:sz="4" w:space="0" w:color="auto"/>
              <w:bottom w:val="single" w:sz="4" w:space="0" w:color="auto"/>
              <w:right w:val="single" w:sz="4" w:space="0" w:color="auto"/>
            </w:tcBorders>
            <w:noWrap/>
            <w:hideMark/>
          </w:tcPr>
          <w:p w:rsidR="00B008D9" w:rsidRPr="00600807" w:rsidRDefault="00B008D9" w:rsidP="0090128B">
            <w:pPr>
              <w:keepNext/>
              <w:jc w:val="center"/>
              <w:cnfStyle w:val="000000000000" w:firstRow="0" w:lastRow="0" w:firstColumn="0" w:lastColumn="0" w:oddVBand="0" w:evenVBand="0" w:oddHBand="0" w:evenHBand="0" w:firstRowFirstColumn="0" w:firstRowLastColumn="0" w:lastRowFirstColumn="0" w:lastRowLastColumn="0"/>
              <w:rPr>
                <w:color w:val="000000"/>
                <w:sz w:val="24"/>
                <w:szCs w:val="28"/>
              </w:rPr>
            </w:pPr>
            <w:r w:rsidRPr="00600807">
              <w:rPr>
                <w:color w:val="000000"/>
                <w:sz w:val="24"/>
                <w:szCs w:val="28"/>
              </w:rPr>
              <w:t>2</w:t>
            </w:r>
            <w:r w:rsidR="00F54BE3" w:rsidRPr="00600807">
              <w:rPr>
                <w:color w:val="000000"/>
                <w:sz w:val="24"/>
                <w:szCs w:val="28"/>
              </w:rPr>
              <w:t>4</w:t>
            </w:r>
            <w:r w:rsidRPr="00600807">
              <w:rPr>
                <w:color w:val="000000"/>
                <w:sz w:val="24"/>
                <w:szCs w:val="28"/>
              </w:rPr>
              <w:t>%</w:t>
            </w:r>
          </w:p>
        </w:tc>
      </w:tr>
      <w:tr w:rsidR="00B008D9" w:rsidRPr="00600807" w:rsidTr="00700980">
        <w:trPr>
          <w:trHeight w:val="277"/>
        </w:trPr>
        <w:tc>
          <w:tcPr>
            <w:cnfStyle w:val="001000000000" w:firstRow="0" w:lastRow="0" w:firstColumn="1" w:lastColumn="0" w:oddVBand="0" w:evenVBand="0" w:oddHBand="0" w:evenHBand="0" w:firstRowFirstColumn="0" w:firstRowLastColumn="0" w:lastRowFirstColumn="0" w:lastRowLastColumn="0"/>
            <w:tcW w:w="2498" w:type="pct"/>
            <w:tcBorders>
              <w:top w:val="single" w:sz="4" w:space="0" w:color="auto"/>
              <w:left w:val="single" w:sz="4" w:space="0" w:color="auto"/>
              <w:bottom w:val="single" w:sz="4" w:space="0" w:color="auto"/>
              <w:right w:val="single" w:sz="4" w:space="0" w:color="auto"/>
            </w:tcBorders>
            <w:hideMark/>
          </w:tcPr>
          <w:p w:rsidR="00B008D9" w:rsidRPr="00600807" w:rsidRDefault="00B008D9" w:rsidP="005200A0">
            <w:pPr>
              <w:keepNext/>
              <w:rPr>
                <w:rFonts w:eastAsia="Times New Roman"/>
                <w:bCs/>
                <w:sz w:val="24"/>
                <w:szCs w:val="28"/>
              </w:rPr>
            </w:pPr>
            <w:r w:rsidRPr="00600807">
              <w:rPr>
                <w:bCs/>
                <w:sz w:val="24"/>
                <w:szCs w:val="28"/>
              </w:rPr>
              <w:t>3-bedrooms</w:t>
            </w:r>
          </w:p>
        </w:tc>
        <w:tc>
          <w:tcPr>
            <w:tcW w:w="2502" w:type="pct"/>
            <w:tcBorders>
              <w:top w:val="single" w:sz="4" w:space="0" w:color="auto"/>
              <w:left w:val="single" w:sz="4" w:space="0" w:color="auto"/>
              <w:bottom w:val="single" w:sz="4" w:space="0" w:color="auto"/>
              <w:right w:val="single" w:sz="4" w:space="0" w:color="auto"/>
            </w:tcBorders>
            <w:noWrap/>
            <w:hideMark/>
          </w:tcPr>
          <w:p w:rsidR="00B008D9" w:rsidRPr="00600807" w:rsidRDefault="00F54BE3" w:rsidP="0090128B">
            <w:pPr>
              <w:keepNext/>
              <w:jc w:val="center"/>
              <w:cnfStyle w:val="000000000000" w:firstRow="0" w:lastRow="0" w:firstColumn="0" w:lastColumn="0" w:oddVBand="0" w:evenVBand="0" w:oddHBand="0" w:evenHBand="0" w:firstRowFirstColumn="0" w:firstRowLastColumn="0" w:lastRowFirstColumn="0" w:lastRowLastColumn="0"/>
              <w:rPr>
                <w:color w:val="000000"/>
                <w:sz w:val="24"/>
                <w:szCs w:val="28"/>
              </w:rPr>
            </w:pPr>
            <w:r w:rsidRPr="00600807">
              <w:rPr>
                <w:color w:val="000000"/>
                <w:sz w:val="24"/>
                <w:szCs w:val="28"/>
              </w:rPr>
              <w:t>12</w:t>
            </w:r>
            <w:r w:rsidR="00B008D9" w:rsidRPr="00600807">
              <w:rPr>
                <w:color w:val="000000"/>
                <w:sz w:val="24"/>
                <w:szCs w:val="28"/>
              </w:rPr>
              <w:t>%</w:t>
            </w:r>
          </w:p>
        </w:tc>
      </w:tr>
      <w:tr w:rsidR="00B008D9" w:rsidRPr="00600807" w:rsidTr="00700980">
        <w:trPr>
          <w:trHeight w:val="277"/>
        </w:trPr>
        <w:tc>
          <w:tcPr>
            <w:cnfStyle w:val="001000000000" w:firstRow="0" w:lastRow="0" w:firstColumn="1" w:lastColumn="0" w:oddVBand="0" w:evenVBand="0" w:oddHBand="0" w:evenHBand="0" w:firstRowFirstColumn="0" w:firstRowLastColumn="0" w:lastRowFirstColumn="0" w:lastRowLastColumn="0"/>
            <w:tcW w:w="2498" w:type="pct"/>
            <w:tcBorders>
              <w:top w:val="single" w:sz="4" w:space="0" w:color="auto"/>
              <w:left w:val="single" w:sz="4" w:space="0" w:color="auto"/>
              <w:bottom w:val="single" w:sz="4" w:space="0" w:color="auto"/>
              <w:right w:val="single" w:sz="4" w:space="0" w:color="auto"/>
            </w:tcBorders>
            <w:hideMark/>
          </w:tcPr>
          <w:p w:rsidR="00B008D9" w:rsidRPr="00600807" w:rsidRDefault="00B008D9" w:rsidP="005200A0">
            <w:pPr>
              <w:keepNext/>
              <w:rPr>
                <w:rFonts w:eastAsia="Times New Roman"/>
                <w:bCs/>
                <w:sz w:val="24"/>
                <w:szCs w:val="28"/>
              </w:rPr>
            </w:pPr>
            <w:r w:rsidRPr="00600807">
              <w:rPr>
                <w:bCs/>
                <w:sz w:val="24"/>
                <w:szCs w:val="28"/>
              </w:rPr>
              <w:t>4-bedrooms</w:t>
            </w:r>
          </w:p>
        </w:tc>
        <w:tc>
          <w:tcPr>
            <w:tcW w:w="2502" w:type="pct"/>
            <w:tcBorders>
              <w:top w:val="single" w:sz="4" w:space="0" w:color="auto"/>
              <w:left w:val="single" w:sz="4" w:space="0" w:color="auto"/>
              <w:bottom w:val="single" w:sz="4" w:space="0" w:color="auto"/>
              <w:right w:val="single" w:sz="4" w:space="0" w:color="auto"/>
            </w:tcBorders>
            <w:noWrap/>
            <w:hideMark/>
          </w:tcPr>
          <w:p w:rsidR="00B008D9" w:rsidRPr="00600807" w:rsidRDefault="00B008D9" w:rsidP="005200A0">
            <w:pPr>
              <w:keepNext/>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8"/>
              </w:rPr>
            </w:pPr>
            <w:r w:rsidRPr="00600807">
              <w:rPr>
                <w:color w:val="000000"/>
                <w:sz w:val="24"/>
                <w:szCs w:val="28"/>
              </w:rPr>
              <w:t>1</w:t>
            </w:r>
            <w:r w:rsidR="00016D30" w:rsidRPr="00600807">
              <w:rPr>
                <w:color w:val="000000"/>
                <w:sz w:val="24"/>
                <w:szCs w:val="28"/>
              </w:rPr>
              <w:t>0</w:t>
            </w:r>
            <w:r w:rsidRPr="00600807">
              <w:rPr>
                <w:color w:val="000000"/>
                <w:sz w:val="24"/>
                <w:szCs w:val="28"/>
              </w:rPr>
              <w:t>%</w:t>
            </w:r>
          </w:p>
        </w:tc>
      </w:tr>
    </w:tbl>
    <w:p w:rsidR="00B008D9" w:rsidRPr="00600807" w:rsidRDefault="00B008D9" w:rsidP="00700980">
      <w:pPr>
        <w:spacing w:after="120" w:line="360" w:lineRule="auto"/>
        <w:rPr>
          <w:rFonts w:eastAsia="Times New Roman"/>
          <w:color w:val="auto"/>
          <w:sz w:val="24"/>
          <w:szCs w:val="24"/>
        </w:rPr>
      </w:pPr>
      <w:r w:rsidRPr="00600807">
        <w:rPr>
          <w:sz w:val="24"/>
          <w:szCs w:val="24"/>
        </w:rPr>
        <w:t>Source: Derived from a range of sources as described</w:t>
      </w:r>
    </w:p>
    <w:p w:rsidR="00BB6B3C" w:rsidRPr="005B15AD" w:rsidRDefault="00BB6B3C" w:rsidP="00362459">
      <w:pPr>
        <w:pStyle w:val="11Bodytext"/>
        <w:tabs>
          <w:tab w:val="clear" w:pos="2212"/>
          <w:tab w:val="num" w:pos="567"/>
        </w:tabs>
        <w:ind w:left="567" w:hanging="567"/>
      </w:pPr>
      <w:r w:rsidRPr="005B15AD">
        <w:t>The analysis (particularly for the larger dwelling sizes) does not mean that the Council should not consider this type of accommodation within the mix of housing</w:t>
      </w:r>
      <w:r w:rsidR="00195AE8" w:rsidRPr="005B15AD">
        <w:t xml:space="preserve">. Larger </w:t>
      </w:r>
      <w:r w:rsidRPr="005B15AD">
        <w:t xml:space="preserve">shared ownership </w:t>
      </w:r>
      <w:r w:rsidR="00195AE8" w:rsidRPr="005B15AD">
        <w:t xml:space="preserve">properties </w:t>
      </w:r>
      <w:r w:rsidRPr="005B15AD">
        <w:t xml:space="preserve">can add to the mix of housing and will be affordable to some households who </w:t>
      </w:r>
      <w:r w:rsidR="00855CA6">
        <w:t>can afford to</w:t>
      </w:r>
      <w:r w:rsidRPr="005B15AD">
        <w:t xml:space="preserve"> rent but not to buy. </w:t>
      </w:r>
      <w:r w:rsidR="0090128B">
        <w:t xml:space="preserve">However, it is likely that these would still have to sell a minimum share of 25% meaning that the potential market for these products </w:t>
      </w:r>
      <w:r w:rsidR="00855CA6">
        <w:t xml:space="preserve">is </w:t>
      </w:r>
      <w:r w:rsidR="0090128B">
        <w:t>limited.</w:t>
      </w:r>
    </w:p>
    <w:p w:rsidR="00BB6B3C" w:rsidRPr="005B15AD" w:rsidRDefault="00BB6B3C" w:rsidP="00362459">
      <w:pPr>
        <w:pStyle w:val="11Bodytext"/>
        <w:tabs>
          <w:tab w:val="clear" w:pos="2212"/>
          <w:tab w:val="num" w:pos="567"/>
        </w:tabs>
        <w:ind w:left="567" w:hanging="567"/>
      </w:pPr>
      <w:r w:rsidRPr="005B15AD">
        <w:t xml:space="preserve">Additionally, whilst 1-bedroom shared ownership looks to be relatively affordable, it would need to be established if there is </w:t>
      </w:r>
      <w:r w:rsidR="00855CA6">
        <w:t xml:space="preserve">a </w:t>
      </w:r>
      <w:r w:rsidRPr="005B15AD">
        <w:t xml:space="preserve">demand for this size and tenure of accommodation in a local area – experience elsewhere has suggested that one-bedroom shared ownership is not typically </w:t>
      </w:r>
      <w:r w:rsidR="00855CA6">
        <w:t>in</w:t>
      </w:r>
      <w:r w:rsidR="00855CA6" w:rsidRPr="005B15AD">
        <w:t xml:space="preserve"> </w:t>
      </w:r>
      <w:r w:rsidRPr="005B15AD">
        <w:t>high demand.</w:t>
      </w:r>
      <w:r w:rsidR="00855CA6">
        <w:t xml:space="preserve"> </w:t>
      </w:r>
      <w:r w:rsidR="00B13180">
        <w:t>The Council have also suggested this is the case locally, particularly in rural areas.</w:t>
      </w:r>
    </w:p>
    <w:p w:rsidR="0011202F" w:rsidRPr="00CA47B9" w:rsidRDefault="0011202F" w:rsidP="00805614">
      <w:pPr>
        <w:pStyle w:val="SubheadBlue12"/>
        <w:ind w:left="567" w:firstLine="0"/>
      </w:pPr>
      <w:r w:rsidRPr="00CA47B9">
        <w:t xml:space="preserve">How Much Should Affordable </w:t>
      </w:r>
      <w:r>
        <w:t>Rents</w:t>
      </w:r>
      <w:r w:rsidRPr="00CA47B9">
        <w:t xml:space="preserve"> Cost?</w:t>
      </w:r>
    </w:p>
    <w:p w:rsidR="0090128B" w:rsidRDefault="0090128B" w:rsidP="00362459">
      <w:pPr>
        <w:pStyle w:val="11Bodytext"/>
        <w:tabs>
          <w:tab w:val="clear" w:pos="2212"/>
          <w:tab w:val="num" w:pos="567"/>
        </w:tabs>
        <w:ind w:left="567" w:hanging="567"/>
      </w:pPr>
      <w:r>
        <w:t xml:space="preserve">Social rents are set centrally so we have not provided any indication of what level these should be set at. However, local authorities do have some control over the cost of affordable rental products. </w:t>
      </w:r>
    </w:p>
    <w:p w:rsidR="00B008D9" w:rsidRDefault="009C2481" w:rsidP="00362459">
      <w:pPr>
        <w:pStyle w:val="11Bodytext"/>
        <w:tabs>
          <w:tab w:val="clear" w:pos="2212"/>
          <w:tab w:val="num" w:pos="567"/>
        </w:tabs>
        <w:ind w:left="567" w:hanging="567"/>
      </w:pPr>
      <w:r>
        <w:t>Based on work undertaken by the Joseph Rowntree Foundation</w:t>
      </w:r>
      <w:r w:rsidRPr="00CA47B9">
        <w:t xml:space="preserve"> </w:t>
      </w:r>
      <w:r w:rsidR="00B008D9" w:rsidRPr="00CA47B9">
        <w:t xml:space="preserve">Living rents </w:t>
      </w:r>
      <w:r w:rsidR="00855CA6">
        <w:t>indicate</w:t>
      </w:r>
      <w:r w:rsidR="00B008D9" w:rsidRPr="00CA47B9">
        <w:t xml:space="preserve"> the level </w:t>
      </w:r>
      <w:r w:rsidR="00A105AA">
        <w:t>an</w:t>
      </w:r>
      <w:r w:rsidR="00B008D9" w:rsidRPr="00CA47B9">
        <w:t xml:space="preserve"> </w:t>
      </w:r>
      <w:r w:rsidR="00B008D9">
        <w:t>affordable</w:t>
      </w:r>
      <w:r w:rsidR="00B008D9" w:rsidRPr="00CA47B9">
        <w:t xml:space="preserve"> rent might be pitched at </w:t>
      </w:r>
      <w:r w:rsidR="00855CA6">
        <w:t>every month</w:t>
      </w:r>
      <w:r w:rsidR="00B008D9" w:rsidRPr="00CA47B9">
        <w:t>.</w:t>
      </w:r>
      <w:r w:rsidR="00855CA6">
        <w:t xml:space="preserve"> </w:t>
      </w:r>
      <w:r w:rsidR="00B008D9">
        <w:t>This is effectively the affordable rents which should be set to allow working families to rent without the aid of housing benefits.</w:t>
      </w:r>
    </w:p>
    <w:p w:rsidR="00B008D9" w:rsidRPr="00CA47B9" w:rsidRDefault="00B008D9" w:rsidP="00700980">
      <w:pPr>
        <w:pStyle w:val="Tableheading"/>
        <w:tabs>
          <w:tab w:val="clear" w:pos="794"/>
          <w:tab w:val="clear" w:pos="1843"/>
          <w:tab w:val="left" w:pos="0"/>
        </w:tabs>
        <w:ind w:left="0" w:firstLine="0"/>
      </w:pPr>
      <w:r w:rsidRPr="00CA47B9">
        <w:t xml:space="preserve">Living Rents (per month) </w:t>
      </w:r>
    </w:p>
    <w:tbl>
      <w:tblPr>
        <w:tblStyle w:val="TableGridLight1"/>
        <w:tblW w:w="4894" w:type="pct"/>
        <w:tblInd w:w="108" w:type="dxa"/>
        <w:tblLook w:val="04A0" w:firstRow="1" w:lastRow="0" w:firstColumn="1" w:lastColumn="0" w:noHBand="0" w:noVBand="1"/>
        <w:tblCaption w:val="Table 32: Living Rents (per month) "/>
      </w:tblPr>
      <w:tblGrid>
        <w:gridCol w:w="2353"/>
        <w:gridCol w:w="2462"/>
        <w:gridCol w:w="2462"/>
        <w:gridCol w:w="2361"/>
      </w:tblGrid>
      <w:tr w:rsidR="00B008D9" w:rsidRPr="00600807" w:rsidTr="00700980">
        <w:trPr>
          <w:tblHeader/>
        </w:trPr>
        <w:tc>
          <w:tcPr>
            <w:tcW w:w="1221" w:type="pct"/>
            <w:tcBorders>
              <w:top w:val="single" w:sz="4" w:space="0" w:color="auto"/>
              <w:left w:val="single" w:sz="4" w:space="0" w:color="auto"/>
              <w:bottom w:val="single" w:sz="4" w:space="0" w:color="auto"/>
              <w:right w:val="single" w:sz="4" w:space="0" w:color="auto"/>
            </w:tcBorders>
            <w:shd w:val="clear" w:color="auto" w:fill="0093D5" w:themeFill="accent2"/>
            <w:vAlign w:val="center"/>
          </w:tcPr>
          <w:p w:rsidR="00B008D9" w:rsidRPr="00600807" w:rsidRDefault="00B008D9" w:rsidP="005200A0">
            <w:pPr>
              <w:spacing w:before="60" w:after="60" w:line="300" w:lineRule="auto"/>
              <w:jc w:val="center"/>
              <w:rPr>
                <w:rFonts w:ascii="Arial" w:hAnsi="Arial" w:cs="Arial"/>
                <w:bCs/>
                <w:color w:val="FFFFFF" w:themeColor="background1"/>
                <w:sz w:val="24"/>
                <w:szCs w:val="24"/>
              </w:rPr>
            </w:pPr>
          </w:p>
        </w:tc>
        <w:tc>
          <w:tcPr>
            <w:tcW w:w="1277" w:type="pct"/>
            <w:tcBorders>
              <w:top w:val="single" w:sz="4" w:space="0" w:color="auto"/>
              <w:left w:val="single" w:sz="4" w:space="0" w:color="auto"/>
              <w:bottom w:val="single" w:sz="4" w:space="0" w:color="auto"/>
              <w:right w:val="single" w:sz="4" w:space="0" w:color="auto"/>
            </w:tcBorders>
            <w:shd w:val="clear" w:color="auto" w:fill="0093D5" w:themeFill="accent2"/>
            <w:vAlign w:val="center"/>
            <w:hideMark/>
          </w:tcPr>
          <w:p w:rsidR="00B008D9" w:rsidRPr="00600807" w:rsidRDefault="00B008D9" w:rsidP="005200A0">
            <w:pPr>
              <w:spacing w:before="60" w:after="60" w:line="300" w:lineRule="auto"/>
              <w:jc w:val="center"/>
              <w:rPr>
                <w:rFonts w:ascii="Arial" w:hAnsi="Arial" w:cs="Arial"/>
                <w:bCs/>
                <w:color w:val="FFFFFF" w:themeColor="background1"/>
                <w:sz w:val="24"/>
                <w:szCs w:val="24"/>
              </w:rPr>
            </w:pPr>
            <w:r w:rsidRPr="00600807">
              <w:rPr>
                <w:rFonts w:ascii="Arial" w:hAnsi="Arial" w:cs="Arial"/>
                <w:bCs/>
                <w:color w:val="FFFFFF" w:themeColor="background1"/>
                <w:sz w:val="24"/>
                <w:szCs w:val="24"/>
              </w:rPr>
              <w:t>1-Bedroom</w:t>
            </w:r>
          </w:p>
        </w:tc>
        <w:tc>
          <w:tcPr>
            <w:tcW w:w="1277" w:type="pct"/>
            <w:tcBorders>
              <w:top w:val="single" w:sz="4" w:space="0" w:color="auto"/>
              <w:left w:val="single" w:sz="4" w:space="0" w:color="auto"/>
              <w:bottom w:val="single" w:sz="4" w:space="0" w:color="auto"/>
              <w:right w:val="single" w:sz="4" w:space="0" w:color="auto"/>
            </w:tcBorders>
            <w:shd w:val="clear" w:color="auto" w:fill="0093D5" w:themeFill="accent2"/>
            <w:vAlign w:val="center"/>
            <w:hideMark/>
          </w:tcPr>
          <w:p w:rsidR="00B008D9" w:rsidRPr="00600807" w:rsidRDefault="00B008D9" w:rsidP="005200A0">
            <w:pPr>
              <w:spacing w:before="60" w:after="60" w:line="300" w:lineRule="auto"/>
              <w:jc w:val="center"/>
              <w:rPr>
                <w:rFonts w:ascii="Arial" w:hAnsi="Arial" w:cs="Arial"/>
                <w:bCs/>
                <w:color w:val="FFFFFF" w:themeColor="background1"/>
                <w:sz w:val="24"/>
                <w:szCs w:val="24"/>
              </w:rPr>
            </w:pPr>
            <w:r w:rsidRPr="00600807">
              <w:rPr>
                <w:rFonts w:ascii="Arial" w:hAnsi="Arial" w:cs="Arial"/>
                <w:bCs/>
                <w:color w:val="FFFFFF" w:themeColor="background1"/>
                <w:sz w:val="24"/>
                <w:szCs w:val="24"/>
              </w:rPr>
              <w:t>2-Bedroom</w:t>
            </w:r>
          </w:p>
        </w:tc>
        <w:tc>
          <w:tcPr>
            <w:tcW w:w="1225" w:type="pct"/>
            <w:tcBorders>
              <w:top w:val="single" w:sz="4" w:space="0" w:color="auto"/>
              <w:left w:val="single" w:sz="4" w:space="0" w:color="auto"/>
              <w:bottom w:val="single" w:sz="4" w:space="0" w:color="auto"/>
              <w:right w:val="single" w:sz="4" w:space="0" w:color="auto"/>
            </w:tcBorders>
            <w:shd w:val="clear" w:color="auto" w:fill="0093D5" w:themeFill="accent2"/>
            <w:vAlign w:val="center"/>
            <w:hideMark/>
          </w:tcPr>
          <w:p w:rsidR="00B008D9" w:rsidRPr="00600807" w:rsidRDefault="00B008D9" w:rsidP="005200A0">
            <w:pPr>
              <w:spacing w:before="60" w:after="60" w:line="300" w:lineRule="auto"/>
              <w:jc w:val="center"/>
              <w:rPr>
                <w:rFonts w:ascii="Arial" w:hAnsi="Arial" w:cs="Arial"/>
                <w:bCs/>
                <w:color w:val="FFFFFF" w:themeColor="background1"/>
                <w:sz w:val="24"/>
                <w:szCs w:val="24"/>
              </w:rPr>
            </w:pPr>
            <w:r w:rsidRPr="00600807">
              <w:rPr>
                <w:rFonts w:ascii="Arial" w:hAnsi="Arial" w:cs="Arial"/>
                <w:bCs/>
                <w:color w:val="FFFFFF" w:themeColor="background1"/>
                <w:sz w:val="24"/>
                <w:szCs w:val="24"/>
              </w:rPr>
              <w:t>3-Bedrooms</w:t>
            </w:r>
          </w:p>
        </w:tc>
      </w:tr>
      <w:tr w:rsidR="00B008D9" w:rsidRPr="00600807" w:rsidTr="00700980">
        <w:tc>
          <w:tcPr>
            <w:tcW w:w="1221" w:type="pct"/>
            <w:tcBorders>
              <w:top w:val="single" w:sz="4" w:space="0" w:color="auto"/>
              <w:left w:val="single" w:sz="4" w:space="0" w:color="auto"/>
              <w:bottom w:val="single" w:sz="4" w:space="0" w:color="auto"/>
              <w:right w:val="single" w:sz="4" w:space="0" w:color="auto"/>
            </w:tcBorders>
            <w:vAlign w:val="center"/>
            <w:hideMark/>
          </w:tcPr>
          <w:p w:rsidR="00B008D9" w:rsidRPr="00600807" w:rsidRDefault="00B008D9" w:rsidP="005200A0">
            <w:pPr>
              <w:spacing w:line="300" w:lineRule="auto"/>
              <w:rPr>
                <w:rFonts w:ascii="Arial" w:hAnsi="Arial" w:cs="Arial"/>
                <w:color w:val="000000"/>
                <w:sz w:val="24"/>
                <w:szCs w:val="24"/>
              </w:rPr>
            </w:pPr>
            <w:r w:rsidRPr="00600807">
              <w:rPr>
                <w:rFonts w:ascii="Arial" w:hAnsi="Arial" w:cs="Arial"/>
                <w:color w:val="000000"/>
                <w:sz w:val="24"/>
                <w:szCs w:val="24"/>
              </w:rPr>
              <w:t>Chichester District</w:t>
            </w:r>
          </w:p>
        </w:tc>
        <w:tc>
          <w:tcPr>
            <w:tcW w:w="1277" w:type="pct"/>
            <w:tcBorders>
              <w:top w:val="single" w:sz="4" w:space="0" w:color="auto"/>
              <w:left w:val="single" w:sz="4" w:space="0" w:color="auto"/>
              <w:bottom w:val="single" w:sz="4" w:space="0" w:color="auto"/>
              <w:right w:val="single" w:sz="4" w:space="0" w:color="auto"/>
            </w:tcBorders>
            <w:vAlign w:val="bottom"/>
            <w:hideMark/>
          </w:tcPr>
          <w:p w:rsidR="00B008D9" w:rsidRPr="00600807" w:rsidRDefault="00B008D9" w:rsidP="005200A0">
            <w:pPr>
              <w:spacing w:line="300" w:lineRule="auto"/>
              <w:jc w:val="center"/>
              <w:rPr>
                <w:rFonts w:ascii="Arial" w:hAnsi="Arial" w:cs="Arial"/>
                <w:color w:val="000000"/>
                <w:sz w:val="24"/>
                <w:szCs w:val="24"/>
              </w:rPr>
            </w:pPr>
            <w:r w:rsidRPr="00600807">
              <w:rPr>
                <w:rFonts w:ascii="Arial" w:hAnsi="Arial" w:cs="Arial"/>
                <w:color w:val="000000"/>
                <w:sz w:val="24"/>
                <w:szCs w:val="24"/>
              </w:rPr>
              <w:t>£282</w:t>
            </w:r>
          </w:p>
        </w:tc>
        <w:tc>
          <w:tcPr>
            <w:tcW w:w="1277" w:type="pct"/>
            <w:tcBorders>
              <w:top w:val="single" w:sz="4" w:space="0" w:color="auto"/>
              <w:left w:val="single" w:sz="4" w:space="0" w:color="auto"/>
              <w:bottom w:val="single" w:sz="4" w:space="0" w:color="auto"/>
              <w:right w:val="single" w:sz="4" w:space="0" w:color="auto"/>
            </w:tcBorders>
            <w:vAlign w:val="bottom"/>
            <w:hideMark/>
          </w:tcPr>
          <w:p w:rsidR="00B008D9" w:rsidRPr="00600807" w:rsidRDefault="00B008D9" w:rsidP="005200A0">
            <w:pPr>
              <w:spacing w:line="300" w:lineRule="auto"/>
              <w:jc w:val="center"/>
              <w:rPr>
                <w:rFonts w:ascii="Arial" w:hAnsi="Arial" w:cs="Arial"/>
                <w:color w:val="000000"/>
                <w:sz w:val="24"/>
                <w:szCs w:val="24"/>
              </w:rPr>
            </w:pPr>
            <w:r w:rsidRPr="00600807">
              <w:rPr>
                <w:rFonts w:ascii="Arial" w:hAnsi="Arial" w:cs="Arial"/>
                <w:color w:val="000000"/>
                <w:sz w:val="24"/>
                <w:szCs w:val="24"/>
              </w:rPr>
              <w:t>£366</w:t>
            </w:r>
          </w:p>
        </w:tc>
        <w:tc>
          <w:tcPr>
            <w:tcW w:w="1225" w:type="pct"/>
            <w:tcBorders>
              <w:top w:val="single" w:sz="4" w:space="0" w:color="auto"/>
              <w:left w:val="single" w:sz="4" w:space="0" w:color="auto"/>
              <w:bottom w:val="single" w:sz="4" w:space="0" w:color="auto"/>
              <w:right w:val="single" w:sz="4" w:space="0" w:color="auto"/>
            </w:tcBorders>
            <w:vAlign w:val="bottom"/>
            <w:hideMark/>
          </w:tcPr>
          <w:p w:rsidR="00B008D9" w:rsidRPr="00600807" w:rsidRDefault="00B008D9" w:rsidP="005200A0">
            <w:pPr>
              <w:spacing w:line="300" w:lineRule="auto"/>
              <w:jc w:val="center"/>
              <w:rPr>
                <w:rFonts w:ascii="Arial" w:hAnsi="Arial" w:cs="Arial"/>
                <w:color w:val="000000"/>
                <w:sz w:val="24"/>
                <w:szCs w:val="24"/>
              </w:rPr>
            </w:pPr>
            <w:r w:rsidRPr="00600807">
              <w:rPr>
                <w:rFonts w:ascii="Arial" w:hAnsi="Arial" w:cs="Arial"/>
                <w:color w:val="000000"/>
                <w:sz w:val="24"/>
                <w:szCs w:val="24"/>
              </w:rPr>
              <w:t>£451</w:t>
            </w:r>
          </w:p>
        </w:tc>
      </w:tr>
    </w:tbl>
    <w:p w:rsidR="00B008D9" w:rsidRPr="00600807" w:rsidRDefault="00B008D9" w:rsidP="00700980">
      <w:pPr>
        <w:pStyle w:val="Bodytextwithindent"/>
        <w:spacing w:before="0" w:after="120"/>
        <w:ind w:left="0"/>
        <w:rPr>
          <w:sz w:val="24"/>
          <w:szCs w:val="22"/>
        </w:rPr>
      </w:pPr>
      <w:r w:rsidRPr="00600807">
        <w:rPr>
          <w:sz w:val="24"/>
          <w:szCs w:val="22"/>
        </w:rPr>
        <w:t xml:space="preserve">Source: ASHE and Living Rents Methodology </w:t>
      </w:r>
    </w:p>
    <w:p w:rsidR="00B008D9" w:rsidRPr="008C52CF" w:rsidRDefault="00AC76CF" w:rsidP="00362459">
      <w:pPr>
        <w:pStyle w:val="11Bodytext"/>
        <w:tabs>
          <w:tab w:val="clear" w:pos="2212"/>
          <w:tab w:val="num" w:pos="567"/>
        </w:tabs>
        <w:ind w:left="567" w:hanging="567"/>
      </w:pPr>
      <w:r>
        <w:lastRenderedPageBreak/>
        <w:t>Alternatively</w:t>
      </w:r>
      <w:r w:rsidR="00855CA6">
        <w:t>,</w:t>
      </w:r>
      <w:r>
        <w:t xml:space="preserve"> t</w:t>
      </w:r>
      <w:r w:rsidR="00B008D9" w:rsidRPr="008C52CF">
        <w:t>he table below</w:t>
      </w:r>
      <w:r w:rsidR="00B008D9">
        <w:t xml:space="preserve"> </w:t>
      </w:r>
      <w:r w:rsidR="00B008D9" w:rsidRPr="008C52CF">
        <w:t xml:space="preserve">shows LHA limits in the </w:t>
      </w:r>
      <w:r w:rsidR="00B008D9">
        <w:t>three</w:t>
      </w:r>
      <w:r w:rsidR="00B008D9" w:rsidRPr="008C52CF">
        <w:t xml:space="preserve"> Broad Rental Market Areas (BRMAs)</w:t>
      </w:r>
      <w:r w:rsidR="00930BAD">
        <w:t xml:space="preserve"> defined by the Valuation Office Agency which</w:t>
      </w:r>
      <w:r w:rsidR="00B008D9" w:rsidRPr="008C52CF">
        <w:t xml:space="preserve"> cover the </w:t>
      </w:r>
      <w:r w:rsidR="00B008D9">
        <w:t>district</w:t>
      </w:r>
      <w:r w:rsidR="00B008D9" w:rsidRPr="008C52CF">
        <w:t xml:space="preserve">. </w:t>
      </w:r>
      <w:r w:rsidR="00B008D9">
        <w:t>T</w:t>
      </w:r>
      <w:r w:rsidR="00B008D9" w:rsidRPr="008C52CF">
        <w:t>here is a case for ensuring that</w:t>
      </w:r>
      <w:r w:rsidR="00B008D9">
        <w:t xml:space="preserve"> </w:t>
      </w:r>
      <w:r>
        <w:t xml:space="preserve">affordable </w:t>
      </w:r>
      <w:r w:rsidR="00B008D9" w:rsidRPr="008C52CF">
        <w:t>rents are capped at the maximum amount of benefit able to be claimed.</w:t>
      </w:r>
      <w:r w:rsidR="00855CA6">
        <w:t xml:space="preserve"> </w:t>
      </w:r>
      <w:r w:rsidR="009C2481">
        <w:t xml:space="preserve"> The Council’s current policy builds in a potential further discount by capping affordable rents at LHA limits or 80% of OMV rents, whichever is lower.</w:t>
      </w:r>
    </w:p>
    <w:p w:rsidR="00B008D9" w:rsidRPr="00B65726" w:rsidRDefault="00B008D9" w:rsidP="00700980">
      <w:pPr>
        <w:pStyle w:val="Tableheading"/>
        <w:tabs>
          <w:tab w:val="clear" w:pos="794"/>
          <w:tab w:val="clear" w:pos="1843"/>
          <w:tab w:val="left" w:pos="0"/>
        </w:tabs>
        <w:ind w:left="0" w:firstLine="0"/>
      </w:pPr>
      <w:r w:rsidRPr="00B65726">
        <w:t>Maximum Local Housing Allowance (Housing Benefit) by location and property size</w:t>
      </w:r>
      <w:r>
        <w:t xml:space="preserve"> per calendar month</w:t>
      </w:r>
      <w:r w:rsidRPr="00B65726">
        <w:t xml:space="preserve"> (August 2019</w:t>
      </w:r>
      <w:r w:rsidRPr="00B65726">
        <w:rPr>
          <w:color w:val="auto"/>
        </w:rPr>
        <w:t>)</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33: Maximum Local Housing Allowance (Housing Benefit) by location and property size per calendar month (August 2019)"/>
      </w:tblPr>
      <w:tblGrid>
        <w:gridCol w:w="2328"/>
        <w:gridCol w:w="1852"/>
        <w:gridCol w:w="1854"/>
        <w:gridCol w:w="1854"/>
        <w:gridCol w:w="1750"/>
      </w:tblGrid>
      <w:tr w:rsidR="00B008D9" w:rsidRPr="00600807" w:rsidTr="00700980">
        <w:trPr>
          <w:trHeight w:val="211"/>
          <w:tblHeader/>
        </w:trPr>
        <w:tc>
          <w:tcPr>
            <w:tcW w:w="1207" w:type="pct"/>
            <w:shd w:val="clear" w:color="000000" w:fill="0093D5"/>
            <w:vAlign w:val="center"/>
            <w:hideMark/>
          </w:tcPr>
          <w:p w:rsidR="00B008D9" w:rsidRPr="00600807" w:rsidRDefault="00B008D9" w:rsidP="00AD1AAD">
            <w:pPr>
              <w:rPr>
                <w:color w:val="FFFFFF"/>
                <w:lang w:eastAsia="en-GB"/>
              </w:rPr>
            </w:pPr>
            <w:r w:rsidRPr="00600807">
              <w:rPr>
                <w:lang w:eastAsia="en-GB"/>
              </w:rPr>
              <w:t> </w:t>
            </w:r>
          </w:p>
        </w:tc>
        <w:tc>
          <w:tcPr>
            <w:tcW w:w="961" w:type="pct"/>
            <w:shd w:val="clear" w:color="000000" w:fill="0093D5"/>
            <w:vAlign w:val="center"/>
            <w:hideMark/>
          </w:tcPr>
          <w:p w:rsidR="00B008D9" w:rsidRPr="00600807" w:rsidRDefault="00B008D9" w:rsidP="005200A0">
            <w:pPr>
              <w:jc w:val="center"/>
              <w:rPr>
                <w:rFonts w:eastAsia="Times New Roman"/>
                <w:color w:val="FFFFFF"/>
                <w:sz w:val="24"/>
                <w:szCs w:val="24"/>
                <w:lang w:eastAsia="en-GB"/>
              </w:rPr>
            </w:pPr>
            <w:r w:rsidRPr="00600807">
              <w:rPr>
                <w:rFonts w:eastAsia="Times New Roman"/>
                <w:color w:val="FFFFFF" w:themeColor="background1"/>
                <w:sz w:val="24"/>
                <w:szCs w:val="24"/>
                <w:lang w:eastAsia="en-GB"/>
              </w:rPr>
              <w:t>1-bedroom</w:t>
            </w:r>
          </w:p>
        </w:tc>
        <w:tc>
          <w:tcPr>
            <w:tcW w:w="962" w:type="pct"/>
            <w:shd w:val="clear" w:color="000000" w:fill="0093D5"/>
            <w:vAlign w:val="center"/>
            <w:hideMark/>
          </w:tcPr>
          <w:p w:rsidR="00B008D9" w:rsidRPr="00600807" w:rsidRDefault="00B008D9" w:rsidP="005200A0">
            <w:pPr>
              <w:jc w:val="center"/>
              <w:rPr>
                <w:rFonts w:eastAsia="Times New Roman"/>
                <w:color w:val="FFFFFF"/>
                <w:sz w:val="24"/>
                <w:szCs w:val="24"/>
                <w:lang w:eastAsia="en-GB"/>
              </w:rPr>
            </w:pPr>
            <w:r w:rsidRPr="00600807">
              <w:rPr>
                <w:rFonts w:eastAsia="Times New Roman"/>
                <w:color w:val="FFFFFF" w:themeColor="background1"/>
                <w:sz w:val="24"/>
                <w:szCs w:val="24"/>
                <w:lang w:eastAsia="en-GB"/>
              </w:rPr>
              <w:t>2-bedroom</w:t>
            </w:r>
          </w:p>
        </w:tc>
        <w:tc>
          <w:tcPr>
            <w:tcW w:w="962" w:type="pct"/>
            <w:shd w:val="clear" w:color="000000" w:fill="0093D5"/>
            <w:vAlign w:val="center"/>
            <w:hideMark/>
          </w:tcPr>
          <w:p w:rsidR="00B008D9" w:rsidRPr="00600807" w:rsidRDefault="00B008D9" w:rsidP="005200A0">
            <w:pPr>
              <w:jc w:val="center"/>
              <w:rPr>
                <w:rFonts w:eastAsia="Times New Roman"/>
                <w:color w:val="FFFFFF"/>
                <w:sz w:val="24"/>
                <w:szCs w:val="24"/>
                <w:lang w:eastAsia="en-GB"/>
              </w:rPr>
            </w:pPr>
            <w:r w:rsidRPr="00600807">
              <w:rPr>
                <w:rFonts w:eastAsia="Times New Roman"/>
                <w:color w:val="FFFFFF" w:themeColor="background1"/>
                <w:sz w:val="24"/>
                <w:szCs w:val="24"/>
                <w:lang w:eastAsia="en-GB"/>
              </w:rPr>
              <w:t>3-bedrooms</w:t>
            </w:r>
          </w:p>
        </w:tc>
        <w:tc>
          <w:tcPr>
            <w:tcW w:w="908" w:type="pct"/>
            <w:shd w:val="clear" w:color="000000" w:fill="0093D5"/>
            <w:vAlign w:val="center"/>
            <w:hideMark/>
          </w:tcPr>
          <w:p w:rsidR="00B008D9" w:rsidRPr="00600807" w:rsidRDefault="00B008D9" w:rsidP="005200A0">
            <w:pPr>
              <w:jc w:val="center"/>
              <w:rPr>
                <w:rFonts w:eastAsia="Times New Roman"/>
                <w:color w:val="FFFFFF"/>
                <w:sz w:val="24"/>
                <w:szCs w:val="24"/>
                <w:lang w:eastAsia="en-GB"/>
              </w:rPr>
            </w:pPr>
            <w:r w:rsidRPr="00600807">
              <w:rPr>
                <w:rFonts w:eastAsia="Times New Roman"/>
                <w:color w:val="FFFFFF"/>
                <w:sz w:val="24"/>
                <w:szCs w:val="24"/>
                <w:lang w:eastAsia="en-GB"/>
              </w:rPr>
              <w:t>4-bedrooms</w:t>
            </w:r>
          </w:p>
        </w:tc>
      </w:tr>
      <w:tr w:rsidR="00B008D9" w:rsidRPr="00600807" w:rsidTr="00700980">
        <w:trPr>
          <w:trHeight w:val="187"/>
        </w:trPr>
        <w:tc>
          <w:tcPr>
            <w:tcW w:w="1207" w:type="pct"/>
            <w:shd w:val="clear" w:color="000000" w:fill="FFFFFF"/>
            <w:vAlign w:val="center"/>
            <w:hideMark/>
          </w:tcPr>
          <w:p w:rsidR="00B008D9" w:rsidRPr="00600807" w:rsidRDefault="00B008D9" w:rsidP="005200A0">
            <w:pPr>
              <w:rPr>
                <w:rFonts w:eastAsia="Times New Roman"/>
                <w:color w:val="000000"/>
                <w:sz w:val="24"/>
                <w:szCs w:val="24"/>
                <w:lang w:eastAsia="en-GB"/>
              </w:rPr>
            </w:pPr>
            <w:r w:rsidRPr="00600807">
              <w:rPr>
                <w:rFonts w:eastAsia="Times New Roman"/>
                <w:color w:val="000000"/>
                <w:sz w:val="24"/>
                <w:szCs w:val="24"/>
                <w:lang w:eastAsia="en-GB"/>
              </w:rPr>
              <w:t>Chichester BRMA</w:t>
            </w:r>
          </w:p>
        </w:tc>
        <w:tc>
          <w:tcPr>
            <w:tcW w:w="961" w:type="pct"/>
            <w:shd w:val="clear" w:color="auto" w:fill="auto"/>
            <w:vAlign w:val="center"/>
            <w:hideMark/>
          </w:tcPr>
          <w:p w:rsidR="00B008D9" w:rsidRPr="00600807" w:rsidRDefault="00B008D9" w:rsidP="005200A0">
            <w:pPr>
              <w:jc w:val="center"/>
              <w:rPr>
                <w:rFonts w:eastAsia="Times New Roman"/>
                <w:color w:val="000000"/>
                <w:sz w:val="24"/>
                <w:szCs w:val="24"/>
                <w:lang w:eastAsia="en-GB"/>
              </w:rPr>
            </w:pPr>
            <w:r w:rsidRPr="00600807">
              <w:rPr>
                <w:rFonts w:eastAsia="Times New Roman"/>
                <w:color w:val="000000"/>
                <w:sz w:val="24"/>
                <w:szCs w:val="24"/>
                <w:lang w:eastAsia="en-GB"/>
              </w:rPr>
              <w:t>£581</w:t>
            </w:r>
          </w:p>
        </w:tc>
        <w:tc>
          <w:tcPr>
            <w:tcW w:w="962" w:type="pct"/>
            <w:shd w:val="clear" w:color="auto" w:fill="auto"/>
            <w:vAlign w:val="center"/>
            <w:hideMark/>
          </w:tcPr>
          <w:p w:rsidR="00B008D9" w:rsidRPr="00600807" w:rsidRDefault="00B008D9" w:rsidP="005200A0">
            <w:pPr>
              <w:jc w:val="center"/>
              <w:rPr>
                <w:rFonts w:eastAsia="Times New Roman"/>
                <w:color w:val="000000"/>
                <w:sz w:val="24"/>
                <w:szCs w:val="24"/>
                <w:lang w:eastAsia="en-GB"/>
              </w:rPr>
            </w:pPr>
            <w:r w:rsidRPr="00600807">
              <w:rPr>
                <w:rFonts w:eastAsia="Times New Roman"/>
                <w:color w:val="000000"/>
                <w:sz w:val="24"/>
                <w:szCs w:val="24"/>
                <w:lang w:eastAsia="en-GB"/>
              </w:rPr>
              <w:t>£728</w:t>
            </w:r>
          </w:p>
        </w:tc>
        <w:tc>
          <w:tcPr>
            <w:tcW w:w="962" w:type="pct"/>
            <w:shd w:val="clear" w:color="auto" w:fill="auto"/>
            <w:vAlign w:val="center"/>
            <w:hideMark/>
          </w:tcPr>
          <w:p w:rsidR="00B008D9" w:rsidRPr="00600807" w:rsidRDefault="00B008D9" w:rsidP="005200A0">
            <w:pPr>
              <w:jc w:val="center"/>
              <w:rPr>
                <w:rFonts w:eastAsia="Times New Roman"/>
                <w:color w:val="000000"/>
                <w:sz w:val="24"/>
                <w:szCs w:val="24"/>
                <w:lang w:eastAsia="en-GB"/>
              </w:rPr>
            </w:pPr>
            <w:r w:rsidRPr="00600807">
              <w:rPr>
                <w:rFonts w:eastAsia="Times New Roman"/>
                <w:color w:val="000000"/>
                <w:sz w:val="24"/>
                <w:szCs w:val="24"/>
                <w:lang w:eastAsia="en-GB"/>
              </w:rPr>
              <w:t>£884</w:t>
            </w:r>
          </w:p>
        </w:tc>
        <w:tc>
          <w:tcPr>
            <w:tcW w:w="908" w:type="pct"/>
            <w:shd w:val="clear" w:color="auto" w:fill="auto"/>
            <w:vAlign w:val="center"/>
            <w:hideMark/>
          </w:tcPr>
          <w:p w:rsidR="00B008D9" w:rsidRPr="00600807" w:rsidRDefault="00B008D9" w:rsidP="005200A0">
            <w:pPr>
              <w:jc w:val="center"/>
              <w:rPr>
                <w:rFonts w:eastAsia="Times New Roman"/>
                <w:color w:val="000000"/>
                <w:sz w:val="24"/>
                <w:szCs w:val="24"/>
                <w:lang w:eastAsia="en-GB"/>
              </w:rPr>
            </w:pPr>
            <w:r w:rsidRPr="00600807">
              <w:rPr>
                <w:rFonts w:eastAsia="Times New Roman"/>
                <w:color w:val="000000"/>
                <w:sz w:val="24"/>
                <w:szCs w:val="24"/>
                <w:lang w:eastAsia="en-GB"/>
              </w:rPr>
              <w:t>£1,161</w:t>
            </w:r>
          </w:p>
        </w:tc>
      </w:tr>
      <w:tr w:rsidR="00B008D9" w:rsidRPr="00600807" w:rsidTr="00700980">
        <w:trPr>
          <w:trHeight w:val="187"/>
        </w:trPr>
        <w:tc>
          <w:tcPr>
            <w:tcW w:w="1207" w:type="pct"/>
            <w:shd w:val="clear" w:color="000000" w:fill="FFFFFF"/>
            <w:vAlign w:val="center"/>
            <w:hideMark/>
          </w:tcPr>
          <w:p w:rsidR="00B008D9" w:rsidRPr="00600807" w:rsidRDefault="00B008D9" w:rsidP="005200A0">
            <w:pPr>
              <w:rPr>
                <w:rFonts w:eastAsia="Times New Roman"/>
                <w:color w:val="000000"/>
                <w:sz w:val="24"/>
                <w:szCs w:val="24"/>
                <w:lang w:eastAsia="en-GB"/>
              </w:rPr>
            </w:pPr>
            <w:r w:rsidRPr="00600807">
              <w:rPr>
                <w:rFonts w:eastAsia="Times New Roman"/>
                <w:color w:val="000000"/>
                <w:sz w:val="24"/>
                <w:szCs w:val="24"/>
                <w:lang w:eastAsia="en-GB"/>
              </w:rPr>
              <w:t>Guildford BRMA</w:t>
            </w:r>
          </w:p>
        </w:tc>
        <w:tc>
          <w:tcPr>
            <w:tcW w:w="961" w:type="pct"/>
            <w:shd w:val="clear" w:color="auto" w:fill="auto"/>
            <w:vAlign w:val="center"/>
            <w:hideMark/>
          </w:tcPr>
          <w:p w:rsidR="00B008D9" w:rsidRPr="00600807" w:rsidRDefault="00B008D9" w:rsidP="005200A0">
            <w:pPr>
              <w:jc w:val="center"/>
              <w:rPr>
                <w:rFonts w:eastAsia="Times New Roman"/>
                <w:color w:val="000000"/>
                <w:sz w:val="24"/>
                <w:szCs w:val="24"/>
                <w:lang w:eastAsia="en-GB"/>
              </w:rPr>
            </w:pPr>
            <w:r w:rsidRPr="00600807">
              <w:rPr>
                <w:rFonts w:eastAsia="Times New Roman"/>
                <w:color w:val="000000"/>
                <w:sz w:val="24"/>
                <w:szCs w:val="24"/>
                <w:lang w:eastAsia="en-GB"/>
              </w:rPr>
              <w:t>£758</w:t>
            </w:r>
          </w:p>
        </w:tc>
        <w:tc>
          <w:tcPr>
            <w:tcW w:w="962" w:type="pct"/>
            <w:shd w:val="clear" w:color="auto" w:fill="auto"/>
            <w:vAlign w:val="center"/>
            <w:hideMark/>
          </w:tcPr>
          <w:p w:rsidR="00B008D9" w:rsidRPr="00600807" w:rsidRDefault="00B008D9" w:rsidP="005200A0">
            <w:pPr>
              <w:jc w:val="center"/>
              <w:rPr>
                <w:rFonts w:eastAsia="Times New Roman"/>
                <w:color w:val="000000"/>
                <w:sz w:val="24"/>
                <w:szCs w:val="24"/>
                <w:lang w:eastAsia="en-GB"/>
              </w:rPr>
            </w:pPr>
            <w:r w:rsidRPr="00600807">
              <w:rPr>
                <w:rFonts w:eastAsia="Times New Roman"/>
                <w:color w:val="000000"/>
                <w:sz w:val="24"/>
                <w:szCs w:val="24"/>
                <w:lang w:eastAsia="en-GB"/>
              </w:rPr>
              <w:t>£962</w:t>
            </w:r>
          </w:p>
        </w:tc>
        <w:tc>
          <w:tcPr>
            <w:tcW w:w="962" w:type="pct"/>
            <w:shd w:val="clear" w:color="auto" w:fill="auto"/>
            <w:vAlign w:val="center"/>
            <w:hideMark/>
          </w:tcPr>
          <w:p w:rsidR="00B008D9" w:rsidRPr="00600807" w:rsidRDefault="00B008D9" w:rsidP="005200A0">
            <w:pPr>
              <w:jc w:val="center"/>
              <w:rPr>
                <w:rFonts w:eastAsia="Times New Roman"/>
                <w:color w:val="000000"/>
                <w:sz w:val="24"/>
                <w:szCs w:val="24"/>
                <w:lang w:eastAsia="en-GB"/>
              </w:rPr>
            </w:pPr>
            <w:r w:rsidRPr="00600807">
              <w:rPr>
                <w:rFonts w:eastAsia="Times New Roman"/>
                <w:color w:val="000000"/>
                <w:sz w:val="24"/>
                <w:szCs w:val="24"/>
                <w:lang w:eastAsia="en-GB"/>
              </w:rPr>
              <w:t>£1,196</w:t>
            </w:r>
          </w:p>
        </w:tc>
        <w:tc>
          <w:tcPr>
            <w:tcW w:w="908" w:type="pct"/>
            <w:shd w:val="clear" w:color="auto" w:fill="auto"/>
            <w:vAlign w:val="center"/>
            <w:hideMark/>
          </w:tcPr>
          <w:p w:rsidR="00B008D9" w:rsidRPr="00600807" w:rsidRDefault="00B008D9" w:rsidP="005200A0">
            <w:pPr>
              <w:jc w:val="center"/>
              <w:rPr>
                <w:rFonts w:eastAsia="Times New Roman"/>
                <w:color w:val="000000"/>
                <w:sz w:val="24"/>
                <w:szCs w:val="24"/>
                <w:lang w:eastAsia="en-GB"/>
              </w:rPr>
            </w:pPr>
            <w:r w:rsidRPr="00600807">
              <w:rPr>
                <w:rFonts w:eastAsia="Times New Roman"/>
                <w:color w:val="000000"/>
                <w:sz w:val="24"/>
                <w:szCs w:val="24"/>
                <w:lang w:eastAsia="en-GB"/>
              </w:rPr>
              <w:t>£1,586</w:t>
            </w:r>
          </w:p>
        </w:tc>
      </w:tr>
      <w:tr w:rsidR="00B008D9" w:rsidRPr="00600807" w:rsidTr="00700980">
        <w:trPr>
          <w:trHeight w:val="187"/>
        </w:trPr>
        <w:tc>
          <w:tcPr>
            <w:tcW w:w="1207" w:type="pct"/>
            <w:shd w:val="clear" w:color="000000" w:fill="FFFFFF"/>
            <w:vAlign w:val="center"/>
            <w:hideMark/>
          </w:tcPr>
          <w:p w:rsidR="00B008D9" w:rsidRPr="00600807" w:rsidRDefault="00B008D9" w:rsidP="005200A0">
            <w:pPr>
              <w:rPr>
                <w:rFonts w:eastAsia="Times New Roman"/>
                <w:color w:val="000000"/>
                <w:sz w:val="24"/>
                <w:szCs w:val="24"/>
                <w:lang w:eastAsia="en-GB"/>
              </w:rPr>
            </w:pPr>
            <w:r w:rsidRPr="00600807">
              <w:rPr>
                <w:rFonts w:eastAsia="Times New Roman"/>
                <w:color w:val="000000"/>
                <w:sz w:val="24"/>
                <w:szCs w:val="24"/>
                <w:lang w:eastAsia="en-GB"/>
              </w:rPr>
              <w:t>Portsmouth BRMA</w:t>
            </w:r>
          </w:p>
        </w:tc>
        <w:tc>
          <w:tcPr>
            <w:tcW w:w="961" w:type="pct"/>
            <w:shd w:val="clear" w:color="auto" w:fill="auto"/>
            <w:vAlign w:val="center"/>
            <w:hideMark/>
          </w:tcPr>
          <w:p w:rsidR="00B008D9" w:rsidRPr="00600807" w:rsidRDefault="00B008D9" w:rsidP="005200A0">
            <w:pPr>
              <w:jc w:val="center"/>
              <w:rPr>
                <w:rFonts w:eastAsia="Times New Roman"/>
                <w:color w:val="000000"/>
                <w:sz w:val="24"/>
                <w:szCs w:val="24"/>
                <w:lang w:eastAsia="en-GB"/>
              </w:rPr>
            </w:pPr>
            <w:r w:rsidRPr="00600807">
              <w:rPr>
                <w:rFonts w:eastAsia="Times New Roman"/>
                <w:color w:val="000000"/>
                <w:sz w:val="24"/>
                <w:szCs w:val="24"/>
                <w:lang w:eastAsia="en-GB"/>
              </w:rPr>
              <w:t>£520</w:t>
            </w:r>
          </w:p>
        </w:tc>
        <w:tc>
          <w:tcPr>
            <w:tcW w:w="962" w:type="pct"/>
            <w:shd w:val="clear" w:color="auto" w:fill="auto"/>
            <w:vAlign w:val="center"/>
            <w:hideMark/>
          </w:tcPr>
          <w:p w:rsidR="00B008D9" w:rsidRPr="00600807" w:rsidRDefault="00B008D9" w:rsidP="005200A0">
            <w:pPr>
              <w:jc w:val="center"/>
              <w:rPr>
                <w:rFonts w:eastAsia="Times New Roman"/>
                <w:color w:val="000000"/>
                <w:sz w:val="24"/>
                <w:szCs w:val="24"/>
                <w:lang w:eastAsia="en-GB"/>
              </w:rPr>
            </w:pPr>
            <w:r w:rsidRPr="00600807">
              <w:rPr>
                <w:rFonts w:eastAsia="Times New Roman"/>
                <w:color w:val="000000"/>
                <w:sz w:val="24"/>
                <w:szCs w:val="24"/>
                <w:lang w:eastAsia="en-GB"/>
              </w:rPr>
              <w:t>£641</w:t>
            </w:r>
          </w:p>
        </w:tc>
        <w:tc>
          <w:tcPr>
            <w:tcW w:w="962" w:type="pct"/>
            <w:shd w:val="clear" w:color="auto" w:fill="auto"/>
            <w:vAlign w:val="center"/>
            <w:hideMark/>
          </w:tcPr>
          <w:p w:rsidR="00B008D9" w:rsidRPr="00600807" w:rsidRDefault="00B008D9" w:rsidP="005200A0">
            <w:pPr>
              <w:jc w:val="center"/>
              <w:rPr>
                <w:rFonts w:eastAsia="Times New Roman"/>
                <w:color w:val="000000"/>
                <w:sz w:val="24"/>
                <w:szCs w:val="24"/>
                <w:lang w:eastAsia="en-GB"/>
              </w:rPr>
            </w:pPr>
            <w:r w:rsidRPr="00600807">
              <w:rPr>
                <w:rFonts w:eastAsia="Times New Roman"/>
                <w:color w:val="000000"/>
                <w:sz w:val="24"/>
                <w:szCs w:val="24"/>
                <w:lang w:eastAsia="en-GB"/>
              </w:rPr>
              <w:t>£767</w:t>
            </w:r>
          </w:p>
        </w:tc>
        <w:tc>
          <w:tcPr>
            <w:tcW w:w="908" w:type="pct"/>
            <w:shd w:val="clear" w:color="auto" w:fill="auto"/>
            <w:vAlign w:val="center"/>
            <w:hideMark/>
          </w:tcPr>
          <w:p w:rsidR="00B008D9" w:rsidRPr="00600807" w:rsidRDefault="00B008D9" w:rsidP="005200A0">
            <w:pPr>
              <w:jc w:val="center"/>
              <w:rPr>
                <w:rFonts w:eastAsia="Times New Roman"/>
                <w:color w:val="000000"/>
                <w:sz w:val="24"/>
                <w:szCs w:val="24"/>
                <w:lang w:eastAsia="en-GB"/>
              </w:rPr>
            </w:pPr>
            <w:r w:rsidRPr="00600807">
              <w:rPr>
                <w:rFonts w:eastAsia="Times New Roman"/>
                <w:color w:val="000000"/>
                <w:sz w:val="24"/>
                <w:szCs w:val="24"/>
                <w:lang w:eastAsia="en-GB"/>
              </w:rPr>
              <w:t>£1,040</w:t>
            </w:r>
          </w:p>
        </w:tc>
      </w:tr>
    </w:tbl>
    <w:p w:rsidR="00B008D9" w:rsidRPr="00600807" w:rsidRDefault="00B008D9" w:rsidP="00700980">
      <w:pPr>
        <w:widowControl w:val="0"/>
        <w:spacing w:after="120" w:line="360" w:lineRule="auto"/>
        <w:rPr>
          <w:sz w:val="24"/>
          <w:szCs w:val="24"/>
        </w:rPr>
      </w:pPr>
      <w:r w:rsidRPr="00600807">
        <w:rPr>
          <w:sz w:val="24"/>
          <w:szCs w:val="24"/>
        </w:rPr>
        <w:t>Source: Valuation Office Agency</w:t>
      </w:r>
    </w:p>
    <w:p w:rsidR="00B008D9" w:rsidRDefault="00B008D9" w:rsidP="00362459">
      <w:pPr>
        <w:pStyle w:val="11Bodytext"/>
        <w:tabs>
          <w:tab w:val="clear" w:pos="2212"/>
          <w:tab w:val="num" w:pos="567"/>
        </w:tabs>
        <w:ind w:left="567" w:hanging="567"/>
        <w:rPr>
          <w:color w:val="auto"/>
        </w:rPr>
      </w:pPr>
      <w:r>
        <w:t>T</w:t>
      </w:r>
      <w:r w:rsidRPr="00D97170">
        <w:t xml:space="preserve">he suggested Living Rents are </w:t>
      </w:r>
      <w:r w:rsidR="00195AE8">
        <w:t xml:space="preserve">significantly </w:t>
      </w:r>
      <w:r>
        <w:t>lower</w:t>
      </w:r>
      <w:r w:rsidRPr="00D97170">
        <w:t xml:space="preserve"> than the relevant LHA (see </w:t>
      </w:r>
      <w:r w:rsidR="00195AE8">
        <w:t>Table 33</w:t>
      </w:r>
      <w:r w:rsidRPr="00D97170">
        <w:t>). As a general rule</w:t>
      </w:r>
      <w:r w:rsidR="00855CA6">
        <w:t>,</w:t>
      </w:r>
      <w:r w:rsidRPr="00D97170">
        <w:t xml:space="preserve"> it is not considered </w:t>
      </w:r>
      <w:r w:rsidR="00195AE8">
        <w:t>feasible</w:t>
      </w:r>
      <w:r w:rsidR="00195AE8" w:rsidRPr="00D97170">
        <w:t xml:space="preserve"> </w:t>
      </w:r>
      <w:r w:rsidRPr="00D97170">
        <w:t>to be charging rent in excess of LHA, as this would mean many households having to top up their rent from other income sources.</w:t>
      </w:r>
      <w:r w:rsidR="00855CA6">
        <w:t xml:space="preserve"> </w:t>
      </w:r>
      <w:r>
        <w:t xml:space="preserve"> </w:t>
      </w:r>
      <w:r w:rsidRPr="00D97170">
        <w:t>In setting rents, the local authority could</w:t>
      </w:r>
      <w:r w:rsidR="00855CA6">
        <w:t>, therefore,</w:t>
      </w:r>
      <w:r w:rsidRPr="00D97170">
        <w:t xml:space="preserve"> consider that the ‘affordable level’ is in the range from a Living Rent up to the maximum LHA level</w:t>
      </w:r>
      <w:r w:rsidRPr="008E4644">
        <w:rPr>
          <w:color w:val="auto"/>
        </w:rPr>
        <w:t xml:space="preserve">. </w:t>
      </w:r>
    </w:p>
    <w:p w:rsidR="0011202F" w:rsidRPr="00CA47B9" w:rsidRDefault="0011202F" w:rsidP="00805614">
      <w:pPr>
        <w:pStyle w:val="Addressline1"/>
        <w:ind w:left="567" w:firstLine="0"/>
      </w:pPr>
      <w:r w:rsidRPr="00CA47B9">
        <w:t>Relating Affordable Need and</w:t>
      </w:r>
      <w:r>
        <w:t xml:space="preserve"> Overall Housing Need</w:t>
      </w:r>
    </w:p>
    <w:p w:rsidR="0011202F" w:rsidRDefault="0011202F" w:rsidP="00362459">
      <w:pPr>
        <w:pStyle w:val="11Bodytext"/>
        <w:tabs>
          <w:tab w:val="clear" w:pos="2212"/>
          <w:tab w:val="num" w:pos="567"/>
        </w:tabs>
        <w:ind w:left="567" w:hanging="567"/>
      </w:pPr>
      <w:r w:rsidRPr="00CA47B9">
        <w:t xml:space="preserve">The analysis indicates a clear need for affordable housing. As identified, there is a </w:t>
      </w:r>
      <w:r>
        <w:t xml:space="preserve">net </w:t>
      </w:r>
      <w:r w:rsidRPr="00CA47B9">
        <w:t xml:space="preserve">need for </w:t>
      </w:r>
      <w:r>
        <w:t>348</w:t>
      </w:r>
      <w:r w:rsidRPr="00CA47B9">
        <w:t xml:space="preserve"> social/affordable dwellings and </w:t>
      </w:r>
      <w:r>
        <w:t>130</w:t>
      </w:r>
      <w:r w:rsidRPr="00CA47B9">
        <w:t xml:space="preserve"> affordable </w:t>
      </w:r>
      <w:r w:rsidR="00451CFA">
        <w:t>home ownership</w:t>
      </w:r>
      <w:r w:rsidRPr="00CA47B9">
        <w:t xml:space="preserve"> dwellings per annum through to 2036</w:t>
      </w:r>
      <w:r>
        <w:t xml:space="preserve"> for the District</w:t>
      </w:r>
      <w:r w:rsidRPr="00CA47B9">
        <w:t>.</w:t>
      </w:r>
      <w:r w:rsidR="00855CA6">
        <w:t xml:space="preserve"> </w:t>
      </w:r>
      <w:r>
        <w:t>For the Plan Area</w:t>
      </w:r>
      <w:r w:rsidR="00855CA6">
        <w:t>,</w:t>
      </w:r>
      <w:r>
        <w:t xml:space="preserve"> the need is for 286</w:t>
      </w:r>
      <w:r w:rsidRPr="00CA47B9">
        <w:t xml:space="preserve"> social/affordable dwellings and </w:t>
      </w:r>
      <w:r>
        <w:t>97</w:t>
      </w:r>
      <w:r w:rsidRPr="00CA47B9">
        <w:t xml:space="preserve"> affordable </w:t>
      </w:r>
      <w:r w:rsidR="00451CFA">
        <w:t>home ownership</w:t>
      </w:r>
      <w:r w:rsidRPr="00CA47B9">
        <w:t xml:space="preserve"> dwellings per annum through to 2036</w:t>
      </w:r>
    </w:p>
    <w:p w:rsidR="0011202F" w:rsidRPr="00CA47B9" w:rsidRDefault="0011202F" w:rsidP="00362459">
      <w:pPr>
        <w:pStyle w:val="11Bodytext"/>
        <w:tabs>
          <w:tab w:val="clear" w:pos="2212"/>
          <w:tab w:val="num" w:pos="567"/>
        </w:tabs>
        <w:ind w:left="567" w:hanging="567"/>
      </w:pPr>
      <w:r w:rsidRPr="00CA47B9">
        <w:t xml:space="preserve"> As identified, the </w:t>
      </w:r>
      <w:r>
        <w:t xml:space="preserve">housing </w:t>
      </w:r>
      <w:r w:rsidR="00930BAD">
        <w:t>figure</w:t>
      </w:r>
      <w:r w:rsidR="00930BAD" w:rsidRPr="00CA47B9">
        <w:t xml:space="preserve"> </w:t>
      </w:r>
      <w:r w:rsidRPr="00CA47B9">
        <w:t>has been calculated as 650 dpa in the Local Plan Area and 81 dpa in the National Park</w:t>
      </w:r>
      <w:r>
        <w:t xml:space="preserve"> </w:t>
      </w:r>
      <w:r w:rsidRPr="00CA47B9">
        <w:t xml:space="preserve">resulting in a need of 731 dpa in the District. </w:t>
      </w:r>
      <w:bookmarkStart w:id="148" w:name="_Hlk34228225"/>
      <w:r w:rsidRPr="00CA47B9">
        <w:t xml:space="preserve">Therefore, of the </w:t>
      </w:r>
      <w:r w:rsidR="00855CA6" w:rsidRPr="00CA47B9">
        <w:t>District</w:t>
      </w:r>
      <w:r w:rsidR="00855CA6">
        <w:t>-</w:t>
      </w:r>
      <w:r w:rsidRPr="00CA47B9">
        <w:t xml:space="preserve">wide housing need, </w:t>
      </w:r>
      <w:r>
        <w:t>48</w:t>
      </w:r>
      <w:r w:rsidRPr="00CA47B9">
        <w:t xml:space="preserve">% is social/affordable </w:t>
      </w:r>
      <w:r>
        <w:t xml:space="preserve">rented </w:t>
      </w:r>
      <w:r w:rsidRPr="00CA47B9">
        <w:t>dwelling need and 1</w:t>
      </w:r>
      <w:r>
        <w:t>8</w:t>
      </w:r>
      <w:r w:rsidRPr="00CA47B9">
        <w:t xml:space="preserve">% is affordable </w:t>
      </w:r>
      <w:r w:rsidR="00451CFA">
        <w:t>home ownership</w:t>
      </w:r>
      <w:r w:rsidRPr="00CA47B9">
        <w:t xml:space="preserve">. </w:t>
      </w:r>
      <w:r>
        <w:t>For the Plan Area</w:t>
      </w:r>
      <w:r w:rsidR="00855CA6">
        <w:t>,</w:t>
      </w:r>
      <w:r>
        <w:t xml:space="preserve"> this falls to 44% </w:t>
      </w:r>
      <w:r w:rsidRPr="00CA47B9">
        <w:t xml:space="preserve">social/affordable </w:t>
      </w:r>
      <w:r>
        <w:t xml:space="preserve">rented </w:t>
      </w:r>
      <w:r w:rsidRPr="00CA47B9">
        <w:t>dwelling need and 1</w:t>
      </w:r>
      <w:r>
        <w:t>5</w:t>
      </w:r>
      <w:r w:rsidRPr="00CA47B9">
        <w:t xml:space="preserve">% is </w:t>
      </w:r>
      <w:r w:rsidR="00855CA6">
        <w:t xml:space="preserve">an </w:t>
      </w:r>
      <w:r w:rsidRPr="00CA47B9">
        <w:t xml:space="preserve">affordable </w:t>
      </w:r>
      <w:bookmarkEnd w:id="148"/>
      <w:r w:rsidR="00451CFA">
        <w:t>home ownership</w:t>
      </w:r>
    </w:p>
    <w:p w:rsidR="0011202F" w:rsidRPr="00CA47B9" w:rsidRDefault="0011202F" w:rsidP="00362459">
      <w:pPr>
        <w:pStyle w:val="11Bodytext"/>
        <w:tabs>
          <w:tab w:val="clear" w:pos="2212"/>
          <w:tab w:val="num" w:pos="567"/>
        </w:tabs>
        <w:ind w:left="567" w:hanging="567"/>
      </w:pPr>
      <w:r>
        <w:t>T</w:t>
      </w:r>
      <w:r w:rsidRPr="00CA47B9">
        <w:t xml:space="preserve">he </w:t>
      </w:r>
      <w:r w:rsidR="00930BAD">
        <w:t>adopted</w:t>
      </w:r>
      <w:r w:rsidR="00930BAD" w:rsidRPr="00CA47B9">
        <w:t xml:space="preserve"> </w:t>
      </w:r>
      <w:r w:rsidRPr="00CA47B9">
        <w:t>Chichester Local Plan seeks (subject to scheme viability) 30% affordable dwellings on sites where there is a net increase of 11 or more dwellings and in all developments with a net increase of between 6 and 10 units in rural areas.</w:t>
      </w:r>
    </w:p>
    <w:p w:rsidR="0011202F" w:rsidRPr="00CA47B9" w:rsidRDefault="0011202F" w:rsidP="00362459">
      <w:pPr>
        <w:pStyle w:val="11Bodytext"/>
        <w:tabs>
          <w:tab w:val="clear" w:pos="2212"/>
          <w:tab w:val="num" w:pos="567"/>
        </w:tabs>
        <w:ind w:left="567" w:hanging="567"/>
      </w:pPr>
      <w:r w:rsidRPr="00CA47B9">
        <w:lastRenderedPageBreak/>
        <w:t xml:space="preserve">It should be noted that the widened definition of affordable housing now includes low cost and discounted market housing such as Starter Homes. This may impact on the viability of schemes and the future level of affordable housing provision. </w:t>
      </w:r>
    </w:p>
    <w:p w:rsidR="0011202F" w:rsidRPr="00CA47B9" w:rsidRDefault="0011202F" w:rsidP="00362459">
      <w:pPr>
        <w:pStyle w:val="11Bodytext"/>
        <w:tabs>
          <w:tab w:val="clear" w:pos="2212"/>
          <w:tab w:val="num" w:pos="567"/>
        </w:tabs>
        <w:ind w:left="567" w:hanging="567"/>
      </w:pPr>
      <w:r w:rsidRPr="00CA47B9">
        <w:t>Given the level of affordable housing need, the Council should</w:t>
      </w:r>
      <w:r w:rsidR="00855CA6">
        <w:t>, however,</w:t>
      </w:r>
      <w:r w:rsidRPr="00CA47B9">
        <w:t xml:space="preserve"> seek to maximise delivery where possible</w:t>
      </w:r>
      <w:r>
        <w:t xml:space="preserve"> within the limitations of viability.</w:t>
      </w:r>
      <w:r w:rsidR="00855CA6">
        <w:t xml:space="preserve"> </w:t>
      </w:r>
      <w:r>
        <w:t>B</w:t>
      </w:r>
      <w:r w:rsidRPr="00CA47B9">
        <w:t xml:space="preserve">esides delivery of affordable housing on mixed-tenure development schemes, there are </w:t>
      </w:r>
      <w:r w:rsidR="00855CA6">
        <w:t>some</w:t>
      </w:r>
      <w:r w:rsidRPr="00CA47B9">
        <w:t xml:space="preserve"> other mechanisms which deliver affordable housing. These include: </w:t>
      </w:r>
    </w:p>
    <w:p w:rsidR="0011202F" w:rsidRPr="00CA47B9" w:rsidRDefault="0011202F" w:rsidP="00ED1C06">
      <w:pPr>
        <w:pStyle w:val="10BulletBodytext"/>
      </w:pPr>
      <w:r>
        <w:t>Shared Ownership and Affordable Homes Programme</w:t>
      </w:r>
      <w:r w:rsidRPr="00CA47B9">
        <w:t xml:space="preserve"> – this (this is administered by </w:t>
      </w:r>
      <w:r>
        <w:t>Homes England</w:t>
      </w:r>
      <w:r w:rsidRPr="00CA47B9">
        <w:t xml:space="preserve">) </w:t>
      </w:r>
      <w:r>
        <w:t>aims</w:t>
      </w:r>
      <w:r w:rsidRPr="00CA47B9">
        <w:t xml:space="preserve"> to</w:t>
      </w:r>
      <w:r>
        <w:t xml:space="preserve"> increase the supply of shared ownership and other affordable homes in England by March 2021. Initial allocations of capital grant for new affordable housing schemes were announced on 5 January 2017 and these did not allocate all of the available budget, with £1.3 billion remaining available;</w:t>
      </w:r>
    </w:p>
    <w:p w:rsidR="0011202F" w:rsidRPr="00CA47B9" w:rsidRDefault="0011202F" w:rsidP="00ED1C06">
      <w:pPr>
        <w:pStyle w:val="10BulletBodytext"/>
      </w:pPr>
      <w:r w:rsidRPr="00CA47B9">
        <w:t>Empty Homes Programmes – where local authorities can bring properties back into use as affordable housing. These are existing properties, and thus represent a change in tenure within the current housing stock, although most of the empty homes in Chichester are second homes;</w:t>
      </w:r>
    </w:p>
    <w:p w:rsidR="0011202F" w:rsidRPr="00CA47B9" w:rsidRDefault="0011202F" w:rsidP="00ED1C06">
      <w:pPr>
        <w:pStyle w:val="10BulletBodytext"/>
      </w:pPr>
      <w:r w:rsidRPr="00CA47B9">
        <w:t>Rural Exception Site Development – where the emphasis is on delivering affordable housing to meet local needs</w:t>
      </w:r>
      <w:r>
        <w:t>.</w:t>
      </w:r>
      <w:r w:rsidRPr="00CA47B9">
        <w:t xml:space="preserve"> This includes delivery through Community Land Trusts.</w:t>
      </w:r>
    </w:p>
    <w:p w:rsidR="0011202F" w:rsidRPr="00CA47B9" w:rsidRDefault="0011202F" w:rsidP="00362459">
      <w:pPr>
        <w:pStyle w:val="11Bodytext"/>
        <w:tabs>
          <w:tab w:val="clear" w:pos="2212"/>
          <w:tab w:val="num" w:pos="567"/>
        </w:tabs>
        <w:ind w:left="567" w:hanging="567"/>
      </w:pPr>
      <w:r w:rsidRPr="00CA47B9">
        <w:t xml:space="preserve">The Council has also received £1.4m from </w:t>
      </w:r>
      <w:r w:rsidR="00855CA6">
        <w:t xml:space="preserve">the </w:t>
      </w:r>
      <w:r w:rsidRPr="00CA47B9">
        <w:t xml:space="preserve">government to support </w:t>
      </w:r>
      <w:r w:rsidR="00855CA6" w:rsidRPr="00CA47B9">
        <w:t>Community</w:t>
      </w:r>
      <w:r w:rsidR="00855CA6">
        <w:t>-</w:t>
      </w:r>
      <w:r w:rsidRPr="00CA47B9">
        <w:t>led housing. This is being used to support groups in setting up (incorporation) at £10k per group, to help fund technical support in achieving planning permission at £30k per group, purchase of exception sites at £10k per plot, as well as funding additional enabling and planning resources to help facilitate this project.</w:t>
      </w:r>
    </w:p>
    <w:p w:rsidR="0011202F" w:rsidRPr="00CA47B9" w:rsidRDefault="0011202F" w:rsidP="00362459">
      <w:pPr>
        <w:pStyle w:val="11Bodytext"/>
        <w:tabs>
          <w:tab w:val="clear" w:pos="2212"/>
          <w:tab w:val="num" w:pos="567"/>
        </w:tabs>
        <w:ind w:left="567" w:hanging="567"/>
      </w:pPr>
      <w:r w:rsidRPr="00CA47B9">
        <w:t>The Council currently has 8 groups moving forward, some of which have already identified land. Although this project is not expected to deliver homes in great numbers it is hoped that it will contribute to easing the affordability issues in rural parishes, where the larger regional/ national RPs are less willing to develop</w:t>
      </w:r>
      <w:r>
        <w:t>.</w:t>
      </w:r>
      <w:r w:rsidRPr="00CA47B9">
        <w:t xml:space="preserve"> </w:t>
      </w:r>
    </w:p>
    <w:p w:rsidR="0011202F" w:rsidRPr="00CA47B9" w:rsidRDefault="0011202F" w:rsidP="00362459">
      <w:pPr>
        <w:pStyle w:val="11Bodytext"/>
        <w:tabs>
          <w:tab w:val="clear" w:pos="2212"/>
          <w:tab w:val="num" w:pos="567"/>
        </w:tabs>
        <w:ind w:left="567" w:hanging="567"/>
      </w:pPr>
      <w:r>
        <w:t>As of December 2019, t</w:t>
      </w:r>
      <w:r w:rsidRPr="00CA47B9">
        <w:t>he Council currently ha</w:t>
      </w:r>
      <w:r>
        <w:t>d</w:t>
      </w:r>
      <w:r w:rsidRPr="00CA47B9">
        <w:t xml:space="preserve"> £2,095,715 to support affordable housing of which £1.35m is already allocated. Funding for specialist forms of affordable housing, such as extra care provision, may also be available from other sources; whilst other niche agents, such as Community Land Trusts, may deliver new affordable housing. </w:t>
      </w:r>
    </w:p>
    <w:p w:rsidR="0011202F" w:rsidRPr="00CA47B9" w:rsidRDefault="0011202F" w:rsidP="00362459">
      <w:pPr>
        <w:pStyle w:val="11Bodytext"/>
        <w:tabs>
          <w:tab w:val="clear" w:pos="2212"/>
          <w:tab w:val="num" w:pos="567"/>
        </w:tabs>
        <w:ind w:left="567" w:hanging="567"/>
      </w:pPr>
      <w:r w:rsidRPr="00CA47B9">
        <w:t xml:space="preserve">Net changes in affordable housing stock may also be influenced by estate regeneration schemes, as well as potentially negatively by factors such as the </w:t>
      </w:r>
      <w:r w:rsidRPr="00CA47B9">
        <w:lastRenderedPageBreak/>
        <w:t>proposed extension of the Right to Buy to housing association properties and increased disposals of vacant dwellings. Small amounts of affordable housing need can be met by changes in the ownership of existing housing stock, not just by new-build development.</w:t>
      </w:r>
    </w:p>
    <w:p w:rsidR="0011202F" w:rsidRPr="00CA47B9" w:rsidRDefault="0011202F" w:rsidP="00362459">
      <w:pPr>
        <w:pStyle w:val="11Bodytext"/>
        <w:tabs>
          <w:tab w:val="clear" w:pos="2212"/>
          <w:tab w:val="num" w:pos="567"/>
        </w:tabs>
        <w:ind w:left="567" w:hanging="567"/>
      </w:pPr>
      <w:r w:rsidRPr="00CA47B9">
        <w:t xml:space="preserve">It is </w:t>
      </w:r>
      <w:r>
        <w:t xml:space="preserve">also </w:t>
      </w:r>
      <w:r w:rsidRPr="00CA47B9">
        <w:t xml:space="preserve">worth briefly thinking about how affordable need works in practice and the housing available to those unable to access market housing without Housing Benefit. </w:t>
      </w:r>
    </w:p>
    <w:p w:rsidR="0011202F" w:rsidRPr="00CA47B9" w:rsidRDefault="0011202F" w:rsidP="00362459">
      <w:pPr>
        <w:pStyle w:val="11Bodytext"/>
        <w:tabs>
          <w:tab w:val="clear" w:pos="2212"/>
          <w:tab w:val="num" w:pos="567"/>
        </w:tabs>
        <w:ind w:left="567" w:hanging="567"/>
      </w:pPr>
      <w:r w:rsidRPr="00CA47B9">
        <w:t>Whilst the Private Rented Sector (PRS) does not fall within the types of affordable housing set out in the NPPF ‘for planning purposes’, it has evidently</w:t>
      </w:r>
      <w:r>
        <w:t xml:space="preserve"> (through LHA)</w:t>
      </w:r>
      <w:r w:rsidRPr="00CA47B9">
        <w:t xml:space="preserve"> been playing a role in meeting the needs of households who require financial support in meeting their housing need. </w:t>
      </w:r>
      <w:r w:rsidR="00855CA6">
        <w:t>The g</w:t>
      </w:r>
      <w:r w:rsidR="00855CA6" w:rsidRPr="00CA47B9">
        <w:t xml:space="preserve">overnment </w:t>
      </w:r>
      <w:r w:rsidRPr="00CA47B9">
        <w:t>recognises this and indeed legislated through the 2011 Localism Act to allow Councils to discharge their “homelessness duty” through providing an offer of a suitable property in the PRS. It is also notable that the Housing White Paper is proposing to include a new tenure of affordable housing (affordable private rent housing). However, some private landlords are withdrawing due to changes in tax and introduction of Universal Credit.</w:t>
      </w:r>
    </w:p>
    <w:p w:rsidR="0011202F" w:rsidRPr="00CA47B9" w:rsidRDefault="0011202F" w:rsidP="00362459">
      <w:pPr>
        <w:pStyle w:val="11Bodytext"/>
        <w:tabs>
          <w:tab w:val="clear" w:pos="2212"/>
          <w:tab w:val="num" w:pos="567"/>
        </w:tabs>
        <w:ind w:left="567" w:hanging="567"/>
      </w:pPr>
      <w:r w:rsidRPr="00CA47B9">
        <w:t xml:space="preserve">Where a household </w:t>
      </w:r>
      <w:r w:rsidR="009D0471" w:rsidRPr="00CA47B9">
        <w:t>can</w:t>
      </w:r>
      <w:r w:rsidRPr="00CA47B9">
        <w:t xml:space="preserve"> access suitable housing in the private rented sector (with or without Housing Benefit) it is the case that these needs are being met by the market (as within the NPPF definition). As such the role played by the private rented sector should be recognised – it is part of the functioning housing market. There are however issues with the use of Housing Benefit in the private rented sector, including the cost to the public purse and a disincentive barrier to reduce benefit dependency (i.e. there is potentially a disincentive for households to work if benefit losses are greater than the income they can earn).</w:t>
      </w:r>
    </w:p>
    <w:p w:rsidR="00B008D9" w:rsidRPr="00E71B8F" w:rsidRDefault="0011202F" w:rsidP="00362459">
      <w:pPr>
        <w:pStyle w:val="11Bodytext"/>
        <w:tabs>
          <w:tab w:val="clear" w:pos="2212"/>
          <w:tab w:val="num" w:pos="567"/>
        </w:tabs>
        <w:ind w:left="567" w:hanging="567"/>
      </w:pPr>
      <w:r w:rsidRPr="00CA47B9">
        <w:t xml:space="preserve">However, national planning policy does not specifically seek to meet the needs identified </w:t>
      </w:r>
      <w:r>
        <w:t>above</w:t>
      </w:r>
      <w:r w:rsidRPr="00CA47B9">
        <w:t xml:space="preserve"> in the Private Rented Sector</w:t>
      </w:r>
      <w:r>
        <w:t xml:space="preserve"> through the assistance of housing benefits</w:t>
      </w:r>
      <w:r w:rsidRPr="00CA47B9">
        <w:t>. Government’s benefit caps may reduce the contribution which this sector plays in providing a housing supply which meets the needs of households identified in the affordable housing needs model. In particular, future growth in households living within the PRS and claiming Housing Benefit cannot be guaranteed.</w:t>
      </w:r>
      <w:r w:rsidR="00855CA6" w:rsidDel="00855CA6">
        <w:t xml:space="preserve"> </w:t>
      </w:r>
    </w:p>
    <w:tbl>
      <w:tblPr>
        <w:tblStyle w:val="TableGrid"/>
        <w:tblW w:w="5000" w:type="pct"/>
        <w:tblBorders>
          <w:top w:val="single" w:sz="18" w:space="0" w:color="0093D5" w:themeColor="accent2"/>
          <w:left w:val="single" w:sz="18" w:space="0" w:color="0093D5" w:themeColor="accent2"/>
          <w:bottom w:val="single" w:sz="18" w:space="0" w:color="0093D5" w:themeColor="accent2"/>
          <w:right w:val="single" w:sz="18" w:space="0" w:color="0093D5" w:themeColor="accent2"/>
          <w:insideH w:val="single" w:sz="18" w:space="0" w:color="0093D5" w:themeColor="accent2"/>
          <w:insideV w:val="single" w:sz="18" w:space="0" w:color="0093D5" w:themeColor="accent2"/>
        </w:tblBorders>
        <w:tblLook w:val="04A0" w:firstRow="1" w:lastRow="0" w:firstColumn="1" w:lastColumn="0" w:noHBand="0" w:noVBand="1"/>
        <w:tblCaption w:val="Affordable Housing: Key Points "/>
      </w:tblPr>
      <w:tblGrid>
        <w:gridCol w:w="9847"/>
      </w:tblGrid>
      <w:tr w:rsidR="00B008D9" w:rsidRPr="00CA47B9" w:rsidTr="00D30252">
        <w:trPr>
          <w:cantSplit/>
          <w:tblHeader/>
        </w:trPr>
        <w:tc>
          <w:tcPr>
            <w:tcW w:w="5000" w:type="pct"/>
          </w:tcPr>
          <w:p w:rsidR="00B008D9" w:rsidRPr="00B35599" w:rsidRDefault="00B008D9" w:rsidP="005200A0">
            <w:pPr>
              <w:rPr>
                <w:b/>
                <w:sz w:val="24"/>
                <w:szCs w:val="24"/>
              </w:rPr>
            </w:pPr>
          </w:p>
          <w:p w:rsidR="00B008D9" w:rsidRPr="00B35599" w:rsidRDefault="00B008D9" w:rsidP="005200A0">
            <w:pPr>
              <w:rPr>
                <w:b/>
                <w:sz w:val="24"/>
                <w:szCs w:val="24"/>
              </w:rPr>
            </w:pPr>
            <w:r w:rsidRPr="00B35599">
              <w:rPr>
                <w:b/>
                <w:sz w:val="24"/>
                <w:szCs w:val="24"/>
              </w:rPr>
              <w:t xml:space="preserve">Affordable Housing: Key Points </w:t>
            </w:r>
          </w:p>
          <w:p w:rsidR="00B008D9" w:rsidRPr="00CA47B9" w:rsidRDefault="00B008D9" w:rsidP="005200A0">
            <w:pPr>
              <w:rPr>
                <w:b/>
              </w:rPr>
            </w:pPr>
          </w:p>
          <w:p w:rsidR="00994E05" w:rsidRPr="00B856AF" w:rsidRDefault="00994E05" w:rsidP="00A54ECA">
            <w:pPr>
              <w:pStyle w:val="ListParagraph"/>
              <w:rPr>
                <w:bCs/>
              </w:rPr>
            </w:pPr>
            <w:bookmarkStart w:id="149" w:name="_Hlk34227949"/>
            <w:r w:rsidRPr="00B856AF">
              <w:t xml:space="preserve">An assessment of affordable housing need has been undertaken which is compliant with Government guidance to identify whether there is a shortfall or surplus of affordable housing in Chichester District and the Plan Area. </w:t>
            </w:r>
          </w:p>
          <w:p w:rsidR="00994E05" w:rsidRPr="00B856AF" w:rsidRDefault="00994E05" w:rsidP="00600807">
            <w:pPr>
              <w:pStyle w:val="ListParagraph"/>
              <w:numPr>
                <w:ilvl w:val="0"/>
                <w:numId w:val="0"/>
              </w:numPr>
              <w:ind w:left="360"/>
            </w:pPr>
          </w:p>
          <w:p w:rsidR="00994E05" w:rsidRPr="00121A05" w:rsidRDefault="00994E05" w:rsidP="00A54ECA">
            <w:pPr>
              <w:pStyle w:val="ListParagraph"/>
              <w:rPr>
                <w:bCs/>
              </w:rPr>
            </w:pPr>
            <w:r w:rsidRPr="00B856AF">
              <w:t>Overall, in the period to 2036</w:t>
            </w:r>
            <w:r w:rsidR="00855CA6">
              <w:t>,</w:t>
            </w:r>
            <w:r w:rsidRPr="00B856AF">
              <w:t xml:space="preserve"> a net need of 348 social/affordable rented homes per annum and 130 affordable </w:t>
            </w:r>
            <w:r w:rsidR="00451CFA">
              <w:t>home ownership</w:t>
            </w:r>
            <w:r w:rsidRPr="00B856AF">
              <w:t xml:space="preserve"> per annum is identified for the district.</w:t>
            </w:r>
            <w:r w:rsidR="00855CA6">
              <w:t xml:space="preserve"> </w:t>
            </w:r>
            <w:r w:rsidRPr="00B856AF">
              <w:t xml:space="preserve"> For the Plan </w:t>
            </w:r>
            <w:r>
              <w:t>A</w:t>
            </w:r>
            <w:r w:rsidRPr="00B856AF">
              <w:t>rea</w:t>
            </w:r>
            <w:r w:rsidR="00855CA6">
              <w:t>,</w:t>
            </w:r>
            <w:r w:rsidRPr="00B856AF">
              <w:t xml:space="preserve"> there is a net need of 286 social/affordable rented homes per annum and 87 affordable </w:t>
            </w:r>
            <w:r w:rsidR="00451CFA">
              <w:t>home ownership</w:t>
            </w:r>
            <w:r w:rsidRPr="00B856AF">
              <w:t xml:space="preserve"> per annum is identified</w:t>
            </w:r>
            <w:r>
              <w:t>.</w:t>
            </w:r>
            <w:r w:rsidRPr="00B856AF">
              <w:t xml:space="preserve"> </w:t>
            </w:r>
            <w:r>
              <w:t>In both cases</w:t>
            </w:r>
            <w:r w:rsidR="00855CA6">
              <w:t>,</w:t>
            </w:r>
            <w:r>
              <w:t xml:space="preserve"> this is an increase from </w:t>
            </w:r>
            <w:r w:rsidR="00855CA6">
              <w:t xml:space="preserve">a </w:t>
            </w:r>
            <w:r>
              <w:t xml:space="preserve">previous assessment based on a </w:t>
            </w:r>
            <w:r w:rsidR="00015AE0">
              <w:t>reduction in the number of relets</w:t>
            </w:r>
            <w:r>
              <w:t xml:space="preserve"> rather than an increase in gross need. </w:t>
            </w:r>
          </w:p>
          <w:p w:rsidR="00994E05" w:rsidRPr="00B856AF" w:rsidRDefault="00994E05" w:rsidP="00600807">
            <w:pPr>
              <w:pStyle w:val="ListParagraph"/>
              <w:numPr>
                <w:ilvl w:val="0"/>
                <w:numId w:val="0"/>
              </w:numPr>
              <w:ind w:left="360"/>
            </w:pPr>
          </w:p>
          <w:p w:rsidR="00994E05" w:rsidRPr="00B856AF" w:rsidRDefault="00994E05" w:rsidP="00A54ECA">
            <w:pPr>
              <w:pStyle w:val="ListParagraph"/>
              <w:rPr>
                <w:bCs/>
              </w:rPr>
            </w:pPr>
            <w:r w:rsidRPr="00B856AF">
              <w:t xml:space="preserve">As identified, the housing </w:t>
            </w:r>
            <w:r w:rsidR="00930BAD">
              <w:t>figure</w:t>
            </w:r>
            <w:r w:rsidR="00930BAD" w:rsidRPr="00B856AF">
              <w:t xml:space="preserve"> </w:t>
            </w:r>
            <w:r w:rsidRPr="00B856AF">
              <w:t xml:space="preserve">has been calculated as 650 dpa in the Local Plan Area and 731 dpa in the District. Therefore, of the </w:t>
            </w:r>
            <w:r w:rsidR="00855CA6" w:rsidRPr="00B856AF">
              <w:t>District</w:t>
            </w:r>
            <w:r w:rsidR="00855CA6">
              <w:t>-</w:t>
            </w:r>
            <w:r w:rsidRPr="00B856AF">
              <w:t xml:space="preserve">wide housing need, 48% is social/affordable rented dwelling need and 18% is affordable </w:t>
            </w:r>
            <w:r w:rsidR="00451CFA">
              <w:t>home ownership</w:t>
            </w:r>
            <w:r w:rsidRPr="00B856AF">
              <w:t>. For the Plan Area</w:t>
            </w:r>
            <w:r w:rsidR="00855CA6">
              <w:t>,</w:t>
            </w:r>
            <w:r w:rsidRPr="00B856AF">
              <w:t xml:space="preserve"> this falls to 44% social/affordable rented dwelling need and 15% is affordable </w:t>
            </w:r>
            <w:r w:rsidR="00451CFA">
              <w:t>home ownership</w:t>
            </w:r>
            <w:r w:rsidRPr="00B856AF">
              <w:rPr>
                <w:bCs/>
              </w:rPr>
              <w:t xml:space="preserve">. </w:t>
            </w:r>
          </w:p>
          <w:p w:rsidR="00994E05" w:rsidRPr="00B856AF" w:rsidRDefault="00994E05" w:rsidP="00600807">
            <w:pPr>
              <w:pStyle w:val="ListParagraph"/>
              <w:numPr>
                <w:ilvl w:val="0"/>
                <w:numId w:val="0"/>
              </w:numPr>
              <w:ind w:left="360"/>
            </w:pPr>
          </w:p>
          <w:p w:rsidR="00015AE0" w:rsidRDefault="00994E05" w:rsidP="00A54ECA">
            <w:pPr>
              <w:pStyle w:val="ListParagraph"/>
            </w:pPr>
            <w:r w:rsidRPr="00CA47B9">
              <w:t xml:space="preserve">There is a </w:t>
            </w:r>
            <w:r>
              <w:t xml:space="preserve">significant need </w:t>
            </w:r>
            <w:r w:rsidRPr="00CA47B9">
              <w:t xml:space="preserve">for new affordable housing and </w:t>
            </w:r>
            <w:r>
              <w:t xml:space="preserve">thus </w:t>
            </w:r>
            <w:r w:rsidRPr="00CA47B9">
              <w:t xml:space="preserve">the Council is justified in seeking to </w:t>
            </w:r>
            <w:r>
              <w:t>maximise</w:t>
            </w:r>
            <w:r w:rsidRPr="00CA47B9">
              <w:t xml:space="preserve"> affordable housing</w:t>
            </w:r>
            <w:r>
              <w:t xml:space="preserve"> provision within the limits of viability</w:t>
            </w:r>
            <w:r w:rsidRPr="00CA47B9">
              <w:t>.</w:t>
            </w:r>
            <w:r w:rsidRPr="00FE60DD">
              <w:t xml:space="preserve"> </w:t>
            </w:r>
          </w:p>
          <w:p w:rsidR="00015AE0" w:rsidRDefault="00015AE0" w:rsidP="00600807">
            <w:pPr>
              <w:pStyle w:val="ListParagraph"/>
              <w:numPr>
                <w:ilvl w:val="0"/>
                <w:numId w:val="0"/>
              </w:numPr>
              <w:ind w:left="360"/>
            </w:pPr>
          </w:p>
          <w:p w:rsidR="00994E05" w:rsidRPr="00CA47B9" w:rsidRDefault="00994E05" w:rsidP="00A54ECA">
            <w:pPr>
              <w:pStyle w:val="ListParagraph"/>
            </w:pPr>
            <w:r>
              <w:t xml:space="preserve">While the need for </w:t>
            </w:r>
            <w:r w:rsidRPr="00CA47B9">
              <w:t xml:space="preserve">affordable </w:t>
            </w:r>
            <w:r w:rsidR="00451CFA">
              <w:t>home ownership</w:t>
            </w:r>
            <w:r w:rsidRPr="00CA47B9">
              <w:t xml:space="preserve"> </w:t>
            </w:r>
            <w:r w:rsidR="005A4971">
              <w:t>(</w:t>
            </w:r>
            <w:r w:rsidR="00BE725F">
              <w:t>at 15%</w:t>
            </w:r>
            <w:r w:rsidR="005A4971">
              <w:t xml:space="preserve"> of overall need)</w:t>
            </w:r>
            <w:r w:rsidR="00BE725F">
              <w:t xml:space="preserve"> </w:t>
            </w:r>
            <w:r>
              <w:t>exceeds</w:t>
            </w:r>
            <w:r w:rsidRPr="00CA47B9">
              <w:t xml:space="preserve"> the 10% figure currently suggested in the NPPF</w:t>
            </w:r>
            <w:r w:rsidR="00BE725F">
              <w:t>, increasing such provision is not recommended as this</w:t>
            </w:r>
            <w:r>
              <w:t xml:space="preserve"> would likely result in a lower provision of social/affordable rented </w:t>
            </w:r>
            <w:r w:rsidR="00BE725F">
              <w:t>accommodation, of which there is a much higher need</w:t>
            </w:r>
            <w:r w:rsidR="005A4971">
              <w:t xml:space="preserve"> (44% of all need)</w:t>
            </w:r>
            <w:r w:rsidR="00015AE0">
              <w:t xml:space="preserve"> and</w:t>
            </w:r>
            <w:r w:rsidR="005A4971">
              <w:t xml:space="preserve"> is</w:t>
            </w:r>
            <w:r w:rsidR="00015AE0">
              <w:t xml:space="preserve"> </w:t>
            </w:r>
            <w:r w:rsidR="005A4971">
              <w:t>likely to be a</w:t>
            </w:r>
            <w:r w:rsidR="00015AE0">
              <w:t xml:space="preserve"> more acute</w:t>
            </w:r>
            <w:r w:rsidR="005A4971">
              <w:t xml:space="preserve"> need</w:t>
            </w:r>
            <w:r w:rsidR="00015AE0">
              <w:t>.</w:t>
            </w:r>
            <w:r w:rsidR="00BE725F">
              <w:t xml:space="preserve"> </w:t>
            </w:r>
          </w:p>
          <w:p w:rsidR="00994E05" w:rsidRPr="00CA47B9" w:rsidRDefault="00994E05" w:rsidP="00873DCC">
            <w:pPr>
              <w:jc w:val="both"/>
              <w:rPr>
                <w:bCs/>
              </w:rPr>
            </w:pPr>
          </w:p>
          <w:p w:rsidR="00994E05" w:rsidRPr="00CA47B9" w:rsidRDefault="00994E05" w:rsidP="00A54ECA">
            <w:pPr>
              <w:pStyle w:val="ListParagraph"/>
            </w:pPr>
            <w:r w:rsidRPr="00CA47B9">
              <w:t xml:space="preserve">The analysis has taken account of local housing costs (to both buy and rent) along with estimates of household income. </w:t>
            </w:r>
            <w:r w:rsidRPr="00CA47B9">
              <w:rPr>
                <w:bCs/>
              </w:rPr>
              <w:t>We have estimated that households require an income</w:t>
            </w:r>
            <w:r w:rsidR="00855CA6">
              <w:rPr>
                <w:bCs/>
              </w:rPr>
              <w:t xml:space="preserve"> of</w:t>
            </w:r>
            <w:r w:rsidRPr="00CA47B9">
              <w:rPr>
                <w:bCs/>
              </w:rPr>
              <w:t xml:space="preserve"> around £55,000 to buy and £27,600 to rent in the District. </w:t>
            </w:r>
          </w:p>
          <w:p w:rsidR="00994E05" w:rsidRPr="00CA47B9" w:rsidRDefault="00994E05" w:rsidP="00873DCC">
            <w:pPr>
              <w:keepNext/>
              <w:jc w:val="both"/>
            </w:pPr>
          </w:p>
          <w:p w:rsidR="00994E05" w:rsidRPr="00CA47B9" w:rsidRDefault="00994E05" w:rsidP="00A54ECA">
            <w:pPr>
              <w:pStyle w:val="ListParagraph"/>
            </w:pPr>
            <w:r w:rsidRPr="00CA47B9">
              <w:t xml:space="preserve">In terms of affordable </w:t>
            </w:r>
            <w:r w:rsidR="00451CFA">
              <w:t>home ownership</w:t>
            </w:r>
            <w:r w:rsidRPr="00CA47B9">
              <w:t xml:space="preserve"> prices, it is recommended that the Council consider setting prices</w:t>
            </w:r>
            <w:r>
              <w:t xml:space="preserve"> </w:t>
            </w:r>
            <w:r w:rsidRPr="00CA47B9">
              <w:t>at a level which (in income terms) are equivalent to the</w:t>
            </w:r>
            <w:r>
              <w:t xml:space="preserve"> midpoint</w:t>
            </w:r>
            <w:r w:rsidRPr="00CA47B9">
              <w:t xml:space="preserve"> </w:t>
            </w:r>
            <w:r>
              <w:t xml:space="preserve">between the </w:t>
            </w:r>
            <w:r w:rsidRPr="00CA47B9">
              <w:t>levels needed to access private rented housing</w:t>
            </w:r>
            <w:r>
              <w:t xml:space="preserve"> and Lower quartile purchase</w:t>
            </w:r>
            <w:r w:rsidRPr="00CA47B9">
              <w:t xml:space="preserve">. These are set </w:t>
            </w:r>
            <w:r w:rsidR="00855CA6" w:rsidRPr="00CA47B9">
              <w:t>ou</w:t>
            </w:r>
            <w:r w:rsidR="00855CA6">
              <w:t>t</w:t>
            </w:r>
            <w:r w:rsidR="00855CA6" w:rsidRPr="00CA47B9">
              <w:t xml:space="preserve"> </w:t>
            </w:r>
            <w:r w:rsidRPr="00CA47B9">
              <w:t>below</w:t>
            </w:r>
            <w:r>
              <w:t xml:space="preserve"> and should be updated every 6 months</w:t>
            </w:r>
            <w:r w:rsidRPr="00CA47B9">
              <w:t>.</w:t>
            </w:r>
          </w:p>
          <w:p w:rsidR="00994E05" w:rsidRPr="00CA47B9" w:rsidRDefault="00994E05" w:rsidP="00994E05">
            <w:pPr>
              <w:keepNext/>
            </w:pPr>
          </w:p>
          <w:tbl>
            <w:tblPr>
              <w:tblStyle w:val="ListTable3-Accent21"/>
              <w:tblW w:w="7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idpoint housing price by dwelling size"/>
            </w:tblPr>
            <w:tblGrid>
              <w:gridCol w:w="1430"/>
              <w:gridCol w:w="1441"/>
              <w:gridCol w:w="1442"/>
              <w:gridCol w:w="1441"/>
              <w:gridCol w:w="1538"/>
            </w:tblGrid>
            <w:tr w:rsidR="00994E05" w:rsidRPr="00B35599" w:rsidTr="00C15BDF">
              <w:trPr>
                <w:cnfStyle w:val="100000000000" w:firstRow="1" w:lastRow="0" w:firstColumn="0" w:lastColumn="0" w:oddVBand="0" w:evenVBand="0" w:oddHBand="0" w:evenHBand="0" w:firstRowFirstColumn="0" w:firstRowLastColumn="0" w:lastRowFirstColumn="0" w:lastRowLastColumn="0"/>
                <w:trHeight w:val="357"/>
                <w:tblHeader/>
                <w:jc w:val="center"/>
              </w:trPr>
              <w:tc>
                <w:tcPr>
                  <w:cnfStyle w:val="001000000100" w:firstRow="0" w:lastRow="0" w:firstColumn="1" w:lastColumn="0" w:oddVBand="0" w:evenVBand="0" w:oddHBand="0" w:evenHBand="0" w:firstRowFirstColumn="1" w:firstRowLastColumn="0" w:lastRowFirstColumn="0" w:lastRowLastColumn="0"/>
                  <w:tcW w:w="1430" w:type="dxa"/>
                </w:tcPr>
                <w:p w:rsidR="00994E05" w:rsidRPr="00B35599" w:rsidRDefault="00994E05" w:rsidP="00994E05">
                  <w:pPr>
                    <w:rPr>
                      <w:b w:val="0"/>
                      <w:bCs w:val="0"/>
                      <w:sz w:val="24"/>
                      <w:szCs w:val="24"/>
                    </w:rPr>
                  </w:pPr>
                </w:p>
              </w:tc>
              <w:tc>
                <w:tcPr>
                  <w:tcW w:w="1441" w:type="dxa"/>
                </w:tcPr>
                <w:p w:rsidR="00994E05" w:rsidRPr="00B35599" w:rsidRDefault="00994E05" w:rsidP="00994E05">
                  <w:pPr>
                    <w:jc w:val="center"/>
                    <w:cnfStyle w:val="100000000000" w:firstRow="1" w:lastRow="0" w:firstColumn="0" w:lastColumn="0" w:oddVBand="0" w:evenVBand="0" w:oddHBand="0" w:evenHBand="0" w:firstRowFirstColumn="0" w:firstRowLastColumn="0" w:lastRowFirstColumn="0" w:lastRowLastColumn="0"/>
                    <w:rPr>
                      <w:color w:val="000000"/>
                      <w:sz w:val="24"/>
                      <w:szCs w:val="24"/>
                      <w:lang w:eastAsia="en-GB"/>
                    </w:rPr>
                  </w:pPr>
                  <w:r w:rsidRPr="00B35599">
                    <w:rPr>
                      <w:b w:val="0"/>
                      <w:bCs w:val="0"/>
                      <w:sz w:val="24"/>
                      <w:szCs w:val="24"/>
                    </w:rPr>
                    <w:t>1-bedroom</w:t>
                  </w:r>
                </w:p>
              </w:tc>
              <w:tc>
                <w:tcPr>
                  <w:tcW w:w="1442" w:type="dxa"/>
                </w:tcPr>
                <w:p w:rsidR="00994E05" w:rsidRPr="00B35599" w:rsidRDefault="00994E05" w:rsidP="00994E05">
                  <w:pPr>
                    <w:jc w:val="center"/>
                    <w:cnfStyle w:val="100000000000" w:firstRow="1" w:lastRow="0" w:firstColumn="0" w:lastColumn="0" w:oddVBand="0" w:evenVBand="0" w:oddHBand="0" w:evenHBand="0" w:firstRowFirstColumn="0" w:firstRowLastColumn="0" w:lastRowFirstColumn="0" w:lastRowLastColumn="0"/>
                    <w:rPr>
                      <w:color w:val="000000"/>
                      <w:sz w:val="24"/>
                      <w:szCs w:val="24"/>
                      <w:lang w:eastAsia="en-GB"/>
                    </w:rPr>
                  </w:pPr>
                  <w:r w:rsidRPr="00B35599">
                    <w:rPr>
                      <w:b w:val="0"/>
                      <w:bCs w:val="0"/>
                      <w:sz w:val="24"/>
                      <w:szCs w:val="24"/>
                    </w:rPr>
                    <w:t>2-bedroom</w:t>
                  </w:r>
                </w:p>
              </w:tc>
              <w:tc>
                <w:tcPr>
                  <w:tcW w:w="1441" w:type="dxa"/>
                </w:tcPr>
                <w:p w:rsidR="00994E05" w:rsidRPr="00B35599" w:rsidRDefault="00994E05" w:rsidP="00994E05">
                  <w:pPr>
                    <w:jc w:val="center"/>
                    <w:cnfStyle w:val="100000000000" w:firstRow="1" w:lastRow="0" w:firstColumn="0" w:lastColumn="0" w:oddVBand="0" w:evenVBand="0" w:oddHBand="0" w:evenHBand="0" w:firstRowFirstColumn="0" w:firstRowLastColumn="0" w:lastRowFirstColumn="0" w:lastRowLastColumn="0"/>
                    <w:rPr>
                      <w:color w:val="000000"/>
                      <w:sz w:val="24"/>
                      <w:szCs w:val="24"/>
                      <w:lang w:eastAsia="en-GB"/>
                    </w:rPr>
                  </w:pPr>
                  <w:r w:rsidRPr="00B35599">
                    <w:rPr>
                      <w:b w:val="0"/>
                      <w:bCs w:val="0"/>
                      <w:sz w:val="24"/>
                      <w:szCs w:val="24"/>
                    </w:rPr>
                    <w:t>3-bedroom</w:t>
                  </w:r>
                </w:p>
              </w:tc>
              <w:tc>
                <w:tcPr>
                  <w:tcW w:w="1538" w:type="dxa"/>
                </w:tcPr>
                <w:p w:rsidR="00994E05" w:rsidRPr="00B35599" w:rsidRDefault="00994E05" w:rsidP="00994E05">
                  <w:pPr>
                    <w:jc w:val="center"/>
                    <w:cnfStyle w:val="100000000000" w:firstRow="1" w:lastRow="0" w:firstColumn="0" w:lastColumn="0" w:oddVBand="0" w:evenVBand="0" w:oddHBand="0" w:evenHBand="0" w:firstRowFirstColumn="0" w:firstRowLastColumn="0" w:lastRowFirstColumn="0" w:lastRowLastColumn="0"/>
                    <w:rPr>
                      <w:color w:val="000000"/>
                      <w:sz w:val="24"/>
                      <w:szCs w:val="24"/>
                      <w:lang w:eastAsia="en-GB"/>
                    </w:rPr>
                  </w:pPr>
                  <w:r w:rsidRPr="00B35599">
                    <w:rPr>
                      <w:b w:val="0"/>
                      <w:bCs w:val="0"/>
                      <w:sz w:val="24"/>
                      <w:szCs w:val="24"/>
                    </w:rPr>
                    <w:t>4+bedroom</w:t>
                  </w:r>
                </w:p>
              </w:tc>
            </w:tr>
            <w:tr w:rsidR="00994E05" w:rsidRPr="00B35599" w:rsidTr="00B35599">
              <w:trPr>
                <w:cnfStyle w:val="000000100000" w:firstRow="0" w:lastRow="0" w:firstColumn="0" w:lastColumn="0" w:oddVBand="0" w:evenVBand="0" w:oddHBand="1" w:evenHBand="0" w:firstRowFirstColumn="0" w:firstRowLastColumn="0" w:lastRowFirstColumn="0" w:lastRowLastColumn="0"/>
                <w:trHeight w:val="178"/>
                <w:jc w:val="center"/>
              </w:trPr>
              <w:tc>
                <w:tcPr>
                  <w:cnfStyle w:val="001000000000" w:firstRow="0" w:lastRow="0" w:firstColumn="1" w:lastColumn="0" w:oddVBand="0" w:evenVBand="0" w:oddHBand="0" w:evenHBand="0" w:firstRowFirstColumn="0" w:firstRowLastColumn="0" w:lastRowFirstColumn="0" w:lastRowLastColumn="0"/>
                  <w:tcW w:w="1430" w:type="dxa"/>
                  <w:tcBorders>
                    <w:top w:val="none" w:sz="0" w:space="0" w:color="auto"/>
                    <w:bottom w:val="none" w:sz="0" w:space="0" w:color="auto"/>
                    <w:right w:val="none" w:sz="0" w:space="0" w:color="auto"/>
                  </w:tcBorders>
                </w:tcPr>
                <w:p w:rsidR="00994E05" w:rsidRPr="00B35599" w:rsidRDefault="00994E05" w:rsidP="00994E05">
                  <w:pPr>
                    <w:rPr>
                      <w:b w:val="0"/>
                      <w:bCs w:val="0"/>
                      <w:color w:val="000000"/>
                      <w:sz w:val="24"/>
                      <w:szCs w:val="24"/>
                    </w:rPr>
                  </w:pPr>
                  <w:r w:rsidRPr="00B35599">
                    <w:rPr>
                      <w:b w:val="0"/>
                      <w:bCs w:val="0"/>
                      <w:sz w:val="24"/>
                      <w:szCs w:val="24"/>
                    </w:rPr>
                    <w:t>Midpoint</w:t>
                  </w:r>
                </w:p>
              </w:tc>
              <w:tc>
                <w:tcPr>
                  <w:tcW w:w="1441" w:type="dxa"/>
                  <w:tcBorders>
                    <w:top w:val="none" w:sz="0" w:space="0" w:color="auto"/>
                    <w:bottom w:val="none" w:sz="0" w:space="0" w:color="auto"/>
                  </w:tcBorders>
                </w:tcPr>
                <w:p w:rsidR="00994E05" w:rsidRPr="00B35599" w:rsidRDefault="00994E05" w:rsidP="00994E0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B35599">
                    <w:rPr>
                      <w:color w:val="000000"/>
                      <w:sz w:val="24"/>
                      <w:szCs w:val="24"/>
                      <w:lang w:eastAsia="en-GB"/>
                    </w:rPr>
                    <w:t>£123,000</w:t>
                  </w:r>
                </w:p>
              </w:tc>
              <w:tc>
                <w:tcPr>
                  <w:tcW w:w="1442" w:type="dxa"/>
                  <w:tcBorders>
                    <w:top w:val="none" w:sz="0" w:space="0" w:color="auto"/>
                    <w:bottom w:val="none" w:sz="0" w:space="0" w:color="auto"/>
                  </w:tcBorders>
                </w:tcPr>
                <w:p w:rsidR="00994E05" w:rsidRPr="00B35599" w:rsidRDefault="00994E05" w:rsidP="00994E0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B35599">
                    <w:rPr>
                      <w:color w:val="000000"/>
                      <w:sz w:val="24"/>
                      <w:szCs w:val="24"/>
                      <w:lang w:eastAsia="en-GB"/>
                    </w:rPr>
                    <w:t>£179,000</w:t>
                  </w:r>
                </w:p>
              </w:tc>
              <w:tc>
                <w:tcPr>
                  <w:tcW w:w="1441" w:type="dxa"/>
                  <w:tcBorders>
                    <w:top w:val="none" w:sz="0" w:space="0" w:color="auto"/>
                    <w:bottom w:val="none" w:sz="0" w:space="0" w:color="auto"/>
                  </w:tcBorders>
                </w:tcPr>
                <w:p w:rsidR="00994E05" w:rsidRPr="00B35599" w:rsidRDefault="00994E05" w:rsidP="00994E0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B35599">
                    <w:rPr>
                      <w:color w:val="000000"/>
                      <w:sz w:val="24"/>
                      <w:szCs w:val="24"/>
                      <w:lang w:eastAsia="en-GB"/>
                    </w:rPr>
                    <w:t>£240,000</w:t>
                  </w:r>
                </w:p>
              </w:tc>
              <w:tc>
                <w:tcPr>
                  <w:tcW w:w="1538" w:type="dxa"/>
                  <w:tcBorders>
                    <w:top w:val="none" w:sz="0" w:space="0" w:color="auto"/>
                    <w:bottom w:val="none" w:sz="0" w:space="0" w:color="auto"/>
                  </w:tcBorders>
                </w:tcPr>
                <w:p w:rsidR="00994E05" w:rsidRPr="00B35599" w:rsidRDefault="00994E05" w:rsidP="00994E0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B35599">
                    <w:rPr>
                      <w:color w:val="000000"/>
                      <w:sz w:val="24"/>
                      <w:szCs w:val="24"/>
                      <w:lang w:eastAsia="en-GB"/>
                    </w:rPr>
                    <w:t>£350,500</w:t>
                  </w:r>
                </w:p>
              </w:tc>
            </w:tr>
          </w:tbl>
          <w:p w:rsidR="00994E05" w:rsidRPr="00CA47B9" w:rsidRDefault="00994E05" w:rsidP="00994E05">
            <w:pPr>
              <w:keepNext/>
            </w:pPr>
          </w:p>
          <w:p w:rsidR="00994E05" w:rsidRPr="001964E5" w:rsidRDefault="00994E05" w:rsidP="00A54ECA">
            <w:pPr>
              <w:pStyle w:val="ListParagraph"/>
            </w:pPr>
            <w:r w:rsidRPr="00CA47B9">
              <w:t>This would ensure that</w:t>
            </w:r>
            <w:r>
              <w:t xml:space="preserve"> at least 50% of the</w:t>
            </w:r>
            <w:r w:rsidRPr="00CA47B9">
              <w:t xml:space="preserve"> households targeted by the new definition could potentially afford housing - this </w:t>
            </w:r>
            <w:r>
              <w:t>would</w:t>
            </w:r>
            <w:r w:rsidRPr="00CA47B9">
              <w:t xml:space="preserve"> mean greater than 20% discounts from Open Market Value</w:t>
            </w:r>
            <w:r>
              <w:t>.</w:t>
            </w:r>
            <w:r w:rsidR="00855CA6">
              <w:t xml:space="preserve"> </w:t>
            </w:r>
            <w:r>
              <w:t xml:space="preserve">Further </w:t>
            </w:r>
            <w:r w:rsidRPr="001964E5">
              <w:t>discounts would ensure a greater proportion of those in need would be met.</w:t>
            </w:r>
            <w:r w:rsidR="00855CA6">
              <w:t xml:space="preserve"> </w:t>
            </w:r>
          </w:p>
          <w:p w:rsidR="00994E05" w:rsidRPr="001964E5" w:rsidRDefault="00994E05" w:rsidP="00B35599">
            <w:pPr>
              <w:pStyle w:val="ListParagraph"/>
              <w:numPr>
                <w:ilvl w:val="0"/>
                <w:numId w:val="0"/>
              </w:numPr>
              <w:ind w:left="360"/>
            </w:pPr>
          </w:p>
          <w:p w:rsidR="00B008D9" w:rsidRPr="00CA47B9" w:rsidRDefault="00994E05" w:rsidP="00786E20">
            <w:pPr>
              <w:pStyle w:val="ListParagraph"/>
            </w:pPr>
            <w:r w:rsidRPr="001964E5">
              <w:t>It does, however, need to be stressed that this report does not provide an affordable housing target; the amount of affordable housing delivered will be limited to the amount that can viably be provided</w:t>
            </w:r>
            <w:r>
              <w:t>.</w:t>
            </w:r>
            <w:bookmarkEnd w:id="149"/>
          </w:p>
        </w:tc>
      </w:tr>
    </w:tbl>
    <w:p w:rsidR="00B008D9" w:rsidRPr="001A0A96" w:rsidRDefault="00B008D9" w:rsidP="00766669">
      <w:pPr>
        <w:pStyle w:val="1Bodytext"/>
        <w:tabs>
          <w:tab w:val="clear" w:pos="794"/>
          <w:tab w:val="num" w:pos="567"/>
        </w:tabs>
        <w:spacing w:before="0"/>
        <w:ind w:left="567" w:hanging="567"/>
      </w:pPr>
      <w:bookmarkStart w:id="150" w:name="_Toc427694622"/>
      <w:bookmarkStart w:id="151" w:name="_Toc427695400"/>
      <w:bookmarkStart w:id="152" w:name="_Toc427696178"/>
      <w:bookmarkStart w:id="153" w:name="_Toc427694623"/>
      <w:bookmarkStart w:id="154" w:name="_Toc427695401"/>
      <w:bookmarkStart w:id="155" w:name="_Toc427696179"/>
      <w:bookmarkStart w:id="156" w:name="_Toc427694624"/>
      <w:bookmarkStart w:id="157" w:name="_Toc427695402"/>
      <w:bookmarkStart w:id="158" w:name="_Toc427696180"/>
      <w:bookmarkStart w:id="159" w:name="_Toc427694625"/>
      <w:bookmarkStart w:id="160" w:name="_Toc427695403"/>
      <w:bookmarkStart w:id="161" w:name="_Toc427696181"/>
      <w:bookmarkStart w:id="162" w:name="_Toc427694626"/>
      <w:bookmarkStart w:id="163" w:name="_Toc427695404"/>
      <w:bookmarkStart w:id="164" w:name="_Toc427696182"/>
      <w:bookmarkStart w:id="165" w:name="_Toc427694627"/>
      <w:bookmarkStart w:id="166" w:name="_Toc427695405"/>
      <w:bookmarkStart w:id="167" w:name="_Toc427696183"/>
      <w:bookmarkStart w:id="168" w:name="_Toc427694628"/>
      <w:bookmarkStart w:id="169" w:name="_Toc427695406"/>
      <w:bookmarkStart w:id="170" w:name="_Toc427696184"/>
      <w:bookmarkStart w:id="171" w:name="_Toc427694629"/>
      <w:bookmarkStart w:id="172" w:name="_Toc427695407"/>
      <w:bookmarkStart w:id="173" w:name="_Toc427696185"/>
      <w:bookmarkStart w:id="174" w:name="_Toc427694630"/>
      <w:bookmarkStart w:id="175" w:name="_Toc427695408"/>
      <w:bookmarkStart w:id="176" w:name="_Toc427696186"/>
      <w:bookmarkStart w:id="177" w:name="_Toc51600016"/>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1A0A96">
        <w:lastRenderedPageBreak/>
        <w:t>Need for Different Sizes of Homes</w:t>
      </w:r>
      <w:bookmarkEnd w:id="177"/>
    </w:p>
    <w:p w:rsidR="00B008D9" w:rsidRPr="00CA47B9" w:rsidRDefault="00B008D9" w:rsidP="00805614">
      <w:pPr>
        <w:pStyle w:val="SubheadBlue12"/>
        <w:ind w:left="567" w:firstLine="0"/>
      </w:pPr>
      <w:r w:rsidRPr="00CA47B9">
        <w:t>Introduction</w:t>
      </w:r>
    </w:p>
    <w:p w:rsidR="00B008D9" w:rsidRPr="00CA47B9" w:rsidRDefault="00B008D9" w:rsidP="00362459">
      <w:pPr>
        <w:pStyle w:val="11Bodytext"/>
        <w:tabs>
          <w:tab w:val="clear" w:pos="2212"/>
          <w:tab w:val="num" w:pos="567"/>
        </w:tabs>
        <w:ind w:left="567" w:hanging="567"/>
      </w:pPr>
      <w:r w:rsidRPr="00CA47B9">
        <w:t xml:space="preserve">As discussed in previous sections, there </w:t>
      </w:r>
      <w:r w:rsidR="00855CA6">
        <w:t>is</w:t>
      </w:r>
      <w:r w:rsidR="00855CA6" w:rsidRPr="00CA47B9">
        <w:t xml:space="preserve"> </w:t>
      </w:r>
      <w:r w:rsidRPr="00CA47B9">
        <w:t xml:space="preserve">a range of factors which influence housing demand. These factors play out at different spatial scales and influence both the level of housing demand (in terms of aggregate household growth) and the nature of </w:t>
      </w:r>
      <w:r w:rsidR="00855CA6">
        <w:t xml:space="preserve">the </w:t>
      </w:r>
      <w:r w:rsidRPr="00CA47B9">
        <w:t>demand for different types, tenures and sizes of homes. It is important to understand that the housing market is influenced by macro-economic factors, as well as the housing market conditions at a regional and local level.</w:t>
      </w:r>
    </w:p>
    <w:p w:rsidR="00B008D9" w:rsidRPr="00CA47B9" w:rsidRDefault="00B008D9" w:rsidP="00362459">
      <w:pPr>
        <w:pStyle w:val="11Bodytext"/>
        <w:tabs>
          <w:tab w:val="clear" w:pos="2212"/>
          <w:tab w:val="num" w:pos="567"/>
        </w:tabs>
        <w:ind w:left="567" w:hanging="567"/>
      </w:pPr>
      <w:r w:rsidRPr="00CA47B9">
        <w:t xml:space="preserve">In this section, consideration is given to the current housing mix initially, as future housing delivery will principally add to this. The section then moves on to assess the need for different types of homes in the future, modelling the implications of demographic drivers on need/demand for different sizes of homes in different tenures. The assessment is intended to provide an understanding of the implications of demographic dynamics on need and demand for different sizes of homes. </w:t>
      </w:r>
    </w:p>
    <w:p w:rsidR="00B008D9" w:rsidRPr="00CA47B9" w:rsidRDefault="00B008D9" w:rsidP="00362459">
      <w:pPr>
        <w:pStyle w:val="11Bodytext"/>
        <w:tabs>
          <w:tab w:val="clear" w:pos="2212"/>
          <w:tab w:val="num" w:pos="567"/>
        </w:tabs>
        <w:ind w:left="567" w:hanging="567"/>
      </w:pPr>
      <w:r w:rsidRPr="00CA47B9">
        <w:t xml:space="preserve">The analysis in this section seeks to use the information available about the size and structure of the population and household structures; and consider what impact this may have on the sizes of housing required in the future. </w:t>
      </w:r>
    </w:p>
    <w:p w:rsidR="00B008D9" w:rsidRDefault="00B008D9" w:rsidP="00362459">
      <w:pPr>
        <w:pStyle w:val="11Bodytext"/>
        <w:tabs>
          <w:tab w:val="clear" w:pos="2212"/>
          <w:tab w:val="num" w:pos="567"/>
        </w:tabs>
        <w:ind w:left="567" w:hanging="567"/>
      </w:pPr>
      <w:r w:rsidRPr="00CA47B9">
        <w:t xml:space="preserve">We start by profiling the “housing offer,” considering the characteristics of the current stock of housing by tenure, type and size. As the majority of housing that will be in existence in 2036 already forms part of the current housing stock, it is important to understand the existing housing mix when considering what new housing is needed. </w:t>
      </w:r>
    </w:p>
    <w:p w:rsidR="00AC76CF" w:rsidRPr="00CA47B9" w:rsidRDefault="00AC76CF" w:rsidP="00362459">
      <w:pPr>
        <w:pStyle w:val="11Bodytext"/>
        <w:tabs>
          <w:tab w:val="clear" w:pos="2212"/>
          <w:tab w:val="num" w:pos="567"/>
        </w:tabs>
        <w:ind w:left="567" w:hanging="567"/>
      </w:pPr>
      <w:r>
        <w:t>As some of the data below draws on the 2011 census it remains unchanged from the previous HEDNA.</w:t>
      </w:r>
    </w:p>
    <w:p w:rsidR="00B008D9" w:rsidRPr="00CA47B9" w:rsidRDefault="00B008D9" w:rsidP="00805614">
      <w:pPr>
        <w:pStyle w:val="SubheadBlue12"/>
        <w:ind w:left="567" w:firstLine="0"/>
      </w:pPr>
      <w:r w:rsidRPr="00CA47B9">
        <w:t>Tenure</w:t>
      </w:r>
    </w:p>
    <w:p w:rsidR="00B008D9" w:rsidRPr="00CA47B9" w:rsidRDefault="00B008D9" w:rsidP="00362459">
      <w:pPr>
        <w:pStyle w:val="11Bodytext"/>
        <w:tabs>
          <w:tab w:val="clear" w:pos="2212"/>
          <w:tab w:val="num" w:pos="567"/>
        </w:tabs>
        <w:ind w:left="567" w:hanging="567"/>
      </w:pPr>
      <w:r w:rsidRPr="00CA47B9">
        <w:t>The 2011 Census data can be used to provide a detailed breakdown of the housing stock by tenure. Owner occupation is the most common tenure type in all the sub-areas, with the percentage being highest in Plan Area North (80%), followed by the Manhood Peninsula sub-area (66%). This compares to the national percentage of 64%.</w:t>
      </w:r>
    </w:p>
    <w:p w:rsidR="00B008D9" w:rsidRPr="00CA47B9" w:rsidRDefault="00B008D9" w:rsidP="00362459">
      <w:pPr>
        <w:pStyle w:val="11Bodytext"/>
        <w:tabs>
          <w:tab w:val="clear" w:pos="2212"/>
          <w:tab w:val="num" w:pos="567"/>
        </w:tabs>
        <w:ind w:left="567" w:hanging="567"/>
      </w:pPr>
      <w:r w:rsidRPr="00CA47B9">
        <w:lastRenderedPageBreak/>
        <w:t>In terms of social renting, the highest percentage can be found in the Chichester City sub-area (22%). In comparison to the national figure (18%)</w:t>
      </w:r>
      <w:r w:rsidR="00855CA6">
        <w:t>,</w:t>
      </w:r>
      <w:r w:rsidRPr="00CA47B9">
        <w:t xml:space="preserve"> this tenure type is over-represented in Chichester City. The lowest levels of social renting are found in the Manhood Peninsula </w:t>
      </w:r>
      <w:r w:rsidR="00855CA6">
        <w:t>Sub-area</w:t>
      </w:r>
      <w:r w:rsidRPr="00CA47B9">
        <w:t xml:space="preserve"> at 9%, with all other sub-areas falling below the national average. </w:t>
      </w:r>
    </w:p>
    <w:p w:rsidR="00B008D9" w:rsidRPr="00CA47B9" w:rsidRDefault="00B008D9" w:rsidP="00700980">
      <w:pPr>
        <w:pStyle w:val="Tableheading"/>
        <w:tabs>
          <w:tab w:val="clear" w:pos="794"/>
          <w:tab w:val="clear" w:pos="1843"/>
          <w:tab w:val="left" w:pos="0"/>
        </w:tabs>
        <w:ind w:left="0" w:firstLine="0"/>
      </w:pPr>
      <w:r w:rsidRPr="00CA47B9">
        <w:t>Households by Tenure Type</w:t>
      </w:r>
    </w:p>
    <w:tbl>
      <w:tblPr>
        <w:tblStyle w:val="Compressed"/>
        <w:tblW w:w="4894" w:type="pct"/>
        <w:tblInd w:w="108" w:type="dxa"/>
        <w:tblLayout w:type="fixed"/>
        <w:tblLook w:val="04A0" w:firstRow="1" w:lastRow="0" w:firstColumn="1" w:lastColumn="0" w:noHBand="0" w:noVBand="1"/>
        <w:tblCaption w:val="Table 34: Households by Tenure Type"/>
      </w:tblPr>
      <w:tblGrid>
        <w:gridCol w:w="1848"/>
        <w:gridCol w:w="1282"/>
        <w:gridCol w:w="1552"/>
        <w:gridCol w:w="1415"/>
        <w:gridCol w:w="1274"/>
        <w:gridCol w:w="950"/>
        <w:gridCol w:w="1317"/>
      </w:tblGrid>
      <w:tr w:rsidR="00B008D9" w:rsidRPr="00CA47B9" w:rsidTr="007009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59" w:type="pct"/>
            <w:noWrap/>
            <w:hideMark/>
          </w:tcPr>
          <w:p w:rsidR="00B008D9" w:rsidRPr="00CA47B9" w:rsidRDefault="00B008D9" w:rsidP="005200A0">
            <w:pPr>
              <w:keepNext/>
              <w:rPr>
                <w:rFonts w:ascii="Times New Roman" w:eastAsia="Times New Roman" w:hAnsi="Times New Roman" w:cs="Times New Roman"/>
                <w:b w:val="0"/>
                <w:bCs/>
                <w:color w:val="auto"/>
                <w:lang w:eastAsia="en-GB"/>
              </w:rPr>
            </w:pPr>
          </w:p>
        </w:tc>
        <w:tc>
          <w:tcPr>
            <w:tcW w:w="665" w:type="pct"/>
            <w:noWrap/>
            <w:hideMark/>
          </w:tcPr>
          <w:p w:rsidR="00B008D9" w:rsidRPr="00CA47B9" w:rsidRDefault="00B008D9" w:rsidP="005200A0">
            <w:pPr>
              <w:keepNext/>
              <w:spacing w:line="300" w:lineRule="auto"/>
              <w:cnfStyle w:val="100000000000" w:firstRow="1" w:lastRow="0" w:firstColumn="0" w:lastColumn="0" w:oddVBand="0" w:evenVBand="0" w:oddHBand="0" w:evenHBand="0" w:firstRowFirstColumn="0" w:firstRowLastColumn="0" w:lastRowFirstColumn="0" w:lastRowLastColumn="0"/>
              <w:rPr>
                <w:b w:val="0"/>
                <w:bCs/>
                <w:color w:val="FFFFFF"/>
                <w:lang w:eastAsia="en-GB"/>
              </w:rPr>
            </w:pPr>
            <w:r w:rsidRPr="00CA47B9">
              <w:rPr>
                <w:b w:val="0"/>
                <w:bCs/>
              </w:rPr>
              <w:t xml:space="preserve">Chichester City </w:t>
            </w:r>
          </w:p>
        </w:tc>
        <w:tc>
          <w:tcPr>
            <w:tcW w:w="805" w:type="pct"/>
            <w:noWrap/>
            <w:hideMark/>
          </w:tcPr>
          <w:p w:rsidR="00B008D9" w:rsidRPr="00CA47B9" w:rsidRDefault="00B008D9" w:rsidP="005200A0">
            <w:pPr>
              <w:keepNext/>
              <w:spacing w:line="300" w:lineRule="auto"/>
              <w:cnfStyle w:val="100000000000" w:firstRow="1" w:lastRow="0" w:firstColumn="0" w:lastColumn="0" w:oddVBand="0" w:evenVBand="0" w:oddHBand="0" w:evenHBand="0" w:firstRowFirstColumn="0" w:firstRowLastColumn="0" w:lastRowFirstColumn="0" w:lastRowLastColumn="0"/>
              <w:rPr>
                <w:b w:val="0"/>
                <w:bCs/>
                <w:color w:val="FFFFFF"/>
                <w:lang w:eastAsia="en-GB"/>
              </w:rPr>
            </w:pPr>
            <w:r w:rsidRPr="00CA47B9">
              <w:rPr>
                <w:rFonts w:eastAsia="Times New Roman"/>
                <w:b w:val="0"/>
                <w:bCs/>
                <w:lang w:eastAsia="en-GB"/>
              </w:rPr>
              <w:t>East-West Corridor</w:t>
            </w:r>
          </w:p>
        </w:tc>
        <w:tc>
          <w:tcPr>
            <w:tcW w:w="734" w:type="pct"/>
            <w:noWrap/>
            <w:hideMark/>
          </w:tcPr>
          <w:p w:rsidR="00B008D9" w:rsidRPr="00CA47B9" w:rsidRDefault="00B008D9" w:rsidP="005200A0">
            <w:pPr>
              <w:keepNext/>
              <w:spacing w:line="300" w:lineRule="auto"/>
              <w:cnfStyle w:val="100000000000" w:firstRow="1" w:lastRow="0" w:firstColumn="0" w:lastColumn="0" w:oddVBand="0" w:evenVBand="0" w:oddHBand="0" w:evenHBand="0" w:firstRowFirstColumn="0" w:firstRowLastColumn="0" w:lastRowFirstColumn="0" w:lastRowLastColumn="0"/>
              <w:rPr>
                <w:b w:val="0"/>
                <w:bCs/>
                <w:color w:val="FFFFFF"/>
                <w:lang w:eastAsia="en-GB"/>
              </w:rPr>
            </w:pPr>
            <w:r w:rsidRPr="00CA47B9">
              <w:rPr>
                <w:rFonts w:eastAsia="Times New Roman"/>
                <w:b w:val="0"/>
                <w:bCs/>
                <w:lang w:eastAsia="en-GB"/>
              </w:rPr>
              <w:t>Manhood Peninsula</w:t>
            </w:r>
          </w:p>
        </w:tc>
        <w:tc>
          <w:tcPr>
            <w:tcW w:w="661" w:type="pct"/>
            <w:noWrap/>
            <w:hideMark/>
          </w:tcPr>
          <w:p w:rsidR="00B008D9" w:rsidRPr="00CA47B9" w:rsidRDefault="00B008D9" w:rsidP="005200A0">
            <w:pPr>
              <w:keepNext/>
              <w:spacing w:line="300" w:lineRule="auto"/>
              <w:cnfStyle w:val="100000000000" w:firstRow="1" w:lastRow="0" w:firstColumn="0" w:lastColumn="0" w:oddVBand="0" w:evenVBand="0" w:oddHBand="0" w:evenHBand="0" w:firstRowFirstColumn="0" w:firstRowLastColumn="0" w:lastRowFirstColumn="0" w:lastRowLastColumn="0"/>
              <w:rPr>
                <w:b w:val="0"/>
                <w:bCs/>
                <w:color w:val="FFFFFF"/>
                <w:lang w:eastAsia="en-GB"/>
              </w:rPr>
            </w:pPr>
            <w:r w:rsidRPr="00CA47B9">
              <w:rPr>
                <w:rFonts w:eastAsia="Times New Roman"/>
                <w:b w:val="0"/>
                <w:bCs/>
                <w:lang w:eastAsia="en-GB"/>
              </w:rPr>
              <w:t>Plan Area North</w:t>
            </w:r>
          </w:p>
        </w:tc>
        <w:tc>
          <w:tcPr>
            <w:tcW w:w="493" w:type="pct"/>
            <w:noWrap/>
            <w:hideMark/>
          </w:tcPr>
          <w:p w:rsidR="00B008D9" w:rsidRPr="00CA47B9" w:rsidRDefault="00B008D9" w:rsidP="005200A0">
            <w:pPr>
              <w:keepNext/>
              <w:spacing w:line="300" w:lineRule="auto"/>
              <w:cnfStyle w:val="100000000000" w:firstRow="1" w:lastRow="0" w:firstColumn="0" w:lastColumn="0" w:oddVBand="0" w:evenVBand="0" w:oddHBand="0" w:evenHBand="0" w:firstRowFirstColumn="0" w:firstRowLastColumn="0" w:lastRowFirstColumn="0" w:lastRowLastColumn="0"/>
              <w:rPr>
                <w:b w:val="0"/>
                <w:bCs/>
                <w:color w:val="FFFFFF"/>
                <w:lang w:eastAsia="en-GB"/>
              </w:rPr>
            </w:pPr>
            <w:r w:rsidRPr="00CA47B9">
              <w:rPr>
                <w:rFonts w:eastAsia="Times New Roman"/>
                <w:b w:val="0"/>
                <w:bCs/>
                <w:lang w:eastAsia="en-GB"/>
              </w:rPr>
              <w:t>SDNP</w:t>
            </w:r>
          </w:p>
        </w:tc>
        <w:tc>
          <w:tcPr>
            <w:tcW w:w="683" w:type="pct"/>
            <w:noWrap/>
            <w:hideMark/>
          </w:tcPr>
          <w:p w:rsidR="00B008D9" w:rsidRPr="00CA47B9" w:rsidRDefault="00B008D9" w:rsidP="005200A0">
            <w:pPr>
              <w:keepNext/>
              <w:spacing w:line="300" w:lineRule="auto"/>
              <w:cnfStyle w:val="100000000000" w:firstRow="1" w:lastRow="0" w:firstColumn="0" w:lastColumn="0" w:oddVBand="0" w:evenVBand="0" w:oddHBand="0" w:evenHBand="0" w:firstRowFirstColumn="0" w:firstRowLastColumn="0" w:lastRowFirstColumn="0" w:lastRowLastColumn="0"/>
              <w:rPr>
                <w:b w:val="0"/>
                <w:bCs/>
                <w:color w:val="FFFFFF"/>
                <w:lang w:eastAsia="en-GB"/>
              </w:rPr>
            </w:pPr>
            <w:r w:rsidRPr="00CA47B9">
              <w:rPr>
                <w:b w:val="0"/>
                <w:bCs/>
              </w:rPr>
              <w:t>England &amp; Wales</w:t>
            </w:r>
          </w:p>
        </w:tc>
      </w:tr>
      <w:tr w:rsidR="00B008D9" w:rsidRPr="00CA47B9" w:rsidTr="00700980">
        <w:tc>
          <w:tcPr>
            <w:cnfStyle w:val="001000000000" w:firstRow="0" w:lastRow="0" w:firstColumn="1" w:lastColumn="0" w:oddVBand="0" w:evenVBand="0" w:oddHBand="0" w:evenHBand="0" w:firstRowFirstColumn="0" w:firstRowLastColumn="0" w:lastRowFirstColumn="0" w:lastRowLastColumn="0"/>
            <w:tcW w:w="959" w:type="pct"/>
            <w:noWrap/>
            <w:hideMark/>
          </w:tcPr>
          <w:p w:rsidR="00B008D9" w:rsidRPr="00CA47B9" w:rsidRDefault="00B008D9" w:rsidP="005200A0">
            <w:pPr>
              <w:keepNext/>
              <w:spacing w:line="300" w:lineRule="auto"/>
              <w:rPr>
                <w:b/>
                <w:bCs/>
                <w:lang w:eastAsia="en-GB"/>
              </w:rPr>
            </w:pPr>
            <w:r w:rsidRPr="00CA47B9">
              <w:rPr>
                <w:b/>
                <w:bCs/>
              </w:rPr>
              <w:t>All Households</w:t>
            </w:r>
          </w:p>
        </w:tc>
        <w:tc>
          <w:tcPr>
            <w:tcW w:w="665" w:type="pct"/>
            <w:noWrap/>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pPr>
            <w:r w:rsidRPr="00CA47B9">
              <w:rPr>
                <w:color w:val="000000"/>
              </w:rPr>
              <w:t xml:space="preserve">12,316 </w:t>
            </w:r>
          </w:p>
        </w:tc>
        <w:tc>
          <w:tcPr>
            <w:tcW w:w="805" w:type="pct"/>
            <w:noWrap/>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pPr>
            <w:r w:rsidRPr="00CA47B9">
              <w:rPr>
                <w:color w:val="000000"/>
              </w:rPr>
              <w:t xml:space="preserve">8,390 </w:t>
            </w:r>
          </w:p>
        </w:tc>
        <w:tc>
          <w:tcPr>
            <w:tcW w:w="734" w:type="pct"/>
            <w:noWrap/>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pPr>
            <w:r w:rsidRPr="00CA47B9">
              <w:rPr>
                <w:color w:val="000000"/>
              </w:rPr>
              <w:t xml:space="preserve">11,716 </w:t>
            </w:r>
          </w:p>
        </w:tc>
        <w:tc>
          <w:tcPr>
            <w:tcW w:w="661" w:type="pct"/>
            <w:noWrap/>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pPr>
            <w:r w:rsidRPr="00CA47B9">
              <w:rPr>
                <w:color w:val="000000"/>
              </w:rPr>
              <w:t xml:space="preserve">3,279 </w:t>
            </w:r>
          </w:p>
        </w:tc>
        <w:tc>
          <w:tcPr>
            <w:tcW w:w="493" w:type="pct"/>
            <w:noWrap/>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pPr>
            <w:r w:rsidRPr="00CA47B9">
              <w:rPr>
                <w:color w:val="000000"/>
              </w:rPr>
              <w:t xml:space="preserve">13,481 </w:t>
            </w:r>
          </w:p>
        </w:tc>
        <w:tc>
          <w:tcPr>
            <w:tcW w:w="683" w:type="pct"/>
            <w:noWrap/>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pPr>
            <w:r w:rsidRPr="00CA47B9">
              <w:t>23,366,044</w:t>
            </w:r>
          </w:p>
        </w:tc>
      </w:tr>
      <w:tr w:rsidR="00B008D9" w:rsidRPr="00CA47B9" w:rsidTr="00700980">
        <w:tc>
          <w:tcPr>
            <w:cnfStyle w:val="001000000000" w:firstRow="0" w:lastRow="0" w:firstColumn="1" w:lastColumn="0" w:oddVBand="0" w:evenVBand="0" w:oddHBand="0" w:evenHBand="0" w:firstRowFirstColumn="0" w:firstRowLastColumn="0" w:lastRowFirstColumn="0" w:lastRowLastColumn="0"/>
            <w:tcW w:w="959" w:type="pct"/>
            <w:noWrap/>
            <w:hideMark/>
          </w:tcPr>
          <w:p w:rsidR="00B008D9" w:rsidRPr="00CA47B9" w:rsidRDefault="00B008D9" w:rsidP="005200A0">
            <w:pPr>
              <w:keepNext/>
              <w:spacing w:line="300" w:lineRule="auto"/>
              <w:rPr>
                <w:b/>
                <w:lang w:eastAsia="en-GB"/>
              </w:rPr>
            </w:pPr>
            <w:r w:rsidRPr="00CA47B9">
              <w:rPr>
                <w:b/>
              </w:rPr>
              <w:t>Owned Outright</w:t>
            </w:r>
          </w:p>
        </w:tc>
        <w:tc>
          <w:tcPr>
            <w:tcW w:w="665" w:type="pct"/>
            <w:noWrap/>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pPr>
            <w:r w:rsidRPr="00CA47B9">
              <w:rPr>
                <w:color w:val="000000"/>
              </w:rPr>
              <w:t>34%</w:t>
            </w:r>
          </w:p>
        </w:tc>
        <w:tc>
          <w:tcPr>
            <w:tcW w:w="805" w:type="pct"/>
            <w:noWrap/>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pPr>
            <w:r w:rsidRPr="00CA47B9">
              <w:rPr>
                <w:color w:val="000000"/>
              </w:rPr>
              <w:t>41%</w:t>
            </w:r>
          </w:p>
        </w:tc>
        <w:tc>
          <w:tcPr>
            <w:tcW w:w="734" w:type="pct"/>
            <w:noWrap/>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pPr>
            <w:r w:rsidRPr="00CA47B9">
              <w:rPr>
                <w:color w:val="000000"/>
              </w:rPr>
              <w:t>48%</w:t>
            </w:r>
          </w:p>
        </w:tc>
        <w:tc>
          <w:tcPr>
            <w:tcW w:w="661" w:type="pct"/>
            <w:noWrap/>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pPr>
            <w:r w:rsidRPr="00CA47B9">
              <w:rPr>
                <w:color w:val="000000"/>
              </w:rPr>
              <w:t>42%</w:t>
            </w:r>
          </w:p>
        </w:tc>
        <w:tc>
          <w:tcPr>
            <w:tcW w:w="493" w:type="pct"/>
            <w:noWrap/>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pPr>
            <w:r w:rsidRPr="00CA47B9">
              <w:rPr>
                <w:color w:val="000000"/>
              </w:rPr>
              <w:t>39%</w:t>
            </w:r>
          </w:p>
        </w:tc>
        <w:tc>
          <w:tcPr>
            <w:tcW w:w="683" w:type="pct"/>
            <w:noWrap/>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pPr>
            <w:r w:rsidRPr="00CA47B9">
              <w:t>31%</w:t>
            </w:r>
          </w:p>
        </w:tc>
      </w:tr>
      <w:tr w:rsidR="00B008D9" w:rsidRPr="00CA47B9" w:rsidTr="00700980">
        <w:tc>
          <w:tcPr>
            <w:cnfStyle w:val="001000000000" w:firstRow="0" w:lastRow="0" w:firstColumn="1" w:lastColumn="0" w:oddVBand="0" w:evenVBand="0" w:oddHBand="0" w:evenHBand="0" w:firstRowFirstColumn="0" w:firstRowLastColumn="0" w:lastRowFirstColumn="0" w:lastRowLastColumn="0"/>
            <w:tcW w:w="959" w:type="pct"/>
            <w:noWrap/>
            <w:hideMark/>
          </w:tcPr>
          <w:p w:rsidR="00B008D9" w:rsidRPr="00CA47B9" w:rsidRDefault="00B008D9" w:rsidP="00700980">
            <w:pPr>
              <w:keepNext/>
              <w:rPr>
                <w:b/>
                <w:lang w:eastAsia="en-GB"/>
              </w:rPr>
            </w:pPr>
            <w:r w:rsidRPr="00CA47B9">
              <w:rPr>
                <w:b/>
              </w:rPr>
              <w:t>Owned with Mortgage</w:t>
            </w:r>
          </w:p>
        </w:tc>
        <w:tc>
          <w:tcPr>
            <w:tcW w:w="665" w:type="pct"/>
            <w:noWrap/>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pPr>
            <w:r w:rsidRPr="00CA47B9">
              <w:rPr>
                <w:color w:val="000000"/>
              </w:rPr>
              <w:t>21%</w:t>
            </w:r>
          </w:p>
        </w:tc>
        <w:tc>
          <w:tcPr>
            <w:tcW w:w="805" w:type="pct"/>
            <w:noWrap/>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pPr>
            <w:r w:rsidRPr="00CA47B9">
              <w:rPr>
                <w:color w:val="000000"/>
              </w:rPr>
              <w:t>30%</w:t>
            </w:r>
          </w:p>
        </w:tc>
        <w:tc>
          <w:tcPr>
            <w:tcW w:w="734" w:type="pct"/>
            <w:noWrap/>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pPr>
            <w:r w:rsidRPr="00CA47B9">
              <w:rPr>
                <w:color w:val="000000"/>
              </w:rPr>
              <w:t>29%</w:t>
            </w:r>
          </w:p>
        </w:tc>
        <w:tc>
          <w:tcPr>
            <w:tcW w:w="661" w:type="pct"/>
            <w:noWrap/>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pPr>
            <w:r w:rsidRPr="00CA47B9">
              <w:rPr>
                <w:color w:val="000000"/>
              </w:rPr>
              <w:t>38%</w:t>
            </w:r>
          </w:p>
        </w:tc>
        <w:tc>
          <w:tcPr>
            <w:tcW w:w="493" w:type="pct"/>
            <w:noWrap/>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pPr>
            <w:r w:rsidRPr="00CA47B9">
              <w:rPr>
                <w:color w:val="000000"/>
              </w:rPr>
              <w:t>25%</w:t>
            </w:r>
          </w:p>
        </w:tc>
        <w:tc>
          <w:tcPr>
            <w:tcW w:w="683" w:type="pct"/>
            <w:noWrap/>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pPr>
            <w:r w:rsidRPr="00CA47B9">
              <w:t>33%</w:t>
            </w:r>
          </w:p>
        </w:tc>
      </w:tr>
      <w:tr w:rsidR="00B008D9" w:rsidRPr="00CA47B9" w:rsidTr="00700980">
        <w:tc>
          <w:tcPr>
            <w:cnfStyle w:val="001000000000" w:firstRow="0" w:lastRow="0" w:firstColumn="1" w:lastColumn="0" w:oddVBand="0" w:evenVBand="0" w:oddHBand="0" w:evenHBand="0" w:firstRowFirstColumn="0" w:firstRowLastColumn="0" w:lastRowFirstColumn="0" w:lastRowLastColumn="0"/>
            <w:tcW w:w="959" w:type="pct"/>
            <w:noWrap/>
            <w:hideMark/>
          </w:tcPr>
          <w:p w:rsidR="00B008D9" w:rsidRPr="00CA47B9" w:rsidRDefault="00B008D9" w:rsidP="00700980">
            <w:pPr>
              <w:keepNext/>
              <w:rPr>
                <w:b/>
                <w:lang w:eastAsia="en-GB"/>
              </w:rPr>
            </w:pPr>
            <w:r w:rsidRPr="00CA47B9">
              <w:rPr>
                <w:b/>
              </w:rPr>
              <w:t>Shared Ownership</w:t>
            </w:r>
          </w:p>
        </w:tc>
        <w:tc>
          <w:tcPr>
            <w:tcW w:w="665" w:type="pct"/>
            <w:noWrap/>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pPr>
            <w:r w:rsidRPr="00CA47B9">
              <w:rPr>
                <w:color w:val="000000"/>
              </w:rPr>
              <w:t>1%</w:t>
            </w:r>
          </w:p>
        </w:tc>
        <w:tc>
          <w:tcPr>
            <w:tcW w:w="805" w:type="pct"/>
            <w:noWrap/>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pPr>
            <w:r w:rsidRPr="00CA47B9">
              <w:rPr>
                <w:color w:val="000000"/>
              </w:rPr>
              <w:t>1%</w:t>
            </w:r>
          </w:p>
        </w:tc>
        <w:tc>
          <w:tcPr>
            <w:tcW w:w="734" w:type="pct"/>
            <w:noWrap/>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pPr>
            <w:r w:rsidRPr="00CA47B9">
              <w:rPr>
                <w:color w:val="000000"/>
              </w:rPr>
              <w:t>1%</w:t>
            </w:r>
          </w:p>
        </w:tc>
        <w:tc>
          <w:tcPr>
            <w:tcW w:w="661" w:type="pct"/>
            <w:noWrap/>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pPr>
            <w:r w:rsidRPr="00CA47B9">
              <w:rPr>
                <w:color w:val="000000"/>
              </w:rPr>
              <w:t>1%</w:t>
            </w:r>
          </w:p>
        </w:tc>
        <w:tc>
          <w:tcPr>
            <w:tcW w:w="493" w:type="pct"/>
            <w:noWrap/>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pPr>
            <w:r w:rsidRPr="00CA47B9">
              <w:rPr>
                <w:color w:val="000000"/>
              </w:rPr>
              <w:t>1%</w:t>
            </w:r>
          </w:p>
        </w:tc>
        <w:tc>
          <w:tcPr>
            <w:tcW w:w="683" w:type="pct"/>
            <w:noWrap/>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pPr>
            <w:r w:rsidRPr="00CA47B9">
              <w:t>1%</w:t>
            </w:r>
          </w:p>
        </w:tc>
      </w:tr>
      <w:tr w:rsidR="00B008D9" w:rsidRPr="00CA47B9" w:rsidTr="00700980">
        <w:tc>
          <w:tcPr>
            <w:cnfStyle w:val="001000000000" w:firstRow="0" w:lastRow="0" w:firstColumn="1" w:lastColumn="0" w:oddVBand="0" w:evenVBand="0" w:oddHBand="0" w:evenHBand="0" w:firstRowFirstColumn="0" w:firstRowLastColumn="0" w:lastRowFirstColumn="0" w:lastRowLastColumn="0"/>
            <w:tcW w:w="959" w:type="pct"/>
            <w:noWrap/>
            <w:hideMark/>
          </w:tcPr>
          <w:p w:rsidR="00B008D9" w:rsidRPr="00CA47B9" w:rsidRDefault="00B008D9" w:rsidP="005200A0">
            <w:pPr>
              <w:keepNext/>
              <w:spacing w:line="300" w:lineRule="auto"/>
              <w:rPr>
                <w:b/>
                <w:lang w:eastAsia="en-GB"/>
              </w:rPr>
            </w:pPr>
            <w:r w:rsidRPr="00CA47B9">
              <w:rPr>
                <w:b/>
              </w:rPr>
              <w:t>Social Rented</w:t>
            </w:r>
          </w:p>
        </w:tc>
        <w:tc>
          <w:tcPr>
            <w:tcW w:w="665" w:type="pct"/>
            <w:noWrap/>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pPr>
            <w:r w:rsidRPr="00CA47B9">
              <w:rPr>
                <w:color w:val="000000"/>
              </w:rPr>
              <w:t>22%</w:t>
            </w:r>
          </w:p>
        </w:tc>
        <w:tc>
          <w:tcPr>
            <w:tcW w:w="805" w:type="pct"/>
            <w:noWrap/>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pPr>
            <w:r w:rsidRPr="00CA47B9">
              <w:rPr>
                <w:color w:val="000000"/>
              </w:rPr>
              <w:t>11%</w:t>
            </w:r>
          </w:p>
        </w:tc>
        <w:tc>
          <w:tcPr>
            <w:tcW w:w="734" w:type="pct"/>
            <w:noWrap/>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pPr>
            <w:r w:rsidRPr="00CA47B9">
              <w:rPr>
                <w:color w:val="000000"/>
              </w:rPr>
              <w:t>9%</w:t>
            </w:r>
          </w:p>
        </w:tc>
        <w:tc>
          <w:tcPr>
            <w:tcW w:w="661" w:type="pct"/>
            <w:noWrap/>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pPr>
            <w:r w:rsidRPr="00CA47B9">
              <w:rPr>
                <w:color w:val="000000"/>
              </w:rPr>
              <w:t>9%</w:t>
            </w:r>
          </w:p>
        </w:tc>
        <w:tc>
          <w:tcPr>
            <w:tcW w:w="493" w:type="pct"/>
            <w:noWrap/>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pPr>
            <w:r w:rsidRPr="00CA47B9">
              <w:rPr>
                <w:color w:val="000000"/>
              </w:rPr>
              <w:t>16%</w:t>
            </w:r>
          </w:p>
        </w:tc>
        <w:tc>
          <w:tcPr>
            <w:tcW w:w="683" w:type="pct"/>
            <w:noWrap/>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pPr>
            <w:r w:rsidRPr="00CA47B9">
              <w:t>18%</w:t>
            </w:r>
          </w:p>
        </w:tc>
      </w:tr>
      <w:tr w:rsidR="00B008D9" w:rsidRPr="00CA47B9" w:rsidTr="00700980">
        <w:tc>
          <w:tcPr>
            <w:cnfStyle w:val="001000000000" w:firstRow="0" w:lastRow="0" w:firstColumn="1" w:lastColumn="0" w:oddVBand="0" w:evenVBand="0" w:oddHBand="0" w:evenHBand="0" w:firstRowFirstColumn="0" w:firstRowLastColumn="0" w:lastRowFirstColumn="0" w:lastRowLastColumn="0"/>
            <w:tcW w:w="959" w:type="pct"/>
            <w:noWrap/>
            <w:hideMark/>
          </w:tcPr>
          <w:p w:rsidR="00B008D9" w:rsidRPr="00CA47B9" w:rsidRDefault="00B008D9" w:rsidP="005200A0">
            <w:pPr>
              <w:keepNext/>
              <w:spacing w:line="300" w:lineRule="auto"/>
              <w:rPr>
                <w:b/>
                <w:lang w:eastAsia="en-GB"/>
              </w:rPr>
            </w:pPr>
            <w:r w:rsidRPr="00CA47B9">
              <w:rPr>
                <w:b/>
              </w:rPr>
              <w:t>Private Rented</w:t>
            </w:r>
          </w:p>
        </w:tc>
        <w:tc>
          <w:tcPr>
            <w:tcW w:w="665" w:type="pct"/>
            <w:noWrap/>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pPr>
            <w:r w:rsidRPr="00CA47B9">
              <w:rPr>
                <w:color w:val="000000"/>
              </w:rPr>
              <w:t>20%</w:t>
            </w:r>
          </w:p>
        </w:tc>
        <w:tc>
          <w:tcPr>
            <w:tcW w:w="805" w:type="pct"/>
            <w:noWrap/>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pPr>
            <w:r w:rsidRPr="00CA47B9">
              <w:rPr>
                <w:color w:val="000000"/>
              </w:rPr>
              <w:t>15%</w:t>
            </w:r>
          </w:p>
        </w:tc>
        <w:tc>
          <w:tcPr>
            <w:tcW w:w="734" w:type="pct"/>
            <w:noWrap/>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pPr>
            <w:r w:rsidRPr="00CA47B9">
              <w:rPr>
                <w:color w:val="000000"/>
              </w:rPr>
              <w:t>12%</w:t>
            </w:r>
          </w:p>
        </w:tc>
        <w:tc>
          <w:tcPr>
            <w:tcW w:w="661" w:type="pct"/>
            <w:noWrap/>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pPr>
            <w:r w:rsidRPr="00CA47B9">
              <w:rPr>
                <w:color w:val="000000"/>
              </w:rPr>
              <w:t>8%</w:t>
            </w:r>
          </w:p>
        </w:tc>
        <w:tc>
          <w:tcPr>
            <w:tcW w:w="493" w:type="pct"/>
            <w:noWrap/>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pPr>
            <w:r w:rsidRPr="00CA47B9">
              <w:rPr>
                <w:color w:val="000000"/>
              </w:rPr>
              <w:t>15%</w:t>
            </w:r>
          </w:p>
        </w:tc>
        <w:tc>
          <w:tcPr>
            <w:tcW w:w="683" w:type="pct"/>
            <w:noWrap/>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pPr>
            <w:r w:rsidRPr="00CA47B9">
              <w:t>17%</w:t>
            </w:r>
          </w:p>
        </w:tc>
      </w:tr>
      <w:tr w:rsidR="00B008D9" w:rsidRPr="00CA47B9" w:rsidTr="00700980">
        <w:tc>
          <w:tcPr>
            <w:cnfStyle w:val="001000000000" w:firstRow="0" w:lastRow="0" w:firstColumn="1" w:lastColumn="0" w:oddVBand="0" w:evenVBand="0" w:oddHBand="0" w:evenHBand="0" w:firstRowFirstColumn="0" w:firstRowLastColumn="0" w:lastRowFirstColumn="0" w:lastRowLastColumn="0"/>
            <w:tcW w:w="959" w:type="pct"/>
            <w:noWrap/>
            <w:hideMark/>
          </w:tcPr>
          <w:p w:rsidR="00B008D9" w:rsidRPr="00CA47B9" w:rsidRDefault="00B008D9" w:rsidP="005200A0">
            <w:pPr>
              <w:keepNext/>
              <w:spacing w:line="300" w:lineRule="auto"/>
              <w:rPr>
                <w:b/>
                <w:lang w:eastAsia="en-GB"/>
              </w:rPr>
            </w:pPr>
            <w:r w:rsidRPr="00CA47B9">
              <w:rPr>
                <w:b/>
              </w:rPr>
              <w:t>Living Rent Free</w:t>
            </w:r>
          </w:p>
        </w:tc>
        <w:tc>
          <w:tcPr>
            <w:tcW w:w="665" w:type="pct"/>
            <w:noWrap/>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pPr>
            <w:r w:rsidRPr="00CA47B9">
              <w:rPr>
                <w:color w:val="000000"/>
              </w:rPr>
              <w:t>2%</w:t>
            </w:r>
          </w:p>
        </w:tc>
        <w:tc>
          <w:tcPr>
            <w:tcW w:w="805" w:type="pct"/>
            <w:noWrap/>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pPr>
            <w:r w:rsidRPr="00CA47B9">
              <w:rPr>
                <w:color w:val="000000"/>
              </w:rPr>
              <w:t>2%</w:t>
            </w:r>
          </w:p>
        </w:tc>
        <w:tc>
          <w:tcPr>
            <w:tcW w:w="734" w:type="pct"/>
            <w:noWrap/>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pPr>
            <w:r w:rsidRPr="00CA47B9">
              <w:rPr>
                <w:color w:val="000000"/>
              </w:rPr>
              <w:t>2%</w:t>
            </w:r>
          </w:p>
        </w:tc>
        <w:tc>
          <w:tcPr>
            <w:tcW w:w="661" w:type="pct"/>
            <w:noWrap/>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pPr>
            <w:r w:rsidRPr="00CA47B9">
              <w:rPr>
                <w:color w:val="000000"/>
              </w:rPr>
              <w:t>2%</w:t>
            </w:r>
          </w:p>
        </w:tc>
        <w:tc>
          <w:tcPr>
            <w:tcW w:w="493" w:type="pct"/>
            <w:noWrap/>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pPr>
            <w:r w:rsidRPr="00CA47B9">
              <w:rPr>
                <w:color w:val="000000"/>
              </w:rPr>
              <w:t>4%</w:t>
            </w:r>
          </w:p>
        </w:tc>
        <w:tc>
          <w:tcPr>
            <w:tcW w:w="683" w:type="pct"/>
            <w:noWrap/>
          </w:tcPr>
          <w:p w:rsidR="00B008D9" w:rsidRPr="00CA47B9" w:rsidRDefault="00B008D9" w:rsidP="005200A0">
            <w:pPr>
              <w:keepNext/>
              <w:spacing w:line="300" w:lineRule="auto"/>
              <w:cnfStyle w:val="000000000000" w:firstRow="0" w:lastRow="0" w:firstColumn="0" w:lastColumn="0" w:oddVBand="0" w:evenVBand="0" w:oddHBand="0" w:evenHBand="0" w:firstRowFirstColumn="0" w:firstRowLastColumn="0" w:lastRowFirstColumn="0" w:lastRowLastColumn="0"/>
            </w:pPr>
            <w:r w:rsidRPr="00CA47B9">
              <w:t>1%</w:t>
            </w:r>
          </w:p>
        </w:tc>
      </w:tr>
    </w:tbl>
    <w:p w:rsidR="00B008D9" w:rsidRPr="00B35599" w:rsidRDefault="00B008D9" w:rsidP="00700980">
      <w:pPr>
        <w:pStyle w:val="Quotetext"/>
        <w:spacing w:before="0" w:after="0"/>
        <w:ind w:left="0"/>
        <w:rPr>
          <w:i w:val="0"/>
          <w:iCs w:val="0"/>
          <w:color w:val="000000"/>
        </w:rPr>
      </w:pPr>
      <w:r w:rsidRPr="00B35599">
        <w:rPr>
          <w:i w:val="0"/>
          <w:iCs w:val="0"/>
        </w:rPr>
        <w:t>Source: Census, 2011</w:t>
      </w:r>
    </w:p>
    <w:p w:rsidR="00B008D9" w:rsidRPr="00CA47B9" w:rsidRDefault="00B008D9" w:rsidP="00362459">
      <w:pPr>
        <w:pStyle w:val="11Bodytext"/>
        <w:tabs>
          <w:tab w:val="clear" w:pos="2212"/>
          <w:tab w:val="num" w:pos="567"/>
        </w:tabs>
        <w:ind w:left="567" w:hanging="567"/>
      </w:pPr>
      <w:r w:rsidRPr="00CA47B9">
        <w:t>The Private Rental Sector is most prominent in Chichester City</w:t>
      </w:r>
      <w:r w:rsidR="0067035F">
        <w:t xml:space="preserve"> at</w:t>
      </w:r>
      <w:r w:rsidRPr="00CA47B9">
        <w:t xml:space="preserve"> 20%, followed by SDNP with 15%. Apart from Chichester</w:t>
      </w:r>
      <w:r w:rsidR="00855CA6">
        <w:t xml:space="preserve"> City,</w:t>
      </w:r>
      <w:r w:rsidRPr="00CA47B9">
        <w:t xml:space="preserve"> all the </w:t>
      </w:r>
      <w:r w:rsidR="00855CA6" w:rsidRPr="00CA47B9">
        <w:t>sub</w:t>
      </w:r>
      <w:r w:rsidR="00855CA6">
        <w:t>-</w:t>
      </w:r>
      <w:r w:rsidRPr="00CA47B9">
        <w:t>areas have a lower level of private renting than the national figure (17%).</w:t>
      </w:r>
    </w:p>
    <w:p w:rsidR="00B008D9" w:rsidRPr="00CA47B9" w:rsidRDefault="00855CA6" w:rsidP="00362459">
      <w:pPr>
        <w:pStyle w:val="11Bodytext"/>
        <w:tabs>
          <w:tab w:val="clear" w:pos="2212"/>
          <w:tab w:val="num" w:pos="567"/>
        </w:tabs>
        <w:ind w:left="567" w:hanging="567"/>
      </w:pPr>
      <w:r>
        <w:t>Except for</w:t>
      </w:r>
      <w:r w:rsidR="00B008D9" w:rsidRPr="00CA47B9">
        <w:t xml:space="preserve"> the Plan Area (North)</w:t>
      </w:r>
      <w:r>
        <w:t>,</w:t>
      </w:r>
      <w:r w:rsidR="00B008D9" w:rsidRPr="00CA47B9">
        <w:t xml:space="preserve"> the percentage of homeowners with a mortgage is below the </w:t>
      </w:r>
      <w:r>
        <w:t>n</w:t>
      </w:r>
      <w:r w:rsidRPr="00CA47B9">
        <w:t xml:space="preserve">ational </w:t>
      </w:r>
      <w:r w:rsidR="00B008D9" w:rsidRPr="00CA47B9">
        <w:t>average. Conversely</w:t>
      </w:r>
      <w:r>
        <w:t>,</w:t>
      </w:r>
      <w:r w:rsidR="00B008D9" w:rsidRPr="00CA47B9">
        <w:t xml:space="preserve"> those who own their homes outright exceeds the national average. This reflects the high percentage of </w:t>
      </w:r>
      <w:r>
        <w:t xml:space="preserve">the </w:t>
      </w:r>
      <w:r w:rsidR="00B008D9" w:rsidRPr="00CA47B9">
        <w:t xml:space="preserve">older wealthy population who have paid off their mortgage. </w:t>
      </w:r>
    </w:p>
    <w:p w:rsidR="00B008D9" w:rsidRPr="00CA47B9" w:rsidRDefault="00B008D9" w:rsidP="00805614">
      <w:pPr>
        <w:pStyle w:val="Headsubbold"/>
        <w:ind w:left="567" w:firstLine="0"/>
      </w:pPr>
      <w:r w:rsidRPr="00CA47B9">
        <w:t>Change in Tenure</w:t>
      </w:r>
    </w:p>
    <w:p w:rsidR="00B008D9" w:rsidRPr="00CA47B9" w:rsidRDefault="00B008D9" w:rsidP="00362459">
      <w:pPr>
        <w:pStyle w:val="11Bodytext"/>
        <w:tabs>
          <w:tab w:val="clear" w:pos="2212"/>
          <w:tab w:val="num" w:pos="567"/>
        </w:tabs>
        <w:ind w:left="567" w:hanging="567"/>
      </w:pPr>
      <w:r w:rsidRPr="00CA47B9">
        <w:t xml:space="preserve">Analysis of the change in tenure composition between 2001 and 2011 reveals a notable shift from </w:t>
      </w:r>
      <w:r w:rsidR="00451CFA">
        <w:t>home ownership</w:t>
      </w:r>
      <w:r w:rsidRPr="00CA47B9">
        <w:t xml:space="preserve"> with a mortgage towards the private rental sector. This reflects the national picture which has been a result of restricted access to mortgage products</w:t>
      </w:r>
      <w:r w:rsidR="00855CA6">
        <w:t>,</w:t>
      </w:r>
      <w:r w:rsidRPr="00CA47B9">
        <w:t xml:space="preserve"> particularly for younger households. </w:t>
      </w:r>
    </w:p>
    <w:p w:rsidR="00B008D9" w:rsidRPr="00CA47B9" w:rsidRDefault="00B008D9" w:rsidP="00700980">
      <w:pPr>
        <w:pStyle w:val="Tableheading"/>
        <w:tabs>
          <w:tab w:val="clear" w:pos="794"/>
          <w:tab w:val="clear" w:pos="1843"/>
          <w:tab w:val="left" w:pos="0"/>
        </w:tabs>
        <w:spacing w:line="240" w:lineRule="auto"/>
        <w:ind w:left="0" w:firstLine="0"/>
      </w:pPr>
      <w:r w:rsidRPr="00CA47B9">
        <w:rPr>
          <w:color w:val="auto"/>
          <w:szCs w:val="20"/>
        </w:rPr>
        <w:lastRenderedPageBreak/>
        <w:t>Households</w:t>
      </w:r>
      <w:r w:rsidRPr="00CA47B9">
        <w:t xml:space="preserve"> by Major Tenure Type, change in Households (%) 2001-2011</w:t>
      </w:r>
    </w:p>
    <w:tbl>
      <w:tblPr>
        <w:tblStyle w:val="Compressed"/>
        <w:tblW w:w="4894" w:type="pct"/>
        <w:tblInd w:w="108" w:type="dxa"/>
        <w:tblLayout w:type="fixed"/>
        <w:tblLook w:val="04A0" w:firstRow="1" w:lastRow="0" w:firstColumn="1" w:lastColumn="0" w:noHBand="0" w:noVBand="1"/>
        <w:tblCaption w:val="Table 35: Households by Major Tenure Type, change in Households (%) 2001-2011"/>
      </w:tblPr>
      <w:tblGrid>
        <w:gridCol w:w="2077"/>
        <w:gridCol w:w="1608"/>
        <w:gridCol w:w="1369"/>
        <w:gridCol w:w="1893"/>
        <w:gridCol w:w="1274"/>
        <w:gridCol w:w="1417"/>
      </w:tblGrid>
      <w:tr w:rsidR="00B008D9" w:rsidRPr="001A351F" w:rsidTr="007009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78" w:type="pct"/>
            <w:noWrap/>
            <w:hideMark/>
          </w:tcPr>
          <w:p w:rsidR="00B008D9" w:rsidRPr="001A351F" w:rsidRDefault="00B008D9" w:rsidP="001A351F">
            <w:pPr>
              <w:keepNext/>
              <w:rPr>
                <w:rFonts w:eastAsia="Times New Roman" w:cstheme="minorHAnsi"/>
                <w:b w:val="0"/>
                <w:bCs/>
                <w:color w:val="auto"/>
                <w:lang w:eastAsia="en-GB"/>
              </w:rPr>
            </w:pPr>
          </w:p>
        </w:tc>
        <w:tc>
          <w:tcPr>
            <w:tcW w:w="834" w:type="pct"/>
          </w:tcPr>
          <w:p w:rsidR="00B008D9" w:rsidRPr="001A351F" w:rsidRDefault="00B008D9" w:rsidP="001A351F">
            <w:pPr>
              <w:keepNext/>
              <w:cnfStyle w:val="100000000000" w:firstRow="1" w:lastRow="0" w:firstColumn="0" w:lastColumn="0" w:oddVBand="0" w:evenVBand="0" w:oddHBand="0" w:evenHBand="0" w:firstRowFirstColumn="0" w:firstRowLastColumn="0" w:lastRowFirstColumn="0" w:lastRowLastColumn="0"/>
              <w:rPr>
                <w:rFonts w:cstheme="minorHAnsi"/>
                <w:b w:val="0"/>
                <w:bCs/>
                <w:lang w:eastAsia="en-GB"/>
              </w:rPr>
            </w:pPr>
            <w:r w:rsidRPr="001A351F">
              <w:rPr>
                <w:rFonts w:cstheme="minorHAnsi"/>
                <w:b w:val="0"/>
                <w:bCs/>
                <w:lang w:eastAsia="en-GB"/>
              </w:rPr>
              <w:t>All households Growth</w:t>
            </w:r>
          </w:p>
        </w:tc>
        <w:tc>
          <w:tcPr>
            <w:tcW w:w="710" w:type="pct"/>
            <w:noWrap/>
            <w:hideMark/>
          </w:tcPr>
          <w:p w:rsidR="00B008D9" w:rsidRPr="001A351F" w:rsidRDefault="00B008D9" w:rsidP="001A351F">
            <w:pPr>
              <w:keepNext/>
              <w:cnfStyle w:val="100000000000" w:firstRow="1" w:lastRow="0" w:firstColumn="0" w:lastColumn="0" w:oddVBand="0" w:evenVBand="0" w:oddHBand="0" w:evenHBand="0" w:firstRowFirstColumn="0" w:firstRowLastColumn="0" w:lastRowFirstColumn="0" w:lastRowLastColumn="0"/>
              <w:rPr>
                <w:rFonts w:cstheme="minorHAnsi"/>
                <w:b w:val="0"/>
                <w:bCs/>
                <w:color w:val="FFFFFF"/>
                <w:lang w:eastAsia="en-GB"/>
              </w:rPr>
            </w:pPr>
            <w:r w:rsidRPr="001A351F">
              <w:rPr>
                <w:rFonts w:cstheme="minorHAnsi"/>
                <w:b w:val="0"/>
                <w:bCs/>
                <w:lang w:eastAsia="en-GB"/>
              </w:rPr>
              <w:t>Owned Outright</w:t>
            </w:r>
          </w:p>
        </w:tc>
        <w:tc>
          <w:tcPr>
            <w:tcW w:w="982" w:type="pct"/>
            <w:noWrap/>
            <w:hideMark/>
          </w:tcPr>
          <w:p w:rsidR="00B008D9" w:rsidRPr="001A351F" w:rsidRDefault="00B008D9" w:rsidP="001A351F">
            <w:pPr>
              <w:keepNext/>
              <w:cnfStyle w:val="100000000000" w:firstRow="1" w:lastRow="0" w:firstColumn="0" w:lastColumn="0" w:oddVBand="0" w:evenVBand="0" w:oddHBand="0" w:evenHBand="0" w:firstRowFirstColumn="0" w:firstRowLastColumn="0" w:lastRowFirstColumn="0" w:lastRowLastColumn="0"/>
              <w:rPr>
                <w:rFonts w:cstheme="minorHAnsi"/>
                <w:b w:val="0"/>
                <w:bCs/>
                <w:color w:val="FFFFFF"/>
                <w:lang w:eastAsia="en-GB"/>
              </w:rPr>
            </w:pPr>
            <w:r w:rsidRPr="001A351F">
              <w:rPr>
                <w:rFonts w:cstheme="minorHAnsi"/>
                <w:b w:val="0"/>
                <w:bCs/>
                <w:lang w:eastAsia="en-GB"/>
              </w:rPr>
              <w:t>Owns with mortgage</w:t>
            </w:r>
          </w:p>
        </w:tc>
        <w:tc>
          <w:tcPr>
            <w:tcW w:w="661" w:type="pct"/>
            <w:noWrap/>
            <w:hideMark/>
          </w:tcPr>
          <w:p w:rsidR="00B008D9" w:rsidRPr="001A351F" w:rsidRDefault="00B008D9" w:rsidP="001A351F">
            <w:pPr>
              <w:keepNext/>
              <w:cnfStyle w:val="100000000000" w:firstRow="1" w:lastRow="0" w:firstColumn="0" w:lastColumn="0" w:oddVBand="0" w:evenVBand="0" w:oddHBand="0" w:evenHBand="0" w:firstRowFirstColumn="0" w:firstRowLastColumn="0" w:lastRowFirstColumn="0" w:lastRowLastColumn="0"/>
              <w:rPr>
                <w:rFonts w:cstheme="minorHAnsi"/>
                <w:b w:val="0"/>
                <w:bCs/>
                <w:color w:val="FFFFFF"/>
                <w:lang w:eastAsia="en-GB"/>
              </w:rPr>
            </w:pPr>
            <w:r w:rsidRPr="001A351F">
              <w:rPr>
                <w:rFonts w:cstheme="minorHAnsi"/>
                <w:b w:val="0"/>
                <w:bCs/>
                <w:lang w:eastAsia="en-GB"/>
              </w:rPr>
              <w:t>Social Rented</w:t>
            </w:r>
          </w:p>
        </w:tc>
        <w:tc>
          <w:tcPr>
            <w:tcW w:w="735" w:type="pct"/>
            <w:hideMark/>
          </w:tcPr>
          <w:p w:rsidR="00B008D9" w:rsidRPr="001A351F" w:rsidRDefault="00B008D9" w:rsidP="001A351F">
            <w:pPr>
              <w:keepNext/>
              <w:cnfStyle w:val="100000000000" w:firstRow="1" w:lastRow="0" w:firstColumn="0" w:lastColumn="0" w:oddVBand="0" w:evenVBand="0" w:oddHBand="0" w:evenHBand="0" w:firstRowFirstColumn="0" w:firstRowLastColumn="0" w:lastRowFirstColumn="0" w:lastRowLastColumn="0"/>
              <w:rPr>
                <w:rFonts w:cstheme="minorHAnsi"/>
                <w:b w:val="0"/>
                <w:bCs/>
                <w:color w:val="FFFFFF"/>
                <w:lang w:eastAsia="en-GB"/>
              </w:rPr>
            </w:pPr>
            <w:r w:rsidRPr="001A351F">
              <w:rPr>
                <w:rFonts w:cstheme="minorHAnsi"/>
                <w:b w:val="0"/>
                <w:bCs/>
                <w:lang w:eastAsia="en-GB"/>
              </w:rPr>
              <w:t>Private Rented</w:t>
            </w:r>
          </w:p>
        </w:tc>
      </w:tr>
      <w:tr w:rsidR="00B008D9" w:rsidRPr="001A351F" w:rsidTr="00700980">
        <w:tc>
          <w:tcPr>
            <w:cnfStyle w:val="001000000000" w:firstRow="0" w:lastRow="0" w:firstColumn="1" w:lastColumn="0" w:oddVBand="0" w:evenVBand="0" w:oddHBand="0" w:evenHBand="0" w:firstRowFirstColumn="0" w:firstRowLastColumn="0" w:lastRowFirstColumn="0" w:lastRowLastColumn="0"/>
            <w:tcW w:w="1078" w:type="pct"/>
            <w:noWrap/>
            <w:hideMark/>
          </w:tcPr>
          <w:p w:rsidR="00B008D9" w:rsidRPr="001A351F" w:rsidRDefault="00B008D9" w:rsidP="001A351F">
            <w:pPr>
              <w:keepNext/>
              <w:rPr>
                <w:rFonts w:cstheme="minorHAnsi"/>
                <w:b/>
                <w:lang w:eastAsia="en-GB"/>
              </w:rPr>
            </w:pPr>
            <w:r w:rsidRPr="001A351F">
              <w:rPr>
                <w:rFonts w:cstheme="minorHAnsi"/>
                <w:b/>
                <w:lang w:eastAsia="en-GB"/>
              </w:rPr>
              <w:t>Chichester City</w:t>
            </w:r>
          </w:p>
        </w:tc>
        <w:tc>
          <w:tcPr>
            <w:tcW w:w="834" w:type="pct"/>
          </w:tcPr>
          <w:p w:rsidR="00B008D9" w:rsidRPr="001A351F" w:rsidRDefault="00B008D9" w:rsidP="001A351F">
            <w:pPr>
              <w:keepNext/>
              <w:cnfStyle w:val="000000000000" w:firstRow="0" w:lastRow="0" w:firstColumn="0" w:lastColumn="0" w:oddVBand="0" w:evenVBand="0" w:oddHBand="0" w:evenHBand="0" w:firstRowFirstColumn="0" w:firstRowLastColumn="0" w:lastRowFirstColumn="0" w:lastRowLastColumn="0"/>
              <w:rPr>
                <w:rFonts w:cstheme="minorHAnsi"/>
                <w:b/>
              </w:rPr>
            </w:pPr>
            <w:r w:rsidRPr="001A351F">
              <w:rPr>
                <w:rFonts w:cstheme="minorHAnsi"/>
                <w:b/>
              </w:rPr>
              <w:t>1,595</w:t>
            </w:r>
          </w:p>
          <w:p w:rsidR="00B008D9" w:rsidRPr="001A351F" w:rsidRDefault="00B008D9" w:rsidP="001A351F">
            <w:pPr>
              <w:keepNext/>
              <w:cnfStyle w:val="000000000000" w:firstRow="0" w:lastRow="0" w:firstColumn="0" w:lastColumn="0" w:oddVBand="0" w:evenVBand="0" w:oddHBand="0" w:evenHBand="0" w:firstRowFirstColumn="0" w:firstRowLastColumn="0" w:lastRowFirstColumn="0" w:lastRowLastColumn="0"/>
              <w:rPr>
                <w:rFonts w:cstheme="minorHAnsi"/>
                <w:b/>
              </w:rPr>
            </w:pPr>
            <w:r w:rsidRPr="001A351F">
              <w:rPr>
                <w:rFonts w:cstheme="minorHAnsi"/>
                <w:b/>
              </w:rPr>
              <w:t>(15%)</w:t>
            </w:r>
          </w:p>
        </w:tc>
        <w:tc>
          <w:tcPr>
            <w:tcW w:w="710" w:type="pct"/>
            <w:noWrap/>
          </w:tcPr>
          <w:p w:rsidR="00B008D9" w:rsidRPr="001A351F" w:rsidRDefault="00B008D9" w:rsidP="001A351F">
            <w:pPr>
              <w:keepNext/>
              <w:cnfStyle w:val="000000000000" w:firstRow="0" w:lastRow="0" w:firstColumn="0" w:lastColumn="0" w:oddVBand="0" w:evenVBand="0" w:oddHBand="0" w:evenHBand="0" w:firstRowFirstColumn="0" w:firstRowLastColumn="0" w:lastRowFirstColumn="0" w:lastRowLastColumn="0"/>
              <w:rPr>
                <w:rFonts w:cstheme="minorHAnsi"/>
              </w:rPr>
            </w:pPr>
            <w:r w:rsidRPr="001A351F">
              <w:rPr>
                <w:rFonts w:cstheme="minorHAnsi"/>
              </w:rPr>
              <w:t>543</w:t>
            </w:r>
          </w:p>
          <w:p w:rsidR="00B008D9" w:rsidRPr="001A351F" w:rsidRDefault="00B008D9" w:rsidP="001A351F">
            <w:pPr>
              <w:keepNext/>
              <w:cnfStyle w:val="000000000000" w:firstRow="0" w:lastRow="0" w:firstColumn="0" w:lastColumn="0" w:oddVBand="0" w:evenVBand="0" w:oddHBand="0" w:evenHBand="0" w:firstRowFirstColumn="0" w:firstRowLastColumn="0" w:lastRowFirstColumn="0" w:lastRowLastColumn="0"/>
              <w:rPr>
                <w:rFonts w:cstheme="minorHAnsi"/>
              </w:rPr>
            </w:pPr>
            <w:r w:rsidRPr="001A351F">
              <w:rPr>
                <w:rFonts w:cstheme="minorHAnsi"/>
              </w:rPr>
              <w:t>(15%)</w:t>
            </w:r>
          </w:p>
        </w:tc>
        <w:tc>
          <w:tcPr>
            <w:tcW w:w="982" w:type="pct"/>
            <w:noWrap/>
          </w:tcPr>
          <w:p w:rsidR="00B008D9" w:rsidRPr="001A351F" w:rsidRDefault="00B008D9" w:rsidP="001A351F">
            <w:pPr>
              <w:keepNext/>
              <w:cnfStyle w:val="000000000000" w:firstRow="0" w:lastRow="0" w:firstColumn="0" w:lastColumn="0" w:oddVBand="0" w:evenVBand="0" w:oddHBand="0" w:evenHBand="0" w:firstRowFirstColumn="0" w:firstRowLastColumn="0" w:lastRowFirstColumn="0" w:lastRowLastColumn="0"/>
              <w:rPr>
                <w:rFonts w:cstheme="minorHAnsi"/>
              </w:rPr>
            </w:pPr>
            <w:r w:rsidRPr="001A351F">
              <w:rPr>
                <w:rFonts w:cstheme="minorHAnsi"/>
              </w:rPr>
              <w:t>-378</w:t>
            </w:r>
          </w:p>
          <w:p w:rsidR="00B008D9" w:rsidRPr="001A351F" w:rsidRDefault="00B008D9" w:rsidP="001A351F">
            <w:pPr>
              <w:keepNext/>
              <w:cnfStyle w:val="000000000000" w:firstRow="0" w:lastRow="0" w:firstColumn="0" w:lastColumn="0" w:oddVBand="0" w:evenVBand="0" w:oddHBand="0" w:evenHBand="0" w:firstRowFirstColumn="0" w:firstRowLastColumn="0" w:lastRowFirstColumn="0" w:lastRowLastColumn="0"/>
              <w:rPr>
                <w:rFonts w:cstheme="minorHAnsi"/>
              </w:rPr>
            </w:pPr>
            <w:r w:rsidRPr="001A351F">
              <w:rPr>
                <w:rFonts w:cstheme="minorHAnsi"/>
              </w:rPr>
              <w:t>(-13%)</w:t>
            </w:r>
          </w:p>
        </w:tc>
        <w:tc>
          <w:tcPr>
            <w:tcW w:w="661" w:type="pct"/>
            <w:noWrap/>
          </w:tcPr>
          <w:p w:rsidR="00B008D9" w:rsidRPr="001A351F" w:rsidRDefault="00B008D9" w:rsidP="001A351F">
            <w:pPr>
              <w:keepNext/>
              <w:cnfStyle w:val="000000000000" w:firstRow="0" w:lastRow="0" w:firstColumn="0" w:lastColumn="0" w:oddVBand="0" w:evenVBand="0" w:oddHBand="0" w:evenHBand="0" w:firstRowFirstColumn="0" w:firstRowLastColumn="0" w:lastRowFirstColumn="0" w:lastRowLastColumn="0"/>
              <w:rPr>
                <w:rFonts w:cstheme="minorHAnsi"/>
              </w:rPr>
            </w:pPr>
            <w:r w:rsidRPr="001A351F">
              <w:rPr>
                <w:rFonts w:cstheme="minorHAnsi"/>
              </w:rPr>
              <w:t>361</w:t>
            </w:r>
          </w:p>
          <w:p w:rsidR="00B008D9" w:rsidRPr="001A351F" w:rsidRDefault="00B008D9" w:rsidP="001A351F">
            <w:pPr>
              <w:keepNext/>
              <w:cnfStyle w:val="000000000000" w:firstRow="0" w:lastRow="0" w:firstColumn="0" w:lastColumn="0" w:oddVBand="0" w:evenVBand="0" w:oddHBand="0" w:evenHBand="0" w:firstRowFirstColumn="0" w:firstRowLastColumn="0" w:lastRowFirstColumn="0" w:lastRowLastColumn="0"/>
              <w:rPr>
                <w:rFonts w:cstheme="minorHAnsi"/>
              </w:rPr>
            </w:pPr>
            <w:r w:rsidRPr="001A351F">
              <w:rPr>
                <w:rFonts w:cstheme="minorHAnsi"/>
              </w:rPr>
              <w:t>(15%)</w:t>
            </w:r>
          </w:p>
        </w:tc>
        <w:tc>
          <w:tcPr>
            <w:tcW w:w="735" w:type="pct"/>
          </w:tcPr>
          <w:p w:rsidR="00B008D9" w:rsidRPr="001A351F" w:rsidRDefault="00B008D9" w:rsidP="001A351F">
            <w:pPr>
              <w:keepNext/>
              <w:cnfStyle w:val="000000000000" w:firstRow="0" w:lastRow="0" w:firstColumn="0" w:lastColumn="0" w:oddVBand="0" w:evenVBand="0" w:oddHBand="0" w:evenHBand="0" w:firstRowFirstColumn="0" w:firstRowLastColumn="0" w:lastRowFirstColumn="0" w:lastRowLastColumn="0"/>
              <w:rPr>
                <w:rFonts w:cstheme="minorHAnsi"/>
              </w:rPr>
            </w:pPr>
            <w:r w:rsidRPr="001A351F">
              <w:rPr>
                <w:rFonts w:cstheme="minorHAnsi"/>
              </w:rPr>
              <w:t>1,075</w:t>
            </w:r>
          </w:p>
          <w:p w:rsidR="00B008D9" w:rsidRPr="001A351F" w:rsidRDefault="00B008D9" w:rsidP="001A351F">
            <w:pPr>
              <w:keepNext/>
              <w:cnfStyle w:val="000000000000" w:firstRow="0" w:lastRow="0" w:firstColumn="0" w:lastColumn="0" w:oddVBand="0" w:evenVBand="0" w:oddHBand="0" w:evenHBand="0" w:firstRowFirstColumn="0" w:firstRowLastColumn="0" w:lastRowFirstColumn="0" w:lastRowLastColumn="0"/>
              <w:rPr>
                <w:rFonts w:cstheme="minorHAnsi"/>
              </w:rPr>
            </w:pPr>
            <w:r w:rsidRPr="001A351F">
              <w:rPr>
                <w:rFonts w:cstheme="minorHAnsi"/>
              </w:rPr>
              <w:t>(78%)</w:t>
            </w:r>
          </w:p>
        </w:tc>
      </w:tr>
      <w:tr w:rsidR="00B008D9" w:rsidRPr="001A351F" w:rsidTr="00700980">
        <w:tc>
          <w:tcPr>
            <w:cnfStyle w:val="001000000000" w:firstRow="0" w:lastRow="0" w:firstColumn="1" w:lastColumn="0" w:oddVBand="0" w:evenVBand="0" w:oddHBand="0" w:evenHBand="0" w:firstRowFirstColumn="0" w:firstRowLastColumn="0" w:lastRowFirstColumn="0" w:lastRowLastColumn="0"/>
            <w:tcW w:w="1078" w:type="pct"/>
            <w:noWrap/>
            <w:hideMark/>
          </w:tcPr>
          <w:p w:rsidR="00B008D9" w:rsidRPr="001A351F" w:rsidRDefault="00B008D9" w:rsidP="001A351F">
            <w:pPr>
              <w:keepNext/>
              <w:rPr>
                <w:rFonts w:cstheme="minorHAnsi"/>
                <w:b/>
                <w:lang w:eastAsia="en-GB"/>
              </w:rPr>
            </w:pPr>
            <w:r w:rsidRPr="001A351F">
              <w:rPr>
                <w:rFonts w:cstheme="minorHAnsi"/>
                <w:b/>
                <w:lang w:eastAsia="en-GB"/>
              </w:rPr>
              <w:t>East-West Corridor</w:t>
            </w:r>
          </w:p>
        </w:tc>
        <w:tc>
          <w:tcPr>
            <w:tcW w:w="834" w:type="pct"/>
          </w:tcPr>
          <w:p w:rsidR="00B008D9" w:rsidRPr="001A351F" w:rsidRDefault="00B008D9" w:rsidP="001A351F">
            <w:pPr>
              <w:keepNext/>
              <w:cnfStyle w:val="000000000000" w:firstRow="0" w:lastRow="0" w:firstColumn="0" w:lastColumn="0" w:oddVBand="0" w:evenVBand="0" w:oddHBand="0" w:evenHBand="0" w:firstRowFirstColumn="0" w:firstRowLastColumn="0" w:lastRowFirstColumn="0" w:lastRowLastColumn="0"/>
              <w:rPr>
                <w:rFonts w:cstheme="minorHAnsi"/>
                <w:b/>
              </w:rPr>
            </w:pPr>
            <w:r w:rsidRPr="001A351F">
              <w:rPr>
                <w:rFonts w:cstheme="minorHAnsi"/>
                <w:b/>
              </w:rPr>
              <w:t>1,103</w:t>
            </w:r>
          </w:p>
          <w:p w:rsidR="00B008D9" w:rsidRPr="001A351F" w:rsidRDefault="00B008D9" w:rsidP="001A351F">
            <w:pPr>
              <w:keepNext/>
              <w:cnfStyle w:val="000000000000" w:firstRow="0" w:lastRow="0" w:firstColumn="0" w:lastColumn="0" w:oddVBand="0" w:evenVBand="0" w:oddHBand="0" w:evenHBand="0" w:firstRowFirstColumn="0" w:firstRowLastColumn="0" w:lastRowFirstColumn="0" w:lastRowLastColumn="0"/>
              <w:rPr>
                <w:rFonts w:cstheme="minorHAnsi"/>
                <w:b/>
              </w:rPr>
            </w:pPr>
            <w:r w:rsidRPr="001A351F">
              <w:rPr>
                <w:rFonts w:cstheme="minorHAnsi"/>
                <w:b/>
              </w:rPr>
              <w:t>(43%)</w:t>
            </w:r>
          </w:p>
        </w:tc>
        <w:tc>
          <w:tcPr>
            <w:tcW w:w="710" w:type="pct"/>
            <w:noWrap/>
          </w:tcPr>
          <w:p w:rsidR="00B008D9" w:rsidRPr="001A351F" w:rsidRDefault="00B008D9" w:rsidP="001A351F">
            <w:pPr>
              <w:keepNext/>
              <w:cnfStyle w:val="000000000000" w:firstRow="0" w:lastRow="0" w:firstColumn="0" w:lastColumn="0" w:oddVBand="0" w:evenVBand="0" w:oddHBand="0" w:evenHBand="0" w:firstRowFirstColumn="0" w:firstRowLastColumn="0" w:lastRowFirstColumn="0" w:lastRowLastColumn="0"/>
              <w:rPr>
                <w:rFonts w:cstheme="minorHAnsi"/>
              </w:rPr>
            </w:pPr>
            <w:r w:rsidRPr="001A351F">
              <w:rPr>
                <w:rFonts w:cstheme="minorHAnsi"/>
              </w:rPr>
              <w:t>595</w:t>
            </w:r>
          </w:p>
          <w:p w:rsidR="00B008D9" w:rsidRPr="001A351F" w:rsidRDefault="00B008D9" w:rsidP="001A351F">
            <w:pPr>
              <w:keepNext/>
              <w:cnfStyle w:val="000000000000" w:firstRow="0" w:lastRow="0" w:firstColumn="0" w:lastColumn="0" w:oddVBand="0" w:evenVBand="0" w:oddHBand="0" w:evenHBand="0" w:firstRowFirstColumn="0" w:firstRowLastColumn="0" w:lastRowFirstColumn="0" w:lastRowLastColumn="0"/>
              <w:rPr>
                <w:rFonts w:cstheme="minorHAnsi"/>
              </w:rPr>
            </w:pPr>
            <w:r w:rsidRPr="001A351F">
              <w:rPr>
                <w:rFonts w:cstheme="minorHAnsi"/>
              </w:rPr>
              <w:t>(21%)</w:t>
            </w:r>
          </w:p>
        </w:tc>
        <w:tc>
          <w:tcPr>
            <w:tcW w:w="982" w:type="pct"/>
            <w:noWrap/>
          </w:tcPr>
          <w:p w:rsidR="00B008D9" w:rsidRPr="001A351F" w:rsidRDefault="00B008D9" w:rsidP="001A351F">
            <w:pPr>
              <w:keepNext/>
              <w:cnfStyle w:val="000000000000" w:firstRow="0" w:lastRow="0" w:firstColumn="0" w:lastColumn="0" w:oddVBand="0" w:evenVBand="0" w:oddHBand="0" w:evenHBand="0" w:firstRowFirstColumn="0" w:firstRowLastColumn="0" w:lastRowFirstColumn="0" w:lastRowLastColumn="0"/>
              <w:rPr>
                <w:rFonts w:cstheme="minorHAnsi"/>
              </w:rPr>
            </w:pPr>
            <w:r w:rsidRPr="001A351F">
              <w:rPr>
                <w:rFonts w:cstheme="minorHAnsi"/>
              </w:rPr>
              <w:t>-73</w:t>
            </w:r>
          </w:p>
          <w:p w:rsidR="00B008D9" w:rsidRPr="001A351F" w:rsidRDefault="00B008D9" w:rsidP="001A351F">
            <w:pPr>
              <w:keepNext/>
              <w:cnfStyle w:val="000000000000" w:firstRow="0" w:lastRow="0" w:firstColumn="0" w:lastColumn="0" w:oddVBand="0" w:evenVBand="0" w:oddHBand="0" w:evenHBand="0" w:firstRowFirstColumn="0" w:firstRowLastColumn="0" w:lastRowFirstColumn="0" w:lastRowLastColumn="0"/>
              <w:rPr>
                <w:rFonts w:cstheme="minorHAnsi"/>
              </w:rPr>
            </w:pPr>
            <w:r w:rsidRPr="001A351F">
              <w:rPr>
                <w:rFonts w:cstheme="minorHAnsi"/>
              </w:rPr>
              <w:t>(-3%)</w:t>
            </w:r>
          </w:p>
        </w:tc>
        <w:tc>
          <w:tcPr>
            <w:tcW w:w="661" w:type="pct"/>
            <w:noWrap/>
          </w:tcPr>
          <w:p w:rsidR="00B008D9" w:rsidRPr="001A351F" w:rsidRDefault="00B008D9" w:rsidP="001A351F">
            <w:pPr>
              <w:keepNext/>
              <w:cnfStyle w:val="000000000000" w:firstRow="0" w:lastRow="0" w:firstColumn="0" w:lastColumn="0" w:oddVBand="0" w:evenVBand="0" w:oddHBand="0" w:evenHBand="0" w:firstRowFirstColumn="0" w:firstRowLastColumn="0" w:lastRowFirstColumn="0" w:lastRowLastColumn="0"/>
              <w:rPr>
                <w:rFonts w:cstheme="minorHAnsi"/>
              </w:rPr>
            </w:pPr>
            <w:r w:rsidRPr="001A351F">
              <w:rPr>
                <w:rFonts w:cstheme="minorHAnsi"/>
              </w:rPr>
              <w:t>137</w:t>
            </w:r>
          </w:p>
          <w:p w:rsidR="00B008D9" w:rsidRPr="001A351F" w:rsidRDefault="00B008D9" w:rsidP="001A351F">
            <w:pPr>
              <w:keepNext/>
              <w:cnfStyle w:val="000000000000" w:firstRow="0" w:lastRow="0" w:firstColumn="0" w:lastColumn="0" w:oddVBand="0" w:evenVBand="0" w:oddHBand="0" w:evenHBand="0" w:firstRowFirstColumn="0" w:firstRowLastColumn="0" w:lastRowFirstColumn="0" w:lastRowLastColumn="0"/>
              <w:rPr>
                <w:rFonts w:cstheme="minorHAnsi"/>
              </w:rPr>
            </w:pPr>
            <w:r w:rsidRPr="001A351F">
              <w:rPr>
                <w:rFonts w:cstheme="minorHAnsi"/>
              </w:rPr>
              <w:t>(17%)</w:t>
            </w:r>
          </w:p>
        </w:tc>
        <w:tc>
          <w:tcPr>
            <w:tcW w:w="735" w:type="pct"/>
          </w:tcPr>
          <w:p w:rsidR="00B008D9" w:rsidRPr="001A351F" w:rsidRDefault="00B008D9" w:rsidP="001A351F">
            <w:pPr>
              <w:keepNext/>
              <w:cnfStyle w:val="000000000000" w:firstRow="0" w:lastRow="0" w:firstColumn="0" w:lastColumn="0" w:oddVBand="0" w:evenVBand="0" w:oddHBand="0" w:evenHBand="0" w:firstRowFirstColumn="0" w:firstRowLastColumn="0" w:lastRowFirstColumn="0" w:lastRowLastColumn="0"/>
              <w:rPr>
                <w:rFonts w:cstheme="minorHAnsi"/>
              </w:rPr>
            </w:pPr>
            <w:r w:rsidRPr="001A351F">
              <w:rPr>
                <w:rFonts w:cstheme="minorHAnsi"/>
              </w:rPr>
              <w:t>421</w:t>
            </w:r>
          </w:p>
          <w:p w:rsidR="00B008D9" w:rsidRPr="001A351F" w:rsidRDefault="00B008D9" w:rsidP="001A351F">
            <w:pPr>
              <w:keepNext/>
              <w:cnfStyle w:val="000000000000" w:firstRow="0" w:lastRow="0" w:firstColumn="0" w:lastColumn="0" w:oddVBand="0" w:evenVBand="0" w:oddHBand="0" w:evenHBand="0" w:firstRowFirstColumn="0" w:firstRowLastColumn="0" w:lastRowFirstColumn="0" w:lastRowLastColumn="0"/>
              <w:rPr>
                <w:rFonts w:cstheme="minorHAnsi"/>
              </w:rPr>
            </w:pPr>
            <w:r w:rsidRPr="001A351F">
              <w:rPr>
                <w:rFonts w:cstheme="minorHAnsi"/>
              </w:rPr>
              <w:t>(52%)</w:t>
            </w:r>
          </w:p>
        </w:tc>
      </w:tr>
      <w:tr w:rsidR="00B008D9" w:rsidRPr="001A351F" w:rsidTr="00700980">
        <w:tc>
          <w:tcPr>
            <w:cnfStyle w:val="001000000000" w:firstRow="0" w:lastRow="0" w:firstColumn="1" w:lastColumn="0" w:oddVBand="0" w:evenVBand="0" w:oddHBand="0" w:evenHBand="0" w:firstRowFirstColumn="0" w:firstRowLastColumn="0" w:lastRowFirstColumn="0" w:lastRowLastColumn="0"/>
            <w:tcW w:w="1078" w:type="pct"/>
            <w:noWrap/>
            <w:hideMark/>
          </w:tcPr>
          <w:p w:rsidR="00B008D9" w:rsidRPr="001A351F" w:rsidRDefault="00B008D9" w:rsidP="001A351F">
            <w:pPr>
              <w:keepNext/>
              <w:rPr>
                <w:rFonts w:cstheme="minorHAnsi"/>
                <w:b/>
                <w:lang w:eastAsia="en-GB"/>
              </w:rPr>
            </w:pPr>
            <w:r w:rsidRPr="001A351F">
              <w:rPr>
                <w:rFonts w:eastAsia="Times New Roman" w:cstheme="minorHAnsi"/>
                <w:b/>
                <w:lang w:eastAsia="en-GB"/>
              </w:rPr>
              <w:t>Manhood Peninsula</w:t>
            </w:r>
          </w:p>
        </w:tc>
        <w:tc>
          <w:tcPr>
            <w:tcW w:w="834" w:type="pct"/>
          </w:tcPr>
          <w:p w:rsidR="00B008D9" w:rsidRPr="001A351F" w:rsidRDefault="00B008D9" w:rsidP="001A351F">
            <w:pPr>
              <w:keepNext/>
              <w:cnfStyle w:val="000000000000" w:firstRow="0" w:lastRow="0" w:firstColumn="0" w:lastColumn="0" w:oddVBand="0" w:evenVBand="0" w:oddHBand="0" w:evenHBand="0" w:firstRowFirstColumn="0" w:firstRowLastColumn="0" w:lastRowFirstColumn="0" w:lastRowLastColumn="0"/>
              <w:rPr>
                <w:rFonts w:cstheme="minorHAnsi"/>
                <w:b/>
              </w:rPr>
            </w:pPr>
            <w:r w:rsidRPr="001A351F">
              <w:rPr>
                <w:rFonts w:cstheme="minorHAnsi"/>
                <w:b/>
              </w:rPr>
              <w:t>1,278</w:t>
            </w:r>
          </w:p>
          <w:p w:rsidR="00B008D9" w:rsidRPr="001A351F" w:rsidRDefault="00B008D9" w:rsidP="001A351F">
            <w:pPr>
              <w:keepNext/>
              <w:cnfStyle w:val="000000000000" w:firstRow="0" w:lastRow="0" w:firstColumn="0" w:lastColumn="0" w:oddVBand="0" w:evenVBand="0" w:oddHBand="0" w:evenHBand="0" w:firstRowFirstColumn="0" w:firstRowLastColumn="0" w:lastRowFirstColumn="0" w:lastRowLastColumn="0"/>
              <w:rPr>
                <w:rFonts w:cstheme="minorHAnsi"/>
                <w:b/>
              </w:rPr>
            </w:pPr>
            <w:r w:rsidRPr="001A351F">
              <w:rPr>
                <w:rFonts w:cstheme="minorHAnsi"/>
                <w:b/>
              </w:rPr>
              <w:t>(31%)</w:t>
            </w:r>
          </w:p>
        </w:tc>
        <w:tc>
          <w:tcPr>
            <w:tcW w:w="710" w:type="pct"/>
            <w:noWrap/>
          </w:tcPr>
          <w:p w:rsidR="00B008D9" w:rsidRPr="001A351F" w:rsidRDefault="00B008D9" w:rsidP="001A351F">
            <w:pPr>
              <w:keepNext/>
              <w:cnfStyle w:val="000000000000" w:firstRow="0" w:lastRow="0" w:firstColumn="0" w:lastColumn="0" w:oddVBand="0" w:evenVBand="0" w:oddHBand="0" w:evenHBand="0" w:firstRowFirstColumn="0" w:firstRowLastColumn="0" w:lastRowFirstColumn="0" w:lastRowLastColumn="0"/>
              <w:rPr>
                <w:rFonts w:cstheme="minorHAnsi"/>
              </w:rPr>
            </w:pPr>
            <w:r w:rsidRPr="001A351F">
              <w:rPr>
                <w:rFonts w:cstheme="minorHAnsi"/>
              </w:rPr>
              <w:t>574</w:t>
            </w:r>
          </w:p>
          <w:p w:rsidR="00B008D9" w:rsidRPr="001A351F" w:rsidRDefault="00B008D9" w:rsidP="001A351F">
            <w:pPr>
              <w:keepNext/>
              <w:cnfStyle w:val="000000000000" w:firstRow="0" w:lastRow="0" w:firstColumn="0" w:lastColumn="0" w:oddVBand="0" w:evenVBand="0" w:oddHBand="0" w:evenHBand="0" w:firstRowFirstColumn="0" w:firstRowLastColumn="0" w:lastRowFirstColumn="0" w:lastRowLastColumn="0"/>
              <w:rPr>
                <w:rFonts w:cstheme="minorHAnsi"/>
              </w:rPr>
            </w:pPr>
            <w:r w:rsidRPr="001A351F">
              <w:rPr>
                <w:rFonts w:cstheme="minorHAnsi"/>
              </w:rPr>
              <w:t>(11%)</w:t>
            </w:r>
          </w:p>
        </w:tc>
        <w:tc>
          <w:tcPr>
            <w:tcW w:w="982" w:type="pct"/>
            <w:noWrap/>
          </w:tcPr>
          <w:p w:rsidR="00B008D9" w:rsidRPr="001A351F" w:rsidRDefault="00B008D9" w:rsidP="001A351F">
            <w:pPr>
              <w:keepNext/>
              <w:cnfStyle w:val="000000000000" w:firstRow="0" w:lastRow="0" w:firstColumn="0" w:lastColumn="0" w:oddVBand="0" w:evenVBand="0" w:oddHBand="0" w:evenHBand="0" w:firstRowFirstColumn="0" w:firstRowLastColumn="0" w:lastRowFirstColumn="0" w:lastRowLastColumn="0"/>
              <w:rPr>
                <w:rFonts w:cstheme="minorHAnsi"/>
              </w:rPr>
            </w:pPr>
            <w:r w:rsidRPr="001A351F">
              <w:rPr>
                <w:rFonts w:cstheme="minorHAnsi"/>
              </w:rPr>
              <w:t>53</w:t>
            </w:r>
          </w:p>
          <w:p w:rsidR="00B008D9" w:rsidRPr="001A351F" w:rsidRDefault="00B008D9" w:rsidP="001A351F">
            <w:pPr>
              <w:keepNext/>
              <w:cnfStyle w:val="000000000000" w:firstRow="0" w:lastRow="0" w:firstColumn="0" w:lastColumn="0" w:oddVBand="0" w:evenVBand="0" w:oddHBand="0" w:evenHBand="0" w:firstRowFirstColumn="0" w:firstRowLastColumn="0" w:lastRowFirstColumn="0" w:lastRowLastColumn="0"/>
              <w:rPr>
                <w:rFonts w:cstheme="minorHAnsi"/>
              </w:rPr>
            </w:pPr>
            <w:r w:rsidRPr="001A351F">
              <w:rPr>
                <w:rFonts w:cstheme="minorHAnsi"/>
              </w:rPr>
              <w:t>(2%)</w:t>
            </w:r>
          </w:p>
        </w:tc>
        <w:tc>
          <w:tcPr>
            <w:tcW w:w="661" w:type="pct"/>
            <w:noWrap/>
          </w:tcPr>
          <w:p w:rsidR="00B008D9" w:rsidRPr="001A351F" w:rsidRDefault="00B008D9" w:rsidP="001A351F">
            <w:pPr>
              <w:keepNext/>
              <w:cnfStyle w:val="000000000000" w:firstRow="0" w:lastRow="0" w:firstColumn="0" w:lastColumn="0" w:oddVBand="0" w:evenVBand="0" w:oddHBand="0" w:evenHBand="0" w:firstRowFirstColumn="0" w:firstRowLastColumn="0" w:lastRowFirstColumn="0" w:lastRowLastColumn="0"/>
              <w:rPr>
                <w:rFonts w:cstheme="minorHAnsi"/>
              </w:rPr>
            </w:pPr>
            <w:r w:rsidRPr="001A351F">
              <w:rPr>
                <w:rFonts w:cstheme="minorHAnsi"/>
              </w:rPr>
              <w:t>112</w:t>
            </w:r>
          </w:p>
          <w:p w:rsidR="00B008D9" w:rsidRPr="001A351F" w:rsidRDefault="00B008D9" w:rsidP="001A351F">
            <w:pPr>
              <w:keepNext/>
              <w:cnfStyle w:val="000000000000" w:firstRow="0" w:lastRow="0" w:firstColumn="0" w:lastColumn="0" w:oddVBand="0" w:evenVBand="0" w:oddHBand="0" w:evenHBand="0" w:firstRowFirstColumn="0" w:firstRowLastColumn="0" w:lastRowFirstColumn="0" w:lastRowLastColumn="0"/>
              <w:rPr>
                <w:rFonts w:cstheme="minorHAnsi"/>
              </w:rPr>
            </w:pPr>
            <w:r w:rsidRPr="001A351F">
              <w:rPr>
                <w:rFonts w:cstheme="minorHAnsi"/>
              </w:rPr>
              <w:t>(12%)</w:t>
            </w:r>
          </w:p>
        </w:tc>
        <w:tc>
          <w:tcPr>
            <w:tcW w:w="735" w:type="pct"/>
          </w:tcPr>
          <w:p w:rsidR="00B008D9" w:rsidRPr="001A351F" w:rsidRDefault="00B008D9" w:rsidP="001A351F">
            <w:pPr>
              <w:keepNext/>
              <w:cnfStyle w:val="000000000000" w:firstRow="0" w:lastRow="0" w:firstColumn="0" w:lastColumn="0" w:oddVBand="0" w:evenVBand="0" w:oddHBand="0" w:evenHBand="0" w:firstRowFirstColumn="0" w:firstRowLastColumn="0" w:lastRowFirstColumn="0" w:lastRowLastColumn="0"/>
              <w:rPr>
                <w:rFonts w:cstheme="minorHAnsi"/>
              </w:rPr>
            </w:pPr>
            <w:r w:rsidRPr="001A351F">
              <w:rPr>
                <w:rFonts w:cstheme="minorHAnsi"/>
              </w:rPr>
              <w:t>553</w:t>
            </w:r>
          </w:p>
          <w:p w:rsidR="00B008D9" w:rsidRPr="001A351F" w:rsidRDefault="00B008D9" w:rsidP="001A351F">
            <w:pPr>
              <w:keepNext/>
              <w:cnfStyle w:val="000000000000" w:firstRow="0" w:lastRow="0" w:firstColumn="0" w:lastColumn="0" w:oddVBand="0" w:evenVBand="0" w:oddHBand="0" w:evenHBand="0" w:firstRowFirstColumn="0" w:firstRowLastColumn="0" w:lastRowFirstColumn="0" w:lastRowLastColumn="0"/>
              <w:rPr>
                <w:rFonts w:cstheme="minorHAnsi"/>
              </w:rPr>
            </w:pPr>
            <w:r w:rsidRPr="001A351F">
              <w:rPr>
                <w:rFonts w:cstheme="minorHAnsi"/>
              </w:rPr>
              <w:t>(66%)</w:t>
            </w:r>
          </w:p>
        </w:tc>
      </w:tr>
      <w:tr w:rsidR="00B008D9" w:rsidRPr="001A351F" w:rsidTr="00700980">
        <w:tc>
          <w:tcPr>
            <w:cnfStyle w:val="001000000000" w:firstRow="0" w:lastRow="0" w:firstColumn="1" w:lastColumn="0" w:oddVBand="0" w:evenVBand="0" w:oddHBand="0" w:evenHBand="0" w:firstRowFirstColumn="0" w:firstRowLastColumn="0" w:lastRowFirstColumn="0" w:lastRowLastColumn="0"/>
            <w:tcW w:w="1078" w:type="pct"/>
            <w:noWrap/>
            <w:hideMark/>
          </w:tcPr>
          <w:p w:rsidR="00B008D9" w:rsidRPr="001A351F" w:rsidRDefault="00B008D9" w:rsidP="001A351F">
            <w:pPr>
              <w:keepNext/>
              <w:rPr>
                <w:rFonts w:cstheme="minorHAnsi"/>
                <w:b/>
                <w:lang w:eastAsia="en-GB"/>
              </w:rPr>
            </w:pPr>
            <w:r w:rsidRPr="001A351F">
              <w:rPr>
                <w:rFonts w:cstheme="minorHAnsi"/>
                <w:b/>
                <w:lang w:eastAsia="en-GB"/>
              </w:rPr>
              <w:t>Plan Area North</w:t>
            </w:r>
          </w:p>
        </w:tc>
        <w:tc>
          <w:tcPr>
            <w:tcW w:w="834" w:type="pct"/>
          </w:tcPr>
          <w:p w:rsidR="00B008D9" w:rsidRPr="001A351F" w:rsidRDefault="00B008D9" w:rsidP="001A351F">
            <w:pPr>
              <w:keepNext/>
              <w:cnfStyle w:val="000000000000" w:firstRow="0" w:lastRow="0" w:firstColumn="0" w:lastColumn="0" w:oddVBand="0" w:evenVBand="0" w:oddHBand="0" w:evenHBand="0" w:firstRowFirstColumn="0" w:firstRowLastColumn="0" w:lastRowFirstColumn="0" w:lastRowLastColumn="0"/>
              <w:rPr>
                <w:rFonts w:cstheme="minorHAnsi"/>
                <w:b/>
              </w:rPr>
            </w:pPr>
            <w:r w:rsidRPr="001A351F">
              <w:rPr>
                <w:rFonts w:cstheme="minorHAnsi"/>
                <w:b/>
              </w:rPr>
              <w:t>255</w:t>
            </w:r>
          </w:p>
          <w:p w:rsidR="00B008D9" w:rsidRPr="001A351F" w:rsidRDefault="00B008D9" w:rsidP="001A351F">
            <w:pPr>
              <w:keepNext/>
              <w:cnfStyle w:val="000000000000" w:firstRow="0" w:lastRow="0" w:firstColumn="0" w:lastColumn="0" w:oddVBand="0" w:evenVBand="0" w:oddHBand="0" w:evenHBand="0" w:firstRowFirstColumn="0" w:firstRowLastColumn="0" w:lastRowFirstColumn="0" w:lastRowLastColumn="0"/>
              <w:rPr>
                <w:rFonts w:cstheme="minorHAnsi"/>
                <w:b/>
              </w:rPr>
            </w:pPr>
            <w:r w:rsidRPr="001A351F">
              <w:rPr>
                <w:rFonts w:cstheme="minorHAnsi"/>
                <w:b/>
              </w:rPr>
              <w:t>(8%)</w:t>
            </w:r>
          </w:p>
        </w:tc>
        <w:tc>
          <w:tcPr>
            <w:tcW w:w="710" w:type="pct"/>
            <w:noWrap/>
          </w:tcPr>
          <w:p w:rsidR="00B008D9" w:rsidRPr="001A351F" w:rsidRDefault="00B008D9" w:rsidP="001A351F">
            <w:pPr>
              <w:keepNext/>
              <w:cnfStyle w:val="000000000000" w:firstRow="0" w:lastRow="0" w:firstColumn="0" w:lastColumn="0" w:oddVBand="0" w:evenVBand="0" w:oddHBand="0" w:evenHBand="0" w:firstRowFirstColumn="0" w:firstRowLastColumn="0" w:lastRowFirstColumn="0" w:lastRowLastColumn="0"/>
              <w:rPr>
                <w:rFonts w:cstheme="minorHAnsi"/>
              </w:rPr>
            </w:pPr>
            <w:r w:rsidRPr="001A351F">
              <w:rPr>
                <w:rFonts w:cstheme="minorHAnsi"/>
              </w:rPr>
              <w:t>207</w:t>
            </w:r>
          </w:p>
          <w:p w:rsidR="00B008D9" w:rsidRPr="001A351F" w:rsidRDefault="00B008D9" w:rsidP="001A351F">
            <w:pPr>
              <w:keepNext/>
              <w:cnfStyle w:val="000000000000" w:firstRow="0" w:lastRow="0" w:firstColumn="0" w:lastColumn="0" w:oddVBand="0" w:evenVBand="0" w:oddHBand="0" w:evenHBand="0" w:firstRowFirstColumn="0" w:firstRowLastColumn="0" w:lastRowFirstColumn="0" w:lastRowLastColumn="0"/>
              <w:rPr>
                <w:rFonts w:cstheme="minorHAnsi"/>
              </w:rPr>
            </w:pPr>
            <w:r w:rsidRPr="001A351F">
              <w:rPr>
                <w:rFonts w:cstheme="minorHAnsi"/>
              </w:rPr>
              <w:t>(18%)</w:t>
            </w:r>
          </w:p>
        </w:tc>
        <w:tc>
          <w:tcPr>
            <w:tcW w:w="982" w:type="pct"/>
            <w:noWrap/>
          </w:tcPr>
          <w:p w:rsidR="00B008D9" w:rsidRPr="001A351F" w:rsidRDefault="00B008D9" w:rsidP="001A351F">
            <w:pPr>
              <w:keepNext/>
              <w:cnfStyle w:val="000000000000" w:firstRow="0" w:lastRow="0" w:firstColumn="0" w:lastColumn="0" w:oddVBand="0" w:evenVBand="0" w:oddHBand="0" w:evenHBand="0" w:firstRowFirstColumn="0" w:firstRowLastColumn="0" w:lastRowFirstColumn="0" w:lastRowLastColumn="0"/>
              <w:rPr>
                <w:rFonts w:cstheme="minorHAnsi"/>
              </w:rPr>
            </w:pPr>
            <w:r w:rsidRPr="001A351F">
              <w:rPr>
                <w:rFonts w:cstheme="minorHAnsi"/>
              </w:rPr>
              <w:t>-11</w:t>
            </w:r>
          </w:p>
          <w:p w:rsidR="00B008D9" w:rsidRPr="001A351F" w:rsidRDefault="00B008D9" w:rsidP="001A351F">
            <w:pPr>
              <w:keepNext/>
              <w:cnfStyle w:val="000000000000" w:firstRow="0" w:lastRow="0" w:firstColumn="0" w:lastColumn="0" w:oddVBand="0" w:evenVBand="0" w:oddHBand="0" w:evenHBand="0" w:firstRowFirstColumn="0" w:firstRowLastColumn="0" w:lastRowFirstColumn="0" w:lastRowLastColumn="0"/>
              <w:rPr>
                <w:rFonts w:cstheme="minorHAnsi"/>
              </w:rPr>
            </w:pPr>
            <w:r w:rsidRPr="001A351F">
              <w:rPr>
                <w:rFonts w:cstheme="minorHAnsi"/>
              </w:rPr>
              <w:t>(-1%)</w:t>
            </w:r>
          </w:p>
        </w:tc>
        <w:tc>
          <w:tcPr>
            <w:tcW w:w="661" w:type="pct"/>
            <w:noWrap/>
          </w:tcPr>
          <w:p w:rsidR="00B008D9" w:rsidRPr="001A351F" w:rsidRDefault="00B008D9" w:rsidP="001A351F">
            <w:pPr>
              <w:keepNext/>
              <w:cnfStyle w:val="000000000000" w:firstRow="0" w:lastRow="0" w:firstColumn="0" w:lastColumn="0" w:oddVBand="0" w:evenVBand="0" w:oddHBand="0" w:evenHBand="0" w:firstRowFirstColumn="0" w:firstRowLastColumn="0" w:lastRowFirstColumn="0" w:lastRowLastColumn="0"/>
              <w:rPr>
                <w:rFonts w:cstheme="minorHAnsi"/>
              </w:rPr>
            </w:pPr>
            <w:r w:rsidRPr="001A351F">
              <w:rPr>
                <w:rFonts w:cstheme="minorHAnsi"/>
              </w:rPr>
              <w:t>57</w:t>
            </w:r>
          </w:p>
          <w:p w:rsidR="00B008D9" w:rsidRPr="001A351F" w:rsidRDefault="00B008D9" w:rsidP="001A351F">
            <w:pPr>
              <w:keepNext/>
              <w:cnfStyle w:val="000000000000" w:firstRow="0" w:lastRow="0" w:firstColumn="0" w:lastColumn="0" w:oddVBand="0" w:evenVBand="0" w:oddHBand="0" w:evenHBand="0" w:firstRowFirstColumn="0" w:firstRowLastColumn="0" w:lastRowFirstColumn="0" w:lastRowLastColumn="0"/>
              <w:rPr>
                <w:rFonts w:cstheme="minorHAnsi"/>
              </w:rPr>
            </w:pPr>
            <w:r w:rsidRPr="001A351F">
              <w:rPr>
                <w:rFonts w:cstheme="minorHAnsi"/>
              </w:rPr>
              <w:t>(23%)</w:t>
            </w:r>
          </w:p>
        </w:tc>
        <w:tc>
          <w:tcPr>
            <w:tcW w:w="735" w:type="pct"/>
          </w:tcPr>
          <w:p w:rsidR="00B008D9" w:rsidRPr="001A351F" w:rsidRDefault="00B008D9" w:rsidP="001A351F">
            <w:pPr>
              <w:keepNext/>
              <w:cnfStyle w:val="000000000000" w:firstRow="0" w:lastRow="0" w:firstColumn="0" w:lastColumn="0" w:oddVBand="0" w:evenVBand="0" w:oddHBand="0" w:evenHBand="0" w:firstRowFirstColumn="0" w:firstRowLastColumn="0" w:lastRowFirstColumn="0" w:lastRowLastColumn="0"/>
              <w:rPr>
                <w:rFonts w:cstheme="minorHAnsi"/>
              </w:rPr>
            </w:pPr>
            <w:r w:rsidRPr="001A351F">
              <w:rPr>
                <w:rFonts w:cstheme="minorHAnsi"/>
              </w:rPr>
              <w:t>22</w:t>
            </w:r>
          </w:p>
          <w:p w:rsidR="00B008D9" w:rsidRPr="001A351F" w:rsidRDefault="00B008D9" w:rsidP="001A351F">
            <w:pPr>
              <w:keepNext/>
              <w:cnfStyle w:val="000000000000" w:firstRow="0" w:lastRow="0" w:firstColumn="0" w:lastColumn="0" w:oddVBand="0" w:evenVBand="0" w:oddHBand="0" w:evenHBand="0" w:firstRowFirstColumn="0" w:firstRowLastColumn="0" w:lastRowFirstColumn="0" w:lastRowLastColumn="0"/>
              <w:rPr>
                <w:rFonts w:cstheme="minorHAnsi"/>
              </w:rPr>
            </w:pPr>
            <w:r w:rsidRPr="001A351F">
              <w:rPr>
                <w:rFonts w:cstheme="minorHAnsi"/>
              </w:rPr>
              <w:t>(10%)</w:t>
            </w:r>
          </w:p>
        </w:tc>
      </w:tr>
      <w:tr w:rsidR="00B008D9" w:rsidRPr="001A351F" w:rsidTr="00700980">
        <w:tc>
          <w:tcPr>
            <w:cnfStyle w:val="001000000000" w:firstRow="0" w:lastRow="0" w:firstColumn="1" w:lastColumn="0" w:oddVBand="0" w:evenVBand="0" w:oddHBand="0" w:evenHBand="0" w:firstRowFirstColumn="0" w:firstRowLastColumn="0" w:lastRowFirstColumn="0" w:lastRowLastColumn="0"/>
            <w:tcW w:w="1078" w:type="pct"/>
            <w:noWrap/>
            <w:hideMark/>
          </w:tcPr>
          <w:p w:rsidR="00B008D9" w:rsidRPr="001A351F" w:rsidRDefault="00B008D9" w:rsidP="001A351F">
            <w:pPr>
              <w:keepNext/>
              <w:rPr>
                <w:rFonts w:cstheme="minorHAnsi"/>
                <w:b/>
                <w:lang w:eastAsia="en-GB"/>
              </w:rPr>
            </w:pPr>
            <w:r w:rsidRPr="001A351F">
              <w:rPr>
                <w:rFonts w:cstheme="minorHAnsi"/>
                <w:b/>
                <w:lang w:eastAsia="en-GB"/>
              </w:rPr>
              <w:t>SDNP</w:t>
            </w:r>
          </w:p>
        </w:tc>
        <w:tc>
          <w:tcPr>
            <w:tcW w:w="834" w:type="pct"/>
          </w:tcPr>
          <w:p w:rsidR="00B008D9" w:rsidRPr="001A351F" w:rsidRDefault="00B008D9" w:rsidP="001A351F">
            <w:pPr>
              <w:keepNext/>
              <w:cnfStyle w:val="000000000000" w:firstRow="0" w:lastRow="0" w:firstColumn="0" w:lastColumn="0" w:oddVBand="0" w:evenVBand="0" w:oddHBand="0" w:evenHBand="0" w:firstRowFirstColumn="0" w:firstRowLastColumn="0" w:lastRowFirstColumn="0" w:lastRowLastColumn="0"/>
              <w:rPr>
                <w:rFonts w:cstheme="minorHAnsi"/>
                <w:b/>
              </w:rPr>
            </w:pPr>
            <w:r w:rsidRPr="001A351F">
              <w:rPr>
                <w:rFonts w:cstheme="minorHAnsi"/>
                <w:b/>
              </w:rPr>
              <w:t>705</w:t>
            </w:r>
          </w:p>
          <w:p w:rsidR="00B008D9" w:rsidRPr="001A351F" w:rsidRDefault="00B008D9" w:rsidP="001A351F">
            <w:pPr>
              <w:keepNext/>
              <w:cnfStyle w:val="000000000000" w:firstRow="0" w:lastRow="0" w:firstColumn="0" w:lastColumn="0" w:oddVBand="0" w:evenVBand="0" w:oddHBand="0" w:evenHBand="0" w:firstRowFirstColumn="0" w:firstRowLastColumn="0" w:lastRowFirstColumn="0" w:lastRowLastColumn="0"/>
              <w:rPr>
                <w:rFonts w:cstheme="minorHAnsi"/>
                <w:b/>
              </w:rPr>
            </w:pPr>
            <w:r w:rsidRPr="001A351F">
              <w:rPr>
                <w:rFonts w:cstheme="minorHAnsi"/>
                <w:b/>
              </w:rPr>
              <w:t>(21%)</w:t>
            </w:r>
          </w:p>
        </w:tc>
        <w:tc>
          <w:tcPr>
            <w:tcW w:w="710" w:type="pct"/>
            <w:noWrap/>
          </w:tcPr>
          <w:p w:rsidR="00B008D9" w:rsidRPr="001A351F" w:rsidRDefault="00B008D9" w:rsidP="001A351F">
            <w:pPr>
              <w:keepNext/>
              <w:cnfStyle w:val="000000000000" w:firstRow="0" w:lastRow="0" w:firstColumn="0" w:lastColumn="0" w:oddVBand="0" w:evenVBand="0" w:oddHBand="0" w:evenHBand="0" w:firstRowFirstColumn="0" w:firstRowLastColumn="0" w:lastRowFirstColumn="0" w:lastRowLastColumn="0"/>
              <w:rPr>
                <w:rFonts w:cstheme="minorHAnsi"/>
              </w:rPr>
            </w:pPr>
            <w:r w:rsidRPr="001A351F">
              <w:rPr>
                <w:rFonts w:cstheme="minorHAnsi"/>
              </w:rPr>
              <w:t>671</w:t>
            </w:r>
          </w:p>
          <w:p w:rsidR="00B008D9" w:rsidRPr="001A351F" w:rsidRDefault="00B008D9" w:rsidP="001A351F">
            <w:pPr>
              <w:keepNext/>
              <w:cnfStyle w:val="000000000000" w:firstRow="0" w:lastRow="0" w:firstColumn="0" w:lastColumn="0" w:oddVBand="0" w:evenVBand="0" w:oddHBand="0" w:evenHBand="0" w:firstRowFirstColumn="0" w:firstRowLastColumn="0" w:lastRowFirstColumn="0" w:lastRowLastColumn="0"/>
              <w:rPr>
                <w:rFonts w:cstheme="minorHAnsi"/>
              </w:rPr>
            </w:pPr>
            <w:r w:rsidRPr="001A351F">
              <w:rPr>
                <w:rFonts w:cstheme="minorHAnsi"/>
              </w:rPr>
              <w:t>(14%)</w:t>
            </w:r>
          </w:p>
        </w:tc>
        <w:tc>
          <w:tcPr>
            <w:tcW w:w="982" w:type="pct"/>
            <w:noWrap/>
          </w:tcPr>
          <w:p w:rsidR="00B008D9" w:rsidRPr="001A351F" w:rsidRDefault="00B008D9" w:rsidP="001A351F">
            <w:pPr>
              <w:keepNext/>
              <w:cnfStyle w:val="000000000000" w:firstRow="0" w:lastRow="0" w:firstColumn="0" w:lastColumn="0" w:oddVBand="0" w:evenVBand="0" w:oddHBand="0" w:evenHBand="0" w:firstRowFirstColumn="0" w:firstRowLastColumn="0" w:lastRowFirstColumn="0" w:lastRowLastColumn="0"/>
              <w:rPr>
                <w:rFonts w:cstheme="minorHAnsi"/>
              </w:rPr>
            </w:pPr>
            <w:r w:rsidRPr="001A351F">
              <w:rPr>
                <w:rFonts w:cstheme="minorHAnsi"/>
              </w:rPr>
              <w:t>-243</w:t>
            </w:r>
          </w:p>
          <w:p w:rsidR="00B008D9" w:rsidRPr="001A351F" w:rsidRDefault="00B008D9" w:rsidP="001A351F">
            <w:pPr>
              <w:keepNext/>
              <w:cnfStyle w:val="000000000000" w:firstRow="0" w:lastRow="0" w:firstColumn="0" w:lastColumn="0" w:oddVBand="0" w:evenVBand="0" w:oddHBand="0" w:evenHBand="0" w:firstRowFirstColumn="0" w:firstRowLastColumn="0" w:lastRowFirstColumn="0" w:lastRowLastColumn="0"/>
              <w:rPr>
                <w:rFonts w:cstheme="minorHAnsi"/>
              </w:rPr>
            </w:pPr>
            <w:r w:rsidRPr="001A351F">
              <w:rPr>
                <w:rFonts w:cstheme="minorHAnsi"/>
              </w:rPr>
              <w:t>(-7%)</w:t>
            </w:r>
          </w:p>
        </w:tc>
        <w:tc>
          <w:tcPr>
            <w:tcW w:w="661" w:type="pct"/>
            <w:noWrap/>
          </w:tcPr>
          <w:p w:rsidR="00B008D9" w:rsidRPr="001A351F" w:rsidRDefault="00B008D9" w:rsidP="001A351F">
            <w:pPr>
              <w:keepNext/>
              <w:cnfStyle w:val="000000000000" w:firstRow="0" w:lastRow="0" w:firstColumn="0" w:lastColumn="0" w:oddVBand="0" w:evenVBand="0" w:oddHBand="0" w:evenHBand="0" w:firstRowFirstColumn="0" w:firstRowLastColumn="0" w:lastRowFirstColumn="0" w:lastRowLastColumn="0"/>
              <w:rPr>
                <w:rFonts w:cstheme="minorHAnsi"/>
              </w:rPr>
            </w:pPr>
            <w:r w:rsidRPr="001A351F">
              <w:rPr>
                <w:rFonts w:cstheme="minorHAnsi"/>
              </w:rPr>
              <w:t>132</w:t>
            </w:r>
          </w:p>
          <w:p w:rsidR="00B008D9" w:rsidRPr="001A351F" w:rsidRDefault="00B008D9" w:rsidP="001A351F">
            <w:pPr>
              <w:keepNext/>
              <w:cnfStyle w:val="000000000000" w:firstRow="0" w:lastRow="0" w:firstColumn="0" w:lastColumn="0" w:oddVBand="0" w:evenVBand="0" w:oddHBand="0" w:evenHBand="0" w:firstRowFirstColumn="0" w:firstRowLastColumn="0" w:lastRowFirstColumn="0" w:lastRowLastColumn="0"/>
              <w:rPr>
                <w:rFonts w:cstheme="minorHAnsi"/>
              </w:rPr>
            </w:pPr>
            <w:r w:rsidRPr="001A351F">
              <w:rPr>
                <w:rFonts w:cstheme="minorHAnsi"/>
              </w:rPr>
              <w:t>(6%)</w:t>
            </w:r>
          </w:p>
        </w:tc>
        <w:tc>
          <w:tcPr>
            <w:tcW w:w="735" w:type="pct"/>
          </w:tcPr>
          <w:p w:rsidR="00B008D9" w:rsidRPr="001A351F" w:rsidRDefault="00B008D9" w:rsidP="001A351F">
            <w:pPr>
              <w:keepNext/>
              <w:cnfStyle w:val="000000000000" w:firstRow="0" w:lastRow="0" w:firstColumn="0" w:lastColumn="0" w:oddVBand="0" w:evenVBand="0" w:oddHBand="0" w:evenHBand="0" w:firstRowFirstColumn="0" w:firstRowLastColumn="0" w:lastRowFirstColumn="0" w:lastRowLastColumn="0"/>
              <w:rPr>
                <w:rFonts w:cstheme="minorHAnsi"/>
              </w:rPr>
            </w:pPr>
            <w:r w:rsidRPr="001A351F">
              <w:rPr>
                <w:rFonts w:cstheme="minorHAnsi"/>
              </w:rPr>
              <w:t>363</w:t>
            </w:r>
          </w:p>
          <w:p w:rsidR="00B008D9" w:rsidRPr="001A351F" w:rsidRDefault="00B008D9" w:rsidP="001A351F">
            <w:pPr>
              <w:keepNext/>
              <w:cnfStyle w:val="000000000000" w:firstRow="0" w:lastRow="0" w:firstColumn="0" w:lastColumn="0" w:oddVBand="0" w:evenVBand="0" w:oddHBand="0" w:evenHBand="0" w:firstRowFirstColumn="0" w:firstRowLastColumn="0" w:lastRowFirstColumn="0" w:lastRowLastColumn="0"/>
              <w:rPr>
                <w:rFonts w:cstheme="minorHAnsi"/>
              </w:rPr>
            </w:pPr>
            <w:r w:rsidRPr="001A351F">
              <w:rPr>
                <w:rFonts w:cstheme="minorHAnsi"/>
              </w:rPr>
              <w:t>(22%)</w:t>
            </w:r>
          </w:p>
        </w:tc>
      </w:tr>
    </w:tbl>
    <w:p w:rsidR="00B008D9" w:rsidRPr="00CA47B9" w:rsidRDefault="00B008D9" w:rsidP="00700980">
      <w:pPr>
        <w:pStyle w:val="Quotetext"/>
        <w:spacing w:before="0" w:after="0" w:line="240" w:lineRule="auto"/>
        <w:ind w:left="0"/>
        <w:rPr>
          <w:color w:val="000000"/>
        </w:rPr>
      </w:pPr>
      <w:r w:rsidRPr="00CA47B9">
        <w:t>Source: Census, 2001 &amp; 2011</w:t>
      </w:r>
    </w:p>
    <w:p w:rsidR="00AC76CF" w:rsidRPr="00CA47B9" w:rsidRDefault="00AC76CF" w:rsidP="00362459">
      <w:pPr>
        <w:pStyle w:val="11Bodytext"/>
        <w:tabs>
          <w:tab w:val="clear" w:pos="2212"/>
          <w:tab w:val="num" w:pos="567"/>
        </w:tabs>
        <w:ind w:left="567" w:hanging="567"/>
      </w:pPr>
      <w:r w:rsidRPr="00CA47B9">
        <w:t xml:space="preserve">Within the district private renting is highest in the Chichester City </w:t>
      </w:r>
      <w:r w:rsidR="00855CA6" w:rsidRPr="00CA47B9">
        <w:t>sub</w:t>
      </w:r>
      <w:r w:rsidR="00855CA6">
        <w:t>-</w:t>
      </w:r>
      <w:r w:rsidRPr="00CA47B9">
        <w:t>area, followed by Manhood Peninsula and East-West Corridor. All areas saw an increase in the number of rental properties, both private and social rented.</w:t>
      </w:r>
    </w:p>
    <w:p w:rsidR="00B008D9" w:rsidRPr="00CA47B9" w:rsidRDefault="00B008D9" w:rsidP="00805614">
      <w:pPr>
        <w:pStyle w:val="SubheadBlue12"/>
        <w:ind w:left="567" w:firstLine="0"/>
        <w:rPr>
          <w:rFonts w:ascii="Calibri" w:hAnsi="Calibri"/>
        </w:rPr>
      </w:pPr>
      <w:r w:rsidRPr="00CA47B9">
        <w:t xml:space="preserve">House Types and Sizes </w:t>
      </w:r>
    </w:p>
    <w:p w:rsidR="00B008D9" w:rsidRPr="00CA47B9" w:rsidRDefault="00B008D9" w:rsidP="00362459">
      <w:pPr>
        <w:pStyle w:val="11Bodytext"/>
        <w:tabs>
          <w:tab w:val="clear" w:pos="2212"/>
          <w:tab w:val="num" w:pos="567"/>
        </w:tabs>
        <w:ind w:left="567" w:hanging="567"/>
      </w:pPr>
      <w:r w:rsidRPr="00CA47B9">
        <w:t xml:space="preserve">The housing mix is dominated by detached and semi-detached homes. Around 84% of the housing stock in the District is made up of houses – 38% detached; 28% semi-detached; and 18% terraced houses with only 16% of household spaces are flats. </w:t>
      </w:r>
    </w:p>
    <w:p w:rsidR="00B008D9" w:rsidRPr="00CA47B9" w:rsidRDefault="00B008D9" w:rsidP="00362459">
      <w:pPr>
        <w:pStyle w:val="11Bodytext"/>
        <w:tabs>
          <w:tab w:val="clear" w:pos="2212"/>
          <w:tab w:val="num" w:pos="567"/>
        </w:tabs>
        <w:ind w:left="567" w:hanging="567"/>
      </w:pPr>
      <w:r w:rsidRPr="00CA47B9">
        <w:t xml:space="preserve">The highest proportion of detached homes are located in Plan Area (North) </w:t>
      </w:r>
      <w:r w:rsidR="00855CA6" w:rsidRPr="00CA47B9">
        <w:t>sub</w:t>
      </w:r>
      <w:r w:rsidR="00855CA6">
        <w:t>-</w:t>
      </w:r>
      <w:r w:rsidRPr="00CA47B9">
        <w:t xml:space="preserve">area (60%), followed by the Manhood Peninsula (48%). </w:t>
      </w:r>
    </w:p>
    <w:p w:rsidR="00B008D9" w:rsidRPr="00CA47B9" w:rsidRDefault="00B008D9" w:rsidP="00362459">
      <w:pPr>
        <w:pStyle w:val="11Bodytext"/>
        <w:tabs>
          <w:tab w:val="clear" w:pos="2212"/>
          <w:tab w:val="num" w:pos="567"/>
        </w:tabs>
        <w:ind w:left="567" w:hanging="567"/>
      </w:pPr>
      <w:r w:rsidRPr="00CA47B9">
        <w:t xml:space="preserve">Only the Chichester City </w:t>
      </w:r>
      <w:r w:rsidR="00855CA6" w:rsidRPr="00CA47B9">
        <w:t>sub</w:t>
      </w:r>
      <w:r w:rsidR="00855CA6">
        <w:t>-</w:t>
      </w:r>
      <w:r w:rsidRPr="00CA47B9">
        <w:t xml:space="preserve">area does not have the largest stock type as detached housing. The largest proportion of the City’s housing stock </w:t>
      </w:r>
      <w:r w:rsidR="00855CA6">
        <w:t>is</w:t>
      </w:r>
      <w:r w:rsidR="00855CA6" w:rsidRPr="00CA47B9">
        <w:t xml:space="preserve"> </w:t>
      </w:r>
      <w:r w:rsidRPr="00CA47B9">
        <w:t xml:space="preserve">flats at around 33%. Some of these would be restricted to elderly residents (as is the case in all areas). </w:t>
      </w:r>
    </w:p>
    <w:p w:rsidR="00B008D9" w:rsidRPr="00CA47B9" w:rsidRDefault="00B008D9" w:rsidP="00362459">
      <w:pPr>
        <w:pStyle w:val="11Bodytext"/>
        <w:tabs>
          <w:tab w:val="clear" w:pos="2212"/>
          <w:tab w:val="num" w:pos="567"/>
        </w:tabs>
        <w:ind w:left="567" w:hanging="567"/>
      </w:pPr>
      <w:r w:rsidRPr="00CA47B9">
        <w:t xml:space="preserve">The highest percentage of semi-detached houses is located in </w:t>
      </w:r>
      <w:r w:rsidR="00855CA6">
        <w:t xml:space="preserve">the </w:t>
      </w:r>
      <w:r w:rsidRPr="00CA47B9">
        <w:t xml:space="preserve">East-West Corridor (32%), while the highest proportion of terraced is located in Chichester (26%). </w:t>
      </w:r>
    </w:p>
    <w:p w:rsidR="00B008D9" w:rsidRPr="00CA47B9" w:rsidRDefault="00B008D9" w:rsidP="00700980">
      <w:pPr>
        <w:pStyle w:val="FigureHeading"/>
        <w:tabs>
          <w:tab w:val="clear" w:pos="794"/>
          <w:tab w:val="clear" w:pos="1843"/>
          <w:tab w:val="left" w:pos="0"/>
        </w:tabs>
        <w:ind w:left="0" w:firstLine="0"/>
      </w:pPr>
      <w:r w:rsidRPr="00CA47B9">
        <w:lastRenderedPageBreak/>
        <w:t>Housing Types, % of Dwellings, 2011</w:t>
      </w:r>
    </w:p>
    <w:p w:rsidR="00B008D9" w:rsidRPr="00CA47B9" w:rsidRDefault="00B008D9" w:rsidP="00163B4B">
      <w:pPr>
        <w:pStyle w:val="Quotetext"/>
        <w:spacing w:before="0" w:after="0"/>
        <w:ind w:left="0"/>
        <w:rPr>
          <w:lang w:eastAsia="en-GB"/>
        </w:rPr>
      </w:pPr>
      <w:r w:rsidRPr="00CA47B9">
        <w:rPr>
          <w:noProof/>
          <w:lang w:eastAsia="en-GB"/>
        </w:rPr>
        <w:drawing>
          <wp:inline distT="0" distB="0" distL="0" distR="0" wp14:anchorId="5025A89B" wp14:editId="4FC2151B">
            <wp:extent cx="6120000" cy="2880000"/>
            <wp:effectExtent l="0" t="0" r="14605" b="15875"/>
            <wp:docPr id="1031" name="Chart 1031" descr="Stacked bar chart showing the percent share of each housing type in a Chichester sub-area" title="Figure 39: Housing Types, % of Dwellings, 20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008D9" w:rsidRPr="001A351F" w:rsidRDefault="00B008D9" w:rsidP="00700980">
      <w:pPr>
        <w:pStyle w:val="Quotetext"/>
        <w:spacing w:before="0" w:after="0"/>
        <w:ind w:left="0"/>
        <w:rPr>
          <w:i w:val="0"/>
          <w:iCs w:val="0"/>
        </w:rPr>
      </w:pPr>
      <w:r w:rsidRPr="001A351F">
        <w:rPr>
          <w:i w:val="0"/>
          <w:iCs w:val="0"/>
        </w:rPr>
        <w:t>Source: 2011 Census</w:t>
      </w:r>
    </w:p>
    <w:p w:rsidR="00B008D9" w:rsidRPr="001A351F" w:rsidRDefault="00B008D9" w:rsidP="00805614">
      <w:pPr>
        <w:pStyle w:val="Headsubbold"/>
        <w:ind w:left="567" w:firstLine="0"/>
        <w:rPr>
          <w:rStyle w:val="Strong"/>
          <w:rFonts w:eastAsiaTheme="minorEastAsia"/>
        </w:rPr>
      </w:pPr>
      <w:r w:rsidRPr="001A351F">
        <w:rPr>
          <w:rStyle w:val="Strong"/>
        </w:rPr>
        <w:t>Number of bedrooms</w:t>
      </w:r>
    </w:p>
    <w:p w:rsidR="00B008D9" w:rsidRPr="00CA47B9" w:rsidRDefault="00B008D9" w:rsidP="00362459">
      <w:pPr>
        <w:pStyle w:val="11Bodytext"/>
        <w:tabs>
          <w:tab w:val="clear" w:pos="2212"/>
          <w:tab w:val="num" w:pos="567"/>
        </w:tabs>
        <w:ind w:left="567" w:hanging="567"/>
      </w:pPr>
      <w:r w:rsidRPr="00CA47B9">
        <w:t xml:space="preserve">Three-bedroom properties are the most common size of properties in all of the sub-areas. The next most numerous are two-bedroom properties. The only exception being the Plan Area (North) sub-area where four-bedroom properties are more common than two-bedroom properties. </w:t>
      </w:r>
    </w:p>
    <w:p w:rsidR="00B008D9" w:rsidRPr="00CA47B9" w:rsidRDefault="00B008D9" w:rsidP="00700980">
      <w:pPr>
        <w:pStyle w:val="FigureHeading"/>
        <w:tabs>
          <w:tab w:val="clear" w:pos="794"/>
          <w:tab w:val="clear" w:pos="1843"/>
          <w:tab w:val="left" w:pos="0"/>
        </w:tabs>
        <w:ind w:left="0" w:firstLine="0"/>
      </w:pPr>
      <w:r w:rsidRPr="00CA47B9">
        <w:t>Dwelling Size by Number of Bedrooms, 2011</w:t>
      </w:r>
    </w:p>
    <w:p w:rsidR="00B008D9" w:rsidRPr="00CA47B9" w:rsidRDefault="00B008D9" w:rsidP="00163B4B">
      <w:pPr>
        <w:pStyle w:val="Bodytextwithindent"/>
        <w:keepNext/>
        <w:spacing w:before="0" w:after="0" w:line="240" w:lineRule="auto"/>
        <w:ind w:left="0"/>
        <w:rPr>
          <w:i/>
          <w:iCs/>
        </w:rPr>
      </w:pPr>
      <w:r w:rsidRPr="00CA47B9">
        <w:rPr>
          <w:noProof/>
          <w:lang w:eastAsia="en-GB"/>
        </w:rPr>
        <w:drawing>
          <wp:inline distT="0" distB="0" distL="0" distR="0" wp14:anchorId="63B07BA2" wp14:editId="0483D2FE">
            <wp:extent cx="6120000" cy="2880000"/>
            <wp:effectExtent l="0" t="0" r="14605" b="15875"/>
            <wp:docPr id="278" name="Chart 278" descr="Stacked bar chart comparing the apportionment of dwellings in Chichester as compared to other areas in terms of dwelling size (by number of bedrooms)" title="Figure 40: Dwelling Size by Number of Bedrooms, 20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008D9" w:rsidRPr="001A351F" w:rsidRDefault="00B008D9" w:rsidP="00700980">
      <w:pPr>
        <w:pStyle w:val="Bodytextwithindent"/>
        <w:spacing w:before="0" w:after="120"/>
        <w:ind w:left="0"/>
        <w:rPr>
          <w:sz w:val="24"/>
          <w:szCs w:val="22"/>
        </w:rPr>
      </w:pPr>
      <w:r w:rsidRPr="001A351F">
        <w:rPr>
          <w:sz w:val="24"/>
          <w:szCs w:val="22"/>
        </w:rPr>
        <w:t>Source: 2011 Census</w:t>
      </w:r>
    </w:p>
    <w:p w:rsidR="00AC76CF" w:rsidRPr="00CA47B9" w:rsidRDefault="00AC76CF" w:rsidP="00362459">
      <w:pPr>
        <w:pStyle w:val="11Bodytext"/>
        <w:tabs>
          <w:tab w:val="clear" w:pos="2212"/>
          <w:tab w:val="num" w:pos="567"/>
        </w:tabs>
        <w:ind w:left="567" w:hanging="567"/>
      </w:pPr>
      <w:r w:rsidRPr="00CA47B9">
        <w:lastRenderedPageBreak/>
        <w:t>As perhaps expected, the highest percentage of one-bedroom properties are found in Chichester City (17%). Conversely</w:t>
      </w:r>
      <w:r w:rsidR="00855CA6">
        <w:t>,</w:t>
      </w:r>
      <w:r w:rsidRPr="00CA47B9">
        <w:t xml:space="preserve"> the highest percentage of five-bedroom properties can be found in the Plan Area (North) </w:t>
      </w:r>
      <w:r w:rsidR="00855CA6" w:rsidRPr="00CA47B9">
        <w:t>sub</w:t>
      </w:r>
      <w:r w:rsidR="00855CA6">
        <w:t>-</w:t>
      </w:r>
      <w:r w:rsidRPr="00CA47B9">
        <w:t>area (14%) and SDNP (11%).</w:t>
      </w:r>
    </w:p>
    <w:p w:rsidR="00B008D9" w:rsidRPr="00CA47B9" w:rsidRDefault="00B008D9" w:rsidP="00805614">
      <w:pPr>
        <w:pStyle w:val="SubheadBlue12"/>
        <w:ind w:left="567" w:firstLine="0"/>
      </w:pPr>
      <w:r w:rsidRPr="00CA47B9">
        <w:t>Methodology</w:t>
      </w:r>
    </w:p>
    <w:p w:rsidR="00B008D9" w:rsidRPr="00CA47B9" w:rsidRDefault="00B008D9" w:rsidP="00362459">
      <w:pPr>
        <w:pStyle w:val="11Bodytext"/>
        <w:tabs>
          <w:tab w:val="clear" w:pos="2212"/>
          <w:tab w:val="num" w:pos="567"/>
        </w:tabs>
        <w:ind w:left="567" w:hanging="567"/>
      </w:pPr>
      <w:r w:rsidRPr="00CA47B9">
        <w:t>The analysis in this section seeks to use the information available about the size and structure of the population and household structures; and consider what impact this may have on the sizes of housing required in the future. For analysis purposes, this assumes population and household growth in line with the 2014-based CLG household projections (+MYE).</w:t>
      </w:r>
    </w:p>
    <w:p w:rsidR="00B008D9" w:rsidRPr="00CA47B9" w:rsidRDefault="00B008D9" w:rsidP="00700980">
      <w:pPr>
        <w:pStyle w:val="FigureHeading"/>
        <w:tabs>
          <w:tab w:val="clear" w:pos="794"/>
          <w:tab w:val="clear" w:pos="1843"/>
          <w:tab w:val="left" w:pos="567"/>
          <w:tab w:val="left" w:pos="1134"/>
        </w:tabs>
        <w:ind w:left="1134" w:hanging="567"/>
      </w:pPr>
      <w:r w:rsidRPr="00CA47B9">
        <w:t>Stages in the Housing Market Model</w:t>
      </w:r>
    </w:p>
    <w:tbl>
      <w:tblPr>
        <w:tblStyle w:val="TableGrid"/>
        <w:tblW w:w="8840" w:type="dxa"/>
        <w:tblInd w:w="794" w:type="dxa"/>
        <w:tblLook w:val="04A0" w:firstRow="1" w:lastRow="0" w:firstColumn="1" w:lastColumn="0" w:noHBand="0" w:noVBand="1"/>
        <w:tblCaption w:val="Figure 41: Stages in the Housing Market Model"/>
      </w:tblPr>
      <w:tblGrid>
        <w:gridCol w:w="8840"/>
      </w:tblGrid>
      <w:tr w:rsidR="00B008D9" w:rsidRPr="00CA47B9" w:rsidTr="00D30252">
        <w:trPr>
          <w:tblHeader/>
        </w:trPr>
        <w:tc>
          <w:tcPr>
            <w:tcW w:w="8840" w:type="dxa"/>
            <w:shd w:val="clear" w:color="auto" w:fill="auto"/>
            <w:vAlign w:val="center"/>
          </w:tcPr>
          <w:p w:rsidR="00B008D9" w:rsidRPr="00CA47B9" w:rsidRDefault="00B008D9" w:rsidP="00ED1C06">
            <w:pPr>
              <w:pStyle w:val="11Bodytext"/>
              <w:numPr>
                <w:ilvl w:val="0"/>
                <w:numId w:val="0"/>
              </w:numPr>
            </w:pPr>
            <w:r w:rsidRPr="00CA47B9">
              <w:rPr>
                <w:noProof/>
                <w:lang w:eastAsia="en-GB"/>
              </w:rPr>
              <w:drawing>
                <wp:inline distT="0" distB="0" distL="0" distR="0" wp14:anchorId="50420548" wp14:editId="0FD17F0A">
                  <wp:extent cx="4687186" cy="2590800"/>
                  <wp:effectExtent l="76200" t="57150" r="94615" b="95250"/>
                  <wp:docPr id="1033" name="Diagram 1033" descr="Flowchart showing the process for recommending housing by tenure and size"/>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tc>
      </w:tr>
    </w:tbl>
    <w:p w:rsidR="00B008D9" w:rsidRPr="00CA47B9" w:rsidRDefault="00B008D9" w:rsidP="00805614">
      <w:pPr>
        <w:pStyle w:val="SubheadBlue12"/>
        <w:ind w:left="567" w:firstLine="0"/>
      </w:pPr>
      <w:r w:rsidRPr="00CA47B9">
        <w:t>Understanding how Households Occupy Homes</w:t>
      </w:r>
    </w:p>
    <w:p w:rsidR="00B008D9" w:rsidRPr="00CA47B9" w:rsidRDefault="00B008D9" w:rsidP="00362459">
      <w:pPr>
        <w:pStyle w:val="11Bodytext"/>
        <w:tabs>
          <w:tab w:val="clear" w:pos="2212"/>
          <w:tab w:val="num" w:pos="567"/>
        </w:tabs>
        <w:ind w:left="567" w:hanging="567"/>
      </w:pPr>
      <w:r w:rsidRPr="00CA47B9">
        <w:rPr>
          <w:color w:val="auto"/>
        </w:rPr>
        <w:t>Whilst demographic projections provide a good indication of how the population and household structure will develop</w:t>
      </w:r>
      <w:r w:rsidRPr="00CA47B9">
        <w:t xml:space="preserve">, it is not a simple task to convert the net increase in the number of households into a suggested profile for additional housing to be provided. The main reason for this is that, in the market sector, households </w:t>
      </w:r>
      <w:r w:rsidR="00855CA6">
        <w:t>can</w:t>
      </w:r>
      <w:r w:rsidRPr="00CA47B9">
        <w:t xml:space="preserve"> buy or rent any size of property (subject to what they can afford) and therefore knowledge of the profile of households in an area does not directly transfer into the sizes of property to be provided.</w:t>
      </w:r>
    </w:p>
    <w:p w:rsidR="00B008D9" w:rsidRPr="00CA47B9" w:rsidRDefault="00B008D9" w:rsidP="00362459">
      <w:pPr>
        <w:pStyle w:val="11Bodytext"/>
        <w:tabs>
          <w:tab w:val="clear" w:pos="2212"/>
          <w:tab w:val="num" w:pos="567"/>
        </w:tabs>
        <w:ind w:left="567" w:hanging="567"/>
      </w:pPr>
      <w:r w:rsidRPr="00CA47B9">
        <w:lastRenderedPageBreak/>
        <w:t xml:space="preserve">The size of housing which households occupy often relates more to their wealth and age than the number of people which they contain. For example, there is no reason why a single person cannot buy (or choose to live in) a four-bedroom home as long as they can afford it and hence projecting an increase in </w:t>
      </w:r>
      <w:r w:rsidR="00855CA6" w:rsidRPr="00CA47B9">
        <w:t>single</w:t>
      </w:r>
      <w:r w:rsidR="00855CA6">
        <w:t>-</w:t>
      </w:r>
      <w:r w:rsidRPr="00CA47B9">
        <w:t>person households does not automatically translate into a need for smaller units. This issue is less relevant in the affordable sector (particularly since the introduction of the social sector size criteria) although there will still be some level of under-occupation moving forward with regard to older person</w:t>
      </w:r>
      <w:r w:rsidR="00FA16C2">
        <w:t>s</w:t>
      </w:r>
      <w:r w:rsidRPr="00CA47B9">
        <w:t xml:space="preserve"> and working households who may be able to under-occupy housing.</w:t>
      </w:r>
    </w:p>
    <w:p w:rsidR="00B008D9" w:rsidRPr="00CA47B9" w:rsidRDefault="00B008D9" w:rsidP="00362459">
      <w:pPr>
        <w:pStyle w:val="11Bodytext"/>
        <w:tabs>
          <w:tab w:val="clear" w:pos="2212"/>
          <w:tab w:val="num" w:pos="567"/>
        </w:tabs>
        <w:ind w:left="567" w:hanging="567"/>
      </w:pPr>
      <w:r w:rsidRPr="00CA47B9">
        <w:t>The approach used is to interrogate information derived in the projections about the number of household reference persons</w:t>
      </w:r>
      <w:r w:rsidR="00994E05">
        <w:rPr>
          <w:rStyle w:val="FootnoteReference"/>
        </w:rPr>
        <w:footnoteReference w:id="12"/>
      </w:r>
      <w:r w:rsidRPr="00CA47B9">
        <w:t xml:space="preserve"> (HRPs) in each age group and apply this to the profile of housing within these groups. The data for this analysis has been formed from a commissioned table by ONS (Table CT0621 which provides relevant data for all local authorities in England and Wales from the 2011 Census).</w:t>
      </w:r>
    </w:p>
    <w:p w:rsidR="00AC76CF" w:rsidRPr="00AC76CF" w:rsidRDefault="00B008D9" w:rsidP="00362459">
      <w:pPr>
        <w:pStyle w:val="11Bodytext"/>
        <w:tabs>
          <w:tab w:val="clear" w:pos="2212"/>
          <w:tab w:val="num" w:pos="567"/>
        </w:tabs>
        <w:ind w:left="567" w:hanging="567"/>
        <w:rPr>
          <w:b/>
        </w:rPr>
      </w:pPr>
      <w:r w:rsidRPr="00CA47B9">
        <w:t>The figure below shows an estimate of how the average number of bedrooms varies by different ages of HRP and broad tenure group. In the owner-occupied sector</w:t>
      </w:r>
      <w:r w:rsidR="00855CA6">
        <w:t>,</w:t>
      </w:r>
      <w:r w:rsidRPr="00CA47B9">
        <w:t xml:space="preserve"> the average size of accommodation rises </w:t>
      </w:r>
      <w:r w:rsidR="00FC6530">
        <w:t>as the age of the HRP increases</w:t>
      </w:r>
      <w:r w:rsidRPr="00CA47B9">
        <w:t xml:space="preserve"> to typically reach a peak around the age of 50; a similar pattern (but with smaller dwelling sizes) is seen in the private rented sector. In the social rented sector, this peak appears earlier</w:t>
      </w:r>
      <w:r w:rsidR="00FC6530">
        <w:t>/when the HRP is younger</w:t>
      </w:r>
      <w:r w:rsidRPr="00CA47B9">
        <w:t xml:space="preserve">. </w:t>
      </w:r>
    </w:p>
    <w:p w:rsidR="00B008D9" w:rsidRPr="00CA47B9" w:rsidRDefault="00B008D9" w:rsidP="00362459">
      <w:pPr>
        <w:pStyle w:val="11Bodytext"/>
        <w:tabs>
          <w:tab w:val="clear" w:pos="2212"/>
          <w:tab w:val="num" w:pos="567"/>
        </w:tabs>
        <w:ind w:left="567" w:hanging="567"/>
        <w:rPr>
          <w:b/>
        </w:rPr>
      </w:pPr>
      <w:r w:rsidRPr="00CA47B9">
        <w:t>After this peak, the average dwelling size decreases – as typically some households downsize as they get older. It is also notable that the average size for affordable housing dwellings is lower than that for market housing for all age groups.</w:t>
      </w:r>
    </w:p>
    <w:p w:rsidR="00B008D9" w:rsidRPr="00CA47B9" w:rsidRDefault="00B008D9" w:rsidP="00700980">
      <w:pPr>
        <w:pStyle w:val="FigureHeading"/>
        <w:tabs>
          <w:tab w:val="clear" w:pos="794"/>
          <w:tab w:val="clear" w:pos="1843"/>
          <w:tab w:val="left" w:pos="0"/>
        </w:tabs>
        <w:ind w:left="0" w:firstLine="0"/>
      </w:pPr>
      <w:r w:rsidRPr="00CA47B9">
        <w:lastRenderedPageBreak/>
        <w:t>Average Bedrooms by Age and Tenure – Chichester District</w:t>
      </w:r>
    </w:p>
    <w:p w:rsidR="00B008D9" w:rsidRPr="00CA47B9" w:rsidRDefault="00B008D9" w:rsidP="00163B4B">
      <w:pPr>
        <w:keepNext/>
        <w:widowControl w:val="0"/>
        <w:rPr>
          <w:rFonts w:asciiTheme="minorHAnsi" w:hAnsiTheme="minorHAnsi" w:cstheme="minorHAnsi"/>
        </w:rPr>
      </w:pPr>
      <w:r w:rsidRPr="00CA47B9">
        <w:rPr>
          <w:noProof/>
          <w:color w:val="auto"/>
          <w:lang w:eastAsia="en-GB"/>
        </w:rPr>
        <w:drawing>
          <wp:inline distT="0" distB="0" distL="0" distR="0" wp14:anchorId="73035AFA" wp14:editId="62C61970">
            <wp:extent cx="6120000" cy="2880000"/>
            <wp:effectExtent l="0" t="0" r="14605" b="15875"/>
            <wp:docPr id="287" name="Chart 287" descr="Line chart comparing owner, rented and socially rented accommodation by age group and their average number of bedrooms required" title="Figure 42: Average Bedrooms by Age and Tenure – Chichester District"/>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B008D9" w:rsidRPr="001A351F" w:rsidRDefault="00B008D9" w:rsidP="00700980">
      <w:pPr>
        <w:widowControl w:val="0"/>
        <w:spacing w:after="120" w:line="360" w:lineRule="auto"/>
        <w:rPr>
          <w:rFonts w:asciiTheme="minorHAnsi" w:hAnsiTheme="minorHAnsi" w:cstheme="minorHAnsi"/>
          <w:sz w:val="24"/>
          <w:szCs w:val="24"/>
        </w:rPr>
      </w:pPr>
      <w:r w:rsidRPr="001A351F">
        <w:rPr>
          <w:rFonts w:asciiTheme="minorHAnsi" w:hAnsiTheme="minorHAnsi" w:cstheme="minorHAnsi"/>
          <w:sz w:val="24"/>
          <w:szCs w:val="24"/>
        </w:rPr>
        <w:t>Source: Derived from ONS Commissioned Table CT0621</w:t>
      </w:r>
    </w:p>
    <w:p w:rsidR="00B008D9" w:rsidRPr="00CA47B9" w:rsidRDefault="00B008D9" w:rsidP="00805614">
      <w:pPr>
        <w:pStyle w:val="SubheadBlue12"/>
        <w:ind w:left="567" w:firstLine="0"/>
      </w:pPr>
      <w:r w:rsidRPr="00CA47B9">
        <w:t xml:space="preserve">Mix of </w:t>
      </w:r>
      <w:r>
        <w:t>H</w:t>
      </w:r>
      <w:r w:rsidRPr="00CA47B9">
        <w:t xml:space="preserve">ousing </w:t>
      </w:r>
    </w:p>
    <w:p w:rsidR="00B008D9" w:rsidRDefault="00B008D9" w:rsidP="00362459">
      <w:pPr>
        <w:pStyle w:val="11Bodytext"/>
        <w:tabs>
          <w:tab w:val="clear" w:pos="2212"/>
          <w:tab w:val="num" w:pos="567"/>
        </w:tabs>
        <w:ind w:left="567" w:hanging="567"/>
      </w:pPr>
      <w:r w:rsidRPr="00CA47B9">
        <w:t xml:space="preserve">This is linked to the housing need identified for Chichester District. The housing mix projections indicate the likely need for different sizes of homes moving forward. The suggested housing mix can be used as a guide to inform housing policy and monitoring. </w:t>
      </w:r>
    </w:p>
    <w:p w:rsidR="00AC76CF" w:rsidRPr="00CA47B9" w:rsidRDefault="00AC76CF" w:rsidP="00362459">
      <w:pPr>
        <w:pStyle w:val="11Bodytext"/>
        <w:tabs>
          <w:tab w:val="clear" w:pos="2212"/>
          <w:tab w:val="num" w:pos="567"/>
        </w:tabs>
        <w:ind w:left="567" w:hanging="567"/>
      </w:pPr>
      <w:r>
        <w:t>We do not</w:t>
      </w:r>
      <w:r w:rsidR="00855CA6">
        <w:t>, however,</w:t>
      </w:r>
      <w:r>
        <w:t xml:space="preserve"> believe there is a need for the Plan Area to diverge away from</w:t>
      </w:r>
      <w:r w:rsidR="00CC2694">
        <w:t xml:space="preserve"> the district area mix</w:t>
      </w:r>
      <w:r>
        <w:t xml:space="preserve"> as the vast majority of housing delivery will be in the Plan Area rather than the National Park. It is also the case that some of the National Park</w:t>
      </w:r>
      <w:r w:rsidR="00FA16C2">
        <w:t>’</w:t>
      </w:r>
      <w:r>
        <w:t xml:space="preserve">s need </w:t>
      </w:r>
      <w:r w:rsidR="00F7375D">
        <w:t xml:space="preserve">may </w:t>
      </w:r>
      <w:r>
        <w:t>be met in the Plan Area.</w:t>
      </w:r>
    </w:p>
    <w:p w:rsidR="00B008D9" w:rsidRPr="00CA47B9" w:rsidRDefault="00B008D9" w:rsidP="00362459">
      <w:pPr>
        <w:pStyle w:val="11Bodytext"/>
        <w:tabs>
          <w:tab w:val="clear" w:pos="2212"/>
          <w:tab w:val="num" w:pos="567"/>
        </w:tabs>
        <w:ind w:left="567" w:hanging="567"/>
      </w:pPr>
      <w:r w:rsidRPr="00CA47B9">
        <w:t xml:space="preserve">It is necessary on this basis to make some judgement for modelling purposes on what proportion of net completions might be market and affordable housing. </w:t>
      </w:r>
    </w:p>
    <w:p w:rsidR="00B008D9" w:rsidRPr="00CA47B9" w:rsidRDefault="00B008D9" w:rsidP="00362459">
      <w:pPr>
        <w:pStyle w:val="11Bodytext"/>
        <w:tabs>
          <w:tab w:val="clear" w:pos="2212"/>
          <w:tab w:val="num" w:pos="567"/>
        </w:tabs>
        <w:ind w:left="567" w:hanging="567"/>
      </w:pPr>
      <w:r w:rsidRPr="00CA47B9">
        <w:t>To confirm, the analysis has not assumed a mix of tenures and f</w:t>
      </w:r>
      <w:r w:rsidRPr="00CA47B9">
        <w:rPr>
          <w:color w:val="auto"/>
        </w:rPr>
        <w:t xml:space="preserve">or </w:t>
      </w:r>
      <w:r w:rsidRPr="00CA47B9">
        <w:rPr>
          <w:b/>
          <w:color w:val="auto"/>
        </w:rPr>
        <w:t xml:space="preserve">modelling </w:t>
      </w:r>
      <w:r w:rsidRPr="00362459">
        <w:t>purposes</w:t>
      </w:r>
      <w:r w:rsidRPr="00CA47B9">
        <w:rPr>
          <w:color w:val="auto"/>
        </w:rPr>
        <w:t xml:space="preserve"> </w:t>
      </w:r>
      <w:r w:rsidRPr="00CA47B9">
        <w:rPr>
          <w:b/>
          <w:color w:val="auto"/>
        </w:rPr>
        <w:t>only</w:t>
      </w:r>
      <w:r w:rsidRPr="00CA47B9">
        <w:t>, it has been assumed that the following proportions of different tenures will be provided moving forward:</w:t>
      </w:r>
    </w:p>
    <w:p w:rsidR="00B008D9" w:rsidRPr="00CA47B9" w:rsidRDefault="00B008D9" w:rsidP="00ED1C06">
      <w:pPr>
        <w:pStyle w:val="10BulletBodytext"/>
        <w:rPr>
          <w:szCs w:val="20"/>
          <w:lang w:eastAsia="en-GB"/>
        </w:rPr>
      </w:pPr>
      <w:r w:rsidRPr="00CA47B9">
        <w:t>70% market</w:t>
      </w:r>
    </w:p>
    <w:p w:rsidR="00B008D9" w:rsidRPr="00CA47B9" w:rsidRDefault="00B008D9" w:rsidP="00ED1C06">
      <w:pPr>
        <w:pStyle w:val="10BulletBodytext"/>
        <w:rPr>
          <w:szCs w:val="20"/>
          <w:lang w:eastAsia="en-GB"/>
        </w:rPr>
      </w:pPr>
      <w:r w:rsidRPr="00CA47B9">
        <w:t xml:space="preserve">10% affordable </w:t>
      </w:r>
      <w:r w:rsidR="00451CFA">
        <w:t>home ownership</w:t>
      </w:r>
    </w:p>
    <w:p w:rsidR="00B008D9" w:rsidRPr="00CA47B9" w:rsidRDefault="00B008D9" w:rsidP="00ED1C06">
      <w:pPr>
        <w:pStyle w:val="10BulletBodytext"/>
        <w:rPr>
          <w:szCs w:val="20"/>
          <w:lang w:eastAsia="en-GB"/>
        </w:rPr>
      </w:pPr>
      <w:r w:rsidRPr="00CA47B9">
        <w:t>20% social/affordable rented</w:t>
      </w:r>
    </w:p>
    <w:p w:rsidR="00B008D9" w:rsidRPr="00CA47B9" w:rsidRDefault="00B008D9" w:rsidP="00362459">
      <w:pPr>
        <w:pStyle w:val="11Bodytext"/>
        <w:tabs>
          <w:tab w:val="clear" w:pos="2212"/>
          <w:tab w:val="num" w:pos="567"/>
        </w:tabs>
        <w:ind w:left="567" w:hanging="567"/>
      </w:pPr>
      <w:r w:rsidRPr="00CA47B9">
        <w:lastRenderedPageBreak/>
        <w:t xml:space="preserve">It should be stressed that these figures are not policy targets. Policy targets for affordable housing on new development schemes in some cases are above this, but not all sites deliver policy-compliant affordable housing provision, whilst some delivery is on sites below affordable housing policy thresholds. </w:t>
      </w:r>
    </w:p>
    <w:p w:rsidR="00B008D9" w:rsidRPr="00CA47B9" w:rsidRDefault="00B008D9" w:rsidP="00362459">
      <w:pPr>
        <w:pStyle w:val="11Bodytext"/>
        <w:tabs>
          <w:tab w:val="clear" w:pos="2212"/>
          <w:tab w:val="num" w:pos="567"/>
        </w:tabs>
        <w:ind w:left="567" w:hanging="567"/>
      </w:pPr>
      <w:r w:rsidRPr="00CA47B9">
        <w:t xml:space="preserve">Equally, some housing development is brought forward by Registered Providers and local authorities and may deliver higher proportions of affordable housing than in current policy. The figures used are not a policy position and has been applied simply </w:t>
      </w:r>
      <w:r w:rsidR="00855CA6">
        <w:t>to provide</w:t>
      </w:r>
      <w:r w:rsidRPr="00CA47B9">
        <w:t xml:space="preserve"> outputs from the modelling process. </w:t>
      </w:r>
    </w:p>
    <w:p w:rsidR="00B008D9" w:rsidRPr="00CA47B9" w:rsidRDefault="00B008D9" w:rsidP="00362459">
      <w:pPr>
        <w:pStyle w:val="11Bodytext"/>
        <w:tabs>
          <w:tab w:val="clear" w:pos="2212"/>
          <w:tab w:val="num" w:pos="567"/>
        </w:tabs>
        <w:ind w:left="567" w:hanging="567"/>
      </w:pPr>
      <w:r w:rsidRPr="00CA47B9">
        <w:t xml:space="preserve">There are a range of factors which can influence demand for market housing in different locations. The focus of this analysis is on considering long-term needs, where changing demographics are expected to be a key influence. It uses a demographic-driven approach to quantify demand for different sizes of properties over the period to 2036. </w:t>
      </w:r>
    </w:p>
    <w:p w:rsidR="00B008D9" w:rsidRPr="00CA47B9" w:rsidRDefault="005F2BDC" w:rsidP="00805614">
      <w:pPr>
        <w:pStyle w:val="SubheadBlue12"/>
        <w:ind w:left="567" w:firstLine="0"/>
      </w:pPr>
      <w:r>
        <w:t>Size</w:t>
      </w:r>
      <w:r w:rsidR="00B008D9" w:rsidRPr="00CA47B9">
        <w:t xml:space="preserve"> Mix</w:t>
      </w:r>
    </w:p>
    <w:p w:rsidR="00B008D9" w:rsidRDefault="00B008D9" w:rsidP="00362459">
      <w:pPr>
        <w:pStyle w:val="11Bodytext"/>
        <w:tabs>
          <w:tab w:val="clear" w:pos="2212"/>
          <w:tab w:val="num" w:pos="567"/>
        </w:tabs>
        <w:ind w:left="567" w:hanging="567"/>
        <w:rPr>
          <w:color w:val="auto"/>
        </w:rPr>
      </w:pPr>
      <w:r w:rsidRPr="00CA47B9">
        <w:t xml:space="preserve">The table below provides the output of the modelling by </w:t>
      </w:r>
      <w:r w:rsidR="00855CA6">
        <w:t xml:space="preserve">the </w:t>
      </w:r>
      <w:r w:rsidRPr="00CA47B9">
        <w:t xml:space="preserve">size of home </w:t>
      </w:r>
      <w:r w:rsidR="00BE4F2C">
        <w:t xml:space="preserve">and </w:t>
      </w:r>
      <w:r w:rsidRPr="00CA47B9">
        <w:t>by tenure in both the market and affordable sectors for Chichester District.</w:t>
      </w:r>
      <w:r w:rsidR="00CC2694">
        <w:t xml:space="preserve"> This is linked to the Household </w:t>
      </w:r>
      <w:r w:rsidR="00061564">
        <w:t xml:space="preserve">need calculation </w:t>
      </w:r>
      <w:r w:rsidR="00BE4F2C">
        <w:t>of</w:t>
      </w:r>
      <w:r w:rsidR="00CC2694">
        <w:t xml:space="preserve"> 731 dpa across the district.</w:t>
      </w:r>
      <w:r w:rsidRPr="00CA47B9">
        <w:t xml:space="preserve"> </w:t>
      </w:r>
      <w:r w:rsidRPr="00CA47B9">
        <w:rPr>
          <w:color w:val="auto"/>
        </w:rPr>
        <w:t xml:space="preserve">The analysis shows the market is skewed towards larger houses (42% for 3-bedrooms). </w:t>
      </w:r>
    </w:p>
    <w:p w:rsidR="00B008D9" w:rsidRPr="00CA47B9" w:rsidRDefault="00B008D9" w:rsidP="00362459">
      <w:pPr>
        <w:pStyle w:val="11Bodytext"/>
        <w:tabs>
          <w:tab w:val="clear" w:pos="2212"/>
          <w:tab w:val="num" w:pos="567"/>
        </w:tabs>
        <w:ind w:left="567" w:hanging="567"/>
      </w:pPr>
      <w:r>
        <w:t>It is considered that this mix is suitable for both the plan area and the district as a whole.</w:t>
      </w:r>
      <w:r w:rsidR="00855CA6">
        <w:t xml:space="preserve"> </w:t>
      </w:r>
      <w:r>
        <w:t>This recognises that some of the SDNP area need is exported out of the National Park to the Plan Area.</w:t>
      </w:r>
    </w:p>
    <w:p w:rsidR="00B008D9" w:rsidRPr="00CA47B9" w:rsidRDefault="00B008D9" w:rsidP="00362459">
      <w:pPr>
        <w:pStyle w:val="11Bodytext"/>
        <w:tabs>
          <w:tab w:val="clear" w:pos="2212"/>
          <w:tab w:val="num" w:pos="567"/>
        </w:tabs>
        <w:ind w:left="567" w:hanging="567"/>
      </w:pPr>
      <w:r w:rsidRPr="00CA47B9">
        <w:t xml:space="preserve">The affordable housing (rented) sector is more heavily skewed towards smaller dwellings, particularly 2-bedrooms (40%), which </w:t>
      </w:r>
      <w:proofErr w:type="gramStart"/>
      <w:r w:rsidRPr="00CA47B9">
        <w:t>is  similar</w:t>
      </w:r>
      <w:proofErr w:type="gramEnd"/>
      <w:r w:rsidR="00BE4F2C">
        <w:t xml:space="preserve"> to the </w:t>
      </w:r>
      <w:r w:rsidRPr="00CA47B9">
        <w:t xml:space="preserve"> trend for affordable </w:t>
      </w:r>
      <w:r w:rsidR="00451CFA">
        <w:t>home ownership</w:t>
      </w:r>
      <w:r w:rsidRPr="00CA47B9">
        <w:t>. This reflects the change in older age group households and the need emerging from these groups ag</w:t>
      </w:r>
      <w:r w:rsidR="00855CA6">
        <w:t>e</w:t>
      </w:r>
      <w:r w:rsidRPr="00CA47B9">
        <w:t xml:space="preserve">ing </w:t>
      </w:r>
      <w:proofErr w:type="gramStart"/>
      <w:r w:rsidRPr="00CA47B9">
        <w:t>and  downsizing</w:t>
      </w:r>
      <w:proofErr w:type="gramEnd"/>
      <w:r w:rsidRPr="00CA47B9">
        <w:t xml:space="preserve">. </w:t>
      </w:r>
    </w:p>
    <w:p w:rsidR="00B008D9" w:rsidRPr="00CA47B9" w:rsidRDefault="00F975F7" w:rsidP="00700980">
      <w:pPr>
        <w:pStyle w:val="Tableheading"/>
        <w:tabs>
          <w:tab w:val="clear" w:pos="794"/>
          <w:tab w:val="clear" w:pos="1843"/>
          <w:tab w:val="left" w:pos="0"/>
        </w:tabs>
        <w:spacing w:line="240" w:lineRule="auto"/>
        <w:ind w:left="0" w:firstLine="0"/>
      </w:pPr>
      <w:bookmarkStart w:id="178" w:name="_Hlk27723332"/>
      <w:r>
        <w:t xml:space="preserve">Modelled </w:t>
      </w:r>
      <w:r w:rsidR="00B008D9" w:rsidRPr="00CA47B9">
        <w:t xml:space="preserve">Mix of housing by size and tenure – Chichester District </w:t>
      </w:r>
    </w:p>
    <w:tbl>
      <w:tblPr>
        <w:tblStyle w:val="ListTable3-Accent22"/>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36: Modelled Mix of housing by size and tenure – Chichester District "/>
      </w:tblPr>
      <w:tblGrid>
        <w:gridCol w:w="3107"/>
        <w:gridCol w:w="1505"/>
        <w:gridCol w:w="1710"/>
        <w:gridCol w:w="1708"/>
        <w:gridCol w:w="1608"/>
      </w:tblGrid>
      <w:tr w:rsidR="00B008D9" w:rsidRPr="001A351F" w:rsidTr="00700980">
        <w:trPr>
          <w:cnfStyle w:val="100000000000" w:firstRow="1" w:lastRow="0" w:firstColumn="0" w:lastColumn="0" w:oddVBand="0" w:evenVBand="0" w:oddHBand="0" w:evenHBand="0" w:firstRowFirstColumn="0" w:firstRowLastColumn="0" w:lastRowFirstColumn="0" w:lastRowLastColumn="0"/>
          <w:trHeight w:val="147"/>
          <w:tblHeader/>
        </w:trPr>
        <w:tc>
          <w:tcPr>
            <w:cnfStyle w:val="001000000100" w:firstRow="0" w:lastRow="0" w:firstColumn="1" w:lastColumn="0" w:oddVBand="0" w:evenVBand="0" w:oddHBand="0" w:evenHBand="0" w:firstRowFirstColumn="1" w:firstRowLastColumn="0" w:lastRowFirstColumn="0" w:lastRowLastColumn="0"/>
            <w:tcW w:w="1612" w:type="pct"/>
            <w:tcBorders>
              <w:bottom w:val="none" w:sz="0" w:space="0" w:color="auto"/>
              <w:right w:val="none" w:sz="0" w:space="0" w:color="auto"/>
            </w:tcBorders>
          </w:tcPr>
          <w:p w:rsidR="00B008D9" w:rsidRPr="001A351F" w:rsidRDefault="00B008D9" w:rsidP="00786E20">
            <w:pPr>
              <w:keepNext/>
              <w:widowControl w:val="0"/>
              <w:rPr>
                <w:rFonts w:ascii="Arial Narrow" w:hAnsi="Arial Narrow"/>
                <w:b w:val="0"/>
                <w:bCs w:val="0"/>
                <w:sz w:val="24"/>
                <w:szCs w:val="24"/>
              </w:rPr>
            </w:pPr>
          </w:p>
        </w:tc>
        <w:tc>
          <w:tcPr>
            <w:tcW w:w="781" w:type="pct"/>
            <w:tcBorders>
              <w:bottom w:val="single" w:sz="4" w:space="0" w:color="auto"/>
            </w:tcBorders>
            <w:hideMark/>
          </w:tcPr>
          <w:p w:rsidR="00B008D9" w:rsidRPr="001A351F" w:rsidRDefault="00B008D9" w:rsidP="00786E20">
            <w:pPr>
              <w:keepNext/>
              <w:widowControl w:val="0"/>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4"/>
                <w:szCs w:val="24"/>
              </w:rPr>
            </w:pPr>
            <w:r w:rsidRPr="001A351F">
              <w:rPr>
                <w:rFonts w:ascii="Arial Narrow" w:hAnsi="Arial Narrow"/>
                <w:b w:val="0"/>
                <w:bCs w:val="0"/>
                <w:sz w:val="24"/>
                <w:szCs w:val="24"/>
              </w:rPr>
              <w:t>1-bedroom</w:t>
            </w:r>
          </w:p>
        </w:tc>
        <w:tc>
          <w:tcPr>
            <w:tcW w:w="887" w:type="pct"/>
            <w:tcBorders>
              <w:bottom w:val="single" w:sz="4" w:space="0" w:color="auto"/>
            </w:tcBorders>
            <w:hideMark/>
          </w:tcPr>
          <w:p w:rsidR="00B008D9" w:rsidRPr="001A351F" w:rsidRDefault="00B008D9" w:rsidP="00786E20">
            <w:pPr>
              <w:keepNext/>
              <w:widowControl w:val="0"/>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4"/>
                <w:szCs w:val="24"/>
              </w:rPr>
            </w:pPr>
            <w:r w:rsidRPr="001A351F">
              <w:rPr>
                <w:rFonts w:ascii="Arial Narrow" w:hAnsi="Arial Narrow"/>
                <w:b w:val="0"/>
                <w:bCs w:val="0"/>
                <w:sz w:val="24"/>
                <w:szCs w:val="24"/>
              </w:rPr>
              <w:t>2-bedrooms</w:t>
            </w:r>
          </w:p>
        </w:tc>
        <w:tc>
          <w:tcPr>
            <w:tcW w:w="886" w:type="pct"/>
            <w:tcBorders>
              <w:bottom w:val="single" w:sz="4" w:space="0" w:color="auto"/>
            </w:tcBorders>
            <w:hideMark/>
          </w:tcPr>
          <w:p w:rsidR="00B008D9" w:rsidRPr="001A351F" w:rsidRDefault="00B008D9" w:rsidP="00786E20">
            <w:pPr>
              <w:keepNext/>
              <w:widowControl w:val="0"/>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4"/>
                <w:szCs w:val="24"/>
              </w:rPr>
            </w:pPr>
            <w:r w:rsidRPr="001A351F">
              <w:rPr>
                <w:rFonts w:ascii="Arial Narrow" w:hAnsi="Arial Narrow"/>
                <w:b w:val="0"/>
                <w:bCs w:val="0"/>
                <w:sz w:val="24"/>
                <w:szCs w:val="24"/>
              </w:rPr>
              <w:t>3-bedrooms</w:t>
            </w:r>
          </w:p>
        </w:tc>
        <w:tc>
          <w:tcPr>
            <w:tcW w:w="834" w:type="pct"/>
            <w:tcBorders>
              <w:bottom w:val="single" w:sz="4" w:space="0" w:color="auto"/>
            </w:tcBorders>
            <w:hideMark/>
          </w:tcPr>
          <w:p w:rsidR="00B008D9" w:rsidRPr="001A351F" w:rsidRDefault="00B008D9" w:rsidP="00786E20">
            <w:pPr>
              <w:keepNext/>
              <w:widowControl w:val="0"/>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pacing w:val="-6"/>
                <w:sz w:val="24"/>
                <w:szCs w:val="24"/>
              </w:rPr>
            </w:pPr>
            <w:r w:rsidRPr="001A351F">
              <w:rPr>
                <w:rFonts w:ascii="Arial Narrow" w:hAnsi="Arial Narrow"/>
                <w:b w:val="0"/>
                <w:bCs w:val="0"/>
                <w:spacing w:val="-6"/>
                <w:sz w:val="24"/>
                <w:szCs w:val="24"/>
              </w:rPr>
              <w:t>4+ -bedrooms</w:t>
            </w:r>
          </w:p>
        </w:tc>
      </w:tr>
      <w:tr w:rsidR="00B008D9" w:rsidRPr="001A351F" w:rsidTr="007009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2" w:type="pct"/>
            <w:tcBorders>
              <w:top w:val="none" w:sz="0" w:space="0" w:color="auto"/>
              <w:bottom w:val="none" w:sz="0" w:space="0" w:color="auto"/>
              <w:right w:val="single" w:sz="4" w:space="0" w:color="auto"/>
            </w:tcBorders>
            <w:hideMark/>
          </w:tcPr>
          <w:p w:rsidR="00B008D9" w:rsidRPr="001A351F" w:rsidRDefault="00B008D9" w:rsidP="00786E20">
            <w:pPr>
              <w:keepNext/>
              <w:widowControl w:val="0"/>
              <w:rPr>
                <w:rFonts w:ascii="Arial Narrow" w:hAnsi="Arial Narrow"/>
                <w:b w:val="0"/>
                <w:bCs w:val="0"/>
                <w:sz w:val="24"/>
                <w:szCs w:val="24"/>
              </w:rPr>
            </w:pPr>
            <w:r w:rsidRPr="001A351F">
              <w:rPr>
                <w:rFonts w:ascii="Arial Narrow" w:hAnsi="Arial Narrow"/>
                <w:sz w:val="24"/>
                <w:szCs w:val="24"/>
              </w:rPr>
              <w:t>Market</w:t>
            </w:r>
          </w:p>
        </w:tc>
        <w:tc>
          <w:tcPr>
            <w:tcW w:w="781" w:type="pct"/>
            <w:tcBorders>
              <w:top w:val="single" w:sz="4" w:space="0" w:color="auto"/>
              <w:left w:val="single" w:sz="4" w:space="0" w:color="auto"/>
              <w:bottom w:val="single" w:sz="4" w:space="0" w:color="auto"/>
              <w:right w:val="single" w:sz="4" w:space="0" w:color="auto"/>
            </w:tcBorders>
            <w:shd w:val="clear" w:color="auto" w:fill="auto"/>
            <w:vAlign w:val="bottom"/>
          </w:tcPr>
          <w:p w:rsidR="00B008D9" w:rsidRPr="001A351F" w:rsidRDefault="00B008D9" w:rsidP="00786E20">
            <w:pPr>
              <w:keepN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1A351F">
              <w:rPr>
                <w:rFonts w:ascii="Arial Narrow" w:hAnsi="Arial Narrow"/>
                <w:color w:val="000000"/>
                <w:kern w:val="24"/>
                <w:sz w:val="24"/>
                <w:szCs w:val="24"/>
              </w:rPr>
              <w:t>5%</w:t>
            </w:r>
          </w:p>
        </w:tc>
        <w:tc>
          <w:tcPr>
            <w:tcW w:w="887" w:type="pct"/>
            <w:tcBorders>
              <w:top w:val="single" w:sz="4" w:space="0" w:color="auto"/>
              <w:left w:val="single" w:sz="4" w:space="0" w:color="auto"/>
              <w:bottom w:val="single" w:sz="4" w:space="0" w:color="auto"/>
              <w:right w:val="single" w:sz="4" w:space="0" w:color="auto"/>
            </w:tcBorders>
            <w:shd w:val="clear" w:color="auto" w:fill="auto"/>
            <w:vAlign w:val="bottom"/>
          </w:tcPr>
          <w:p w:rsidR="00B008D9" w:rsidRPr="001A351F" w:rsidRDefault="00B008D9" w:rsidP="00786E20">
            <w:pPr>
              <w:keepN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1A351F">
              <w:rPr>
                <w:rFonts w:ascii="Arial Narrow" w:hAnsi="Arial Narrow"/>
                <w:color w:val="000000"/>
                <w:kern w:val="24"/>
                <w:sz w:val="24"/>
                <w:szCs w:val="24"/>
              </w:rPr>
              <w:t>30%</w:t>
            </w:r>
          </w:p>
        </w:tc>
        <w:tc>
          <w:tcPr>
            <w:tcW w:w="886" w:type="pct"/>
            <w:tcBorders>
              <w:top w:val="single" w:sz="4" w:space="0" w:color="auto"/>
              <w:left w:val="single" w:sz="4" w:space="0" w:color="auto"/>
              <w:bottom w:val="single" w:sz="4" w:space="0" w:color="auto"/>
              <w:right w:val="single" w:sz="4" w:space="0" w:color="auto"/>
            </w:tcBorders>
            <w:shd w:val="clear" w:color="auto" w:fill="auto"/>
            <w:vAlign w:val="bottom"/>
          </w:tcPr>
          <w:p w:rsidR="00B008D9" w:rsidRPr="001A351F" w:rsidRDefault="00B008D9" w:rsidP="00786E20">
            <w:pPr>
              <w:keepN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1A351F">
              <w:rPr>
                <w:rFonts w:ascii="Arial Narrow" w:hAnsi="Arial Narrow"/>
                <w:color w:val="000000"/>
                <w:kern w:val="24"/>
                <w:sz w:val="24"/>
                <w:szCs w:val="24"/>
              </w:rPr>
              <w:t>42%</w:t>
            </w:r>
          </w:p>
        </w:tc>
        <w:tc>
          <w:tcPr>
            <w:tcW w:w="834" w:type="pct"/>
            <w:tcBorders>
              <w:top w:val="single" w:sz="4" w:space="0" w:color="auto"/>
              <w:left w:val="single" w:sz="4" w:space="0" w:color="auto"/>
              <w:bottom w:val="single" w:sz="4" w:space="0" w:color="auto"/>
              <w:right w:val="single" w:sz="4" w:space="0" w:color="auto"/>
            </w:tcBorders>
            <w:shd w:val="clear" w:color="auto" w:fill="auto"/>
            <w:vAlign w:val="bottom"/>
          </w:tcPr>
          <w:p w:rsidR="00B008D9" w:rsidRPr="001A351F" w:rsidRDefault="00B008D9" w:rsidP="00786E20">
            <w:pPr>
              <w:keepN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1A351F">
              <w:rPr>
                <w:rFonts w:ascii="Arial Narrow" w:hAnsi="Arial Narrow"/>
                <w:color w:val="000000"/>
                <w:kern w:val="24"/>
                <w:sz w:val="24"/>
                <w:szCs w:val="24"/>
              </w:rPr>
              <w:t>23%</w:t>
            </w:r>
          </w:p>
        </w:tc>
      </w:tr>
      <w:tr w:rsidR="00B008D9" w:rsidRPr="001A351F" w:rsidTr="00700980">
        <w:tc>
          <w:tcPr>
            <w:cnfStyle w:val="001000000000" w:firstRow="0" w:lastRow="0" w:firstColumn="1" w:lastColumn="0" w:oddVBand="0" w:evenVBand="0" w:oddHBand="0" w:evenHBand="0" w:firstRowFirstColumn="0" w:firstRowLastColumn="0" w:lastRowFirstColumn="0" w:lastRowLastColumn="0"/>
            <w:tcW w:w="1612" w:type="pct"/>
            <w:tcBorders>
              <w:right w:val="single" w:sz="4" w:space="0" w:color="auto"/>
            </w:tcBorders>
            <w:hideMark/>
          </w:tcPr>
          <w:p w:rsidR="00B008D9" w:rsidRPr="001A351F" w:rsidRDefault="00B008D9" w:rsidP="00786E20">
            <w:pPr>
              <w:keepNext/>
              <w:widowControl w:val="0"/>
              <w:rPr>
                <w:rFonts w:ascii="Arial Narrow" w:hAnsi="Arial Narrow"/>
                <w:b w:val="0"/>
                <w:bCs w:val="0"/>
                <w:sz w:val="24"/>
                <w:szCs w:val="24"/>
              </w:rPr>
            </w:pPr>
            <w:r w:rsidRPr="001A351F">
              <w:rPr>
                <w:rFonts w:ascii="Arial Narrow" w:hAnsi="Arial Narrow"/>
                <w:sz w:val="24"/>
                <w:szCs w:val="24"/>
              </w:rPr>
              <w:t xml:space="preserve">Affordable </w:t>
            </w:r>
            <w:r w:rsidR="00855CA6" w:rsidRPr="0067035F">
              <w:rPr>
                <w:rFonts w:ascii="Arial Narrow" w:hAnsi="Arial Narrow"/>
                <w:sz w:val="24"/>
                <w:szCs w:val="24"/>
              </w:rPr>
              <w:t>home</w:t>
            </w:r>
            <w:r w:rsidR="0067035F">
              <w:rPr>
                <w:rFonts w:ascii="Arial Narrow" w:hAnsi="Arial Narrow"/>
                <w:bCs w:val="0"/>
                <w:sz w:val="24"/>
                <w:szCs w:val="24"/>
              </w:rPr>
              <w:t xml:space="preserve"> </w:t>
            </w:r>
            <w:r w:rsidR="00855CA6" w:rsidRPr="0067035F">
              <w:rPr>
                <w:rFonts w:ascii="Arial Narrow" w:hAnsi="Arial Narrow"/>
                <w:sz w:val="24"/>
                <w:szCs w:val="24"/>
              </w:rPr>
              <w:t>ownership</w:t>
            </w:r>
          </w:p>
        </w:tc>
        <w:tc>
          <w:tcPr>
            <w:tcW w:w="781" w:type="pct"/>
            <w:tcBorders>
              <w:top w:val="single" w:sz="4" w:space="0" w:color="auto"/>
              <w:left w:val="single" w:sz="4" w:space="0" w:color="auto"/>
              <w:bottom w:val="single" w:sz="4" w:space="0" w:color="auto"/>
              <w:right w:val="single" w:sz="4" w:space="0" w:color="auto"/>
            </w:tcBorders>
            <w:shd w:val="clear" w:color="auto" w:fill="auto"/>
            <w:vAlign w:val="bottom"/>
          </w:tcPr>
          <w:p w:rsidR="00B008D9" w:rsidRPr="001A351F" w:rsidRDefault="00B008D9" w:rsidP="00786E20">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1A351F">
              <w:rPr>
                <w:rFonts w:ascii="Arial Narrow" w:hAnsi="Arial Narrow"/>
                <w:color w:val="000000"/>
                <w:kern w:val="24"/>
                <w:sz w:val="24"/>
                <w:szCs w:val="24"/>
              </w:rPr>
              <w:t>19%</w:t>
            </w:r>
          </w:p>
        </w:tc>
        <w:tc>
          <w:tcPr>
            <w:tcW w:w="887" w:type="pct"/>
            <w:tcBorders>
              <w:top w:val="single" w:sz="4" w:space="0" w:color="auto"/>
              <w:left w:val="single" w:sz="4" w:space="0" w:color="auto"/>
              <w:bottom w:val="single" w:sz="4" w:space="0" w:color="auto"/>
              <w:right w:val="single" w:sz="4" w:space="0" w:color="auto"/>
            </w:tcBorders>
            <w:shd w:val="clear" w:color="auto" w:fill="auto"/>
            <w:vAlign w:val="bottom"/>
          </w:tcPr>
          <w:p w:rsidR="00B008D9" w:rsidRPr="001A351F" w:rsidRDefault="00B008D9" w:rsidP="00786E20">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1A351F">
              <w:rPr>
                <w:rFonts w:ascii="Arial Narrow" w:hAnsi="Arial Narrow"/>
                <w:color w:val="000000"/>
                <w:kern w:val="24"/>
                <w:sz w:val="24"/>
                <w:szCs w:val="24"/>
              </w:rPr>
              <w:t>40%</w:t>
            </w:r>
          </w:p>
        </w:tc>
        <w:tc>
          <w:tcPr>
            <w:tcW w:w="886" w:type="pct"/>
            <w:tcBorders>
              <w:top w:val="single" w:sz="4" w:space="0" w:color="auto"/>
              <w:left w:val="single" w:sz="4" w:space="0" w:color="auto"/>
              <w:bottom w:val="single" w:sz="4" w:space="0" w:color="auto"/>
              <w:right w:val="single" w:sz="4" w:space="0" w:color="auto"/>
            </w:tcBorders>
            <w:shd w:val="clear" w:color="auto" w:fill="auto"/>
            <w:vAlign w:val="bottom"/>
          </w:tcPr>
          <w:p w:rsidR="00B008D9" w:rsidRPr="001A351F" w:rsidRDefault="00B008D9" w:rsidP="00786E20">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1A351F">
              <w:rPr>
                <w:rFonts w:ascii="Arial Narrow" w:hAnsi="Arial Narrow"/>
                <w:color w:val="000000"/>
                <w:kern w:val="24"/>
                <w:sz w:val="24"/>
                <w:szCs w:val="24"/>
              </w:rPr>
              <w:t>30%</w:t>
            </w:r>
          </w:p>
        </w:tc>
        <w:tc>
          <w:tcPr>
            <w:tcW w:w="834" w:type="pct"/>
            <w:tcBorders>
              <w:top w:val="single" w:sz="4" w:space="0" w:color="auto"/>
              <w:left w:val="single" w:sz="4" w:space="0" w:color="auto"/>
              <w:bottom w:val="single" w:sz="4" w:space="0" w:color="auto"/>
              <w:right w:val="single" w:sz="4" w:space="0" w:color="auto"/>
            </w:tcBorders>
            <w:shd w:val="clear" w:color="auto" w:fill="auto"/>
            <w:vAlign w:val="bottom"/>
          </w:tcPr>
          <w:p w:rsidR="00B008D9" w:rsidRPr="001A351F" w:rsidRDefault="00B008D9" w:rsidP="00786E20">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1A351F">
              <w:rPr>
                <w:rFonts w:ascii="Arial Narrow" w:hAnsi="Arial Narrow"/>
                <w:color w:val="000000"/>
                <w:kern w:val="24"/>
                <w:sz w:val="24"/>
                <w:szCs w:val="24"/>
              </w:rPr>
              <w:t>11%</w:t>
            </w:r>
          </w:p>
        </w:tc>
      </w:tr>
      <w:tr w:rsidR="00B008D9" w:rsidRPr="001A351F" w:rsidTr="007009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2" w:type="pct"/>
            <w:tcBorders>
              <w:top w:val="none" w:sz="0" w:space="0" w:color="auto"/>
              <w:bottom w:val="none" w:sz="0" w:space="0" w:color="auto"/>
              <w:right w:val="single" w:sz="4" w:space="0" w:color="auto"/>
            </w:tcBorders>
            <w:hideMark/>
          </w:tcPr>
          <w:p w:rsidR="00B008D9" w:rsidRPr="001A351F" w:rsidRDefault="00B008D9" w:rsidP="00786E20">
            <w:pPr>
              <w:keepNext/>
              <w:widowControl w:val="0"/>
              <w:rPr>
                <w:rFonts w:ascii="Arial Narrow" w:hAnsi="Arial Narrow"/>
                <w:b w:val="0"/>
                <w:bCs w:val="0"/>
                <w:sz w:val="24"/>
                <w:szCs w:val="24"/>
              </w:rPr>
            </w:pPr>
            <w:r w:rsidRPr="001A351F">
              <w:rPr>
                <w:rFonts w:ascii="Arial Narrow" w:hAnsi="Arial Narrow"/>
                <w:sz w:val="24"/>
                <w:szCs w:val="24"/>
              </w:rPr>
              <w:t>Affordable housing (rented)</w:t>
            </w:r>
          </w:p>
        </w:tc>
        <w:tc>
          <w:tcPr>
            <w:tcW w:w="781" w:type="pct"/>
            <w:tcBorders>
              <w:top w:val="single" w:sz="4" w:space="0" w:color="auto"/>
              <w:left w:val="single" w:sz="4" w:space="0" w:color="auto"/>
              <w:bottom w:val="single" w:sz="4" w:space="0" w:color="auto"/>
              <w:right w:val="single" w:sz="4" w:space="0" w:color="auto"/>
            </w:tcBorders>
            <w:shd w:val="clear" w:color="auto" w:fill="auto"/>
            <w:vAlign w:val="bottom"/>
          </w:tcPr>
          <w:p w:rsidR="00B008D9" w:rsidRPr="001A351F" w:rsidRDefault="00B008D9" w:rsidP="00786E20">
            <w:pPr>
              <w:keepN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1A351F">
              <w:rPr>
                <w:rFonts w:ascii="Arial Narrow" w:hAnsi="Arial Narrow"/>
                <w:color w:val="000000"/>
                <w:kern w:val="24"/>
                <w:sz w:val="24"/>
                <w:szCs w:val="24"/>
              </w:rPr>
              <w:t>32%</w:t>
            </w:r>
          </w:p>
        </w:tc>
        <w:tc>
          <w:tcPr>
            <w:tcW w:w="887" w:type="pct"/>
            <w:tcBorders>
              <w:top w:val="single" w:sz="4" w:space="0" w:color="auto"/>
              <w:left w:val="single" w:sz="4" w:space="0" w:color="auto"/>
              <w:bottom w:val="single" w:sz="4" w:space="0" w:color="auto"/>
              <w:right w:val="single" w:sz="4" w:space="0" w:color="auto"/>
            </w:tcBorders>
            <w:shd w:val="clear" w:color="auto" w:fill="auto"/>
            <w:vAlign w:val="bottom"/>
          </w:tcPr>
          <w:p w:rsidR="00B008D9" w:rsidRPr="001A351F" w:rsidRDefault="00B008D9" w:rsidP="00786E20">
            <w:pPr>
              <w:keepN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1A351F">
              <w:rPr>
                <w:rFonts w:ascii="Arial Narrow" w:hAnsi="Arial Narrow"/>
                <w:color w:val="000000"/>
                <w:kern w:val="24"/>
                <w:sz w:val="24"/>
                <w:szCs w:val="24"/>
              </w:rPr>
              <w:t>43%</w:t>
            </w:r>
          </w:p>
        </w:tc>
        <w:tc>
          <w:tcPr>
            <w:tcW w:w="886" w:type="pct"/>
            <w:tcBorders>
              <w:top w:val="single" w:sz="4" w:space="0" w:color="auto"/>
              <w:left w:val="single" w:sz="4" w:space="0" w:color="auto"/>
              <w:bottom w:val="single" w:sz="4" w:space="0" w:color="auto"/>
              <w:right w:val="single" w:sz="4" w:space="0" w:color="auto"/>
            </w:tcBorders>
            <w:shd w:val="clear" w:color="auto" w:fill="auto"/>
            <w:vAlign w:val="bottom"/>
          </w:tcPr>
          <w:p w:rsidR="00B008D9" w:rsidRPr="001A351F" w:rsidRDefault="00B008D9" w:rsidP="00786E20">
            <w:pPr>
              <w:keepN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1A351F">
              <w:rPr>
                <w:rFonts w:ascii="Arial Narrow" w:hAnsi="Arial Narrow"/>
                <w:color w:val="000000"/>
                <w:kern w:val="24"/>
                <w:sz w:val="24"/>
                <w:szCs w:val="24"/>
              </w:rPr>
              <w:t>23%</w:t>
            </w:r>
          </w:p>
        </w:tc>
        <w:tc>
          <w:tcPr>
            <w:tcW w:w="834" w:type="pct"/>
            <w:tcBorders>
              <w:top w:val="single" w:sz="4" w:space="0" w:color="auto"/>
              <w:left w:val="single" w:sz="4" w:space="0" w:color="auto"/>
              <w:bottom w:val="single" w:sz="4" w:space="0" w:color="auto"/>
              <w:right w:val="single" w:sz="4" w:space="0" w:color="auto"/>
            </w:tcBorders>
            <w:shd w:val="clear" w:color="auto" w:fill="auto"/>
            <w:vAlign w:val="bottom"/>
          </w:tcPr>
          <w:p w:rsidR="00B008D9" w:rsidRPr="001A351F" w:rsidRDefault="00B008D9" w:rsidP="00786E20">
            <w:pPr>
              <w:keepN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1A351F">
              <w:rPr>
                <w:rFonts w:ascii="Arial Narrow" w:hAnsi="Arial Narrow"/>
                <w:color w:val="000000"/>
                <w:kern w:val="24"/>
                <w:sz w:val="24"/>
                <w:szCs w:val="24"/>
              </w:rPr>
              <w:t>2%</w:t>
            </w:r>
          </w:p>
        </w:tc>
      </w:tr>
    </w:tbl>
    <w:p w:rsidR="00B008D9" w:rsidRPr="001A351F" w:rsidRDefault="00B008D9" w:rsidP="00700980">
      <w:pPr>
        <w:pStyle w:val="Bodytextwithindent"/>
        <w:spacing w:before="0" w:after="0" w:line="240" w:lineRule="auto"/>
        <w:ind w:left="0"/>
        <w:rPr>
          <w:sz w:val="24"/>
          <w:szCs w:val="24"/>
        </w:rPr>
      </w:pPr>
      <w:r w:rsidRPr="001A351F">
        <w:rPr>
          <w:sz w:val="24"/>
          <w:szCs w:val="24"/>
        </w:rPr>
        <w:t>Source: Housing Market Model</w:t>
      </w:r>
    </w:p>
    <w:bookmarkEnd w:id="178"/>
    <w:p w:rsidR="00491339" w:rsidRPr="00CA47B9" w:rsidRDefault="00B008D9" w:rsidP="00362459">
      <w:pPr>
        <w:pStyle w:val="11Bodytext"/>
        <w:tabs>
          <w:tab w:val="clear" w:pos="2212"/>
          <w:tab w:val="num" w:pos="567"/>
        </w:tabs>
        <w:ind w:left="567" w:hanging="567"/>
        <w:rPr>
          <w:color w:val="auto"/>
        </w:rPr>
      </w:pPr>
      <w:r w:rsidRPr="00CA47B9">
        <w:lastRenderedPageBreak/>
        <w:t xml:space="preserve">Whilst the output of the modelling provides estimates of the proportion of homes of different sizes that are needed, there </w:t>
      </w:r>
      <w:r w:rsidR="00855CA6">
        <w:t>is</w:t>
      </w:r>
      <w:r w:rsidR="00855CA6" w:rsidRPr="00CA47B9">
        <w:t xml:space="preserve"> </w:t>
      </w:r>
      <w:r w:rsidRPr="00CA47B9">
        <w:t>a range of factors which should be considered in setting policies for provision.</w:t>
      </w:r>
      <w:r w:rsidR="003249E9">
        <w:t xml:space="preserve"> </w:t>
      </w:r>
    </w:p>
    <w:p w:rsidR="003249E9" w:rsidRDefault="003249E9" w:rsidP="00362459">
      <w:pPr>
        <w:pStyle w:val="11Bodytext"/>
        <w:tabs>
          <w:tab w:val="clear" w:pos="2212"/>
          <w:tab w:val="num" w:pos="567"/>
        </w:tabs>
        <w:ind w:left="567" w:hanging="567"/>
      </w:pPr>
      <w:r>
        <w:t xml:space="preserve">One </w:t>
      </w:r>
      <w:r w:rsidR="00491339">
        <w:t>c</w:t>
      </w:r>
      <w:r>
        <w:t xml:space="preserve">onsideration should be </w:t>
      </w:r>
      <w:r w:rsidR="00855CA6">
        <w:t xml:space="preserve">the </w:t>
      </w:r>
      <w:r>
        <w:t>current occupancy patterns.</w:t>
      </w:r>
      <w:r w:rsidR="00855CA6">
        <w:t xml:space="preserve"> </w:t>
      </w:r>
      <w:r>
        <w:t xml:space="preserve">As the table below shows 88% of </w:t>
      </w:r>
      <w:r w:rsidR="00855CA6">
        <w:t>owner-</w:t>
      </w:r>
      <w:r>
        <w:t xml:space="preserve">occupied properties have more bedrooms </w:t>
      </w:r>
      <w:r w:rsidR="00855CA6">
        <w:t xml:space="preserve">than </w:t>
      </w:r>
      <w:r>
        <w:t>they require.</w:t>
      </w:r>
      <w:r w:rsidR="00855CA6">
        <w:t xml:space="preserve"> </w:t>
      </w:r>
      <w:r>
        <w:t xml:space="preserve">Overcrowding in Chichester is highest in the social rental sector </w:t>
      </w:r>
      <w:r w:rsidR="00C77B82">
        <w:t>at</w:t>
      </w:r>
      <w:r>
        <w:t xml:space="preserve"> 6%.</w:t>
      </w:r>
    </w:p>
    <w:p w:rsidR="003249E9" w:rsidRDefault="003249E9" w:rsidP="00700980">
      <w:pPr>
        <w:pStyle w:val="Tableheading"/>
        <w:tabs>
          <w:tab w:val="clear" w:pos="794"/>
          <w:tab w:val="clear" w:pos="1843"/>
          <w:tab w:val="left" w:pos="0"/>
        </w:tabs>
        <w:spacing w:line="240" w:lineRule="auto"/>
        <w:ind w:left="0" w:firstLine="0"/>
      </w:pPr>
      <w:r>
        <w:t xml:space="preserve">Occupancy rating by tenure </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Table 37: Occupancy rating by tenure "/>
      </w:tblPr>
      <w:tblGrid>
        <w:gridCol w:w="3112"/>
        <w:gridCol w:w="1850"/>
        <w:gridCol w:w="1586"/>
        <w:gridCol w:w="1108"/>
        <w:gridCol w:w="1982"/>
      </w:tblGrid>
      <w:tr w:rsidR="003249E9" w:rsidRPr="001A351F" w:rsidTr="00700980">
        <w:trPr>
          <w:trHeight w:val="562"/>
          <w:tblHeader/>
        </w:trPr>
        <w:tc>
          <w:tcPr>
            <w:tcW w:w="1614" w:type="pct"/>
            <w:shd w:val="clear" w:color="auto" w:fill="0093D5" w:themeFill="accent2"/>
            <w:tcMar>
              <w:top w:w="0" w:type="dxa"/>
              <w:left w:w="108" w:type="dxa"/>
              <w:bottom w:w="0" w:type="dxa"/>
              <w:right w:w="108" w:type="dxa"/>
            </w:tcMar>
          </w:tcPr>
          <w:p w:rsidR="003249E9" w:rsidRPr="001A351F" w:rsidRDefault="003249E9" w:rsidP="00AD1AAD"/>
        </w:tc>
        <w:tc>
          <w:tcPr>
            <w:tcW w:w="960" w:type="pct"/>
            <w:shd w:val="clear" w:color="auto" w:fill="0093D5" w:themeFill="accent2"/>
            <w:tcMar>
              <w:top w:w="0" w:type="dxa"/>
              <w:left w:w="108" w:type="dxa"/>
              <w:bottom w:w="0" w:type="dxa"/>
              <w:right w:w="108" w:type="dxa"/>
            </w:tcMar>
            <w:hideMark/>
          </w:tcPr>
          <w:p w:rsidR="003249E9" w:rsidRPr="001A351F" w:rsidRDefault="003249E9" w:rsidP="00786E20">
            <w:pPr>
              <w:jc w:val="center"/>
              <w:rPr>
                <w:rFonts w:ascii="Arial Narrow" w:hAnsi="Arial Narrow"/>
                <w:color w:val="FFFFFF" w:themeColor="background1"/>
                <w:sz w:val="24"/>
                <w:szCs w:val="24"/>
              </w:rPr>
            </w:pPr>
            <w:r w:rsidRPr="001A351F">
              <w:rPr>
                <w:rFonts w:ascii="Arial Narrow" w:hAnsi="Arial Narrow"/>
                <w:color w:val="FFFFFF" w:themeColor="background1"/>
                <w:sz w:val="24"/>
                <w:szCs w:val="24"/>
              </w:rPr>
              <w:t>2+ bedrooms more than standard</w:t>
            </w:r>
          </w:p>
        </w:tc>
        <w:tc>
          <w:tcPr>
            <w:tcW w:w="823" w:type="pct"/>
            <w:shd w:val="clear" w:color="auto" w:fill="0093D5" w:themeFill="accent2"/>
            <w:tcMar>
              <w:top w:w="0" w:type="dxa"/>
              <w:left w:w="108" w:type="dxa"/>
              <w:bottom w:w="0" w:type="dxa"/>
              <w:right w:w="108" w:type="dxa"/>
            </w:tcMar>
            <w:hideMark/>
          </w:tcPr>
          <w:p w:rsidR="003249E9" w:rsidRPr="001A351F" w:rsidRDefault="003249E9" w:rsidP="00786E20">
            <w:pPr>
              <w:jc w:val="center"/>
              <w:rPr>
                <w:rFonts w:ascii="Arial Narrow" w:hAnsi="Arial Narrow"/>
                <w:color w:val="FFFFFF" w:themeColor="background1"/>
                <w:sz w:val="24"/>
                <w:szCs w:val="24"/>
              </w:rPr>
            </w:pPr>
            <w:r w:rsidRPr="001A351F">
              <w:rPr>
                <w:rFonts w:ascii="Arial Narrow" w:hAnsi="Arial Narrow"/>
                <w:color w:val="FFFFFF" w:themeColor="background1"/>
                <w:sz w:val="24"/>
                <w:szCs w:val="24"/>
              </w:rPr>
              <w:t>1 bedroom more than standard</w:t>
            </w:r>
          </w:p>
        </w:tc>
        <w:tc>
          <w:tcPr>
            <w:tcW w:w="575" w:type="pct"/>
            <w:shd w:val="clear" w:color="auto" w:fill="0093D5" w:themeFill="accent2"/>
            <w:tcMar>
              <w:top w:w="0" w:type="dxa"/>
              <w:left w:w="108" w:type="dxa"/>
              <w:bottom w:w="0" w:type="dxa"/>
              <w:right w:w="108" w:type="dxa"/>
            </w:tcMar>
            <w:hideMark/>
          </w:tcPr>
          <w:p w:rsidR="003249E9" w:rsidRPr="001A351F" w:rsidRDefault="003249E9" w:rsidP="00786E20">
            <w:pPr>
              <w:jc w:val="center"/>
              <w:rPr>
                <w:rFonts w:ascii="Arial Narrow" w:hAnsi="Arial Narrow"/>
                <w:color w:val="FFFFFF" w:themeColor="background1"/>
                <w:sz w:val="24"/>
                <w:szCs w:val="24"/>
              </w:rPr>
            </w:pPr>
            <w:r w:rsidRPr="001A351F">
              <w:rPr>
                <w:rFonts w:ascii="Arial Narrow" w:hAnsi="Arial Narrow"/>
                <w:color w:val="FFFFFF" w:themeColor="background1"/>
                <w:sz w:val="24"/>
                <w:szCs w:val="24"/>
              </w:rPr>
              <w:t>Matching Standard</w:t>
            </w:r>
          </w:p>
        </w:tc>
        <w:tc>
          <w:tcPr>
            <w:tcW w:w="1028" w:type="pct"/>
            <w:shd w:val="clear" w:color="auto" w:fill="0093D5" w:themeFill="accent2"/>
            <w:tcMar>
              <w:top w:w="0" w:type="dxa"/>
              <w:left w:w="108" w:type="dxa"/>
              <w:bottom w:w="0" w:type="dxa"/>
              <w:right w:w="108" w:type="dxa"/>
            </w:tcMar>
            <w:hideMark/>
          </w:tcPr>
          <w:p w:rsidR="003249E9" w:rsidRPr="001A351F" w:rsidRDefault="003249E9" w:rsidP="00786E20">
            <w:pPr>
              <w:jc w:val="center"/>
              <w:rPr>
                <w:rFonts w:ascii="Arial Narrow" w:hAnsi="Arial Narrow"/>
                <w:color w:val="FFFFFF" w:themeColor="background1"/>
                <w:sz w:val="24"/>
                <w:szCs w:val="24"/>
              </w:rPr>
            </w:pPr>
            <w:r w:rsidRPr="001A351F">
              <w:rPr>
                <w:rFonts w:ascii="Arial Narrow" w:hAnsi="Arial Narrow"/>
                <w:color w:val="FFFFFF" w:themeColor="background1"/>
                <w:sz w:val="24"/>
                <w:szCs w:val="24"/>
              </w:rPr>
              <w:t>1+ bedroom less than standard (i.e. overcrowded)</w:t>
            </w:r>
          </w:p>
        </w:tc>
      </w:tr>
      <w:tr w:rsidR="003249E9" w:rsidRPr="001A351F" w:rsidTr="00700980">
        <w:trPr>
          <w:trHeight w:val="183"/>
        </w:trPr>
        <w:tc>
          <w:tcPr>
            <w:tcW w:w="1614" w:type="pct"/>
            <w:tcMar>
              <w:top w:w="0" w:type="dxa"/>
              <w:left w:w="108" w:type="dxa"/>
              <w:bottom w:w="0" w:type="dxa"/>
              <w:right w:w="108" w:type="dxa"/>
            </w:tcMar>
            <w:hideMark/>
          </w:tcPr>
          <w:p w:rsidR="003249E9" w:rsidRPr="001A351F" w:rsidRDefault="003249E9" w:rsidP="00786E20">
            <w:pPr>
              <w:rPr>
                <w:rFonts w:ascii="Arial Narrow" w:hAnsi="Arial Narrow"/>
                <w:sz w:val="24"/>
                <w:szCs w:val="24"/>
              </w:rPr>
            </w:pPr>
            <w:r w:rsidRPr="001A351F">
              <w:rPr>
                <w:rFonts w:ascii="Arial Narrow" w:hAnsi="Arial Narrow"/>
                <w:sz w:val="24"/>
                <w:szCs w:val="24"/>
              </w:rPr>
              <w:t>Owner-occupier</w:t>
            </w:r>
          </w:p>
        </w:tc>
        <w:tc>
          <w:tcPr>
            <w:tcW w:w="960" w:type="pct"/>
            <w:tcMar>
              <w:top w:w="0" w:type="dxa"/>
              <w:left w:w="108" w:type="dxa"/>
              <w:bottom w:w="0" w:type="dxa"/>
              <w:right w:w="108" w:type="dxa"/>
            </w:tcMar>
            <w:vAlign w:val="center"/>
            <w:hideMark/>
          </w:tcPr>
          <w:p w:rsidR="003249E9" w:rsidRPr="001A351F" w:rsidRDefault="003249E9" w:rsidP="00786E20">
            <w:pPr>
              <w:jc w:val="center"/>
              <w:rPr>
                <w:rFonts w:ascii="Arial Narrow" w:hAnsi="Arial Narrow"/>
                <w:sz w:val="24"/>
                <w:szCs w:val="24"/>
              </w:rPr>
            </w:pPr>
            <w:r w:rsidRPr="001A351F">
              <w:rPr>
                <w:rFonts w:ascii="Arial Narrow" w:hAnsi="Arial Narrow"/>
                <w:color w:val="000000"/>
                <w:sz w:val="24"/>
                <w:szCs w:val="24"/>
              </w:rPr>
              <w:t>55%</w:t>
            </w:r>
          </w:p>
        </w:tc>
        <w:tc>
          <w:tcPr>
            <w:tcW w:w="823" w:type="pct"/>
            <w:tcMar>
              <w:top w:w="0" w:type="dxa"/>
              <w:left w:w="108" w:type="dxa"/>
              <w:bottom w:w="0" w:type="dxa"/>
              <w:right w:w="108" w:type="dxa"/>
            </w:tcMar>
            <w:vAlign w:val="center"/>
            <w:hideMark/>
          </w:tcPr>
          <w:p w:rsidR="003249E9" w:rsidRPr="001A351F" w:rsidRDefault="003249E9" w:rsidP="00786E20">
            <w:pPr>
              <w:jc w:val="center"/>
              <w:rPr>
                <w:rFonts w:ascii="Arial Narrow" w:hAnsi="Arial Narrow"/>
                <w:sz w:val="24"/>
                <w:szCs w:val="24"/>
              </w:rPr>
            </w:pPr>
            <w:r w:rsidRPr="001A351F">
              <w:rPr>
                <w:rFonts w:ascii="Arial Narrow" w:hAnsi="Arial Narrow"/>
                <w:color w:val="000000"/>
                <w:sz w:val="24"/>
                <w:szCs w:val="24"/>
              </w:rPr>
              <w:t>33%</w:t>
            </w:r>
          </w:p>
        </w:tc>
        <w:tc>
          <w:tcPr>
            <w:tcW w:w="575" w:type="pct"/>
            <w:tcMar>
              <w:top w:w="0" w:type="dxa"/>
              <w:left w:w="108" w:type="dxa"/>
              <w:bottom w:w="0" w:type="dxa"/>
              <w:right w:w="108" w:type="dxa"/>
            </w:tcMar>
            <w:vAlign w:val="center"/>
            <w:hideMark/>
          </w:tcPr>
          <w:p w:rsidR="003249E9" w:rsidRPr="001A351F" w:rsidRDefault="003249E9" w:rsidP="00786E20">
            <w:pPr>
              <w:jc w:val="center"/>
              <w:rPr>
                <w:rFonts w:ascii="Arial Narrow" w:hAnsi="Arial Narrow"/>
                <w:sz w:val="24"/>
                <w:szCs w:val="24"/>
              </w:rPr>
            </w:pPr>
            <w:r w:rsidRPr="001A351F">
              <w:rPr>
                <w:rFonts w:ascii="Arial Narrow" w:hAnsi="Arial Narrow"/>
                <w:color w:val="000000"/>
                <w:sz w:val="24"/>
                <w:szCs w:val="24"/>
              </w:rPr>
              <w:t>11%</w:t>
            </w:r>
          </w:p>
        </w:tc>
        <w:tc>
          <w:tcPr>
            <w:tcW w:w="1028" w:type="pct"/>
            <w:tcMar>
              <w:top w:w="0" w:type="dxa"/>
              <w:left w:w="108" w:type="dxa"/>
              <w:bottom w:w="0" w:type="dxa"/>
              <w:right w:w="108" w:type="dxa"/>
            </w:tcMar>
            <w:vAlign w:val="center"/>
            <w:hideMark/>
          </w:tcPr>
          <w:p w:rsidR="003249E9" w:rsidRPr="001A351F" w:rsidRDefault="003249E9" w:rsidP="00786E20">
            <w:pPr>
              <w:jc w:val="center"/>
              <w:rPr>
                <w:rFonts w:ascii="Arial Narrow" w:hAnsi="Arial Narrow"/>
                <w:sz w:val="24"/>
                <w:szCs w:val="24"/>
              </w:rPr>
            </w:pPr>
            <w:r w:rsidRPr="001A351F">
              <w:rPr>
                <w:rFonts w:ascii="Arial Narrow" w:hAnsi="Arial Narrow"/>
                <w:color w:val="000000"/>
                <w:sz w:val="24"/>
                <w:szCs w:val="24"/>
              </w:rPr>
              <w:t>1%</w:t>
            </w:r>
          </w:p>
        </w:tc>
      </w:tr>
      <w:tr w:rsidR="003249E9" w:rsidRPr="001A351F" w:rsidTr="00700980">
        <w:trPr>
          <w:trHeight w:val="183"/>
        </w:trPr>
        <w:tc>
          <w:tcPr>
            <w:tcW w:w="1614" w:type="pct"/>
            <w:tcMar>
              <w:top w:w="0" w:type="dxa"/>
              <w:left w:w="108" w:type="dxa"/>
              <w:bottom w:w="0" w:type="dxa"/>
              <w:right w:w="108" w:type="dxa"/>
            </w:tcMar>
            <w:hideMark/>
          </w:tcPr>
          <w:p w:rsidR="003249E9" w:rsidRPr="001A351F" w:rsidRDefault="003249E9" w:rsidP="00786E20">
            <w:pPr>
              <w:rPr>
                <w:rFonts w:ascii="Arial Narrow" w:hAnsi="Arial Narrow"/>
                <w:sz w:val="24"/>
                <w:szCs w:val="24"/>
              </w:rPr>
            </w:pPr>
            <w:r w:rsidRPr="001A351F">
              <w:rPr>
                <w:rFonts w:ascii="Arial Narrow" w:hAnsi="Arial Narrow"/>
                <w:sz w:val="24"/>
                <w:szCs w:val="24"/>
              </w:rPr>
              <w:t>Social rent</w:t>
            </w:r>
          </w:p>
        </w:tc>
        <w:tc>
          <w:tcPr>
            <w:tcW w:w="960" w:type="pct"/>
            <w:tcMar>
              <w:top w:w="0" w:type="dxa"/>
              <w:left w:w="108" w:type="dxa"/>
              <w:bottom w:w="0" w:type="dxa"/>
              <w:right w:w="108" w:type="dxa"/>
            </w:tcMar>
            <w:vAlign w:val="center"/>
            <w:hideMark/>
          </w:tcPr>
          <w:p w:rsidR="003249E9" w:rsidRPr="001A351F" w:rsidRDefault="003249E9" w:rsidP="00786E20">
            <w:pPr>
              <w:jc w:val="center"/>
              <w:rPr>
                <w:rFonts w:ascii="Arial Narrow" w:hAnsi="Arial Narrow"/>
                <w:sz w:val="24"/>
                <w:szCs w:val="24"/>
              </w:rPr>
            </w:pPr>
            <w:r w:rsidRPr="001A351F">
              <w:rPr>
                <w:rFonts w:ascii="Arial Narrow" w:hAnsi="Arial Narrow"/>
                <w:color w:val="000000"/>
                <w:sz w:val="24"/>
                <w:szCs w:val="24"/>
              </w:rPr>
              <w:t>10%</w:t>
            </w:r>
          </w:p>
        </w:tc>
        <w:tc>
          <w:tcPr>
            <w:tcW w:w="823" w:type="pct"/>
            <w:tcMar>
              <w:top w:w="0" w:type="dxa"/>
              <w:left w:w="108" w:type="dxa"/>
              <w:bottom w:w="0" w:type="dxa"/>
              <w:right w:w="108" w:type="dxa"/>
            </w:tcMar>
            <w:vAlign w:val="center"/>
            <w:hideMark/>
          </w:tcPr>
          <w:p w:rsidR="003249E9" w:rsidRPr="001A351F" w:rsidRDefault="003249E9" w:rsidP="00786E20">
            <w:pPr>
              <w:jc w:val="center"/>
              <w:rPr>
                <w:rFonts w:ascii="Arial Narrow" w:hAnsi="Arial Narrow"/>
                <w:sz w:val="24"/>
                <w:szCs w:val="24"/>
              </w:rPr>
            </w:pPr>
            <w:r w:rsidRPr="001A351F">
              <w:rPr>
                <w:rFonts w:ascii="Arial Narrow" w:hAnsi="Arial Narrow"/>
                <w:color w:val="000000"/>
                <w:sz w:val="24"/>
                <w:szCs w:val="24"/>
              </w:rPr>
              <w:t>32%</w:t>
            </w:r>
          </w:p>
        </w:tc>
        <w:tc>
          <w:tcPr>
            <w:tcW w:w="575" w:type="pct"/>
            <w:tcMar>
              <w:top w:w="0" w:type="dxa"/>
              <w:left w:w="108" w:type="dxa"/>
              <w:bottom w:w="0" w:type="dxa"/>
              <w:right w:w="108" w:type="dxa"/>
            </w:tcMar>
            <w:vAlign w:val="center"/>
            <w:hideMark/>
          </w:tcPr>
          <w:p w:rsidR="003249E9" w:rsidRPr="001A351F" w:rsidRDefault="003249E9" w:rsidP="00786E20">
            <w:pPr>
              <w:jc w:val="center"/>
              <w:rPr>
                <w:rFonts w:ascii="Arial Narrow" w:hAnsi="Arial Narrow"/>
                <w:sz w:val="24"/>
                <w:szCs w:val="24"/>
              </w:rPr>
            </w:pPr>
            <w:r w:rsidRPr="001A351F">
              <w:rPr>
                <w:rFonts w:ascii="Arial Narrow" w:hAnsi="Arial Narrow"/>
                <w:color w:val="000000"/>
                <w:sz w:val="24"/>
                <w:szCs w:val="24"/>
              </w:rPr>
              <w:t>52%</w:t>
            </w:r>
          </w:p>
        </w:tc>
        <w:tc>
          <w:tcPr>
            <w:tcW w:w="1028" w:type="pct"/>
            <w:tcMar>
              <w:top w:w="0" w:type="dxa"/>
              <w:left w:w="108" w:type="dxa"/>
              <w:bottom w:w="0" w:type="dxa"/>
              <w:right w:w="108" w:type="dxa"/>
            </w:tcMar>
            <w:vAlign w:val="center"/>
            <w:hideMark/>
          </w:tcPr>
          <w:p w:rsidR="003249E9" w:rsidRPr="001A351F" w:rsidRDefault="003249E9" w:rsidP="00786E20">
            <w:pPr>
              <w:jc w:val="center"/>
              <w:rPr>
                <w:rFonts w:ascii="Arial Narrow" w:hAnsi="Arial Narrow"/>
                <w:sz w:val="24"/>
                <w:szCs w:val="24"/>
              </w:rPr>
            </w:pPr>
            <w:r w:rsidRPr="001A351F">
              <w:rPr>
                <w:rFonts w:ascii="Arial Narrow" w:hAnsi="Arial Narrow"/>
                <w:color w:val="000000"/>
                <w:sz w:val="24"/>
                <w:szCs w:val="24"/>
              </w:rPr>
              <w:t>6%</w:t>
            </w:r>
          </w:p>
        </w:tc>
      </w:tr>
      <w:tr w:rsidR="003249E9" w:rsidRPr="001A351F" w:rsidTr="00700980">
        <w:trPr>
          <w:trHeight w:val="183"/>
        </w:trPr>
        <w:tc>
          <w:tcPr>
            <w:tcW w:w="1614" w:type="pct"/>
            <w:tcMar>
              <w:top w:w="0" w:type="dxa"/>
              <w:left w:w="108" w:type="dxa"/>
              <w:bottom w:w="0" w:type="dxa"/>
              <w:right w:w="108" w:type="dxa"/>
            </w:tcMar>
            <w:hideMark/>
          </w:tcPr>
          <w:p w:rsidR="003249E9" w:rsidRPr="001A351F" w:rsidRDefault="003249E9" w:rsidP="00786E20">
            <w:pPr>
              <w:rPr>
                <w:rFonts w:ascii="Arial Narrow" w:hAnsi="Arial Narrow"/>
                <w:sz w:val="24"/>
                <w:szCs w:val="24"/>
              </w:rPr>
            </w:pPr>
            <w:r w:rsidRPr="001A351F">
              <w:rPr>
                <w:rFonts w:ascii="Arial Narrow" w:hAnsi="Arial Narrow"/>
                <w:sz w:val="24"/>
                <w:szCs w:val="24"/>
              </w:rPr>
              <w:t>Private rent (</w:t>
            </w:r>
            <w:r w:rsidR="00786E20">
              <w:rPr>
                <w:rFonts w:ascii="Arial Narrow" w:hAnsi="Arial Narrow"/>
                <w:sz w:val="24"/>
                <w:szCs w:val="24"/>
              </w:rPr>
              <w:t>&amp;</w:t>
            </w:r>
            <w:r w:rsidRPr="001A351F">
              <w:rPr>
                <w:rFonts w:ascii="Arial Narrow" w:hAnsi="Arial Narrow"/>
                <w:sz w:val="24"/>
                <w:szCs w:val="24"/>
              </w:rPr>
              <w:t xml:space="preserve"> living rent free)</w:t>
            </w:r>
          </w:p>
        </w:tc>
        <w:tc>
          <w:tcPr>
            <w:tcW w:w="960" w:type="pct"/>
            <w:tcMar>
              <w:top w:w="0" w:type="dxa"/>
              <w:left w:w="108" w:type="dxa"/>
              <w:bottom w:w="0" w:type="dxa"/>
              <w:right w:w="108" w:type="dxa"/>
            </w:tcMar>
            <w:vAlign w:val="center"/>
            <w:hideMark/>
          </w:tcPr>
          <w:p w:rsidR="003249E9" w:rsidRPr="001A351F" w:rsidRDefault="003249E9" w:rsidP="00786E20">
            <w:pPr>
              <w:jc w:val="center"/>
              <w:rPr>
                <w:rFonts w:ascii="Arial Narrow" w:hAnsi="Arial Narrow"/>
                <w:sz w:val="24"/>
                <w:szCs w:val="24"/>
              </w:rPr>
            </w:pPr>
            <w:r w:rsidRPr="001A351F">
              <w:rPr>
                <w:rFonts w:ascii="Arial Narrow" w:hAnsi="Arial Narrow"/>
                <w:color w:val="000000"/>
                <w:sz w:val="24"/>
                <w:szCs w:val="24"/>
              </w:rPr>
              <w:t>22%</w:t>
            </w:r>
          </w:p>
        </w:tc>
        <w:tc>
          <w:tcPr>
            <w:tcW w:w="823" w:type="pct"/>
            <w:tcMar>
              <w:top w:w="0" w:type="dxa"/>
              <w:left w:w="108" w:type="dxa"/>
              <w:bottom w:w="0" w:type="dxa"/>
              <w:right w:w="108" w:type="dxa"/>
            </w:tcMar>
            <w:vAlign w:val="center"/>
            <w:hideMark/>
          </w:tcPr>
          <w:p w:rsidR="003249E9" w:rsidRPr="001A351F" w:rsidRDefault="003249E9" w:rsidP="00786E20">
            <w:pPr>
              <w:jc w:val="center"/>
              <w:rPr>
                <w:rFonts w:ascii="Arial Narrow" w:hAnsi="Arial Narrow"/>
                <w:sz w:val="24"/>
                <w:szCs w:val="24"/>
              </w:rPr>
            </w:pPr>
            <w:r w:rsidRPr="001A351F">
              <w:rPr>
                <w:rFonts w:ascii="Arial Narrow" w:hAnsi="Arial Narrow"/>
                <w:color w:val="000000"/>
                <w:sz w:val="24"/>
                <w:szCs w:val="24"/>
              </w:rPr>
              <w:t>38%</w:t>
            </w:r>
          </w:p>
        </w:tc>
        <w:tc>
          <w:tcPr>
            <w:tcW w:w="575" w:type="pct"/>
            <w:tcMar>
              <w:top w:w="0" w:type="dxa"/>
              <w:left w:w="108" w:type="dxa"/>
              <w:bottom w:w="0" w:type="dxa"/>
              <w:right w:w="108" w:type="dxa"/>
            </w:tcMar>
            <w:vAlign w:val="center"/>
            <w:hideMark/>
          </w:tcPr>
          <w:p w:rsidR="003249E9" w:rsidRPr="001A351F" w:rsidRDefault="003249E9" w:rsidP="00786E20">
            <w:pPr>
              <w:jc w:val="center"/>
              <w:rPr>
                <w:rFonts w:ascii="Arial Narrow" w:hAnsi="Arial Narrow"/>
                <w:sz w:val="24"/>
                <w:szCs w:val="24"/>
              </w:rPr>
            </w:pPr>
            <w:r w:rsidRPr="001A351F">
              <w:rPr>
                <w:rFonts w:ascii="Arial Narrow" w:hAnsi="Arial Narrow"/>
                <w:color w:val="000000"/>
                <w:sz w:val="24"/>
                <w:szCs w:val="24"/>
              </w:rPr>
              <w:t>36%</w:t>
            </w:r>
          </w:p>
        </w:tc>
        <w:tc>
          <w:tcPr>
            <w:tcW w:w="1028" w:type="pct"/>
            <w:tcMar>
              <w:top w:w="0" w:type="dxa"/>
              <w:left w:w="108" w:type="dxa"/>
              <w:bottom w:w="0" w:type="dxa"/>
              <w:right w:w="108" w:type="dxa"/>
            </w:tcMar>
            <w:vAlign w:val="center"/>
            <w:hideMark/>
          </w:tcPr>
          <w:p w:rsidR="003249E9" w:rsidRPr="001A351F" w:rsidRDefault="003249E9" w:rsidP="00786E20">
            <w:pPr>
              <w:jc w:val="center"/>
              <w:rPr>
                <w:rFonts w:ascii="Arial Narrow" w:hAnsi="Arial Narrow"/>
                <w:sz w:val="24"/>
                <w:szCs w:val="24"/>
              </w:rPr>
            </w:pPr>
            <w:r w:rsidRPr="001A351F">
              <w:rPr>
                <w:rFonts w:ascii="Arial Narrow" w:hAnsi="Arial Narrow"/>
                <w:color w:val="000000"/>
                <w:sz w:val="24"/>
                <w:szCs w:val="24"/>
              </w:rPr>
              <w:t>4%</w:t>
            </w:r>
          </w:p>
        </w:tc>
      </w:tr>
      <w:tr w:rsidR="003249E9" w:rsidRPr="001A351F" w:rsidTr="00700980">
        <w:trPr>
          <w:trHeight w:val="183"/>
        </w:trPr>
        <w:tc>
          <w:tcPr>
            <w:tcW w:w="1614" w:type="pct"/>
            <w:tcMar>
              <w:top w:w="0" w:type="dxa"/>
              <w:left w:w="108" w:type="dxa"/>
              <w:bottom w:w="0" w:type="dxa"/>
              <w:right w:w="108" w:type="dxa"/>
            </w:tcMar>
            <w:hideMark/>
          </w:tcPr>
          <w:p w:rsidR="003249E9" w:rsidRPr="001A351F" w:rsidRDefault="003249E9" w:rsidP="00786E20">
            <w:pPr>
              <w:rPr>
                <w:rFonts w:ascii="Arial Narrow" w:hAnsi="Arial Narrow"/>
                <w:sz w:val="24"/>
                <w:szCs w:val="24"/>
              </w:rPr>
            </w:pPr>
            <w:r w:rsidRPr="001A351F">
              <w:rPr>
                <w:rFonts w:ascii="Arial Narrow" w:hAnsi="Arial Narrow"/>
                <w:sz w:val="24"/>
                <w:szCs w:val="24"/>
              </w:rPr>
              <w:t>All households</w:t>
            </w:r>
          </w:p>
        </w:tc>
        <w:tc>
          <w:tcPr>
            <w:tcW w:w="960" w:type="pct"/>
            <w:tcMar>
              <w:top w:w="0" w:type="dxa"/>
              <w:left w:w="108" w:type="dxa"/>
              <w:bottom w:w="0" w:type="dxa"/>
              <w:right w:w="108" w:type="dxa"/>
            </w:tcMar>
            <w:vAlign w:val="center"/>
            <w:hideMark/>
          </w:tcPr>
          <w:p w:rsidR="003249E9" w:rsidRPr="001A351F" w:rsidRDefault="003249E9" w:rsidP="00786E20">
            <w:pPr>
              <w:jc w:val="center"/>
              <w:rPr>
                <w:rFonts w:ascii="Arial Narrow" w:hAnsi="Arial Narrow"/>
                <w:sz w:val="24"/>
                <w:szCs w:val="24"/>
              </w:rPr>
            </w:pPr>
            <w:r w:rsidRPr="001A351F">
              <w:rPr>
                <w:rFonts w:ascii="Arial Narrow" w:hAnsi="Arial Narrow"/>
                <w:color w:val="000000"/>
                <w:sz w:val="24"/>
                <w:szCs w:val="24"/>
              </w:rPr>
              <w:t>43%</w:t>
            </w:r>
          </w:p>
        </w:tc>
        <w:tc>
          <w:tcPr>
            <w:tcW w:w="823" w:type="pct"/>
            <w:tcMar>
              <w:top w:w="0" w:type="dxa"/>
              <w:left w:w="108" w:type="dxa"/>
              <w:bottom w:w="0" w:type="dxa"/>
              <w:right w:w="108" w:type="dxa"/>
            </w:tcMar>
            <w:vAlign w:val="center"/>
            <w:hideMark/>
          </w:tcPr>
          <w:p w:rsidR="003249E9" w:rsidRPr="001A351F" w:rsidRDefault="003249E9" w:rsidP="00786E20">
            <w:pPr>
              <w:jc w:val="center"/>
              <w:rPr>
                <w:rFonts w:ascii="Arial Narrow" w:hAnsi="Arial Narrow"/>
                <w:sz w:val="24"/>
                <w:szCs w:val="24"/>
              </w:rPr>
            </w:pPr>
            <w:r w:rsidRPr="001A351F">
              <w:rPr>
                <w:rFonts w:ascii="Arial Narrow" w:hAnsi="Arial Narrow"/>
                <w:color w:val="000000"/>
                <w:sz w:val="24"/>
                <w:szCs w:val="24"/>
              </w:rPr>
              <w:t>34%</w:t>
            </w:r>
          </w:p>
        </w:tc>
        <w:tc>
          <w:tcPr>
            <w:tcW w:w="575" w:type="pct"/>
            <w:tcMar>
              <w:top w:w="0" w:type="dxa"/>
              <w:left w:w="108" w:type="dxa"/>
              <w:bottom w:w="0" w:type="dxa"/>
              <w:right w:w="108" w:type="dxa"/>
            </w:tcMar>
            <w:vAlign w:val="center"/>
            <w:hideMark/>
          </w:tcPr>
          <w:p w:rsidR="003249E9" w:rsidRPr="001A351F" w:rsidRDefault="003249E9" w:rsidP="00786E20">
            <w:pPr>
              <w:jc w:val="center"/>
              <w:rPr>
                <w:rFonts w:ascii="Arial Narrow" w:hAnsi="Arial Narrow"/>
                <w:sz w:val="24"/>
                <w:szCs w:val="24"/>
              </w:rPr>
            </w:pPr>
            <w:r w:rsidRPr="001A351F">
              <w:rPr>
                <w:rFonts w:ascii="Arial Narrow" w:hAnsi="Arial Narrow"/>
                <w:color w:val="000000"/>
                <w:sz w:val="24"/>
                <w:szCs w:val="24"/>
              </w:rPr>
              <w:t>21%</w:t>
            </w:r>
          </w:p>
        </w:tc>
        <w:tc>
          <w:tcPr>
            <w:tcW w:w="1028" w:type="pct"/>
            <w:tcMar>
              <w:top w:w="0" w:type="dxa"/>
              <w:left w:w="108" w:type="dxa"/>
              <w:bottom w:w="0" w:type="dxa"/>
              <w:right w:w="108" w:type="dxa"/>
            </w:tcMar>
            <w:vAlign w:val="center"/>
            <w:hideMark/>
          </w:tcPr>
          <w:p w:rsidR="003249E9" w:rsidRPr="001A351F" w:rsidRDefault="003249E9" w:rsidP="00786E20">
            <w:pPr>
              <w:jc w:val="center"/>
              <w:rPr>
                <w:rFonts w:ascii="Arial Narrow" w:hAnsi="Arial Narrow"/>
                <w:sz w:val="24"/>
                <w:szCs w:val="24"/>
              </w:rPr>
            </w:pPr>
            <w:r w:rsidRPr="001A351F">
              <w:rPr>
                <w:rFonts w:ascii="Arial Narrow" w:hAnsi="Arial Narrow"/>
                <w:color w:val="000000"/>
                <w:sz w:val="24"/>
                <w:szCs w:val="24"/>
              </w:rPr>
              <w:t>2%</w:t>
            </w:r>
          </w:p>
        </w:tc>
      </w:tr>
    </w:tbl>
    <w:p w:rsidR="003249E9" w:rsidRPr="00786E20" w:rsidRDefault="003249E9" w:rsidP="00700980">
      <w:pPr>
        <w:pStyle w:val="Bodytextwithindent"/>
        <w:spacing w:before="0" w:after="0" w:line="240" w:lineRule="auto"/>
        <w:ind w:left="0"/>
        <w:rPr>
          <w:sz w:val="24"/>
          <w:szCs w:val="24"/>
        </w:rPr>
      </w:pPr>
      <w:r w:rsidRPr="00786E20">
        <w:rPr>
          <w:sz w:val="24"/>
          <w:szCs w:val="24"/>
        </w:rPr>
        <w:t>Source: 2011 Census</w:t>
      </w:r>
    </w:p>
    <w:p w:rsidR="000C4EF0" w:rsidRDefault="000C4EF0" w:rsidP="00362459">
      <w:pPr>
        <w:pStyle w:val="11Bodytext"/>
        <w:tabs>
          <w:tab w:val="clear" w:pos="2212"/>
          <w:tab w:val="num" w:pos="567"/>
        </w:tabs>
        <w:ind w:left="567" w:hanging="567"/>
      </w:pPr>
      <w:r>
        <w:t xml:space="preserve">This also demonstrates the lack of connection between household size and the size of </w:t>
      </w:r>
      <w:r w:rsidR="00855CA6">
        <w:t xml:space="preserve">the </w:t>
      </w:r>
      <w:r>
        <w:t>property occupied, particularly in the owner-occupied sector.</w:t>
      </w:r>
      <w:r w:rsidR="00855CA6">
        <w:t xml:space="preserve"> </w:t>
      </w:r>
      <w:r>
        <w:t>This is particularly acute in areas with an older population.</w:t>
      </w:r>
      <w:r w:rsidR="00855CA6">
        <w:t xml:space="preserve"> </w:t>
      </w:r>
      <w:r>
        <w:t>As a result</w:t>
      </w:r>
      <w:r w:rsidR="00855CA6">
        <w:t>,</w:t>
      </w:r>
      <w:r>
        <w:t xml:space="preserve"> the local authority might seek </w:t>
      </w:r>
      <w:r w:rsidR="00855CA6">
        <w:t xml:space="preserve">additional </w:t>
      </w:r>
      <w:r>
        <w:t>smaller homes to support downsizing</w:t>
      </w:r>
      <w:r w:rsidR="00491339">
        <w:t xml:space="preserve"> and at the same time release larger homes for families to occupy.</w:t>
      </w:r>
    </w:p>
    <w:p w:rsidR="000C4EF0" w:rsidRPr="00873DCC" w:rsidRDefault="000C4EF0" w:rsidP="00362459">
      <w:pPr>
        <w:pStyle w:val="11Bodytext"/>
        <w:tabs>
          <w:tab w:val="clear" w:pos="2212"/>
          <w:tab w:val="num" w:pos="567"/>
        </w:tabs>
        <w:ind w:left="567" w:hanging="567"/>
      </w:pPr>
      <w:r w:rsidRPr="000C4EF0">
        <w:t>Typically, the link is closer between what households can afford and the size of property than what they need.</w:t>
      </w:r>
      <w:r w:rsidR="00855CA6">
        <w:t xml:space="preserve"> </w:t>
      </w:r>
      <w:r w:rsidRPr="000C4EF0">
        <w:t>As a result</w:t>
      </w:r>
      <w:r w:rsidR="00491339">
        <w:t>,</w:t>
      </w:r>
      <w:r w:rsidRPr="000C4EF0">
        <w:t xml:space="preserve"> as affordability de</w:t>
      </w:r>
      <w:r>
        <w:t>teriorates so will the need for larger homes with a</w:t>
      </w:r>
      <w:r w:rsidR="00491339">
        <w:t xml:space="preserve"> consequential</w:t>
      </w:r>
      <w:r>
        <w:t xml:space="preserve"> shift towards smaller properties as a result.</w:t>
      </w:r>
    </w:p>
    <w:p w:rsidR="00B008D9" w:rsidRPr="003249E9" w:rsidRDefault="003249E9" w:rsidP="00362459">
      <w:pPr>
        <w:pStyle w:val="11Bodytext"/>
        <w:tabs>
          <w:tab w:val="clear" w:pos="2212"/>
          <w:tab w:val="num" w:pos="567"/>
        </w:tabs>
        <w:ind w:left="567" w:hanging="567"/>
        <w:rPr>
          <w:color w:val="auto"/>
        </w:rPr>
      </w:pPr>
      <w:r>
        <w:t>In addition,</w:t>
      </w:r>
      <w:r w:rsidR="00B008D9" w:rsidRPr="00CA47B9">
        <w:t xml:space="preserve"> the affordable</w:t>
      </w:r>
      <w:r>
        <w:t xml:space="preserve"> rental</w:t>
      </w:r>
      <w:r w:rsidR="00B008D9" w:rsidRPr="00CA47B9">
        <w:t xml:space="preserve"> sector where there are typically issues around the demand for and turnover of 1-bedroom homes (as well as allocations to older person households) – e.g. </w:t>
      </w:r>
      <w:r w:rsidR="00855CA6" w:rsidRPr="00CA47B9">
        <w:t>one</w:t>
      </w:r>
      <w:r w:rsidR="00855CA6">
        <w:t>-</w:t>
      </w:r>
      <w:r w:rsidR="00B008D9" w:rsidRPr="00CA47B9">
        <w:t>bedroom homes provide limited flexibility for households (e.g. a couple household expecting to start a family) and as a result</w:t>
      </w:r>
      <w:r w:rsidR="00855CA6">
        <w:t>,</w:t>
      </w:r>
      <w:r w:rsidR="00B008D9" w:rsidRPr="00CA47B9">
        <w:t xml:space="preserve"> can see relatively high levels of turnover – therefore, it may not be appropriate to provide as much one-bedroom stock as is suggested by the modelling exercise. </w:t>
      </w:r>
    </w:p>
    <w:p w:rsidR="00B008D9" w:rsidRPr="00CA47B9" w:rsidRDefault="00B008D9" w:rsidP="00362459">
      <w:pPr>
        <w:pStyle w:val="11Bodytext"/>
        <w:tabs>
          <w:tab w:val="clear" w:pos="2212"/>
          <w:tab w:val="num" w:pos="567"/>
        </w:tabs>
        <w:ind w:left="567" w:hanging="567"/>
        <w:rPr>
          <w:color w:val="auto"/>
        </w:rPr>
      </w:pPr>
      <w:r w:rsidRPr="00CA47B9">
        <w:t xml:space="preserve">At the other end of the scale, conclusions also need to consider that the stock of 4+ bedroom affordable housing is very limited and tends to have a very low turnover. As a result, whilst the number of households coming forward for 4+ bedroom homes is </w:t>
      </w:r>
      <w:r w:rsidRPr="00CA47B9">
        <w:lastRenderedPageBreak/>
        <w:t>typically quite small the ability for these needs to be met is even more limited. There are also localised issues about the stock of different sizes of homes which need to be considered in conclusions.</w:t>
      </w:r>
    </w:p>
    <w:p w:rsidR="00786E20" w:rsidRPr="00CA47B9" w:rsidRDefault="00B008D9" w:rsidP="00610477">
      <w:pPr>
        <w:pStyle w:val="11Bodytext"/>
        <w:tabs>
          <w:tab w:val="clear" w:pos="2212"/>
          <w:tab w:val="num" w:pos="567"/>
        </w:tabs>
        <w:ind w:left="567" w:hanging="567"/>
        <w:rPr>
          <w:color w:val="auto"/>
        </w:rPr>
      </w:pPr>
      <w:r w:rsidRPr="00CA47B9">
        <w:t>For these reasons, it is suggested in converting the long-term modelled outputs into a profile of housing to be provided (in the affordable sector) that the proportion of 1-bedroom homes required is reduced slightly from these outputs with a commensurate increase in 4+ bedroom homes also being appropriate.</w:t>
      </w:r>
    </w:p>
    <w:p w:rsidR="00786E20" w:rsidRPr="00CA47B9" w:rsidRDefault="00B008D9" w:rsidP="00362459">
      <w:pPr>
        <w:pStyle w:val="11Bodytext"/>
        <w:tabs>
          <w:tab w:val="clear" w:pos="2212"/>
          <w:tab w:val="num" w:pos="567"/>
        </w:tabs>
        <w:ind w:left="567" w:hanging="567"/>
      </w:pPr>
      <w:r w:rsidRPr="00CA47B9">
        <w:t xml:space="preserve">There are thus a range of factors which are relevant in considering policies for the mix of affordable housing (rented) sought through development schemes. At a local authority wide level, the analysis from the residual Local Plan housing need would support policies for the mix of </w:t>
      </w:r>
      <w:r w:rsidRPr="00CA47B9">
        <w:rPr>
          <w:u w:val="single"/>
        </w:rPr>
        <w:t>affordable housing (rented)</w:t>
      </w:r>
      <w:r w:rsidRPr="00CA47B9">
        <w:t xml:space="preserve"> of:</w:t>
      </w:r>
    </w:p>
    <w:p w:rsidR="00B008D9" w:rsidRPr="00CA47B9" w:rsidRDefault="00B008D9" w:rsidP="00ED1C06">
      <w:pPr>
        <w:pStyle w:val="10BulletBodytext"/>
        <w:rPr>
          <w:szCs w:val="20"/>
          <w:lang w:eastAsia="en-GB"/>
        </w:rPr>
      </w:pPr>
      <w:r w:rsidRPr="00CA47B9">
        <w:t xml:space="preserve">1-bed properties: </w:t>
      </w:r>
      <w:r w:rsidR="00BF2022">
        <w:t>25</w:t>
      </w:r>
      <w:r w:rsidRPr="00CA47B9">
        <w:t>-</w:t>
      </w:r>
      <w:r w:rsidR="00BF2022" w:rsidRPr="00CA47B9">
        <w:t>3</w:t>
      </w:r>
      <w:r w:rsidR="00BF2022">
        <w:t>0</w:t>
      </w:r>
      <w:r w:rsidRPr="00CA47B9">
        <w:t>%</w:t>
      </w:r>
    </w:p>
    <w:p w:rsidR="00B008D9" w:rsidRPr="00CA47B9" w:rsidRDefault="00B008D9" w:rsidP="00ED1C06">
      <w:pPr>
        <w:pStyle w:val="10BulletBodytext"/>
        <w:rPr>
          <w:szCs w:val="20"/>
          <w:lang w:eastAsia="en-GB"/>
        </w:rPr>
      </w:pPr>
      <w:r w:rsidRPr="00CA47B9">
        <w:t xml:space="preserve">2-bed properties: </w:t>
      </w:r>
      <w:r w:rsidR="00BF2022">
        <w:t>40</w:t>
      </w:r>
      <w:r w:rsidRPr="00CA47B9">
        <w:t>-</w:t>
      </w:r>
      <w:r w:rsidR="00BF2022">
        <w:t>45</w:t>
      </w:r>
      <w:r w:rsidRPr="00CA47B9">
        <w:t>%</w:t>
      </w:r>
    </w:p>
    <w:p w:rsidR="00B008D9" w:rsidRPr="00CA47B9" w:rsidRDefault="00B008D9" w:rsidP="00ED1C06">
      <w:pPr>
        <w:pStyle w:val="10BulletBodytext"/>
        <w:rPr>
          <w:szCs w:val="20"/>
          <w:lang w:eastAsia="en-GB"/>
        </w:rPr>
      </w:pPr>
      <w:r w:rsidRPr="00CA47B9">
        <w:t>3-bed properties: 20-25%</w:t>
      </w:r>
    </w:p>
    <w:p w:rsidR="00B008D9" w:rsidRPr="00CA47B9" w:rsidRDefault="00B008D9" w:rsidP="00ED1C06">
      <w:pPr>
        <w:pStyle w:val="10BulletBodytext"/>
        <w:rPr>
          <w:szCs w:val="20"/>
          <w:lang w:eastAsia="en-GB"/>
        </w:rPr>
      </w:pPr>
      <w:r w:rsidRPr="00CA47B9">
        <w:t>4-bed properties: 5-10%</w:t>
      </w:r>
    </w:p>
    <w:p w:rsidR="00B008D9" w:rsidRPr="00CA47B9" w:rsidRDefault="00B008D9" w:rsidP="00362459">
      <w:pPr>
        <w:pStyle w:val="11Bodytext"/>
        <w:tabs>
          <w:tab w:val="clear" w:pos="2212"/>
          <w:tab w:val="num" w:pos="567"/>
        </w:tabs>
        <w:ind w:left="567" w:hanging="567"/>
        <w:rPr>
          <w:color w:val="auto"/>
        </w:rPr>
      </w:pPr>
      <w:r w:rsidRPr="00CA47B9">
        <w:t>The strategic conclusions recognise the role which delivery of larger family homes can play in releasing supply of smaller properties for other households; together with the limited flexibility which one-bed properties offer to changing household circumstances which feed through into higher turnover and management issues</w:t>
      </w:r>
      <w:r w:rsidR="003C1BFF" w:rsidRPr="003C1BFF">
        <w:t xml:space="preserve"> </w:t>
      </w:r>
      <w:r w:rsidR="003C1BFF" w:rsidRPr="00CA47B9">
        <w:t xml:space="preserve">and the issue of single people under 35 years old only being eligible to claim benefits for a room in a shared house. </w:t>
      </w:r>
    </w:p>
    <w:p w:rsidR="00B008D9" w:rsidRPr="00CA47B9" w:rsidRDefault="00B008D9" w:rsidP="00362459">
      <w:pPr>
        <w:pStyle w:val="11Bodytext"/>
        <w:tabs>
          <w:tab w:val="clear" w:pos="2212"/>
          <w:tab w:val="num" w:pos="567"/>
        </w:tabs>
        <w:ind w:left="567" w:hanging="567"/>
        <w:rPr>
          <w:color w:val="auto"/>
        </w:rPr>
      </w:pPr>
      <w:r w:rsidRPr="00CA47B9">
        <w:t xml:space="preserve">The need for affordable housing of different sizes will vary by area (at a more localised level) and over time. In considering the mix of homes to be provided within specific development schemes, the information herein should be brought together with details of households currently on the </w:t>
      </w:r>
      <w:r w:rsidRPr="00CA47B9">
        <w:rPr>
          <w:color w:val="auto"/>
        </w:rPr>
        <w:t>Housing Register in the local area and the stock and turnover of existing properties.</w:t>
      </w:r>
    </w:p>
    <w:p w:rsidR="00B008D9" w:rsidRPr="00CA47B9" w:rsidRDefault="00B008D9" w:rsidP="00362459">
      <w:pPr>
        <w:pStyle w:val="11Bodytext"/>
        <w:tabs>
          <w:tab w:val="clear" w:pos="2212"/>
          <w:tab w:val="num" w:pos="567"/>
        </w:tabs>
        <w:ind w:left="567" w:hanging="567"/>
        <w:rPr>
          <w:color w:val="auto"/>
        </w:rPr>
      </w:pPr>
      <w:r w:rsidRPr="00CA47B9">
        <w:t xml:space="preserve">In the affordable </w:t>
      </w:r>
      <w:r w:rsidR="00451CFA">
        <w:t>home ownership</w:t>
      </w:r>
      <w:r w:rsidRPr="00CA47B9">
        <w:t xml:space="preserve"> and market sectors, a profile of housing that more closely matches the outputs of the modelling is suggested, although some consideration of the current stock profile is also relevant. </w:t>
      </w:r>
    </w:p>
    <w:p w:rsidR="00B008D9" w:rsidRPr="00CA47B9" w:rsidRDefault="00B008D9" w:rsidP="00362459">
      <w:pPr>
        <w:pStyle w:val="11Bodytext"/>
        <w:tabs>
          <w:tab w:val="clear" w:pos="2212"/>
          <w:tab w:val="num" w:pos="567"/>
        </w:tabs>
        <w:ind w:left="567" w:hanging="567"/>
      </w:pPr>
      <w:r w:rsidRPr="00CA47B9">
        <w:t xml:space="preserve">Based on these factors, it is considered that the provision of affordable </w:t>
      </w:r>
      <w:r w:rsidR="00451CFA">
        <w:t>home ownership</w:t>
      </w:r>
      <w:r w:rsidRPr="00CA47B9">
        <w:t xml:space="preserve"> should be more explicitly focused on delivering smaller family housing for </w:t>
      </w:r>
      <w:r w:rsidRPr="00CA47B9">
        <w:lastRenderedPageBreak/>
        <w:t xml:space="preserve">younger households. On this basis the following mix of </w:t>
      </w:r>
      <w:r w:rsidRPr="00CA47B9">
        <w:rPr>
          <w:u w:val="single"/>
        </w:rPr>
        <w:t xml:space="preserve">affordable </w:t>
      </w:r>
      <w:r w:rsidR="00451CFA">
        <w:rPr>
          <w:u w:val="single"/>
        </w:rPr>
        <w:t>home ownership</w:t>
      </w:r>
      <w:r w:rsidRPr="00CA47B9">
        <w:t xml:space="preserve"> is suggested:</w:t>
      </w:r>
    </w:p>
    <w:p w:rsidR="00B008D9" w:rsidRPr="00CA47B9" w:rsidRDefault="00B008D9" w:rsidP="00ED1C06">
      <w:pPr>
        <w:pStyle w:val="10BulletBodytext"/>
        <w:rPr>
          <w:szCs w:val="20"/>
          <w:lang w:eastAsia="en-GB"/>
        </w:rPr>
      </w:pPr>
      <w:r w:rsidRPr="00CA47B9">
        <w:t>1-bed properties: 15-25%</w:t>
      </w:r>
    </w:p>
    <w:p w:rsidR="00B008D9" w:rsidRPr="00CA47B9" w:rsidRDefault="00B008D9" w:rsidP="00ED1C06">
      <w:pPr>
        <w:pStyle w:val="10BulletBodytext"/>
        <w:rPr>
          <w:szCs w:val="20"/>
          <w:lang w:eastAsia="en-GB"/>
        </w:rPr>
      </w:pPr>
      <w:r w:rsidRPr="00CA47B9">
        <w:t>2-bed properties: 35-45%</w:t>
      </w:r>
    </w:p>
    <w:p w:rsidR="00B008D9" w:rsidRPr="00CA47B9" w:rsidRDefault="00B008D9" w:rsidP="00ED1C06">
      <w:pPr>
        <w:pStyle w:val="10BulletBodytext"/>
        <w:rPr>
          <w:szCs w:val="20"/>
          <w:lang w:eastAsia="en-GB"/>
        </w:rPr>
      </w:pPr>
      <w:r w:rsidRPr="00CA47B9">
        <w:t>3-bed properties: 25-35%</w:t>
      </w:r>
    </w:p>
    <w:p w:rsidR="00B008D9" w:rsidRPr="00CA47B9" w:rsidRDefault="00B008D9" w:rsidP="00ED1C06">
      <w:pPr>
        <w:pStyle w:val="10BulletBodytext"/>
        <w:rPr>
          <w:szCs w:val="20"/>
          <w:lang w:eastAsia="en-GB"/>
        </w:rPr>
      </w:pPr>
      <w:r w:rsidRPr="00CA47B9">
        <w:t>4-bed properties: 5-15%</w:t>
      </w:r>
    </w:p>
    <w:p w:rsidR="00CC40EA" w:rsidRPr="00873DCC" w:rsidRDefault="00B008D9" w:rsidP="00362459">
      <w:pPr>
        <w:pStyle w:val="11Bodytext"/>
        <w:tabs>
          <w:tab w:val="clear" w:pos="2212"/>
          <w:tab w:val="num" w:pos="567"/>
        </w:tabs>
        <w:ind w:left="567" w:hanging="567"/>
      </w:pPr>
      <w:r w:rsidRPr="00CA47B9">
        <w:t xml:space="preserve">Finally, in the market sector, a balance of dwellings is suggested that takes account of the demand for homes and the changing demographic profile. </w:t>
      </w:r>
      <w:r w:rsidR="003249E9">
        <w:t>As demonstrated above there is significant levels of under-occupation</w:t>
      </w:r>
      <w:r w:rsidR="00855CA6">
        <w:t>, therefore,</w:t>
      </w:r>
      <w:r w:rsidR="003249E9">
        <w:t xml:space="preserve"> it is reasonable to shift the modelled outputs towards smaller homes.</w:t>
      </w:r>
      <w:r w:rsidR="00855CA6">
        <w:t xml:space="preserve"> </w:t>
      </w:r>
      <w:r w:rsidR="003249E9">
        <w:t>This would also support downsizing in the elderly population.</w:t>
      </w:r>
    </w:p>
    <w:p w:rsidR="00B008D9" w:rsidRPr="00CA47B9" w:rsidRDefault="00B008D9" w:rsidP="00362459">
      <w:pPr>
        <w:pStyle w:val="11Bodytext"/>
        <w:tabs>
          <w:tab w:val="clear" w:pos="2212"/>
          <w:tab w:val="num" w:pos="567"/>
        </w:tabs>
        <w:ind w:left="567" w:hanging="567"/>
      </w:pPr>
      <w:r w:rsidRPr="00CA47B9">
        <w:t>The findings</w:t>
      </w:r>
      <w:r w:rsidR="00CC40EA">
        <w:t xml:space="preserve"> still</w:t>
      </w:r>
      <w:r w:rsidRPr="00CA47B9">
        <w:t xml:space="preserve"> show larger recommended proportions for larger houses compared with other tenure groups. The following mix of </w:t>
      </w:r>
      <w:r w:rsidRPr="00CA47B9">
        <w:rPr>
          <w:u w:val="single"/>
        </w:rPr>
        <w:t>market housing</w:t>
      </w:r>
      <w:r w:rsidRPr="00CA47B9">
        <w:t xml:space="preserve"> is suggested:</w:t>
      </w:r>
    </w:p>
    <w:p w:rsidR="00B008D9" w:rsidRPr="00CA47B9" w:rsidRDefault="00B008D9" w:rsidP="00ED1C06">
      <w:pPr>
        <w:pStyle w:val="10BulletBodytext"/>
        <w:rPr>
          <w:szCs w:val="20"/>
          <w:lang w:eastAsia="en-GB"/>
        </w:rPr>
      </w:pPr>
      <w:r w:rsidRPr="00CA47B9">
        <w:t xml:space="preserve">1-bed properties: </w:t>
      </w:r>
      <w:r w:rsidR="00CC40EA">
        <w:t>5</w:t>
      </w:r>
      <w:r w:rsidRPr="00CA47B9">
        <w:t>-1</w:t>
      </w:r>
      <w:r w:rsidR="00CC40EA">
        <w:t>5</w:t>
      </w:r>
      <w:r w:rsidRPr="00CA47B9">
        <w:t>%</w:t>
      </w:r>
    </w:p>
    <w:p w:rsidR="00B008D9" w:rsidRPr="00CA47B9" w:rsidRDefault="00B008D9" w:rsidP="00ED1C06">
      <w:pPr>
        <w:pStyle w:val="10BulletBodytext"/>
        <w:rPr>
          <w:szCs w:val="20"/>
          <w:lang w:eastAsia="en-GB"/>
        </w:rPr>
      </w:pPr>
      <w:r w:rsidRPr="00CA47B9">
        <w:t xml:space="preserve">2-bed properties: </w:t>
      </w:r>
      <w:r w:rsidR="00CC40EA">
        <w:t>35</w:t>
      </w:r>
      <w:r w:rsidRPr="00CA47B9">
        <w:t>-</w:t>
      </w:r>
      <w:r w:rsidR="00CC40EA">
        <w:t>4</w:t>
      </w:r>
      <w:r w:rsidR="00CC40EA" w:rsidRPr="00CA47B9">
        <w:t>5</w:t>
      </w:r>
      <w:r w:rsidRPr="00CA47B9">
        <w:t>%</w:t>
      </w:r>
    </w:p>
    <w:p w:rsidR="00B008D9" w:rsidRPr="00CA47B9" w:rsidRDefault="00B008D9" w:rsidP="00ED1C06">
      <w:pPr>
        <w:pStyle w:val="10BulletBodytext"/>
        <w:rPr>
          <w:szCs w:val="20"/>
          <w:lang w:eastAsia="en-GB"/>
        </w:rPr>
      </w:pPr>
      <w:r w:rsidRPr="00CA47B9">
        <w:t xml:space="preserve">3-bed properties: </w:t>
      </w:r>
      <w:r w:rsidR="00CC40EA" w:rsidRPr="00CA47B9">
        <w:t>3</w:t>
      </w:r>
      <w:r w:rsidR="00CC40EA">
        <w:t>0</w:t>
      </w:r>
      <w:r w:rsidRPr="00CA47B9">
        <w:t>-4</w:t>
      </w:r>
      <w:r w:rsidR="00CC40EA">
        <w:t>0</w:t>
      </w:r>
      <w:r w:rsidRPr="00CA47B9">
        <w:t>%</w:t>
      </w:r>
    </w:p>
    <w:p w:rsidR="00B008D9" w:rsidRPr="00CA47B9" w:rsidRDefault="00B008D9" w:rsidP="00ED1C06">
      <w:pPr>
        <w:pStyle w:val="10BulletBodytext"/>
        <w:rPr>
          <w:szCs w:val="20"/>
          <w:lang w:eastAsia="en-GB"/>
        </w:rPr>
      </w:pPr>
      <w:r w:rsidRPr="00CA47B9">
        <w:t xml:space="preserve">4-bed properties: </w:t>
      </w:r>
      <w:r w:rsidR="00CC40EA">
        <w:t>1</w:t>
      </w:r>
      <w:r w:rsidRPr="00CA47B9">
        <w:t>0-</w:t>
      </w:r>
      <w:r w:rsidR="00CC40EA">
        <w:t>2</w:t>
      </w:r>
      <w:r w:rsidRPr="00CA47B9">
        <w:t>0%</w:t>
      </w:r>
    </w:p>
    <w:p w:rsidR="00B008D9" w:rsidRPr="00CA47B9" w:rsidRDefault="00B008D9" w:rsidP="00362459">
      <w:pPr>
        <w:pStyle w:val="11Bodytext"/>
        <w:tabs>
          <w:tab w:val="clear" w:pos="2212"/>
          <w:tab w:val="num" w:pos="567"/>
        </w:tabs>
        <w:ind w:left="567" w:hanging="567"/>
        <w:rPr>
          <w:color w:val="auto"/>
        </w:rPr>
      </w:pPr>
      <w:r w:rsidRPr="00CA47B9">
        <w:t xml:space="preserve">Although the analysis has quantified this based on the market modelling and an understanding of the current housing market, it does not necessarily follow that such prescriptive figures should be </w:t>
      </w:r>
      <w:r w:rsidR="00856527">
        <w:t>followed in all cases.</w:t>
      </w:r>
    </w:p>
    <w:p w:rsidR="00AD30BE" w:rsidRPr="00873DCC" w:rsidRDefault="00856527" w:rsidP="00362459">
      <w:pPr>
        <w:pStyle w:val="11Bodytext"/>
        <w:tabs>
          <w:tab w:val="clear" w:pos="2212"/>
          <w:tab w:val="num" w:pos="567"/>
        </w:tabs>
        <w:ind w:left="567" w:hanging="567"/>
        <w:rPr>
          <w:color w:val="auto"/>
        </w:rPr>
      </w:pPr>
      <w:r>
        <w:t>Evidence at a more local level, including market intelligence</w:t>
      </w:r>
      <w:r w:rsidR="00C171A3">
        <w:t>,</w:t>
      </w:r>
      <w:r>
        <w:t xml:space="preserve"> can provide more information on the appropriate mix of market housing</w:t>
      </w:r>
      <w:r w:rsidR="00B008D9" w:rsidRPr="00CA47B9">
        <w:t xml:space="preserve">, and demand can change over time linked to macro-economic factors and local supply. </w:t>
      </w:r>
    </w:p>
    <w:tbl>
      <w:tblPr>
        <w:tblStyle w:val="TableGrid"/>
        <w:tblW w:w="5000" w:type="pct"/>
        <w:tblBorders>
          <w:top w:val="single" w:sz="18" w:space="0" w:color="0093D5" w:themeColor="accent2"/>
          <w:left w:val="single" w:sz="18" w:space="0" w:color="0093D5" w:themeColor="accent2"/>
          <w:bottom w:val="single" w:sz="18" w:space="0" w:color="0093D5" w:themeColor="accent2"/>
          <w:right w:val="single" w:sz="18" w:space="0" w:color="0093D5" w:themeColor="accent2"/>
          <w:insideH w:val="single" w:sz="18" w:space="0" w:color="0093D5" w:themeColor="accent2"/>
          <w:insideV w:val="single" w:sz="18" w:space="0" w:color="0093D5" w:themeColor="accent2"/>
        </w:tblBorders>
        <w:tblLook w:val="04A0" w:firstRow="1" w:lastRow="0" w:firstColumn="1" w:lastColumn="0" w:noHBand="0" w:noVBand="1"/>
        <w:tblCaption w:val="Key Points: Need for different sizes of homes"/>
      </w:tblPr>
      <w:tblGrid>
        <w:gridCol w:w="9847"/>
      </w:tblGrid>
      <w:tr w:rsidR="00B008D9" w:rsidRPr="00CA47B9" w:rsidTr="00E519C8">
        <w:trPr>
          <w:cantSplit/>
          <w:tblHeader/>
        </w:trPr>
        <w:tc>
          <w:tcPr>
            <w:tcW w:w="5000" w:type="pct"/>
          </w:tcPr>
          <w:p w:rsidR="00B008D9" w:rsidRPr="00CA47B9" w:rsidRDefault="00B008D9" w:rsidP="005200A0">
            <w:pPr>
              <w:rPr>
                <w:b/>
              </w:rPr>
            </w:pPr>
          </w:p>
          <w:p w:rsidR="00B008D9" w:rsidRPr="00CA47B9" w:rsidRDefault="00B008D9" w:rsidP="005200A0">
            <w:pPr>
              <w:rPr>
                <w:b/>
              </w:rPr>
            </w:pPr>
            <w:r w:rsidRPr="00CA47B9">
              <w:rPr>
                <w:b/>
              </w:rPr>
              <w:t xml:space="preserve">Key Points </w:t>
            </w:r>
          </w:p>
          <w:p w:rsidR="00B008D9" w:rsidRPr="00CA47B9" w:rsidRDefault="00B008D9" w:rsidP="005200A0">
            <w:pPr>
              <w:rPr>
                <w:b/>
              </w:rPr>
            </w:pPr>
          </w:p>
          <w:p w:rsidR="00B008D9" w:rsidRDefault="00B008D9" w:rsidP="005C34F7">
            <w:pPr>
              <w:pStyle w:val="ListParagraph"/>
              <w:numPr>
                <w:ilvl w:val="0"/>
                <w:numId w:val="32"/>
              </w:numPr>
              <w:ind w:left="624"/>
              <w:jc w:val="both"/>
            </w:pPr>
            <w:bookmarkStart w:id="179" w:name="_Hlk27665670"/>
            <w:r w:rsidRPr="00CA47B9">
              <w:t>The housing mix model takes into consideration a range of factors including the current housing mix and the need for different types of homes in the future, modelling the implications of demographic drivers on need/demand for different sizes of homes in different tenures and how households occupy homes and how affordable housing might be delivered.</w:t>
            </w:r>
          </w:p>
          <w:p w:rsidR="00B008D9" w:rsidRDefault="00B008D9" w:rsidP="005C34F7">
            <w:pPr>
              <w:pStyle w:val="ListParagraph"/>
              <w:numPr>
                <w:ilvl w:val="0"/>
                <w:numId w:val="0"/>
              </w:numPr>
              <w:ind w:left="360"/>
              <w:jc w:val="both"/>
            </w:pPr>
          </w:p>
          <w:p w:rsidR="00B008D9" w:rsidRDefault="00B008D9" w:rsidP="005C34F7">
            <w:pPr>
              <w:pStyle w:val="ListParagraph"/>
              <w:numPr>
                <w:ilvl w:val="0"/>
                <w:numId w:val="32"/>
              </w:numPr>
              <w:ind w:left="624"/>
              <w:jc w:val="both"/>
            </w:pPr>
            <w:r>
              <w:t>It is considered that th</w:t>
            </w:r>
            <w:r w:rsidR="00F975F7">
              <w:t>e</w:t>
            </w:r>
            <w:r>
              <w:t xml:space="preserve"> mix </w:t>
            </w:r>
            <w:r w:rsidR="00F975F7">
              <w:t xml:space="preserve">below </w:t>
            </w:r>
            <w:r>
              <w:t>is suitable for both the plan area and the district as a whole.</w:t>
            </w:r>
            <w:r w:rsidR="00855CA6">
              <w:t xml:space="preserve"> </w:t>
            </w:r>
            <w:r w:rsidRPr="004F4DBD">
              <w:t>This recognises that some of the SDNP area need is exported out of the National Park to the Plan Area.</w:t>
            </w:r>
          </w:p>
          <w:p w:rsidR="00F975F7" w:rsidRDefault="00F975F7" w:rsidP="001A351F">
            <w:pPr>
              <w:pStyle w:val="ListParagraph"/>
              <w:numPr>
                <w:ilvl w:val="0"/>
                <w:numId w:val="0"/>
              </w:numPr>
              <w:ind w:left="360"/>
            </w:pPr>
          </w:p>
          <w:tbl>
            <w:tblPr>
              <w:tblW w:w="8647" w:type="dxa"/>
              <w:tblInd w:w="562" w:type="dxa"/>
              <w:tblLook w:val="04A0" w:firstRow="1" w:lastRow="0" w:firstColumn="1" w:lastColumn="0" w:noHBand="0" w:noVBand="1"/>
            </w:tblPr>
            <w:tblGrid>
              <w:gridCol w:w="3261"/>
              <w:gridCol w:w="1275"/>
              <w:gridCol w:w="1276"/>
              <w:gridCol w:w="1418"/>
              <w:gridCol w:w="1417"/>
            </w:tblGrid>
            <w:tr w:rsidR="00F975F7" w:rsidRPr="001A351F" w:rsidTr="005C34F7">
              <w:trPr>
                <w:trHeight w:val="154"/>
                <w:tblHeader/>
              </w:trPr>
              <w:tc>
                <w:tcPr>
                  <w:tcW w:w="3261" w:type="dxa"/>
                  <w:tcBorders>
                    <w:top w:val="single" w:sz="4" w:space="0" w:color="auto"/>
                    <w:left w:val="single" w:sz="4" w:space="0" w:color="auto"/>
                    <w:bottom w:val="single" w:sz="4" w:space="0" w:color="auto"/>
                    <w:right w:val="single" w:sz="4" w:space="0" w:color="auto"/>
                  </w:tcBorders>
                  <w:shd w:val="clear" w:color="auto" w:fill="0093D5" w:themeFill="accent2"/>
                  <w:noWrap/>
                  <w:vAlign w:val="bottom"/>
                  <w:hideMark/>
                </w:tcPr>
                <w:p w:rsidR="00F975F7" w:rsidRPr="001A351F" w:rsidRDefault="00F975F7" w:rsidP="002B4926">
                  <w:pPr>
                    <w:ind w:left="771" w:hanging="771"/>
                    <w:rPr>
                      <w:rFonts w:eastAsia="Times New Roman"/>
                      <w:color w:val="FFFFFF"/>
                      <w:sz w:val="24"/>
                      <w:szCs w:val="24"/>
                      <w:lang w:eastAsia="en-GB"/>
                    </w:rPr>
                  </w:pPr>
                  <w:r w:rsidRPr="001A351F">
                    <w:rPr>
                      <w:rFonts w:eastAsia="Times New Roman"/>
                      <w:color w:val="FFFFFF"/>
                      <w:sz w:val="24"/>
                      <w:szCs w:val="24"/>
                      <w:lang w:eastAsia="en-GB"/>
                    </w:rPr>
                    <w:t> </w:t>
                  </w:r>
                </w:p>
              </w:tc>
              <w:tc>
                <w:tcPr>
                  <w:tcW w:w="1275" w:type="dxa"/>
                  <w:tcBorders>
                    <w:top w:val="single" w:sz="4" w:space="0" w:color="auto"/>
                    <w:left w:val="nil"/>
                    <w:bottom w:val="single" w:sz="4" w:space="0" w:color="auto"/>
                    <w:right w:val="single" w:sz="4" w:space="0" w:color="auto"/>
                  </w:tcBorders>
                  <w:shd w:val="clear" w:color="auto" w:fill="0093D5" w:themeFill="accent2"/>
                  <w:noWrap/>
                  <w:vAlign w:val="bottom"/>
                  <w:hideMark/>
                </w:tcPr>
                <w:p w:rsidR="00F975F7" w:rsidRPr="001A351F" w:rsidRDefault="00F975F7" w:rsidP="002B4926">
                  <w:pPr>
                    <w:ind w:left="771" w:hanging="771"/>
                    <w:jc w:val="center"/>
                    <w:rPr>
                      <w:rFonts w:eastAsia="Times New Roman"/>
                      <w:color w:val="FFFFFF"/>
                      <w:sz w:val="24"/>
                      <w:szCs w:val="24"/>
                      <w:lang w:eastAsia="en-GB"/>
                    </w:rPr>
                  </w:pPr>
                  <w:r w:rsidRPr="001A351F">
                    <w:rPr>
                      <w:rFonts w:eastAsia="Times New Roman"/>
                      <w:color w:val="FFFFFF"/>
                      <w:sz w:val="24"/>
                      <w:szCs w:val="24"/>
                      <w:lang w:eastAsia="en-GB"/>
                    </w:rPr>
                    <w:t>1-Bed</w:t>
                  </w:r>
                </w:p>
              </w:tc>
              <w:tc>
                <w:tcPr>
                  <w:tcW w:w="1276" w:type="dxa"/>
                  <w:tcBorders>
                    <w:top w:val="single" w:sz="4" w:space="0" w:color="auto"/>
                    <w:left w:val="nil"/>
                    <w:bottom w:val="single" w:sz="4" w:space="0" w:color="auto"/>
                    <w:right w:val="single" w:sz="4" w:space="0" w:color="auto"/>
                  </w:tcBorders>
                  <w:shd w:val="clear" w:color="auto" w:fill="0093D5" w:themeFill="accent2"/>
                  <w:noWrap/>
                  <w:vAlign w:val="bottom"/>
                  <w:hideMark/>
                </w:tcPr>
                <w:p w:rsidR="00F975F7" w:rsidRPr="001A351F" w:rsidRDefault="00F975F7" w:rsidP="002B4926">
                  <w:pPr>
                    <w:ind w:left="771" w:hanging="771"/>
                    <w:jc w:val="center"/>
                    <w:rPr>
                      <w:rFonts w:eastAsia="Times New Roman"/>
                      <w:color w:val="FFFFFF"/>
                      <w:sz w:val="24"/>
                      <w:szCs w:val="24"/>
                      <w:lang w:eastAsia="en-GB"/>
                    </w:rPr>
                  </w:pPr>
                  <w:r w:rsidRPr="001A351F">
                    <w:rPr>
                      <w:rFonts w:eastAsia="Times New Roman"/>
                      <w:color w:val="FFFFFF"/>
                      <w:sz w:val="24"/>
                      <w:szCs w:val="24"/>
                      <w:lang w:eastAsia="en-GB"/>
                    </w:rPr>
                    <w:t>2-Beds</w:t>
                  </w:r>
                </w:p>
              </w:tc>
              <w:tc>
                <w:tcPr>
                  <w:tcW w:w="1418" w:type="dxa"/>
                  <w:tcBorders>
                    <w:top w:val="single" w:sz="4" w:space="0" w:color="auto"/>
                    <w:left w:val="nil"/>
                    <w:bottom w:val="single" w:sz="4" w:space="0" w:color="auto"/>
                    <w:right w:val="single" w:sz="4" w:space="0" w:color="auto"/>
                  </w:tcBorders>
                  <w:shd w:val="clear" w:color="auto" w:fill="0093D5" w:themeFill="accent2"/>
                  <w:noWrap/>
                  <w:vAlign w:val="bottom"/>
                  <w:hideMark/>
                </w:tcPr>
                <w:p w:rsidR="00F975F7" w:rsidRPr="001A351F" w:rsidRDefault="00F975F7" w:rsidP="002B4926">
                  <w:pPr>
                    <w:ind w:left="771" w:hanging="771"/>
                    <w:jc w:val="center"/>
                    <w:rPr>
                      <w:rFonts w:eastAsia="Times New Roman"/>
                      <w:color w:val="FFFFFF"/>
                      <w:sz w:val="24"/>
                      <w:szCs w:val="24"/>
                      <w:lang w:eastAsia="en-GB"/>
                    </w:rPr>
                  </w:pPr>
                  <w:r w:rsidRPr="001A351F">
                    <w:rPr>
                      <w:rFonts w:eastAsia="Times New Roman"/>
                      <w:color w:val="FFFFFF"/>
                      <w:sz w:val="24"/>
                      <w:szCs w:val="24"/>
                      <w:lang w:eastAsia="en-GB"/>
                    </w:rPr>
                    <w:t>3-Beds</w:t>
                  </w:r>
                </w:p>
              </w:tc>
              <w:tc>
                <w:tcPr>
                  <w:tcW w:w="1417" w:type="dxa"/>
                  <w:tcBorders>
                    <w:top w:val="single" w:sz="4" w:space="0" w:color="auto"/>
                    <w:left w:val="nil"/>
                    <w:bottom w:val="single" w:sz="4" w:space="0" w:color="auto"/>
                    <w:right w:val="single" w:sz="4" w:space="0" w:color="auto"/>
                  </w:tcBorders>
                  <w:shd w:val="clear" w:color="auto" w:fill="0093D5" w:themeFill="accent2"/>
                  <w:noWrap/>
                  <w:vAlign w:val="bottom"/>
                  <w:hideMark/>
                </w:tcPr>
                <w:p w:rsidR="00F975F7" w:rsidRPr="001A351F" w:rsidRDefault="00F975F7" w:rsidP="002B4926">
                  <w:pPr>
                    <w:ind w:left="771" w:hanging="771"/>
                    <w:jc w:val="center"/>
                    <w:rPr>
                      <w:rFonts w:eastAsia="Times New Roman"/>
                      <w:color w:val="FFFFFF"/>
                      <w:sz w:val="24"/>
                      <w:szCs w:val="24"/>
                      <w:lang w:eastAsia="en-GB"/>
                    </w:rPr>
                  </w:pPr>
                  <w:r w:rsidRPr="001A351F">
                    <w:rPr>
                      <w:rFonts w:eastAsia="Times New Roman"/>
                      <w:color w:val="FFFFFF"/>
                      <w:sz w:val="24"/>
                      <w:szCs w:val="24"/>
                      <w:lang w:eastAsia="en-GB"/>
                    </w:rPr>
                    <w:t>4-Beds</w:t>
                  </w:r>
                </w:p>
              </w:tc>
            </w:tr>
            <w:tr w:rsidR="00F975F7" w:rsidRPr="001A351F" w:rsidTr="005C34F7">
              <w:trPr>
                <w:trHeight w:val="154"/>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F975F7" w:rsidRPr="001A351F" w:rsidRDefault="00F975F7" w:rsidP="002B4926">
                  <w:pPr>
                    <w:ind w:left="771" w:hanging="771"/>
                    <w:rPr>
                      <w:rFonts w:eastAsia="Times New Roman"/>
                      <w:color w:val="000000"/>
                      <w:sz w:val="24"/>
                      <w:szCs w:val="24"/>
                      <w:lang w:eastAsia="en-GB"/>
                    </w:rPr>
                  </w:pPr>
                  <w:bookmarkStart w:id="180" w:name="_Hlk37081912"/>
                  <w:r w:rsidRPr="001A351F">
                    <w:rPr>
                      <w:rFonts w:eastAsia="Times New Roman"/>
                      <w:color w:val="000000"/>
                      <w:sz w:val="24"/>
                      <w:szCs w:val="24"/>
                      <w:lang w:eastAsia="en-GB"/>
                    </w:rPr>
                    <w:t>Market Purchase</w:t>
                  </w:r>
                </w:p>
              </w:tc>
              <w:tc>
                <w:tcPr>
                  <w:tcW w:w="1275" w:type="dxa"/>
                  <w:tcBorders>
                    <w:top w:val="nil"/>
                    <w:left w:val="nil"/>
                    <w:bottom w:val="single" w:sz="4" w:space="0" w:color="auto"/>
                    <w:right w:val="single" w:sz="4" w:space="0" w:color="auto"/>
                  </w:tcBorders>
                  <w:shd w:val="clear" w:color="auto" w:fill="auto"/>
                  <w:noWrap/>
                  <w:vAlign w:val="bottom"/>
                  <w:hideMark/>
                </w:tcPr>
                <w:p w:rsidR="00F975F7" w:rsidRPr="001A351F" w:rsidRDefault="00CC40EA" w:rsidP="002B4926">
                  <w:pPr>
                    <w:ind w:left="771" w:hanging="771"/>
                    <w:jc w:val="center"/>
                    <w:rPr>
                      <w:rFonts w:eastAsia="Times New Roman"/>
                      <w:color w:val="000000"/>
                      <w:sz w:val="24"/>
                      <w:szCs w:val="24"/>
                      <w:lang w:eastAsia="en-GB"/>
                    </w:rPr>
                  </w:pPr>
                  <w:r w:rsidRPr="001A351F">
                    <w:rPr>
                      <w:rFonts w:eastAsia="Times New Roman"/>
                      <w:color w:val="000000"/>
                      <w:sz w:val="24"/>
                      <w:szCs w:val="24"/>
                      <w:lang w:eastAsia="en-GB"/>
                    </w:rPr>
                    <w:t>5</w:t>
                  </w:r>
                  <w:r w:rsidR="00F975F7" w:rsidRPr="001A351F">
                    <w:rPr>
                      <w:rFonts w:eastAsia="Times New Roman"/>
                      <w:color w:val="000000"/>
                      <w:sz w:val="24"/>
                      <w:szCs w:val="24"/>
                      <w:lang w:eastAsia="en-GB"/>
                    </w:rPr>
                    <w:t>-1</w:t>
                  </w:r>
                  <w:r w:rsidRPr="001A351F">
                    <w:rPr>
                      <w:rFonts w:eastAsia="Times New Roman"/>
                      <w:color w:val="000000"/>
                      <w:sz w:val="24"/>
                      <w:szCs w:val="24"/>
                      <w:lang w:eastAsia="en-GB"/>
                    </w:rPr>
                    <w:t>5</w:t>
                  </w:r>
                  <w:r w:rsidR="00F975F7" w:rsidRPr="001A351F">
                    <w:rPr>
                      <w:rFonts w:eastAsia="Times New Roman"/>
                      <w:color w:val="000000"/>
                      <w:sz w:val="24"/>
                      <w:szCs w:val="24"/>
                      <w:lang w:eastAsia="en-GB"/>
                    </w:rPr>
                    <w:t>%</w:t>
                  </w:r>
                </w:p>
              </w:tc>
              <w:tc>
                <w:tcPr>
                  <w:tcW w:w="1276" w:type="dxa"/>
                  <w:tcBorders>
                    <w:top w:val="nil"/>
                    <w:left w:val="nil"/>
                    <w:bottom w:val="single" w:sz="4" w:space="0" w:color="auto"/>
                    <w:right w:val="single" w:sz="4" w:space="0" w:color="auto"/>
                  </w:tcBorders>
                  <w:shd w:val="clear" w:color="auto" w:fill="auto"/>
                  <w:noWrap/>
                  <w:vAlign w:val="bottom"/>
                  <w:hideMark/>
                </w:tcPr>
                <w:p w:rsidR="00F975F7" w:rsidRPr="001A351F" w:rsidRDefault="00CC40EA" w:rsidP="002B4926">
                  <w:pPr>
                    <w:ind w:left="771" w:hanging="771"/>
                    <w:jc w:val="center"/>
                    <w:rPr>
                      <w:rFonts w:eastAsia="Times New Roman"/>
                      <w:color w:val="000000"/>
                      <w:sz w:val="24"/>
                      <w:szCs w:val="24"/>
                      <w:lang w:eastAsia="en-GB"/>
                    </w:rPr>
                  </w:pPr>
                  <w:r w:rsidRPr="001A351F">
                    <w:rPr>
                      <w:rFonts w:eastAsia="Times New Roman"/>
                      <w:color w:val="000000"/>
                      <w:sz w:val="24"/>
                      <w:szCs w:val="24"/>
                      <w:lang w:eastAsia="en-GB"/>
                    </w:rPr>
                    <w:t>35</w:t>
                  </w:r>
                  <w:r w:rsidR="00F975F7" w:rsidRPr="001A351F">
                    <w:rPr>
                      <w:rFonts w:eastAsia="Times New Roman"/>
                      <w:color w:val="000000"/>
                      <w:sz w:val="24"/>
                      <w:szCs w:val="24"/>
                      <w:lang w:eastAsia="en-GB"/>
                    </w:rPr>
                    <w:t>-</w:t>
                  </w:r>
                  <w:r w:rsidRPr="001A351F">
                    <w:rPr>
                      <w:rFonts w:eastAsia="Times New Roman"/>
                      <w:color w:val="000000"/>
                      <w:sz w:val="24"/>
                      <w:szCs w:val="24"/>
                      <w:lang w:eastAsia="en-GB"/>
                    </w:rPr>
                    <w:t>4</w:t>
                  </w:r>
                  <w:r w:rsidR="00F975F7" w:rsidRPr="001A351F">
                    <w:rPr>
                      <w:rFonts w:eastAsia="Times New Roman"/>
                      <w:color w:val="000000"/>
                      <w:sz w:val="24"/>
                      <w:szCs w:val="24"/>
                      <w:lang w:eastAsia="en-GB"/>
                    </w:rPr>
                    <w:t>5%</w:t>
                  </w:r>
                </w:p>
              </w:tc>
              <w:tc>
                <w:tcPr>
                  <w:tcW w:w="1418" w:type="dxa"/>
                  <w:tcBorders>
                    <w:top w:val="nil"/>
                    <w:left w:val="nil"/>
                    <w:bottom w:val="single" w:sz="4" w:space="0" w:color="auto"/>
                    <w:right w:val="single" w:sz="4" w:space="0" w:color="auto"/>
                  </w:tcBorders>
                  <w:shd w:val="clear" w:color="auto" w:fill="auto"/>
                  <w:noWrap/>
                  <w:vAlign w:val="bottom"/>
                  <w:hideMark/>
                </w:tcPr>
                <w:p w:rsidR="00F975F7" w:rsidRPr="001A351F" w:rsidRDefault="00CC40EA" w:rsidP="002B4926">
                  <w:pPr>
                    <w:ind w:left="771" w:hanging="771"/>
                    <w:jc w:val="center"/>
                    <w:rPr>
                      <w:rFonts w:eastAsia="Times New Roman"/>
                      <w:color w:val="000000"/>
                      <w:sz w:val="24"/>
                      <w:szCs w:val="24"/>
                      <w:lang w:eastAsia="en-GB"/>
                    </w:rPr>
                  </w:pPr>
                  <w:r w:rsidRPr="001A351F">
                    <w:rPr>
                      <w:rFonts w:eastAsia="Times New Roman"/>
                      <w:color w:val="000000"/>
                      <w:sz w:val="24"/>
                      <w:szCs w:val="24"/>
                      <w:lang w:eastAsia="en-GB"/>
                    </w:rPr>
                    <w:t>30</w:t>
                  </w:r>
                  <w:r w:rsidR="00F975F7" w:rsidRPr="001A351F">
                    <w:rPr>
                      <w:rFonts w:eastAsia="Times New Roman"/>
                      <w:color w:val="000000"/>
                      <w:sz w:val="24"/>
                      <w:szCs w:val="24"/>
                      <w:lang w:eastAsia="en-GB"/>
                    </w:rPr>
                    <w:t>-4</w:t>
                  </w:r>
                  <w:r w:rsidRPr="001A351F">
                    <w:rPr>
                      <w:rFonts w:eastAsia="Times New Roman"/>
                      <w:color w:val="000000"/>
                      <w:sz w:val="24"/>
                      <w:szCs w:val="24"/>
                      <w:lang w:eastAsia="en-GB"/>
                    </w:rPr>
                    <w:t>0</w:t>
                  </w:r>
                  <w:r w:rsidR="00F975F7" w:rsidRPr="001A351F">
                    <w:rPr>
                      <w:rFonts w:eastAsia="Times New Roman"/>
                      <w:color w:val="000000"/>
                      <w:sz w:val="24"/>
                      <w:szCs w:val="24"/>
                      <w:lang w:eastAsia="en-GB"/>
                    </w:rPr>
                    <w:t>%</w:t>
                  </w:r>
                </w:p>
              </w:tc>
              <w:tc>
                <w:tcPr>
                  <w:tcW w:w="1417" w:type="dxa"/>
                  <w:tcBorders>
                    <w:top w:val="nil"/>
                    <w:left w:val="nil"/>
                    <w:bottom w:val="single" w:sz="4" w:space="0" w:color="auto"/>
                    <w:right w:val="single" w:sz="4" w:space="0" w:color="auto"/>
                  </w:tcBorders>
                  <w:shd w:val="clear" w:color="auto" w:fill="auto"/>
                  <w:noWrap/>
                  <w:vAlign w:val="bottom"/>
                  <w:hideMark/>
                </w:tcPr>
                <w:p w:rsidR="00F975F7" w:rsidRPr="001A351F" w:rsidRDefault="00CC40EA" w:rsidP="002B4926">
                  <w:pPr>
                    <w:ind w:left="771" w:hanging="771"/>
                    <w:jc w:val="center"/>
                    <w:rPr>
                      <w:rFonts w:eastAsia="Times New Roman"/>
                      <w:color w:val="000000"/>
                      <w:sz w:val="24"/>
                      <w:szCs w:val="24"/>
                      <w:lang w:eastAsia="en-GB"/>
                    </w:rPr>
                  </w:pPr>
                  <w:r w:rsidRPr="001A351F">
                    <w:rPr>
                      <w:rFonts w:eastAsia="Times New Roman"/>
                      <w:color w:val="000000"/>
                      <w:sz w:val="24"/>
                      <w:szCs w:val="24"/>
                      <w:lang w:eastAsia="en-GB"/>
                    </w:rPr>
                    <w:t>1</w:t>
                  </w:r>
                  <w:r w:rsidR="00F975F7" w:rsidRPr="001A351F">
                    <w:rPr>
                      <w:rFonts w:eastAsia="Times New Roman"/>
                      <w:color w:val="000000"/>
                      <w:sz w:val="24"/>
                      <w:szCs w:val="24"/>
                      <w:lang w:eastAsia="en-GB"/>
                    </w:rPr>
                    <w:t>0-</w:t>
                  </w:r>
                  <w:r w:rsidRPr="001A351F">
                    <w:rPr>
                      <w:rFonts w:eastAsia="Times New Roman"/>
                      <w:color w:val="000000"/>
                      <w:sz w:val="24"/>
                      <w:szCs w:val="24"/>
                      <w:lang w:eastAsia="en-GB"/>
                    </w:rPr>
                    <w:t>2</w:t>
                  </w:r>
                  <w:r w:rsidR="00F975F7" w:rsidRPr="001A351F">
                    <w:rPr>
                      <w:rFonts w:eastAsia="Times New Roman"/>
                      <w:color w:val="000000"/>
                      <w:sz w:val="24"/>
                      <w:szCs w:val="24"/>
                      <w:lang w:eastAsia="en-GB"/>
                    </w:rPr>
                    <w:t>0%</w:t>
                  </w:r>
                </w:p>
              </w:tc>
            </w:tr>
            <w:tr w:rsidR="00F975F7" w:rsidRPr="001A351F" w:rsidTr="005C34F7">
              <w:trPr>
                <w:trHeight w:val="154"/>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F975F7" w:rsidRPr="001A351F" w:rsidRDefault="00F975F7" w:rsidP="002B4926">
                  <w:pPr>
                    <w:ind w:left="771" w:hanging="771"/>
                    <w:rPr>
                      <w:rFonts w:eastAsia="Times New Roman"/>
                      <w:color w:val="000000"/>
                      <w:sz w:val="24"/>
                      <w:szCs w:val="24"/>
                      <w:lang w:eastAsia="en-GB"/>
                    </w:rPr>
                  </w:pPr>
                  <w:r w:rsidRPr="001A351F">
                    <w:rPr>
                      <w:rFonts w:eastAsia="Times New Roman"/>
                      <w:color w:val="000000"/>
                      <w:sz w:val="24"/>
                      <w:szCs w:val="24"/>
                      <w:lang w:eastAsia="en-GB"/>
                    </w:rPr>
                    <w:t>Affordable Housing to Buy</w:t>
                  </w:r>
                </w:p>
              </w:tc>
              <w:tc>
                <w:tcPr>
                  <w:tcW w:w="1275" w:type="dxa"/>
                  <w:tcBorders>
                    <w:top w:val="nil"/>
                    <w:left w:val="nil"/>
                    <w:bottom w:val="single" w:sz="4" w:space="0" w:color="auto"/>
                    <w:right w:val="single" w:sz="4" w:space="0" w:color="auto"/>
                  </w:tcBorders>
                  <w:shd w:val="clear" w:color="auto" w:fill="auto"/>
                  <w:noWrap/>
                  <w:vAlign w:val="bottom"/>
                  <w:hideMark/>
                </w:tcPr>
                <w:p w:rsidR="00F975F7" w:rsidRPr="001A351F" w:rsidRDefault="00F975F7" w:rsidP="002B4926">
                  <w:pPr>
                    <w:ind w:left="771" w:hanging="771"/>
                    <w:jc w:val="center"/>
                    <w:rPr>
                      <w:rFonts w:eastAsia="Times New Roman"/>
                      <w:color w:val="000000"/>
                      <w:sz w:val="24"/>
                      <w:szCs w:val="24"/>
                      <w:lang w:eastAsia="en-GB"/>
                    </w:rPr>
                  </w:pPr>
                  <w:r w:rsidRPr="001A351F">
                    <w:rPr>
                      <w:rFonts w:eastAsia="Times New Roman"/>
                      <w:color w:val="000000"/>
                      <w:sz w:val="24"/>
                      <w:szCs w:val="24"/>
                      <w:lang w:eastAsia="en-GB"/>
                    </w:rPr>
                    <w:t>15-25%</w:t>
                  </w:r>
                </w:p>
              </w:tc>
              <w:tc>
                <w:tcPr>
                  <w:tcW w:w="1276" w:type="dxa"/>
                  <w:tcBorders>
                    <w:top w:val="nil"/>
                    <w:left w:val="nil"/>
                    <w:bottom w:val="single" w:sz="4" w:space="0" w:color="auto"/>
                    <w:right w:val="single" w:sz="4" w:space="0" w:color="auto"/>
                  </w:tcBorders>
                  <w:shd w:val="clear" w:color="auto" w:fill="auto"/>
                  <w:noWrap/>
                  <w:vAlign w:val="bottom"/>
                  <w:hideMark/>
                </w:tcPr>
                <w:p w:rsidR="00F975F7" w:rsidRPr="001A351F" w:rsidRDefault="00F975F7" w:rsidP="002B4926">
                  <w:pPr>
                    <w:ind w:left="771" w:hanging="771"/>
                    <w:jc w:val="center"/>
                    <w:rPr>
                      <w:rFonts w:eastAsia="Times New Roman"/>
                      <w:color w:val="000000"/>
                      <w:sz w:val="24"/>
                      <w:szCs w:val="24"/>
                      <w:lang w:eastAsia="en-GB"/>
                    </w:rPr>
                  </w:pPr>
                  <w:r w:rsidRPr="001A351F">
                    <w:rPr>
                      <w:rFonts w:eastAsia="Times New Roman"/>
                      <w:color w:val="000000"/>
                      <w:sz w:val="24"/>
                      <w:szCs w:val="24"/>
                      <w:lang w:eastAsia="en-GB"/>
                    </w:rPr>
                    <w:t>35-45%</w:t>
                  </w:r>
                </w:p>
              </w:tc>
              <w:tc>
                <w:tcPr>
                  <w:tcW w:w="1418" w:type="dxa"/>
                  <w:tcBorders>
                    <w:top w:val="nil"/>
                    <w:left w:val="nil"/>
                    <w:bottom w:val="single" w:sz="4" w:space="0" w:color="auto"/>
                    <w:right w:val="single" w:sz="4" w:space="0" w:color="auto"/>
                  </w:tcBorders>
                  <w:shd w:val="clear" w:color="auto" w:fill="auto"/>
                  <w:noWrap/>
                  <w:vAlign w:val="bottom"/>
                  <w:hideMark/>
                </w:tcPr>
                <w:p w:rsidR="00F975F7" w:rsidRPr="001A351F" w:rsidRDefault="00F975F7" w:rsidP="002B4926">
                  <w:pPr>
                    <w:ind w:left="771" w:hanging="771"/>
                    <w:jc w:val="center"/>
                    <w:rPr>
                      <w:rFonts w:eastAsia="Times New Roman"/>
                      <w:color w:val="000000"/>
                      <w:sz w:val="24"/>
                      <w:szCs w:val="24"/>
                      <w:lang w:eastAsia="en-GB"/>
                    </w:rPr>
                  </w:pPr>
                  <w:r w:rsidRPr="001A351F">
                    <w:rPr>
                      <w:rFonts w:eastAsia="Times New Roman"/>
                      <w:color w:val="000000"/>
                      <w:sz w:val="24"/>
                      <w:szCs w:val="24"/>
                      <w:lang w:eastAsia="en-GB"/>
                    </w:rPr>
                    <w:t>25-35%</w:t>
                  </w:r>
                </w:p>
              </w:tc>
              <w:tc>
                <w:tcPr>
                  <w:tcW w:w="1417" w:type="dxa"/>
                  <w:tcBorders>
                    <w:top w:val="nil"/>
                    <w:left w:val="nil"/>
                    <w:bottom w:val="single" w:sz="4" w:space="0" w:color="auto"/>
                    <w:right w:val="single" w:sz="4" w:space="0" w:color="auto"/>
                  </w:tcBorders>
                  <w:shd w:val="clear" w:color="auto" w:fill="auto"/>
                  <w:noWrap/>
                  <w:vAlign w:val="bottom"/>
                  <w:hideMark/>
                </w:tcPr>
                <w:p w:rsidR="00F975F7" w:rsidRPr="001A351F" w:rsidRDefault="00F975F7" w:rsidP="002B4926">
                  <w:pPr>
                    <w:ind w:left="771" w:hanging="771"/>
                    <w:jc w:val="center"/>
                    <w:rPr>
                      <w:rFonts w:eastAsia="Times New Roman"/>
                      <w:color w:val="000000"/>
                      <w:sz w:val="24"/>
                      <w:szCs w:val="24"/>
                      <w:lang w:eastAsia="en-GB"/>
                    </w:rPr>
                  </w:pPr>
                  <w:r w:rsidRPr="001A351F">
                    <w:rPr>
                      <w:rFonts w:eastAsia="Times New Roman"/>
                      <w:color w:val="000000"/>
                      <w:sz w:val="24"/>
                      <w:szCs w:val="24"/>
                      <w:lang w:eastAsia="en-GB"/>
                    </w:rPr>
                    <w:t>5-15%</w:t>
                  </w:r>
                </w:p>
              </w:tc>
            </w:tr>
            <w:tr w:rsidR="00F975F7" w:rsidRPr="001A351F" w:rsidTr="005C34F7">
              <w:trPr>
                <w:trHeight w:val="154"/>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F975F7" w:rsidRPr="001A351F" w:rsidRDefault="00F975F7" w:rsidP="002B4926">
                  <w:pPr>
                    <w:ind w:left="771" w:hanging="771"/>
                    <w:rPr>
                      <w:rFonts w:eastAsia="Times New Roman"/>
                      <w:color w:val="000000"/>
                      <w:sz w:val="24"/>
                      <w:szCs w:val="24"/>
                      <w:lang w:eastAsia="en-GB"/>
                    </w:rPr>
                  </w:pPr>
                  <w:r w:rsidRPr="001A351F">
                    <w:rPr>
                      <w:rFonts w:eastAsia="Times New Roman"/>
                      <w:color w:val="000000"/>
                      <w:sz w:val="24"/>
                      <w:szCs w:val="24"/>
                      <w:lang w:eastAsia="en-GB"/>
                    </w:rPr>
                    <w:t>Affordable Housing to Rent</w:t>
                  </w:r>
                </w:p>
              </w:tc>
              <w:tc>
                <w:tcPr>
                  <w:tcW w:w="1275" w:type="dxa"/>
                  <w:tcBorders>
                    <w:top w:val="nil"/>
                    <w:left w:val="nil"/>
                    <w:bottom w:val="single" w:sz="4" w:space="0" w:color="auto"/>
                    <w:right w:val="single" w:sz="4" w:space="0" w:color="auto"/>
                  </w:tcBorders>
                  <w:shd w:val="clear" w:color="auto" w:fill="auto"/>
                  <w:noWrap/>
                  <w:vAlign w:val="bottom"/>
                  <w:hideMark/>
                </w:tcPr>
                <w:p w:rsidR="00F975F7" w:rsidRPr="001A351F" w:rsidRDefault="00920072" w:rsidP="002B4926">
                  <w:pPr>
                    <w:ind w:left="771" w:hanging="771"/>
                    <w:jc w:val="center"/>
                    <w:rPr>
                      <w:rFonts w:eastAsia="Times New Roman"/>
                      <w:color w:val="000000"/>
                      <w:sz w:val="24"/>
                      <w:szCs w:val="24"/>
                      <w:lang w:eastAsia="en-GB"/>
                    </w:rPr>
                  </w:pPr>
                  <w:r w:rsidRPr="001A351F">
                    <w:rPr>
                      <w:rFonts w:eastAsia="Times New Roman"/>
                      <w:color w:val="000000"/>
                      <w:sz w:val="24"/>
                      <w:szCs w:val="24"/>
                      <w:lang w:eastAsia="en-GB"/>
                    </w:rPr>
                    <w:t>25</w:t>
                  </w:r>
                  <w:r w:rsidR="00F975F7" w:rsidRPr="001A351F">
                    <w:rPr>
                      <w:rFonts w:eastAsia="Times New Roman"/>
                      <w:color w:val="000000"/>
                      <w:sz w:val="24"/>
                      <w:szCs w:val="24"/>
                      <w:lang w:eastAsia="en-GB"/>
                    </w:rPr>
                    <w:t>-</w:t>
                  </w:r>
                  <w:r w:rsidRPr="001A351F">
                    <w:rPr>
                      <w:rFonts w:eastAsia="Times New Roman"/>
                      <w:color w:val="000000"/>
                      <w:sz w:val="24"/>
                      <w:szCs w:val="24"/>
                      <w:lang w:eastAsia="en-GB"/>
                    </w:rPr>
                    <w:t>30</w:t>
                  </w:r>
                  <w:r w:rsidR="00F975F7" w:rsidRPr="001A351F">
                    <w:rPr>
                      <w:rFonts w:eastAsia="Times New Roman"/>
                      <w:color w:val="000000"/>
                      <w:sz w:val="24"/>
                      <w:szCs w:val="24"/>
                      <w:lang w:eastAsia="en-GB"/>
                    </w:rPr>
                    <w:t>%</w:t>
                  </w:r>
                </w:p>
              </w:tc>
              <w:tc>
                <w:tcPr>
                  <w:tcW w:w="1276" w:type="dxa"/>
                  <w:tcBorders>
                    <w:top w:val="nil"/>
                    <w:left w:val="nil"/>
                    <w:bottom w:val="single" w:sz="4" w:space="0" w:color="auto"/>
                    <w:right w:val="single" w:sz="4" w:space="0" w:color="auto"/>
                  </w:tcBorders>
                  <w:shd w:val="clear" w:color="auto" w:fill="auto"/>
                  <w:noWrap/>
                  <w:vAlign w:val="bottom"/>
                  <w:hideMark/>
                </w:tcPr>
                <w:p w:rsidR="00F975F7" w:rsidRPr="001A351F" w:rsidRDefault="00920072" w:rsidP="002B4926">
                  <w:pPr>
                    <w:ind w:left="771" w:hanging="771"/>
                    <w:jc w:val="center"/>
                    <w:rPr>
                      <w:rFonts w:eastAsia="Times New Roman"/>
                      <w:color w:val="000000"/>
                      <w:sz w:val="24"/>
                      <w:szCs w:val="24"/>
                      <w:lang w:eastAsia="en-GB"/>
                    </w:rPr>
                  </w:pPr>
                  <w:r w:rsidRPr="001A351F">
                    <w:rPr>
                      <w:rFonts w:eastAsia="Times New Roman"/>
                      <w:color w:val="000000"/>
                      <w:sz w:val="24"/>
                      <w:szCs w:val="24"/>
                      <w:lang w:eastAsia="en-GB"/>
                    </w:rPr>
                    <w:t>40</w:t>
                  </w:r>
                  <w:r w:rsidR="00F975F7" w:rsidRPr="001A351F">
                    <w:rPr>
                      <w:rFonts w:eastAsia="Times New Roman"/>
                      <w:color w:val="000000"/>
                      <w:sz w:val="24"/>
                      <w:szCs w:val="24"/>
                      <w:lang w:eastAsia="en-GB"/>
                    </w:rPr>
                    <w:t>-4</w:t>
                  </w:r>
                  <w:r w:rsidRPr="001A351F">
                    <w:rPr>
                      <w:rFonts w:eastAsia="Times New Roman"/>
                      <w:color w:val="000000"/>
                      <w:sz w:val="24"/>
                      <w:szCs w:val="24"/>
                      <w:lang w:eastAsia="en-GB"/>
                    </w:rPr>
                    <w:t>5</w:t>
                  </w:r>
                  <w:r w:rsidR="00F975F7" w:rsidRPr="001A351F">
                    <w:rPr>
                      <w:rFonts w:eastAsia="Times New Roman"/>
                      <w:color w:val="000000"/>
                      <w:sz w:val="24"/>
                      <w:szCs w:val="24"/>
                      <w:lang w:eastAsia="en-GB"/>
                    </w:rPr>
                    <w:t>%</w:t>
                  </w:r>
                </w:p>
              </w:tc>
              <w:tc>
                <w:tcPr>
                  <w:tcW w:w="1418" w:type="dxa"/>
                  <w:tcBorders>
                    <w:top w:val="nil"/>
                    <w:left w:val="nil"/>
                    <w:bottom w:val="single" w:sz="4" w:space="0" w:color="auto"/>
                    <w:right w:val="single" w:sz="4" w:space="0" w:color="auto"/>
                  </w:tcBorders>
                  <w:shd w:val="clear" w:color="auto" w:fill="auto"/>
                  <w:noWrap/>
                  <w:vAlign w:val="bottom"/>
                  <w:hideMark/>
                </w:tcPr>
                <w:p w:rsidR="00F975F7" w:rsidRPr="001A351F" w:rsidRDefault="00F975F7" w:rsidP="002B4926">
                  <w:pPr>
                    <w:ind w:left="771" w:hanging="771"/>
                    <w:jc w:val="center"/>
                    <w:rPr>
                      <w:rFonts w:eastAsia="Times New Roman"/>
                      <w:color w:val="000000"/>
                      <w:sz w:val="24"/>
                      <w:szCs w:val="24"/>
                      <w:lang w:eastAsia="en-GB"/>
                    </w:rPr>
                  </w:pPr>
                  <w:r w:rsidRPr="001A351F">
                    <w:rPr>
                      <w:rFonts w:eastAsia="Times New Roman"/>
                      <w:color w:val="000000"/>
                      <w:sz w:val="24"/>
                      <w:szCs w:val="24"/>
                      <w:lang w:eastAsia="en-GB"/>
                    </w:rPr>
                    <w:t>20-25%</w:t>
                  </w:r>
                </w:p>
              </w:tc>
              <w:tc>
                <w:tcPr>
                  <w:tcW w:w="1417" w:type="dxa"/>
                  <w:tcBorders>
                    <w:top w:val="nil"/>
                    <w:left w:val="nil"/>
                    <w:bottom w:val="single" w:sz="4" w:space="0" w:color="auto"/>
                    <w:right w:val="single" w:sz="4" w:space="0" w:color="auto"/>
                  </w:tcBorders>
                  <w:shd w:val="clear" w:color="auto" w:fill="auto"/>
                  <w:noWrap/>
                  <w:vAlign w:val="bottom"/>
                  <w:hideMark/>
                </w:tcPr>
                <w:p w:rsidR="00F975F7" w:rsidRPr="001A351F" w:rsidRDefault="00F975F7" w:rsidP="002B4926">
                  <w:pPr>
                    <w:ind w:left="771" w:hanging="771"/>
                    <w:jc w:val="center"/>
                    <w:rPr>
                      <w:rFonts w:eastAsia="Times New Roman"/>
                      <w:color w:val="000000"/>
                      <w:sz w:val="24"/>
                      <w:szCs w:val="24"/>
                      <w:lang w:eastAsia="en-GB"/>
                    </w:rPr>
                  </w:pPr>
                  <w:r w:rsidRPr="001A351F">
                    <w:rPr>
                      <w:rFonts w:eastAsia="Times New Roman"/>
                      <w:color w:val="000000"/>
                      <w:sz w:val="24"/>
                      <w:szCs w:val="24"/>
                      <w:lang w:eastAsia="en-GB"/>
                    </w:rPr>
                    <w:t>5-10%</w:t>
                  </w:r>
                </w:p>
              </w:tc>
            </w:tr>
            <w:bookmarkEnd w:id="180"/>
          </w:tbl>
          <w:p w:rsidR="00F975F7" w:rsidRPr="00CA47B9" w:rsidRDefault="00F975F7" w:rsidP="001A351F">
            <w:pPr>
              <w:pStyle w:val="ListParagraph"/>
              <w:numPr>
                <w:ilvl w:val="0"/>
                <w:numId w:val="0"/>
              </w:numPr>
              <w:ind w:left="360"/>
            </w:pPr>
          </w:p>
          <w:p w:rsidR="00B008D9" w:rsidRPr="00CA47B9" w:rsidRDefault="00B008D9" w:rsidP="005C34F7">
            <w:pPr>
              <w:pStyle w:val="ListParagraph"/>
              <w:numPr>
                <w:ilvl w:val="0"/>
                <w:numId w:val="32"/>
              </w:numPr>
              <w:ind w:left="624"/>
              <w:jc w:val="both"/>
            </w:pPr>
            <w:r w:rsidRPr="00CA47B9">
              <w:t>Based on the demographic led forecasts there is a clear need across the district for market housing delivery to be focussed on 2 and 3 bedrooms.</w:t>
            </w:r>
            <w:r w:rsidR="00855CA6">
              <w:t xml:space="preserve"> </w:t>
            </w:r>
            <w:r w:rsidRPr="00CA47B9">
              <w:t xml:space="preserve">Similarly, affordable </w:t>
            </w:r>
            <w:r w:rsidR="00451CFA">
              <w:t>home ownership</w:t>
            </w:r>
            <w:r w:rsidRPr="00CA47B9">
              <w:t>/Intermediate should also focus delivery on 2 and 3 although a greater percentage should be delivered as smaller homes compared to the market sector.</w:t>
            </w:r>
          </w:p>
          <w:p w:rsidR="00B008D9" w:rsidRPr="00CA47B9" w:rsidRDefault="00B008D9" w:rsidP="005C34F7">
            <w:pPr>
              <w:ind w:left="771" w:hanging="283"/>
              <w:jc w:val="both"/>
            </w:pPr>
          </w:p>
          <w:p w:rsidR="00B008D9" w:rsidRDefault="00B008D9" w:rsidP="005C34F7">
            <w:pPr>
              <w:pStyle w:val="ListParagraph"/>
              <w:numPr>
                <w:ilvl w:val="0"/>
                <w:numId w:val="32"/>
              </w:numPr>
              <w:ind w:left="624"/>
              <w:jc w:val="both"/>
            </w:pPr>
            <w:r w:rsidRPr="00CA47B9">
              <w:t xml:space="preserve">The focus of affordable rented housing delivery should be for 2-bedroom property as a mix of flats and houses (2-bedroom upper floor flats do not meet the needs of families with young children or older people and can be difficult to let). This reflects the closer links between need and occupation. </w:t>
            </w:r>
          </w:p>
          <w:p w:rsidR="00AD30BE" w:rsidRDefault="00AD30BE" w:rsidP="005C34F7">
            <w:pPr>
              <w:ind w:left="360" w:hanging="360"/>
              <w:jc w:val="both"/>
            </w:pPr>
          </w:p>
          <w:p w:rsidR="00AD30BE" w:rsidRPr="00873DCC" w:rsidRDefault="00AD30BE" w:rsidP="005C34F7">
            <w:pPr>
              <w:pStyle w:val="ListParagraph"/>
              <w:numPr>
                <w:ilvl w:val="0"/>
                <w:numId w:val="32"/>
              </w:numPr>
              <w:ind w:left="624"/>
              <w:jc w:val="both"/>
            </w:pPr>
            <w:r w:rsidRPr="00873DCC">
              <w:t xml:space="preserve">These figures should not be used prescriptively on individual sites, particularly non-strategic sites. </w:t>
            </w:r>
            <w:r>
              <w:t>H</w:t>
            </w:r>
            <w:r w:rsidRPr="00CA47B9">
              <w:t>owever</w:t>
            </w:r>
            <w:r w:rsidR="00855CA6">
              <w:t>,</w:t>
            </w:r>
            <w:r w:rsidRPr="00CA47B9">
              <w:t xml:space="preserve"> </w:t>
            </w:r>
            <w:r>
              <w:t xml:space="preserve">they can </w:t>
            </w:r>
            <w:r w:rsidRPr="00CA47B9">
              <w:t>be used as a monitoring tool to ensure that future delivery is not unbalanced when compared with the likely requirements as driven by the demographic change in the area.</w:t>
            </w:r>
          </w:p>
          <w:bookmarkEnd w:id="179"/>
          <w:p w:rsidR="00B008D9" w:rsidRPr="00CA47B9" w:rsidRDefault="00B008D9" w:rsidP="001A351F">
            <w:pPr>
              <w:pStyle w:val="ListParagraph"/>
              <w:numPr>
                <w:ilvl w:val="0"/>
                <w:numId w:val="0"/>
              </w:numPr>
              <w:ind w:left="360"/>
            </w:pPr>
          </w:p>
        </w:tc>
      </w:tr>
    </w:tbl>
    <w:p w:rsidR="00B008D9" w:rsidRPr="00CA47B9" w:rsidRDefault="00B008D9" w:rsidP="00B008D9">
      <w:pPr>
        <w:spacing w:after="200"/>
        <w:rPr>
          <w:rFonts w:asciiTheme="minorHAnsi" w:hAnsiTheme="minorHAnsi" w:cstheme="minorHAnsi"/>
          <w:b/>
          <w:bCs/>
          <w:caps/>
        </w:rPr>
      </w:pPr>
      <w:r w:rsidRPr="00CA47B9">
        <w:rPr>
          <w:rFonts w:asciiTheme="minorHAnsi" w:hAnsiTheme="minorHAnsi" w:cstheme="minorHAnsi"/>
        </w:rPr>
        <w:br w:type="page"/>
      </w:r>
      <w:bookmarkEnd w:id="138"/>
    </w:p>
    <w:p w:rsidR="00B0298E" w:rsidRPr="00CA47B9" w:rsidRDefault="00CA2A20" w:rsidP="00766669">
      <w:pPr>
        <w:pStyle w:val="1Bodytext"/>
        <w:tabs>
          <w:tab w:val="clear" w:pos="794"/>
          <w:tab w:val="num" w:pos="567"/>
        </w:tabs>
        <w:spacing w:before="0" w:after="120" w:line="360" w:lineRule="auto"/>
        <w:ind w:left="567" w:hanging="567"/>
        <w:rPr>
          <w:rFonts w:asciiTheme="minorHAnsi" w:hAnsiTheme="minorHAnsi" w:cstheme="minorHAnsi"/>
        </w:rPr>
      </w:pPr>
      <w:bookmarkStart w:id="181" w:name="_Toc51600017"/>
      <w:bookmarkEnd w:id="14"/>
      <w:bookmarkEnd w:id="15"/>
      <w:bookmarkEnd w:id="139"/>
      <w:r w:rsidRPr="00CA47B9">
        <w:rPr>
          <w:rFonts w:asciiTheme="minorHAnsi" w:hAnsiTheme="minorHAnsi" w:cstheme="minorHAnsi"/>
        </w:rPr>
        <w:lastRenderedPageBreak/>
        <w:t>Needs</w:t>
      </w:r>
      <w:r w:rsidR="004B41A2" w:rsidRPr="00CA47B9">
        <w:rPr>
          <w:rFonts w:asciiTheme="minorHAnsi" w:hAnsiTheme="minorHAnsi" w:cstheme="minorHAnsi"/>
        </w:rPr>
        <w:t xml:space="preserve"> </w:t>
      </w:r>
      <w:r w:rsidRPr="00CA47B9">
        <w:rPr>
          <w:rFonts w:asciiTheme="minorHAnsi" w:hAnsiTheme="minorHAnsi" w:cstheme="minorHAnsi"/>
        </w:rPr>
        <w:t>of</w:t>
      </w:r>
      <w:r w:rsidR="004B41A2" w:rsidRPr="00CA47B9">
        <w:rPr>
          <w:rFonts w:asciiTheme="minorHAnsi" w:hAnsiTheme="minorHAnsi" w:cstheme="minorHAnsi"/>
        </w:rPr>
        <w:t xml:space="preserve"> </w:t>
      </w:r>
      <w:r w:rsidR="008017BD" w:rsidRPr="00CA47B9">
        <w:rPr>
          <w:rFonts w:asciiTheme="minorHAnsi" w:hAnsiTheme="minorHAnsi" w:cstheme="minorHAnsi"/>
        </w:rPr>
        <w:t>SPECIFIC</w:t>
      </w:r>
      <w:r w:rsidR="004B41A2" w:rsidRPr="00CA47B9">
        <w:rPr>
          <w:rFonts w:asciiTheme="minorHAnsi" w:hAnsiTheme="minorHAnsi" w:cstheme="minorHAnsi"/>
        </w:rPr>
        <w:t xml:space="preserve"> </w:t>
      </w:r>
      <w:r w:rsidRPr="00CA47B9">
        <w:rPr>
          <w:rFonts w:asciiTheme="minorHAnsi" w:hAnsiTheme="minorHAnsi" w:cstheme="minorHAnsi"/>
        </w:rPr>
        <w:t>Groups</w:t>
      </w:r>
      <w:bookmarkEnd w:id="181"/>
    </w:p>
    <w:p w:rsidR="00B0298E" w:rsidRPr="00CA47B9" w:rsidRDefault="00B0298E" w:rsidP="00805614">
      <w:pPr>
        <w:pStyle w:val="Addressline1"/>
        <w:ind w:left="567" w:firstLine="0"/>
      </w:pPr>
      <w:r w:rsidRPr="00CA47B9">
        <w:t>Introduction</w:t>
      </w:r>
    </w:p>
    <w:p w:rsidR="00F63FBB" w:rsidRPr="00CA47B9" w:rsidRDefault="00F63FBB" w:rsidP="00362459">
      <w:pPr>
        <w:pStyle w:val="11Bodytext"/>
        <w:tabs>
          <w:tab w:val="clear" w:pos="2212"/>
        </w:tabs>
        <w:ind w:left="567" w:hanging="567"/>
      </w:pPr>
      <w:r w:rsidRPr="00CA47B9">
        <w:t>Planning Practice Guidance note 56 (Housing: optional technical standards) sets out how local authorities can gather evidence to set requirements on a range of issues (including accessibility and wheelchair housing standards, water efficiency standards and internal space standards). This section looks at the first two of these (i.e. accessibility and wheelchair housing) as well as considering the specific needs of older people.</w:t>
      </w:r>
    </w:p>
    <w:p w:rsidR="00F63FBB" w:rsidRPr="00CA47B9" w:rsidRDefault="00F63FBB" w:rsidP="0028171E">
      <w:pPr>
        <w:pStyle w:val="11Bodytext"/>
        <w:tabs>
          <w:tab w:val="clear" w:pos="2212"/>
        </w:tabs>
        <w:ind w:left="567" w:hanging="567"/>
      </w:pPr>
      <w:r w:rsidRPr="00CA47B9">
        <w:t>The PPG sets out that the reason for the approach to setting standards is designed to ‘rationalise the many differing existing standards into a simpler, streamlined system which will reduce burdens and help bring forward much needed new homes’ (56-001) and that ‘local planning authorities will need to gather evidence to determine whether there is a need for additional standards in their area’ (56-002).</w:t>
      </w:r>
    </w:p>
    <w:p w:rsidR="00F63FBB" w:rsidRPr="00CA47B9" w:rsidRDefault="00F63FBB" w:rsidP="0028171E">
      <w:pPr>
        <w:pStyle w:val="11Bodytext"/>
        <w:tabs>
          <w:tab w:val="clear" w:pos="2212"/>
        </w:tabs>
        <w:ind w:left="567" w:hanging="567"/>
      </w:pPr>
      <w:r w:rsidRPr="00CA47B9">
        <w:t>The PPG sets out that local authorities should be using their assessment of housing need (and other sources) to consider the need for M4(2) (accessible and adaptable dwellings), and/or M4(3) (wheelchair user dwellings), of the Building Regulations. It sets out that there are a range of published statistics which can be considered, including:</w:t>
      </w:r>
    </w:p>
    <w:p w:rsidR="00F63FBB" w:rsidRPr="00CA47B9" w:rsidRDefault="00F63FBB" w:rsidP="00901C92">
      <w:pPr>
        <w:pStyle w:val="Bulletblueplain"/>
      </w:pPr>
      <w:r w:rsidRPr="00CA47B9">
        <w:t>the likely future need for housing for older and disabled people (including wheelchair user dwellings);</w:t>
      </w:r>
    </w:p>
    <w:p w:rsidR="00F63FBB" w:rsidRPr="00CA47B9" w:rsidRDefault="00F63FBB" w:rsidP="00901C92">
      <w:pPr>
        <w:pStyle w:val="Bulletblueplain"/>
      </w:pPr>
      <w:r w:rsidRPr="00CA47B9">
        <w:t>size, location, type and quality of dwellings needed to meet specifically evidenced needs (for example retirement homes, sheltered homes or care homes);</w:t>
      </w:r>
    </w:p>
    <w:p w:rsidR="00F63FBB" w:rsidRPr="00CA47B9" w:rsidRDefault="00F63FBB" w:rsidP="00901C92">
      <w:pPr>
        <w:pStyle w:val="Bulletblueplain"/>
      </w:pPr>
      <w:r w:rsidRPr="00CA47B9">
        <w:t>the accessibility and adaptability of existing housing stock;</w:t>
      </w:r>
    </w:p>
    <w:p w:rsidR="00F63FBB" w:rsidRPr="00CA47B9" w:rsidRDefault="00F63FBB" w:rsidP="00901C92">
      <w:pPr>
        <w:pStyle w:val="Bulletblueplain"/>
      </w:pPr>
      <w:r w:rsidRPr="00CA47B9">
        <w:t>how needs vary across different housing tenures; and</w:t>
      </w:r>
    </w:p>
    <w:p w:rsidR="00F63FBB" w:rsidRPr="00CA47B9" w:rsidRDefault="00F63FBB" w:rsidP="00901C92">
      <w:pPr>
        <w:pStyle w:val="Bulletblueplain"/>
      </w:pPr>
      <w:r w:rsidRPr="00CA47B9">
        <w:t>the overall impact on viability.</w:t>
      </w:r>
    </w:p>
    <w:p w:rsidR="00F63FBB" w:rsidRPr="00CA47B9" w:rsidRDefault="00F63FBB" w:rsidP="0028171E">
      <w:pPr>
        <w:pStyle w:val="11Bodytext"/>
        <w:tabs>
          <w:tab w:val="clear" w:pos="2212"/>
        </w:tabs>
        <w:ind w:left="567" w:hanging="567"/>
      </w:pPr>
      <w:r w:rsidRPr="00CA47B9">
        <w:t>This section of the report draws on a range of statistics, including those suggested in the PPG (for which the Government has provided a summary data sheet ‘Guide to available disability data’ – termed the Guide in analysis to follow). The discussion below begins by looking at older persons’ needs.</w:t>
      </w:r>
    </w:p>
    <w:p w:rsidR="00F63FBB" w:rsidRPr="00CA47B9" w:rsidRDefault="00F63FBB" w:rsidP="00805614">
      <w:pPr>
        <w:pStyle w:val="SubheadBlue12"/>
        <w:ind w:left="567" w:firstLine="0"/>
      </w:pPr>
      <w:r w:rsidRPr="00CA47B9">
        <w:lastRenderedPageBreak/>
        <w:t>Current Population of Older People</w:t>
      </w:r>
    </w:p>
    <w:p w:rsidR="00F63FBB" w:rsidRDefault="00F63FBB" w:rsidP="0028171E">
      <w:pPr>
        <w:pStyle w:val="11Bodytext"/>
        <w:tabs>
          <w:tab w:val="clear" w:pos="2212"/>
        </w:tabs>
        <w:ind w:left="567" w:hanging="567"/>
      </w:pPr>
      <w:r w:rsidRPr="00CA47B9">
        <w:t xml:space="preserve">The table below provides baseline population data about older persons and compares this with other areas. The data has been taken from the published ONS mid-year population estimates and is provided for age groups from 65 and upwards. </w:t>
      </w:r>
    </w:p>
    <w:p w:rsidR="00B008D9" w:rsidRDefault="00B008D9" w:rsidP="0028171E">
      <w:pPr>
        <w:pStyle w:val="11Bodytext"/>
        <w:tabs>
          <w:tab w:val="clear" w:pos="2212"/>
        </w:tabs>
        <w:ind w:left="567" w:hanging="567"/>
      </w:pPr>
      <w:r>
        <w:t>We have examined the population growth of those aged 65 and over as this is the typical retirement age.</w:t>
      </w:r>
      <w:r w:rsidR="00855CA6">
        <w:t xml:space="preserve"> </w:t>
      </w:r>
      <w:r>
        <w:t>However, in examin</w:t>
      </w:r>
      <w:r w:rsidR="008A7452">
        <w:t>ing</w:t>
      </w:r>
      <w:r>
        <w:t xml:space="preserve"> the need for specialist accommodation we have based this on the population aged 75 and over.</w:t>
      </w:r>
      <w:r w:rsidR="00855CA6">
        <w:t xml:space="preserve"> </w:t>
      </w:r>
      <w:r>
        <w:t xml:space="preserve">This </w:t>
      </w:r>
      <w:r w:rsidR="00A36190">
        <w:t xml:space="preserve">is </w:t>
      </w:r>
      <w:r>
        <w:t>largely because the prevalence rates used are for those aged 75 and over.</w:t>
      </w:r>
      <w:r w:rsidR="00855CA6">
        <w:t xml:space="preserve"> </w:t>
      </w:r>
      <w:r>
        <w:t xml:space="preserve">This itself reflects the fact that most people entering specialist accommodation, do so around that age and above. </w:t>
      </w:r>
    </w:p>
    <w:p w:rsidR="00B008D9" w:rsidRDefault="00B008D9" w:rsidP="0028171E">
      <w:pPr>
        <w:pStyle w:val="11Bodytext"/>
        <w:tabs>
          <w:tab w:val="clear" w:pos="2212"/>
        </w:tabs>
        <w:ind w:left="567" w:hanging="567"/>
      </w:pPr>
      <w:r w:rsidRPr="00CA47B9">
        <w:t>The data shows, when compared with both the South East region and England, that the District has a notably higher proportion of older persons. In 2018, it is estimated that 27% of the population of the District was aged 65 or over.</w:t>
      </w:r>
    </w:p>
    <w:p w:rsidR="00F63FBB" w:rsidRPr="00CA47B9" w:rsidRDefault="00F63FBB" w:rsidP="00700980">
      <w:pPr>
        <w:pStyle w:val="Tableheading"/>
        <w:tabs>
          <w:tab w:val="clear" w:pos="794"/>
          <w:tab w:val="clear" w:pos="1843"/>
          <w:tab w:val="left" w:pos="0"/>
        </w:tabs>
        <w:ind w:left="0" w:firstLine="0"/>
      </w:pPr>
      <w:r w:rsidRPr="00CA47B9">
        <w:t>Older Person Population (2018)</w:t>
      </w:r>
    </w:p>
    <w:tbl>
      <w:tblPr>
        <w:tblStyle w:val="Style1"/>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38: Older Person Population (2018)"/>
      </w:tblPr>
      <w:tblGrid>
        <w:gridCol w:w="1528"/>
        <w:gridCol w:w="1423"/>
        <w:gridCol w:w="1132"/>
        <w:gridCol w:w="1132"/>
        <w:gridCol w:w="1132"/>
        <w:gridCol w:w="1025"/>
        <w:gridCol w:w="1133"/>
        <w:gridCol w:w="1133"/>
      </w:tblGrid>
      <w:tr w:rsidR="00F63FBB" w:rsidRPr="001A351F" w:rsidTr="007009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92" w:type="pct"/>
          </w:tcPr>
          <w:p w:rsidR="00F63FBB" w:rsidRPr="001A351F" w:rsidRDefault="00F63FBB" w:rsidP="00F63FBB">
            <w:pPr>
              <w:keepNext/>
              <w:widowControl w:val="0"/>
              <w:tabs>
                <w:tab w:val="left" w:pos="1021"/>
              </w:tabs>
              <w:rPr>
                <w:rFonts w:ascii="Arial Narrow" w:hAnsi="Arial Narrow" w:cs="Arial"/>
                <w:bCs/>
                <w:sz w:val="24"/>
                <w:szCs w:val="24"/>
              </w:rPr>
            </w:pPr>
          </w:p>
        </w:tc>
        <w:tc>
          <w:tcPr>
            <w:tcW w:w="738" w:type="pct"/>
          </w:tcPr>
          <w:p w:rsidR="00F63FBB" w:rsidRPr="001A351F" w:rsidRDefault="00F63FBB" w:rsidP="00F63FBB">
            <w:pPr>
              <w:keepNext/>
              <w:widowControl w:val="0"/>
              <w:tabs>
                <w:tab w:val="left" w:pos="1021"/>
              </w:tabs>
              <w:cnfStyle w:val="100000000000" w:firstRow="1" w:lastRow="0" w:firstColumn="0" w:lastColumn="0" w:oddVBand="0" w:evenVBand="0" w:oddHBand="0" w:evenHBand="0" w:firstRowFirstColumn="0" w:firstRowLastColumn="0" w:lastRowFirstColumn="0" w:lastRowLastColumn="0"/>
              <w:rPr>
                <w:rFonts w:ascii="Arial Narrow" w:hAnsi="Arial Narrow" w:cs="Arial"/>
                <w:bCs/>
                <w:sz w:val="24"/>
                <w:szCs w:val="24"/>
              </w:rPr>
            </w:pPr>
          </w:p>
        </w:tc>
        <w:tc>
          <w:tcPr>
            <w:tcW w:w="587" w:type="pct"/>
            <w:hideMark/>
          </w:tcPr>
          <w:p w:rsidR="00F63FBB" w:rsidRPr="001A351F" w:rsidRDefault="00F63FBB" w:rsidP="00F63FBB">
            <w:pPr>
              <w:keepNext/>
              <w:widowControl w:val="0"/>
              <w:tabs>
                <w:tab w:val="left" w:pos="1021"/>
              </w:tabs>
              <w:cnfStyle w:val="100000000000" w:firstRow="1"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1A351F">
              <w:rPr>
                <w:rFonts w:ascii="Arial Narrow" w:hAnsi="Arial Narrow" w:cs="Arial"/>
                <w:bCs/>
                <w:sz w:val="24"/>
                <w:szCs w:val="24"/>
              </w:rPr>
              <w:t>Under 65</w:t>
            </w:r>
          </w:p>
        </w:tc>
        <w:tc>
          <w:tcPr>
            <w:tcW w:w="587" w:type="pct"/>
            <w:hideMark/>
          </w:tcPr>
          <w:p w:rsidR="00F63FBB" w:rsidRPr="001A351F" w:rsidRDefault="00F63FBB" w:rsidP="00F63FBB">
            <w:pPr>
              <w:keepNext/>
              <w:widowControl w:val="0"/>
              <w:cnfStyle w:val="100000000000" w:firstRow="1"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1A351F">
              <w:rPr>
                <w:rFonts w:ascii="Arial Narrow" w:hAnsi="Arial Narrow" w:cs="Arial"/>
                <w:bCs/>
                <w:sz w:val="24"/>
                <w:szCs w:val="24"/>
              </w:rPr>
              <w:t>65-74</w:t>
            </w:r>
          </w:p>
        </w:tc>
        <w:tc>
          <w:tcPr>
            <w:tcW w:w="587" w:type="pct"/>
            <w:hideMark/>
          </w:tcPr>
          <w:p w:rsidR="00F63FBB" w:rsidRPr="001A351F" w:rsidRDefault="00F63FBB" w:rsidP="00F63FBB">
            <w:pPr>
              <w:keepNext/>
              <w:widowControl w:val="0"/>
              <w:cnfStyle w:val="100000000000" w:firstRow="1"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1A351F">
              <w:rPr>
                <w:rFonts w:ascii="Arial Narrow" w:hAnsi="Arial Narrow" w:cs="Arial"/>
                <w:bCs/>
                <w:sz w:val="24"/>
                <w:szCs w:val="24"/>
              </w:rPr>
              <w:t>75-84</w:t>
            </w:r>
          </w:p>
        </w:tc>
        <w:tc>
          <w:tcPr>
            <w:tcW w:w="532" w:type="pct"/>
            <w:hideMark/>
          </w:tcPr>
          <w:p w:rsidR="00F63FBB" w:rsidRPr="001A351F" w:rsidRDefault="00F63FBB" w:rsidP="00F63FBB">
            <w:pPr>
              <w:keepNext/>
              <w:widowControl w:val="0"/>
              <w:cnfStyle w:val="100000000000" w:firstRow="1"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1A351F">
              <w:rPr>
                <w:rFonts w:ascii="Arial Narrow" w:hAnsi="Arial Narrow" w:cs="Arial"/>
                <w:bCs/>
                <w:sz w:val="24"/>
                <w:szCs w:val="24"/>
              </w:rPr>
              <w:t>85+</w:t>
            </w:r>
          </w:p>
        </w:tc>
        <w:tc>
          <w:tcPr>
            <w:tcW w:w="588" w:type="pct"/>
            <w:hideMark/>
          </w:tcPr>
          <w:p w:rsidR="00F63FBB" w:rsidRPr="001A351F" w:rsidRDefault="00F63FBB" w:rsidP="00F63FBB">
            <w:pPr>
              <w:keepNext/>
              <w:widowControl w:val="0"/>
              <w:cnfStyle w:val="100000000000" w:firstRow="1"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1A351F">
              <w:rPr>
                <w:rFonts w:ascii="Arial Narrow" w:hAnsi="Arial Narrow" w:cs="Arial"/>
                <w:bCs/>
                <w:sz w:val="24"/>
                <w:szCs w:val="24"/>
              </w:rPr>
              <w:t>Total</w:t>
            </w:r>
          </w:p>
        </w:tc>
        <w:tc>
          <w:tcPr>
            <w:tcW w:w="588" w:type="pct"/>
            <w:hideMark/>
          </w:tcPr>
          <w:p w:rsidR="00F63FBB" w:rsidRPr="001A351F" w:rsidRDefault="00F63FBB" w:rsidP="00F63FBB">
            <w:pPr>
              <w:keepNext/>
              <w:widowControl w:val="0"/>
              <w:cnfStyle w:val="100000000000" w:firstRow="1"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1A351F">
              <w:rPr>
                <w:rFonts w:ascii="Arial Narrow" w:hAnsi="Arial Narrow" w:cs="Arial"/>
                <w:bCs/>
                <w:sz w:val="24"/>
                <w:szCs w:val="24"/>
              </w:rPr>
              <w:t>Total 65+</w:t>
            </w:r>
          </w:p>
        </w:tc>
      </w:tr>
      <w:tr w:rsidR="00F63FBB" w:rsidRPr="001A351F" w:rsidTr="00D23B55">
        <w:tc>
          <w:tcPr>
            <w:cnfStyle w:val="001000000000" w:firstRow="0" w:lastRow="0" w:firstColumn="1" w:lastColumn="0" w:oddVBand="0" w:evenVBand="0" w:oddHBand="0" w:evenHBand="0" w:firstRowFirstColumn="0" w:firstRowLastColumn="0" w:lastRowFirstColumn="0" w:lastRowLastColumn="0"/>
            <w:tcW w:w="792" w:type="pct"/>
            <w:tcBorders>
              <w:bottom w:val="single" w:sz="4" w:space="0" w:color="FFFFFF" w:themeColor="background1"/>
            </w:tcBorders>
            <w:hideMark/>
          </w:tcPr>
          <w:p w:rsidR="00F63FBB" w:rsidRPr="001A351F" w:rsidRDefault="00F63FBB" w:rsidP="00D23B55">
            <w:pPr>
              <w:keepNext/>
              <w:widowControl w:val="0"/>
              <w:tabs>
                <w:tab w:val="left" w:pos="1021"/>
              </w:tabs>
              <w:rPr>
                <w:rFonts w:ascii="Arial Narrow" w:hAnsi="Arial Narrow" w:cs="Arial"/>
                <w:b/>
                <w:sz w:val="24"/>
                <w:szCs w:val="24"/>
              </w:rPr>
            </w:pPr>
            <w:r w:rsidRPr="001A351F">
              <w:rPr>
                <w:rFonts w:ascii="Arial Narrow" w:hAnsi="Arial Narrow" w:cs="Arial"/>
                <w:b/>
                <w:sz w:val="24"/>
                <w:szCs w:val="24"/>
              </w:rPr>
              <w:t xml:space="preserve">Chichester </w:t>
            </w:r>
          </w:p>
        </w:tc>
        <w:tc>
          <w:tcPr>
            <w:tcW w:w="738" w:type="pct"/>
            <w:hideMark/>
          </w:tcPr>
          <w:p w:rsidR="00F63FBB" w:rsidRPr="001A351F" w:rsidRDefault="00F63FBB" w:rsidP="00F63FBB">
            <w:pPr>
              <w:keepNext/>
              <w:widowControl w:val="0"/>
              <w:cnfStyle w:val="000000000000" w:firstRow="0" w:lastRow="0" w:firstColumn="0" w:lastColumn="0" w:oddVBand="0" w:evenVBand="0" w:oddHBand="0" w:evenHBand="0" w:firstRowFirstColumn="0" w:firstRowLastColumn="0" w:lastRowFirstColumn="0" w:lastRowLastColumn="0"/>
              <w:rPr>
                <w:rFonts w:ascii="Arial Narrow" w:hAnsi="Arial Narrow" w:cs="Arial"/>
                <w:b/>
                <w:sz w:val="24"/>
                <w:szCs w:val="24"/>
              </w:rPr>
            </w:pPr>
            <w:r w:rsidRPr="001A351F">
              <w:rPr>
                <w:rFonts w:ascii="Arial Narrow" w:hAnsi="Arial Narrow" w:cs="Arial"/>
                <w:b/>
                <w:sz w:val="24"/>
                <w:szCs w:val="24"/>
              </w:rPr>
              <w:t>Popn</w:t>
            </w:r>
          </w:p>
        </w:tc>
        <w:tc>
          <w:tcPr>
            <w:tcW w:w="587" w:type="pct"/>
            <w:shd w:val="clear" w:color="auto" w:fill="auto"/>
            <w:vAlign w:val="bottom"/>
          </w:tcPr>
          <w:p w:rsidR="00F63FBB" w:rsidRPr="001A351F" w:rsidRDefault="00F63FBB" w:rsidP="00F63FB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24"/>
                <w:szCs w:val="24"/>
              </w:rPr>
            </w:pPr>
            <w:r w:rsidRPr="001A351F">
              <w:rPr>
                <w:rFonts w:ascii="Arial Narrow" w:hAnsi="Arial Narrow" w:cs="Arial"/>
                <w:b/>
                <w:bCs/>
                <w:color w:val="000000"/>
                <w:sz w:val="24"/>
                <w:szCs w:val="24"/>
              </w:rPr>
              <w:t>88,218</w:t>
            </w:r>
          </w:p>
        </w:tc>
        <w:tc>
          <w:tcPr>
            <w:tcW w:w="587" w:type="pct"/>
            <w:shd w:val="clear" w:color="auto" w:fill="auto"/>
            <w:vAlign w:val="bottom"/>
          </w:tcPr>
          <w:p w:rsidR="00F63FBB" w:rsidRPr="001A351F" w:rsidRDefault="00F63FBB" w:rsidP="00F63FB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24"/>
                <w:szCs w:val="24"/>
              </w:rPr>
            </w:pPr>
            <w:r w:rsidRPr="001A351F">
              <w:rPr>
                <w:rFonts w:ascii="Arial Narrow" w:hAnsi="Arial Narrow" w:cs="Arial"/>
                <w:b/>
                <w:bCs/>
                <w:color w:val="000000"/>
                <w:sz w:val="24"/>
                <w:szCs w:val="24"/>
              </w:rPr>
              <w:t>16,644</w:t>
            </w:r>
          </w:p>
        </w:tc>
        <w:tc>
          <w:tcPr>
            <w:tcW w:w="587" w:type="pct"/>
            <w:shd w:val="clear" w:color="auto" w:fill="auto"/>
            <w:vAlign w:val="bottom"/>
          </w:tcPr>
          <w:p w:rsidR="00F63FBB" w:rsidRPr="001A351F" w:rsidRDefault="00F63FBB" w:rsidP="00F63FB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24"/>
                <w:szCs w:val="24"/>
              </w:rPr>
            </w:pPr>
            <w:r w:rsidRPr="001A351F">
              <w:rPr>
                <w:rFonts w:ascii="Arial Narrow" w:hAnsi="Arial Narrow" w:cs="Arial"/>
                <w:b/>
                <w:bCs/>
                <w:color w:val="000000"/>
                <w:sz w:val="24"/>
                <w:szCs w:val="24"/>
              </w:rPr>
              <w:t>10,843</w:t>
            </w:r>
          </w:p>
        </w:tc>
        <w:tc>
          <w:tcPr>
            <w:tcW w:w="532" w:type="pct"/>
            <w:shd w:val="clear" w:color="auto" w:fill="auto"/>
            <w:vAlign w:val="bottom"/>
          </w:tcPr>
          <w:p w:rsidR="00F63FBB" w:rsidRPr="001A351F" w:rsidRDefault="00F63FBB" w:rsidP="00F63FB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24"/>
                <w:szCs w:val="24"/>
              </w:rPr>
            </w:pPr>
            <w:r w:rsidRPr="001A351F">
              <w:rPr>
                <w:rFonts w:ascii="Arial Narrow" w:hAnsi="Arial Narrow" w:cs="Arial"/>
                <w:b/>
                <w:bCs/>
                <w:color w:val="000000"/>
                <w:sz w:val="24"/>
                <w:szCs w:val="24"/>
              </w:rPr>
              <w:t>5,045</w:t>
            </w:r>
          </w:p>
        </w:tc>
        <w:tc>
          <w:tcPr>
            <w:tcW w:w="588" w:type="pct"/>
            <w:shd w:val="clear" w:color="auto" w:fill="auto"/>
            <w:vAlign w:val="bottom"/>
          </w:tcPr>
          <w:p w:rsidR="00F63FBB" w:rsidRPr="001A351F" w:rsidRDefault="00F63FBB" w:rsidP="00F63FB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24"/>
                <w:szCs w:val="24"/>
              </w:rPr>
            </w:pPr>
            <w:r w:rsidRPr="001A351F">
              <w:rPr>
                <w:rFonts w:ascii="Arial Narrow" w:hAnsi="Arial Narrow" w:cs="Arial"/>
                <w:b/>
                <w:bCs/>
                <w:color w:val="000000"/>
                <w:sz w:val="24"/>
                <w:szCs w:val="24"/>
              </w:rPr>
              <w:t>120,750</w:t>
            </w:r>
          </w:p>
        </w:tc>
        <w:tc>
          <w:tcPr>
            <w:tcW w:w="588" w:type="pct"/>
            <w:shd w:val="clear" w:color="auto" w:fill="auto"/>
            <w:vAlign w:val="bottom"/>
          </w:tcPr>
          <w:p w:rsidR="00F63FBB" w:rsidRPr="001A351F" w:rsidRDefault="00F63FBB" w:rsidP="00F63FB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24"/>
                <w:szCs w:val="24"/>
              </w:rPr>
            </w:pPr>
            <w:r w:rsidRPr="001A351F">
              <w:rPr>
                <w:rFonts w:ascii="Arial Narrow" w:hAnsi="Arial Narrow" w:cs="Arial"/>
                <w:b/>
                <w:bCs/>
                <w:color w:val="000000"/>
                <w:sz w:val="24"/>
                <w:szCs w:val="24"/>
              </w:rPr>
              <w:t>32,532</w:t>
            </w:r>
          </w:p>
        </w:tc>
      </w:tr>
      <w:tr w:rsidR="00F63FBB" w:rsidRPr="001A351F" w:rsidTr="00D23B55">
        <w:tc>
          <w:tcPr>
            <w:cnfStyle w:val="001000000000" w:firstRow="0" w:lastRow="0" w:firstColumn="1" w:lastColumn="0" w:oddVBand="0" w:evenVBand="0" w:oddHBand="0" w:evenHBand="0" w:firstRowFirstColumn="0" w:firstRowLastColumn="0" w:lastRowFirstColumn="0" w:lastRowLastColumn="0"/>
            <w:tcW w:w="792" w:type="pct"/>
            <w:tcBorders>
              <w:top w:val="single" w:sz="4" w:space="0" w:color="FFFFFF" w:themeColor="background1"/>
            </w:tcBorders>
            <w:hideMark/>
          </w:tcPr>
          <w:p w:rsidR="00F63FBB" w:rsidRPr="001A351F" w:rsidRDefault="00D23B55" w:rsidP="00F63FBB">
            <w:pPr>
              <w:rPr>
                <w:rFonts w:ascii="Arial Narrow" w:hAnsi="Arial Narrow" w:cs="Arial"/>
                <w:b/>
                <w:sz w:val="24"/>
                <w:szCs w:val="24"/>
              </w:rPr>
            </w:pPr>
            <w:r w:rsidRPr="001A351F">
              <w:rPr>
                <w:rFonts w:ascii="Arial Narrow" w:hAnsi="Arial Narrow" w:cs="Arial"/>
                <w:b/>
                <w:sz w:val="24"/>
                <w:szCs w:val="24"/>
              </w:rPr>
              <w:t>District</w:t>
            </w:r>
          </w:p>
        </w:tc>
        <w:tc>
          <w:tcPr>
            <w:tcW w:w="738" w:type="pct"/>
            <w:hideMark/>
          </w:tcPr>
          <w:p w:rsidR="00F63FBB" w:rsidRPr="001A351F" w:rsidRDefault="00F63FBB" w:rsidP="00F63FBB">
            <w:pPr>
              <w:keepNext/>
              <w:widowControl w:val="0"/>
              <w:cnfStyle w:val="000000000000" w:firstRow="0" w:lastRow="0" w:firstColumn="0" w:lastColumn="0" w:oddVBand="0" w:evenVBand="0" w:oddHBand="0" w:evenHBand="0" w:firstRowFirstColumn="0" w:firstRowLastColumn="0" w:lastRowFirstColumn="0" w:lastRowLastColumn="0"/>
              <w:rPr>
                <w:rFonts w:ascii="Arial Narrow" w:hAnsi="Arial Narrow" w:cs="Arial"/>
                <w:b/>
                <w:sz w:val="24"/>
                <w:szCs w:val="24"/>
              </w:rPr>
            </w:pPr>
            <w:r w:rsidRPr="001A351F">
              <w:rPr>
                <w:rFonts w:ascii="Arial Narrow" w:hAnsi="Arial Narrow" w:cs="Arial"/>
                <w:b/>
                <w:sz w:val="24"/>
                <w:szCs w:val="24"/>
              </w:rPr>
              <w:t>% of popn</w:t>
            </w:r>
          </w:p>
        </w:tc>
        <w:tc>
          <w:tcPr>
            <w:tcW w:w="587" w:type="pct"/>
            <w:shd w:val="clear" w:color="auto" w:fill="auto"/>
            <w:vAlign w:val="bottom"/>
          </w:tcPr>
          <w:p w:rsidR="00F63FBB" w:rsidRPr="001A351F" w:rsidRDefault="00F63FBB" w:rsidP="00F63FB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24"/>
                <w:szCs w:val="24"/>
              </w:rPr>
            </w:pPr>
            <w:r w:rsidRPr="001A351F">
              <w:rPr>
                <w:rFonts w:ascii="Arial Narrow" w:hAnsi="Arial Narrow" w:cs="Arial"/>
                <w:b/>
                <w:bCs/>
                <w:color w:val="000000"/>
                <w:sz w:val="24"/>
                <w:szCs w:val="24"/>
              </w:rPr>
              <w:t>73%</w:t>
            </w:r>
          </w:p>
        </w:tc>
        <w:tc>
          <w:tcPr>
            <w:tcW w:w="587" w:type="pct"/>
            <w:shd w:val="clear" w:color="auto" w:fill="auto"/>
            <w:vAlign w:val="bottom"/>
          </w:tcPr>
          <w:p w:rsidR="00F63FBB" w:rsidRPr="001A351F" w:rsidRDefault="00F63FBB" w:rsidP="00F63FB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24"/>
                <w:szCs w:val="24"/>
              </w:rPr>
            </w:pPr>
            <w:r w:rsidRPr="001A351F">
              <w:rPr>
                <w:rFonts w:ascii="Arial Narrow" w:hAnsi="Arial Narrow" w:cs="Arial"/>
                <w:b/>
                <w:bCs/>
                <w:color w:val="000000"/>
                <w:sz w:val="24"/>
                <w:szCs w:val="24"/>
              </w:rPr>
              <w:t>14%</w:t>
            </w:r>
          </w:p>
        </w:tc>
        <w:tc>
          <w:tcPr>
            <w:tcW w:w="587" w:type="pct"/>
            <w:shd w:val="clear" w:color="auto" w:fill="auto"/>
            <w:vAlign w:val="bottom"/>
          </w:tcPr>
          <w:p w:rsidR="00F63FBB" w:rsidRPr="001A351F" w:rsidRDefault="00F63FBB" w:rsidP="00F63FB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24"/>
                <w:szCs w:val="24"/>
              </w:rPr>
            </w:pPr>
            <w:r w:rsidRPr="001A351F">
              <w:rPr>
                <w:rFonts w:ascii="Arial Narrow" w:hAnsi="Arial Narrow" w:cs="Arial"/>
                <w:b/>
                <w:bCs/>
                <w:color w:val="000000"/>
                <w:sz w:val="24"/>
                <w:szCs w:val="24"/>
              </w:rPr>
              <w:t>9%</w:t>
            </w:r>
          </w:p>
        </w:tc>
        <w:tc>
          <w:tcPr>
            <w:tcW w:w="532" w:type="pct"/>
            <w:shd w:val="clear" w:color="auto" w:fill="auto"/>
            <w:vAlign w:val="bottom"/>
          </w:tcPr>
          <w:p w:rsidR="00F63FBB" w:rsidRPr="001A351F" w:rsidRDefault="00F63FBB" w:rsidP="00F63FB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24"/>
                <w:szCs w:val="24"/>
              </w:rPr>
            </w:pPr>
            <w:r w:rsidRPr="001A351F">
              <w:rPr>
                <w:rFonts w:ascii="Arial Narrow" w:hAnsi="Arial Narrow" w:cs="Arial"/>
                <w:b/>
                <w:bCs/>
                <w:color w:val="000000"/>
                <w:sz w:val="24"/>
                <w:szCs w:val="24"/>
              </w:rPr>
              <w:t>4%</w:t>
            </w:r>
          </w:p>
        </w:tc>
        <w:tc>
          <w:tcPr>
            <w:tcW w:w="588" w:type="pct"/>
            <w:shd w:val="clear" w:color="auto" w:fill="auto"/>
            <w:vAlign w:val="bottom"/>
          </w:tcPr>
          <w:p w:rsidR="00F63FBB" w:rsidRPr="001A351F" w:rsidRDefault="00F63FBB" w:rsidP="00F63FB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24"/>
                <w:szCs w:val="24"/>
              </w:rPr>
            </w:pPr>
            <w:r w:rsidRPr="001A351F">
              <w:rPr>
                <w:rFonts w:ascii="Arial Narrow" w:hAnsi="Arial Narrow" w:cs="Arial"/>
                <w:b/>
                <w:bCs/>
                <w:color w:val="000000"/>
                <w:sz w:val="24"/>
                <w:szCs w:val="24"/>
              </w:rPr>
              <w:t>100%</w:t>
            </w:r>
          </w:p>
        </w:tc>
        <w:tc>
          <w:tcPr>
            <w:tcW w:w="588" w:type="pct"/>
            <w:shd w:val="clear" w:color="auto" w:fill="auto"/>
            <w:vAlign w:val="bottom"/>
          </w:tcPr>
          <w:p w:rsidR="00F63FBB" w:rsidRPr="001A351F" w:rsidRDefault="00F63FBB" w:rsidP="00F63FB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24"/>
                <w:szCs w:val="24"/>
              </w:rPr>
            </w:pPr>
            <w:r w:rsidRPr="001A351F">
              <w:rPr>
                <w:rFonts w:ascii="Arial Narrow" w:hAnsi="Arial Narrow" w:cs="Arial"/>
                <w:b/>
                <w:bCs/>
                <w:color w:val="000000"/>
                <w:sz w:val="24"/>
                <w:szCs w:val="24"/>
              </w:rPr>
              <w:t>27%</w:t>
            </w:r>
          </w:p>
        </w:tc>
      </w:tr>
      <w:tr w:rsidR="00F63FBB" w:rsidRPr="001A351F" w:rsidTr="00700980">
        <w:tc>
          <w:tcPr>
            <w:cnfStyle w:val="001000000000" w:firstRow="0" w:lastRow="0" w:firstColumn="1" w:lastColumn="0" w:oddVBand="0" w:evenVBand="0" w:oddHBand="0" w:evenHBand="0" w:firstRowFirstColumn="0" w:firstRowLastColumn="0" w:lastRowFirstColumn="0" w:lastRowLastColumn="0"/>
            <w:tcW w:w="792" w:type="pct"/>
            <w:hideMark/>
          </w:tcPr>
          <w:p w:rsidR="00F63FBB" w:rsidRPr="001A351F" w:rsidRDefault="00F63FBB" w:rsidP="00F63FBB">
            <w:pPr>
              <w:keepNext/>
              <w:widowControl w:val="0"/>
              <w:tabs>
                <w:tab w:val="left" w:pos="1021"/>
              </w:tabs>
              <w:rPr>
                <w:rFonts w:ascii="Arial Narrow" w:hAnsi="Arial Narrow" w:cs="Arial"/>
                <w:b/>
                <w:sz w:val="24"/>
                <w:szCs w:val="24"/>
              </w:rPr>
            </w:pPr>
            <w:r w:rsidRPr="001A351F">
              <w:rPr>
                <w:rFonts w:ascii="Arial Narrow" w:hAnsi="Arial Narrow" w:cs="Arial"/>
                <w:sz w:val="24"/>
                <w:szCs w:val="24"/>
              </w:rPr>
              <w:t>West Sussex</w:t>
            </w:r>
          </w:p>
        </w:tc>
        <w:tc>
          <w:tcPr>
            <w:tcW w:w="738" w:type="pct"/>
            <w:hideMark/>
          </w:tcPr>
          <w:p w:rsidR="00F63FBB" w:rsidRPr="001A351F" w:rsidRDefault="00F63FBB" w:rsidP="00F63FBB">
            <w:pPr>
              <w:keepNext/>
              <w:widowControl w:val="0"/>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1A351F">
              <w:rPr>
                <w:rFonts w:ascii="Arial Narrow" w:hAnsi="Arial Narrow" w:cs="Arial"/>
                <w:sz w:val="24"/>
                <w:szCs w:val="24"/>
              </w:rPr>
              <w:t>% of popn</w:t>
            </w:r>
          </w:p>
        </w:tc>
        <w:tc>
          <w:tcPr>
            <w:tcW w:w="587" w:type="pct"/>
            <w:shd w:val="clear" w:color="auto" w:fill="auto"/>
            <w:vAlign w:val="bottom"/>
          </w:tcPr>
          <w:p w:rsidR="00F63FBB" w:rsidRPr="001A351F" w:rsidRDefault="00F63FBB" w:rsidP="00F63FB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1A351F">
              <w:rPr>
                <w:rFonts w:ascii="Arial Narrow" w:hAnsi="Arial Narrow" w:cs="Arial"/>
                <w:color w:val="000000"/>
                <w:sz w:val="24"/>
                <w:szCs w:val="24"/>
              </w:rPr>
              <w:t>77%</w:t>
            </w:r>
          </w:p>
        </w:tc>
        <w:tc>
          <w:tcPr>
            <w:tcW w:w="587" w:type="pct"/>
            <w:shd w:val="clear" w:color="auto" w:fill="auto"/>
            <w:vAlign w:val="bottom"/>
          </w:tcPr>
          <w:p w:rsidR="00F63FBB" w:rsidRPr="001A351F" w:rsidRDefault="00F63FBB" w:rsidP="00F63FB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1A351F">
              <w:rPr>
                <w:rFonts w:ascii="Arial Narrow" w:hAnsi="Arial Narrow" w:cs="Arial"/>
                <w:color w:val="000000"/>
                <w:sz w:val="24"/>
                <w:szCs w:val="24"/>
              </w:rPr>
              <w:t>12%</w:t>
            </w:r>
          </w:p>
        </w:tc>
        <w:tc>
          <w:tcPr>
            <w:tcW w:w="587" w:type="pct"/>
            <w:shd w:val="clear" w:color="auto" w:fill="auto"/>
            <w:vAlign w:val="bottom"/>
          </w:tcPr>
          <w:p w:rsidR="00F63FBB" w:rsidRPr="001A351F" w:rsidRDefault="00F63FBB" w:rsidP="00F63FB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1A351F">
              <w:rPr>
                <w:rFonts w:ascii="Arial Narrow" w:hAnsi="Arial Narrow" w:cs="Arial"/>
                <w:color w:val="000000"/>
                <w:sz w:val="24"/>
                <w:szCs w:val="24"/>
              </w:rPr>
              <w:t>7%</w:t>
            </w:r>
          </w:p>
        </w:tc>
        <w:tc>
          <w:tcPr>
            <w:tcW w:w="532" w:type="pct"/>
            <w:shd w:val="clear" w:color="auto" w:fill="auto"/>
            <w:vAlign w:val="bottom"/>
          </w:tcPr>
          <w:p w:rsidR="00F63FBB" w:rsidRPr="001A351F" w:rsidRDefault="00F63FBB" w:rsidP="00F63FB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1A351F">
              <w:rPr>
                <w:rFonts w:ascii="Arial Narrow" w:hAnsi="Arial Narrow" w:cs="Arial"/>
                <w:color w:val="000000"/>
                <w:sz w:val="24"/>
                <w:szCs w:val="24"/>
              </w:rPr>
              <w:t>3%</w:t>
            </w:r>
          </w:p>
        </w:tc>
        <w:tc>
          <w:tcPr>
            <w:tcW w:w="588" w:type="pct"/>
            <w:shd w:val="clear" w:color="auto" w:fill="auto"/>
            <w:vAlign w:val="bottom"/>
          </w:tcPr>
          <w:p w:rsidR="00F63FBB" w:rsidRPr="001A351F" w:rsidRDefault="00F63FBB" w:rsidP="00F63FB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1A351F">
              <w:rPr>
                <w:rFonts w:ascii="Arial Narrow" w:hAnsi="Arial Narrow" w:cs="Arial"/>
                <w:color w:val="000000"/>
                <w:sz w:val="24"/>
                <w:szCs w:val="24"/>
              </w:rPr>
              <w:t>100%</w:t>
            </w:r>
          </w:p>
        </w:tc>
        <w:tc>
          <w:tcPr>
            <w:tcW w:w="588" w:type="pct"/>
            <w:shd w:val="clear" w:color="auto" w:fill="auto"/>
            <w:vAlign w:val="bottom"/>
          </w:tcPr>
          <w:p w:rsidR="00F63FBB" w:rsidRPr="001A351F" w:rsidRDefault="00F63FBB" w:rsidP="00F63FB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1A351F">
              <w:rPr>
                <w:rFonts w:ascii="Arial Narrow" w:hAnsi="Arial Narrow" w:cs="Arial"/>
                <w:color w:val="000000"/>
                <w:sz w:val="24"/>
                <w:szCs w:val="24"/>
              </w:rPr>
              <w:t>23%</w:t>
            </w:r>
          </w:p>
        </w:tc>
      </w:tr>
      <w:tr w:rsidR="00F63FBB" w:rsidRPr="001A351F" w:rsidTr="00700980">
        <w:tc>
          <w:tcPr>
            <w:cnfStyle w:val="001000000000" w:firstRow="0" w:lastRow="0" w:firstColumn="1" w:lastColumn="0" w:oddVBand="0" w:evenVBand="0" w:oddHBand="0" w:evenHBand="0" w:firstRowFirstColumn="0" w:firstRowLastColumn="0" w:lastRowFirstColumn="0" w:lastRowLastColumn="0"/>
            <w:tcW w:w="792" w:type="pct"/>
            <w:hideMark/>
          </w:tcPr>
          <w:p w:rsidR="00F63FBB" w:rsidRPr="001A351F" w:rsidRDefault="00F63FBB" w:rsidP="00F63FBB">
            <w:pPr>
              <w:keepNext/>
              <w:widowControl w:val="0"/>
              <w:tabs>
                <w:tab w:val="left" w:pos="1021"/>
              </w:tabs>
              <w:rPr>
                <w:rFonts w:ascii="Arial Narrow" w:hAnsi="Arial Narrow" w:cs="Arial"/>
                <w:b/>
                <w:sz w:val="24"/>
                <w:szCs w:val="24"/>
              </w:rPr>
            </w:pPr>
            <w:r w:rsidRPr="001A351F">
              <w:rPr>
                <w:rFonts w:ascii="Arial Narrow" w:hAnsi="Arial Narrow" w:cs="Arial"/>
                <w:sz w:val="24"/>
                <w:szCs w:val="24"/>
              </w:rPr>
              <w:t>South East</w:t>
            </w:r>
          </w:p>
        </w:tc>
        <w:tc>
          <w:tcPr>
            <w:tcW w:w="738" w:type="pct"/>
            <w:hideMark/>
          </w:tcPr>
          <w:p w:rsidR="00F63FBB" w:rsidRPr="001A351F" w:rsidRDefault="00F63FBB" w:rsidP="00F63FBB">
            <w:pPr>
              <w:keepNext/>
              <w:widowControl w:val="0"/>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1A351F">
              <w:rPr>
                <w:rFonts w:ascii="Arial Narrow" w:hAnsi="Arial Narrow" w:cs="Arial"/>
                <w:sz w:val="24"/>
                <w:szCs w:val="24"/>
              </w:rPr>
              <w:t>% of popn</w:t>
            </w:r>
          </w:p>
        </w:tc>
        <w:tc>
          <w:tcPr>
            <w:tcW w:w="587" w:type="pct"/>
            <w:shd w:val="clear" w:color="auto" w:fill="auto"/>
            <w:vAlign w:val="bottom"/>
          </w:tcPr>
          <w:p w:rsidR="00F63FBB" w:rsidRPr="001A351F" w:rsidRDefault="00F63FBB" w:rsidP="00F63FB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1A351F">
              <w:rPr>
                <w:rFonts w:ascii="Arial Narrow" w:hAnsi="Arial Narrow" w:cs="Arial"/>
                <w:color w:val="000000"/>
                <w:sz w:val="24"/>
                <w:szCs w:val="24"/>
              </w:rPr>
              <w:t>81%</w:t>
            </w:r>
          </w:p>
        </w:tc>
        <w:tc>
          <w:tcPr>
            <w:tcW w:w="587" w:type="pct"/>
            <w:shd w:val="clear" w:color="auto" w:fill="auto"/>
            <w:vAlign w:val="bottom"/>
          </w:tcPr>
          <w:p w:rsidR="00F63FBB" w:rsidRPr="001A351F" w:rsidRDefault="00F63FBB" w:rsidP="00F63FB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1A351F">
              <w:rPr>
                <w:rFonts w:ascii="Arial Narrow" w:hAnsi="Arial Narrow" w:cs="Arial"/>
                <w:color w:val="000000"/>
                <w:sz w:val="24"/>
                <w:szCs w:val="24"/>
              </w:rPr>
              <w:t>10%</w:t>
            </w:r>
          </w:p>
        </w:tc>
        <w:tc>
          <w:tcPr>
            <w:tcW w:w="587" w:type="pct"/>
            <w:shd w:val="clear" w:color="auto" w:fill="auto"/>
            <w:vAlign w:val="bottom"/>
          </w:tcPr>
          <w:p w:rsidR="00F63FBB" w:rsidRPr="001A351F" w:rsidRDefault="00F63FBB" w:rsidP="00F63FB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1A351F">
              <w:rPr>
                <w:rFonts w:ascii="Arial Narrow" w:hAnsi="Arial Narrow" w:cs="Arial"/>
                <w:color w:val="000000"/>
                <w:sz w:val="24"/>
                <w:szCs w:val="24"/>
              </w:rPr>
              <w:t>6%</w:t>
            </w:r>
          </w:p>
        </w:tc>
        <w:tc>
          <w:tcPr>
            <w:tcW w:w="532" w:type="pct"/>
            <w:shd w:val="clear" w:color="auto" w:fill="auto"/>
            <w:vAlign w:val="bottom"/>
          </w:tcPr>
          <w:p w:rsidR="00F63FBB" w:rsidRPr="001A351F" w:rsidRDefault="00F63FBB" w:rsidP="00F63FB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1A351F">
              <w:rPr>
                <w:rFonts w:ascii="Arial Narrow" w:hAnsi="Arial Narrow" w:cs="Arial"/>
                <w:color w:val="000000"/>
                <w:sz w:val="24"/>
                <w:szCs w:val="24"/>
              </w:rPr>
              <w:t>3%</w:t>
            </w:r>
          </w:p>
        </w:tc>
        <w:tc>
          <w:tcPr>
            <w:tcW w:w="588" w:type="pct"/>
            <w:shd w:val="clear" w:color="auto" w:fill="auto"/>
            <w:vAlign w:val="bottom"/>
          </w:tcPr>
          <w:p w:rsidR="00F63FBB" w:rsidRPr="001A351F" w:rsidRDefault="00F63FBB" w:rsidP="00F63FB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1A351F">
              <w:rPr>
                <w:rFonts w:ascii="Arial Narrow" w:hAnsi="Arial Narrow" w:cs="Arial"/>
                <w:color w:val="000000"/>
                <w:sz w:val="24"/>
                <w:szCs w:val="24"/>
              </w:rPr>
              <w:t>100%</w:t>
            </w:r>
          </w:p>
        </w:tc>
        <w:tc>
          <w:tcPr>
            <w:tcW w:w="588" w:type="pct"/>
            <w:shd w:val="clear" w:color="auto" w:fill="auto"/>
            <w:vAlign w:val="bottom"/>
          </w:tcPr>
          <w:p w:rsidR="00F63FBB" w:rsidRPr="001A351F" w:rsidRDefault="00F63FBB" w:rsidP="00F63FB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1A351F">
              <w:rPr>
                <w:rFonts w:ascii="Arial Narrow" w:hAnsi="Arial Narrow" w:cs="Arial"/>
                <w:color w:val="000000"/>
                <w:sz w:val="24"/>
                <w:szCs w:val="24"/>
              </w:rPr>
              <w:t>19%</w:t>
            </w:r>
          </w:p>
        </w:tc>
      </w:tr>
      <w:tr w:rsidR="00F63FBB" w:rsidRPr="001A351F" w:rsidTr="00700980">
        <w:tc>
          <w:tcPr>
            <w:cnfStyle w:val="001000000000" w:firstRow="0" w:lastRow="0" w:firstColumn="1" w:lastColumn="0" w:oddVBand="0" w:evenVBand="0" w:oddHBand="0" w:evenHBand="0" w:firstRowFirstColumn="0" w:firstRowLastColumn="0" w:lastRowFirstColumn="0" w:lastRowLastColumn="0"/>
            <w:tcW w:w="792" w:type="pct"/>
            <w:hideMark/>
          </w:tcPr>
          <w:p w:rsidR="00F63FBB" w:rsidRPr="001A351F" w:rsidRDefault="00F63FBB" w:rsidP="00F63FBB">
            <w:pPr>
              <w:keepNext/>
              <w:widowControl w:val="0"/>
              <w:tabs>
                <w:tab w:val="left" w:pos="1021"/>
              </w:tabs>
              <w:rPr>
                <w:rFonts w:ascii="Arial Narrow" w:hAnsi="Arial Narrow" w:cs="Arial"/>
                <w:sz w:val="24"/>
                <w:szCs w:val="24"/>
              </w:rPr>
            </w:pPr>
            <w:r w:rsidRPr="001A351F">
              <w:rPr>
                <w:rFonts w:ascii="Arial Narrow" w:hAnsi="Arial Narrow" w:cs="Arial"/>
                <w:sz w:val="24"/>
                <w:szCs w:val="24"/>
              </w:rPr>
              <w:t>England</w:t>
            </w:r>
          </w:p>
        </w:tc>
        <w:tc>
          <w:tcPr>
            <w:tcW w:w="738" w:type="pct"/>
            <w:hideMark/>
          </w:tcPr>
          <w:p w:rsidR="00F63FBB" w:rsidRPr="001A351F" w:rsidRDefault="00F63FBB" w:rsidP="00F63FBB">
            <w:pPr>
              <w:keepNext/>
              <w:widowControl w:val="0"/>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1A351F">
              <w:rPr>
                <w:rFonts w:ascii="Arial Narrow" w:hAnsi="Arial Narrow" w:cs="Arial"/>
                <w:sz w:val="24"/>
                <w:szCs w:val="24"/>
              </w:rPr>
              <w:t>% of popn</w:t>
            </w:r>
          </w:p>
        </w:tc>
        <w:tc>
          <w:tcPr>
            <w:tcW w:w="587" w:type="pct"/>
            <w:shd w:val="clear" w:color="auto" w:fill="auto"/>
            <w:vAlign w:val="bottom"/>
          </w:tcPr>
          <w:p w:rsidR="00F63FBB" w:rsidRPr="001A351F" w:rsidRDefault="00F63FBB" w:rsidP="00F63FB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1A351F">
              <w:rPr>
                <w:rFonts w:ascii="Arial Narrow" w:hAnsi="Arial Narrow" w:cs="Arial"/>
                <w:color w:val="000000"/>
                <w:sz w:val="24"/>
                <w:szCs w:val="24"/>
              </w:rPr>
              <w:t>82%</w:t>
            </w:r>
          </w:p>
        </w:tc>
        <w:tc>
          <w:tcPr>
            <w:tcW w:w="587" w:type="pct"/>
            <w:shd w:val="clear" w:color="auto" w:fill="auto"/>
            <w:vAlign w:val="bottom"/>
          </w:tcPr>
          <w:p w:rsidR="00F63FBB" w:rsidRPr="001A351F" w:rsidRDefault="00F63FBB" w:rsidP="00F63FB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1A351F">
              <w:rPr>
                <w:rFonts w:ascii="Arial Narrow" w:hAnsi="Arial Narrow" w:cs="Arial"/>
                <w:color w:val="000000"/>
                <w:sz w:val="24"/>
                <w:szCs w:val="24"/>
              </w:rPr>
              <w:t>10%</w:t>
            </w:r>
          </w:p>
        </w:tc>
        <w:tc>
          <w:tcPr>
            <w:tcW w:w="587" w:type="pct"/>
            <w:shd w:val="clear" w:color="auto" w:fill="auto"/>
            <w:vAlign w:val="bottom"/>
          </w:tcPr>
          <w:p w:rsidR="00F63FBB" w:rsidRPr="001A351F" w:rsidRDefault="00F63FBB" w:rsidP="00F63FB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1A351F">
              <w:rPr>
                <w:rFonts w:ascii="Arial Narrow" w:hAnsi="Arial Narrow" w:cs="Arial"/>
                <w:color w:val="000000"/>
                <w:sz w:val="24"/>
                <w:szCs w:val="24"/>
              </w:rPr>
              <w:t>6%</w:t>
            </w:r>
          </w:p>
        </w:tc>
        <w:tc>
          <w:tcPr>
            <w:tcW w:w="532" w:type="pct"/>
            <w:shd w:val="clear" w:color="auto" w:fill="auto"/>
            <w:vAlign w:val="bottom"/>
          </w:tcPr>
          <w:p w:rsidR="00F63FBB" w:rsidRPr="001A351F" w:rsidRDefault="00F63FBB" w:rsidP="00F63FB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1A351F">
              <w:rPr>
                <w:rFonts w:ascii="Arial Narrow" w:hAnsi="Arial Narrow" w:cs="Arial"/>
                <w:color w:val="000000"/>
                <w:sz w:val="24"/>
                <w:szCs w:val="24"/>
              </w:rPr>
              <w:t>2%</w:t>
            </w:r>
          </w:p>
        </w:tc>
        <w:tc>
          <w:tcPr>
            <w:tcW w:w="588" w:type="pct"/>
            <w:shd w:val="clear" w:color="auto" w:fill="auto"/>
            <w:vAlign w:val="bottom"/>
          </w:tcPr>
          <w:p w:rsidR="00F63FBB" w:rsidRPr="001A351F" w:rsidRDefault="00F63FBB" w:rsidP="00F63FB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1A351F">
              <w:rPr>
                <w:rFonts w:ascii="Arial Narrow" w:hAnsi="Arial Narrow" w:cs="Arial"/>
                <w:color w:val="000000"/>
                <w:sz w:val="24"/>
                <w:szCs w:val="24"/>
              </w:rPr>
              <w:t>100%</w:t>
            </w:r>
          </w:p>
        </w:tc>
        <w:tc>
          <w:tcPr>
            <w:tcW w:w="588" w:type="pct"/>
            <w:shd w:val="clear" w:color="auto" w:fill="auto"/>
            <w:vAlign w:val="bottom"/>
          </w:tcPr>
          <w:p w:rsidR="00F63FBB" w:rsidRPr="001A351F" w:rsidRDefault="00F63FBB" w:rsidP="00F63FB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1A351F">
              <w:rPr>
                <w:rFonts w:ascii="Arial Narrow" w:hAnsi="Arial Narrow" w:cs="Arial"/>
                <w:color w:val="000000"/>
                <w:sz w:val="24"/>
                <w:szCs w:val="24"/>
              </w:rPr>
              <w:t>18%</w:t>
            </w:r>
          </w:p>
        </w:tc>
      </w:tr>
    </w:tbl>
    <w:p w:rsidR="00F63FBB" w:rsidRPr="001A351F" w:rsidRDefault="00F63FBB" w:rsidP="00700980">
      <w:pPr>
        <w:pStyle w:val="11Body"/>
        <w:widowControl w:val="0"/>
        <w:numPr>
          <w:ilvl w:val="0"/>
          <w:numId w:val="0"/>
        </w:numPr>
        <w:tabs>
          <w:tab w:val="clear" w:pos="1021"/>
          <w:tab w:val="num" w:pos="0"/>
        </w:tabs>
        <w:spacing w:before="0" w:after="120" w:line="360" w:lineRule="auto"/>
        <w:rPr>
          <w:rFonts w:cs="Arial"/>
          <w:color w:val="auto"/>
          <w:sz w:val="24"/>
          <w:szCs w:val="24"/>
          <w:lang w:val="en-GB"/>
        </w:rPr>
      </w:pPr>
      <w:r w:rsidRPr="001A351F">
        <w:rPr>
          <w:color w:val="auto"/>
          <w:sz w:val="24"/>
          <w:szCs w:val="24"/>
          <w:lang w:val="en-GB"/>
        </w:rPr>
        <w:t>Source: ONS 2018 Mid-Year Population Estimates</w:t>
      </w:r>
    </w:p>
    <w:p w:rsidR="00F63FBB" w:rsidRPr="00CA47B9" w:rsidRDefault="00F63FBB" w:rsidP="00805614">
      <w:pPr>
        <w:pStyle w:val="SubheadBlue12"/>
        <w:ind w:left="567" w:firstLine="0"/>
      </w:pPr>
      <w:r w:rsidRPr="00CA47B9">
        <w:t>Future Changes in the Population of Older Persons</w:t>
      </w:r>
    </w:p>
    <w:p w:rsidR="00F63FBB" w:rsidRPr="00CA47B9" w:rsidRDefault="00F63FBB" w:rsidP="0028171E">
      <w:pPr>
        <w:pStyle w:val="11Bodytext"/>
        <w:tabs>
          <w:tab w:val="clear" w:pos="2212"/>
        </w:tabs>
        <w:ind w:left="567" w:hanging="567"/>
      </w:pPr>
      <w:r w:rsidRPr="00CA47B9">
        <w:t xml:space="preserve">As well as providing a baseline position for the proportion of older persons in the District, population projections can be used to </w:t>
      </w:r>
      <w:r w:rsidR="00855CA6">
        <w:t>indicate</w:t>
      </w:r>
      <w:r w:rsidRPr="00CA47B9">
        <w:t xml:space="preserve"> how the numbers might change in the future compared with other areas. </w:t>
      </w:r>
    </w:p>
    <w:p w:rsidR="00F63FBB" w:rsidRPr="00CA47B9" w:rsidRDefault="00F63FBB" w:rsidP="0028171E">
      <w:pPr>
        <w:pStyle w:val="11Bodytext"/>
        <w:tabs>
          <w:tab w:val="clear" w:pos="2212"/>
        </w:tabs>
        <w:ind w:left="567" w:hanging="567"/>
      </w:pPr>
      <w:r w:rsidRPr="00CA47B9">
        <w:t xml:space="preserve">The data presented below uses the 2014-based SNPP for consistency across areas and runs from 2019 to 2036 to be consistent with projections developed for use within this report. The data for the District (including the National Park) has additionally been updated to reflect ONS mid-year population estimates (MYE) up to 2018. The population projections are based on the delivery of </w:t>
      </w:r>
      <w:r w:rsidR="008970B2">
        <w:t>731</w:t>
      </w:r>
      <w:r w:rsidRPr="00CA47B9">
        <w:t xml:space="preserve"> dpa over the 2019 to 2036 period. </w:t>
      </w:r>
    </w:p>
    <w:p w:rsidR="00F63FBB" w:rsidRPr="00CA47B9" w:rsidRDefault="00F63FBB" w:rsidP="0028171E">
      <w:pPr>
        <w:pStyle w:val="11Bodytext"/>
        <w:tabs>
          <w:tab w:val="clear" w:pos="2212"/>
        </w:tabs>
        <w:ind w:left="567" w:hanging="567"/>
      </w:pPr>
      <w:r w:rsidRPr="00CA47B9">
        <w:lastRenderedPageBreak/>
        <w:t>The table below shows that the District is expected to see a notable increase in the older person population with the total number of people aged 75 and over expected to increase by around 55%</w:t>
      </w:r>
      <w:r w:rsidR="00AD30BE">
        <w:t xml:space="preserve"> between 2019 and 2036</w:t>
      </w:r>
      <w:r w:rsidRPr="00CA47B9">
        <w:t xml:space="preserve">. This compares with </w:t>
      </w:r>
      <w:r w:rsidR="00855CA6">
        <w:t xml:space="preserve">an </w:t>
      </w:r>
      <w:r w:rsidRPr="00CA47B9">
        <w:t xml:space="preserve">overall population growth of </w:t>
      </w:r>
      <w:r w:rsidR="008970B2">
        <w:t>16</w:t>
      </w:r>
      <w:r w:rsidRPr="00CA47B9">
        <w:t xml:space="preserve">% and an increase in the </w:t>
      </w:r>
      <w:r w:rsidR="00A36190">
        <w:t>u</w:t>
      </w:r>
      <w:r w:rsidRPr="00CA47B9">
        <w:t>nder 75 population of around 1</w:t>
      </w:r>
      <w:r w:rsidR="008970B2">
        <w:t>0</w:t>
      </w:r>
      <w:r w:rsidRPr="00CA47B9">
        <w:t xml:space="preserve">%. </w:t>
      </w:r>
    </w:p>
    <w:p w:rsidR="00F63FBB" w:rsidRPr="00CA47B9" w:rsidRDefault="00F63FBB" w:rsidP="00700980">
      <w:pPr>
        <w:pStyle w:val="Tableheading"/>
        <w:tabs>
          <w:tab w:val="clear" w:pos="794"/>
          <w:tab w:val="clear" w:pos="1843"/>
          <w:tab w:val="left" w:pos="0"/>
        </w:tabs>
        <w:ind w:left="0" w:firstLine="0"/>
      </w:pPr>
      <w:r w:rsidRPr="00CA47B9">
        <w:t>Projected Percentage Change in Population of Older Persons (2019 to 2036)</w:t>
      </w:r>
      <w:r w:rsidR="008970B2">
        <w:t xml:space="preserve"> – Chichester District</w:t>
      </w:r>
    </w:p>
    <w:tbl>
      <w:tblPr>
        <w:tblStyle w:val="TableGridLight1"/>
        <w:tblW w:w="4894" w:type="pct"/>
        <w:tblInd w:w="108" w:type="dxa"/>
        <w:tblLook w:val="0600" w:firstRow="0" w:lastRow="0" w:firstColumn="0" w:lastColumn="0" w:noHBand="1" w:noVBand="1"/>
        <w:tblCaption w:val="Table 39: Projected Percentage Change in Population of Older Persons (2019 to 2036) – Chichester District"/>
      </w:tblPr>
      <w:tblGrid>
        <w:gridCol w:w="1863"/>
        <w:gridCol w:w="1969"/>
        <w:gridCol w:w="1968"/>
        <w:gridCol w:w="2138"/>
        <w:gridCol w:w="1700"/>
      </w:tblGrid>
      <w:tr w:rsidR="00F63FBB" w:rsidRPr="001A351F" w:rsidTr="00700980">
        <w:trPr>
          <w:tblHeader/>
        </w:trPr>
        <w:tc>
          <w:tcPr>
            <w:tcW w:w="966" w:type="pct"/>
            <w:shd w:val="clear" w:color="auto" w:fill="0093D5" w:themeFill="accent2"/>
            <w:hideMark/>
          </w:tcPr>
          <w:p w:rsidR="00F63FBB" w:rsidRPr="001A351F" w:rsidRDefault="00F63FBB" w:rsidP="00D201B7">
            <w:pPr>
              <w:keepNext/>
              <w:spacing w:line="300" w:lineRule="auto"/>
              <w:rPr>
                <w:rFonts w:ascii="Arial Narrow" w:hAnsi="Arial Narrow" w:cs="Arial"/>
                <w:color w:val="FFFFFF" w:themeColor="background1"/>
                <w:sz w:val="24"/>
                <w:szCs w:val="24"/>
              </w:rPr>
            </w:pPr>
          </w:p>
        </w:tc>
        <w:tc>
          <w:tcPr>
            <w:tcW w:w="1021" w:type="pct"/>
            <w:shd w:val="clear" w:color="auto" w:fill="0093D5" w:themeFill="accent2"/>
            <w:vAlign w:val="center"/>
            <w:hideMark/>
          </w:tcPr>
          <w:p w:rsidR="00F63FBB" w:rsidRPr="001A351F" w:rsidRDefault="00F63FBB" w:rsidP="00D201B7">
            <w:pPr>
              <w:keepNext/>
              <w:spacing w:line="300" w:lineRule="auto"/>
              <w:jc w:val="center"/>
              <w:rPr>
                <w:rFonts w:ascii="Arial Narrow" w:hAnsi="Arial Narrow" w:cs="Arial"/>
                <w:color w:val="FFFFFF" w:themeColor="background1"/>
                <w:sz w:val="24"/>
                <w:szCs w:val="24"/>
              </w:rPr>
            </w:pPr>
            <w:r w:rsidRPr="001A351F">
              <w:rPr>
                <w:rFonts w:ascii="Arial Narrow" w:hAnsi="Arial Narrow" w:cs="Arial"/>
                <w:color w:val="FFFFFF" w:themeColor="background1"/>
                <w:sz w:val="24"/>
                <w:szCs w:val="24"/>
              </w:rPr>
              <w:t>Population 2019</w:t>
            </w:r>
          </w:p>
        </w:tc>
        <w:tc>
          <w:tcPr>
            <w:tcW w:w="1021" w:type="pct"/>
            <w:shd w:val="clear" w:color="auto" w:fill="0093D5" w:themeFill="accent2"/>
            <w:vAlign w:val="center"/>
            <w:hideMark/>
          </w:tcPr>
          <w:p w:rsidR="00F63FBB" w:rsidRPr="001A351F" w:rsidRDefault="00F63FBB" w:rsidP="00D201B7">
            <w:pPr>
              <w:keepNext/>
              <w:spacing w:line="300" w:lineRule="auto"/>
              <w:jc w:val="center"/>
              <w:rPr>
                <w:rFonts w:ascii="Arial Narrow" w:hAnsi="Arial Narrow" w:cs="Arial"/>
                <w:color w:val="FFFFFF" w:themeColor="background1"/>
                <w:sz w:val="24"/>
                <w:szCs w:val="24"/>
              </w:rPr>
            </w:pPr>
            <w:r w:rsidRPr="001A351F">
              <w:rPr>
                <w:rFonts w:ascii="Arial Narrow" w:hAnsi="Arial Narrow" w:cs="Arial"/>
                <w:color w:val="FFFFFF" w:themeColor="background1"/>
                <w:sz w:val="24"/>
                <w:szCs w:val="24"/>
              </w:rPr>
              <w:t>Population 2036</w:t>
            </w:r>
          </w:p>
        </w:tc>
        <w:tc>
          <w:tcPr>
            <w:tcW w:w="1109" w:type="pct"/>
            <w:shd w:val="clear" w:color="auto" w:fill="0093D5" w:themeFill="accent2"/>
            <w:vAlign w:val="center"/>
            <w:hideMark/>
          </w:tcPr>
          <w:p w:rsidR="00F63FBB" w:rsidRPr="001A351F" w:rsidRDefault="00F63FBB" w:rsidP="00D201B7">
            <w:pPr>
              <w:keepNext/>
              <w:spacing w:line="300" w:lineRule="auto"/>
              <w:jc w:val="center"/>
              <w:rPr>
                <w:rFonts w:ascii="Arial Narrow" w:hAnsi="Arial Narrow" w:cs="Arial"/>
                <w:color w:val="FFFFFF" w:themeColor="background1"/>
                <w:sz w:val="24"/>
                <w:szCs w:val="24"/>
              </w:rPr>
            </w:pPr>
            <w:r w:rsidRPr="001A351F">
              <w:rPr>
                <w:rFonts w:ascii="Arial Narrow" w:hAnsi="Arial Narrow" w:cs="Arial"/>
                <w:color w:val="FFFFFF" w:themeColor="background1"/>
                <w:sz w:val="24"/>
                <w:szCs w:val="24"/>
              </w:rPr>
              <w:t>Change in population</w:t>
            </w:r>
          </w:p>
        </w:tc>
        <w:tc>
          <w:tcPr>
            <w:tcW w:w="882" w:type="pct"/>
            <w:shd w:val="clear" w:color="auto" w:fill="0093D5" w:themeFill="accent2"/>
            <w:vAlign w:val="center"/>
            <w:hideMark/>
          </w:tcPr>
          <w:p w:rsidR="00F63FBB" w:rsidRPr="001A351F" w:rsidRDefault="00F63FBB" w:rsidP="00D201B7">
            <w:pPr>
              <w:keepNext/>
              <w:spacing w:line="300" w:lineRule="auto"/>
              <w:jc w:val="center"/>
              <w:rPr>
                <w:rFonts w:ascii="Arial Narrow" w:hAnsi="Arial Narrow" w:cs="Arial"/>
                <w:color w:val="FFFFFF" w:themeColor="background1"/>
                <w:sz w:val="24"/>
                <w:szCs w:val="24"/>
              </w:rPr>
            </w:pPr>
            <w:r w:rsidRPr="001A351F">
              <w:rPr>
                <w:rFonts w:ascii="Arial Narrow" w:hAnsi="Arial Narrow" w:cs="Arial"/>
                <w:color w:val="FFFFFF" w:themeColor="background1"/>
                <w:sz w:val="24"/>
                <w:szCs w:val="24"/>
              </w:rPr>
              <w:t>% Change</w:t>
            </w:r>
          </w:p>
        </w:tc>
      </w:tr>
      <w:tr w:rsidR="008970B2" w:rsidRPr="001A351F" w:rsidTr="00700980">
        <w:tc>
          <w:tcPr>
            <w:tcW w:w="966" w:type="pct"/>
            <w:vAlign w:val="center"/>
            <w:hideMark/>
          </w:tcPr>
          <w:p w:rsidR="008970B2" w:rsidRPr="001A351F" w:rsidRDefault="008970B2" w:rsidP="00700980">
            <w:pPr>
              <w:keepNext/>
              <w:spacing w:line="300" w:lineRule="auto"/>
              <w:rPr>
                <w:rFonts w:ascii="Arial Narrow" w:hAnsi="Arial Narrow" w:cs="Arial"/>
                <w:sz w:val="24"/>
                <w:szCs w:val="24"/>
              </w:rPr>
            </w:pPr>
            <w:r w:rsidRPr="001A351F">
              <w:rPr>
                <w:rFonts w:ascii="Arial Narrow" w:hAnsi="Arial Narrow" w:cs="Arial"/>
                <w:sz w:val="24"/>
                <w:szCs w:val="24"/>
              </w:rPr>
              <w:t>Under 75</w:t>
            </w:r>
          </w:p>
        </w:tc>
        <w:tc>
          <w:tcPr>
            <w:tcW w:w="1021" w:type="pct"/>
            <w:vAlign w:val="center"/>
            <w:hideMark/>
          </w:tcPr>
          <w:p w:rsidR="008970B2" w:rsidRPr="001A351F" w:rsidRDefault="008970B2" w:rsidP="00700980">
            <w:pPr>
              <w:keepNext/>
              <w:spacing w:line="300" w:lineRule="auto"/>
              <w:jc w:val="center"/>
              <w:rPr>
                <w:rFonts w:ascii="Arial Narrow" w:hAnsi="Arial Narrow" w:cs="Arial"/>
                <w:sz w:val="24"/>
                <w:szCs w:val="24"/>
              </w:rPr>
            </w:pPr>
            <w:r w:rsidRPr="001A351F">
              <w:rPr>
                <w:rFonts w:ascii="Arial Narrow" w:hAnsi="Arial Narrow" w:cs="Arial"/>
                <w:color w:val="000000"/>
                <w:sz w:val="24"/>
                <w:szCs w:val="24"/>
              </w:rPr>
              <w:t>105,224</w:t>
            </w:r>
          </w:p>
        </w:tc>
        <w:tc>
          <w:tcPr>
            <w:tcW w:w="1021" w:type="pct"/>
            <w:vAlign w:val="center"/>
            <w:hideMark/>
          </w:tcPr>
          <w:p w:rsidR="008970B2" w:rsidRPr="001A351F" w:rsidRDefault="008970B2" w:rsidP="00700980">
            <w:pPr>
              <w:keepNext/>
              <w:spacing w:line="300" w:lineRule="auto"/>
              <w:jc w:val="center"/>
              <w:rPr>
                <w:rFonts w:ascii="Arial Narrow" w:hAnsi="Arial Narrow" w:cs="Arial"/>
                <w:sz w:val="24"/>
                <w:szCs w:val="24"/>
              </w:rPr>
            </w:pPr>
            <w:r w:rsidRPr="001A351F">
              <w:rPr>
                <w:rFonts w:ascii="Arial Narrow" w:hAnsi="Arial Narrow" w:cs="Arial"/>
                <w:color w:val="000000"/>
                <w:sz w:val="24"/>
                <w:szCs w:val="24"/>
              </w:rPr>
              <w:t>116,098</w:t>
            </w:r>
          </w:p>
        </w:tc>
        <w:tc>
          <w:tcPr>
            <w:tcW w:w="1109" w:type="pct"/>
            <w:vAlign w:val="center"/>
            <w:hideMark/>
          </w:tcPr>
          <w:p w:rsidR="008970B2" w:rsidRPr="001A351F" w:rsidRDefault="008970B2" w:rsidP="00700980">
            <w:pPr>
              <w:keepNext/>
              <w:spacing w:line="300" w:lineRule="auto"/>
              <w:jc w:val="center"/>
              <w:rPr>
                <w:rFonts w:ascii="Arial Narrow" w:hAnsi="Arial Narrow" w:cs="Arial"/>
                <w:sz w:val="24"/>
                <w:szCs w:val="24"/>
              </w:rPr>
            </w:pPr>
            <w:r w:rsidRPr="001A351F">
              <w:rPr>
                <w:rFonts w:ascii="Arial Narrow" w:hAnsi="Arial Narrow" w:cs="Arial"/>
                <w:color w:val="000000"/>
                <w:sz w:val="24"/>
                <w:szCs w:val="24"/>
              </w:rPr>
              <w:t>10,874</w:t>
            </w:r>
          </w:p>
        </w:tc>
        <w:tc>
          <w:tcPr>
            <w:tcW w:w="882" w:type="pct"/>
            <w:vAlign w:val="center"/>
            <w:hideMark/>
          </w:tcPr>
          <w:p w:rsidR="008970B2" w:rsidRPr="001A351F" w:rsidRDefault="008970B2" w:rsidP="00700980">
            <w:pPr>
              <w:keepNext/>
              <w:spacing w:line="300" w:lineRule="auto"/>
              <w:jc w:val="center"/>
              <w:rPr>
                <w:rFonts w:ascii="Arial Narrow" w:hAnsi="Arial Narrow" w:cs="Arial"/>
                <w:sz w:val="24"/>
                <w:szCs w:val="24"/>
              </w:rPr>
            </w:pPr>
            <w:r w:rsidRPr="001A351F">
              <w:rPr>
                <w:rFonts w:ascii="Arial Narrow" w:hAnsi="Arial Narrow" w:cs="Arial"/>
                <w:color w:val="000000"/>
                <w:sz w:val="24"/>
                <w:szCs w:val="24"/>
              </w:rPr>
              <w:t>10.3%</w:t>
            </w:r>
          </w:p>
        </w:tc>
      </w:tr>
      <w:tr w:rsidR="008970B2" w:rsidRPr="001A351F" w:rsidTr="00700980">
        <w:tc>
          <w:tcPr>
            <w:tcW w:w="966" w:type="pct"/>
            <w:vAlign w:val="center"/>
            <w:hideMark/>
          </w:tcPr>
          <w:p w:rsidR="008970B2" w:rsidRPr="001A351F" w:rsidRDefault="008970B2" w:rsidP="00700980">
            <w:pPr>
              <w:keepNext/>
              <w:spacing w:line="300" w:lineRule="auto"/>
              <w:rPr>
                <w:rFonts w:ascii="Arial Narrow" w:hAnsi="Arial Narrow" w:cs="Arial"/>
                <w:sz w:val="24"/>
                <w:szCs w:val="24"/>
              </w:rPr>
            </w:pPr>
            <w:r w:rsidRPr="001A351F">
              <w:rPr>
                <w:rFonts w:ascii="Arial Narrow" w:hAnsi="Arial Narrow" w:cs="Arial"/>
                <w:sz w:val="24"/>
                <w:szCs w:val="24"/>
              </w:rPr>
              <w:t>75 and Over</w:t>
            </w:r>
          </w:p>
        </w:tc>
        <w:tc>
          <w:tcPr>
            <w:tcW w:w="1021" w:type="pct"/>
            <w:vAlign w:val="center"/>
            <w:hideMark/>
          </w:tcPr>
          <w:p w:rsidR="008970B2" w:rsidRPr="001A351F" w:rsidRDefault="008970B2" w:rsidP="00700980">
            <w:pPr>
              <w:keepNext/>
              <w:spacing w:line="300" w:lineRule="auto"/>
              <w:jc w:val="center"/>
              <w:rPr>
                <w:rFonts w:ascii="Arial Narrow" w:hAnsi="Arial Narrow" w:cs="Arial"/>
                <w:sz w:val="24"/>
                <w:szCs w:val="24"/>
              </w:rPr>
            </w:pPr>
            <w:r w:rsidRPr="001A351F">
              <w:rPr>
                <w:rFonts w:ascii="Arial Narrow" w:hAnsi="Arial Narrow" w:cs="Arial"/>
                <w:color w:val="000000"/>
                <w:sz w:val="24"/>
                <w:szCs w:val="24"/>
              </w:rPr>
              <w:t>16,404</w:t>
            </w:r>
          </w:p>
        </w:tc>
        <w:tc>
          <w:tcPr>
            <w:tcW w:w="1021" w:type="pct"/>
            <w:vAlign w:val="center"/>
            <w:hideMark/>
          </w:tcPr>
          <w:p w:rsidR="008970B2" w:rsidRPr="001A351F" w:rsidRDefault="008970B2" w:rsidP="00700980">
            <w:pPr>
              <w:keepNext/>
              <w:spacing w:line="300" w:lineRule="auto"/>
              <w:jc w:val="center"/>
              <w:rPr>
                <w:rFonts w:ascii="Arial Narrow" w:hAnsi="Arial Narrow" w:cs="Arial"/>
                <w:sz w:val="24"/>
                <w:szCs w:val="24"/>
              </w:rPr>
            </w:pPr>
            <w:r w:rsidRPr="001A351F">
              <w:rPr>
                <w:rFonts w:ascii="Arial Narrow" w:hAnsi="Arial Narrow" w:cs="Arial"/>
                <w:color w:val="000000"/>
                <w:sz w:val="24"/>
                <w:szCs w:val="24"/>
              </w:rPr>
              <w:t>25,419</w:t>
            </w:r>
          </w:p>
        </w:tc>
        <w:tc>
          <w:tcPr>
            <w:tcW w:w="1109" w:type="pct"/>
            <w:vAlign w:val="center"/>
            <w:hideMark/>
          </w:tcPr>
          <w:p w:rsidR="008970B2" w:rsidRPr="001A351F" w:rsidRDefault="008970B2" w:rsidP="00700980">
            <w:pPr>
              <w:keepNext/>
              <w:spacing w:line="300" w:lineRule="auto"/>
              <w:jc w:val="center"/>
              <w:rPr>
                <w:rFonts w:ascii="Arial Narrow" w:hAnsi="Arial Narrow" w:cs="Arial"/>
                <w:sz w:val="24"/>
                <w:szCs w:val="24"/>
              </w:rPr>
            </w:pPr>
            <w:r w:rsidRPr="001A351F">
              <w:rPr>
                <w:rFonts w:ascii="Arial Narrow" w:hAnsi="Arial Narrow" w:cs="Arial"/>
                <w:color w:val="000000"/>
                <w:sz w:val="24"/>
                <w:szCs w:val="24"/>
              </w:rPr>
              <w:t>9,015</w:t>
            </w:r>
          </w:p>
        </w:tc>
        <w:tc>
          <w:tcPr>
            <w:tcW w:w="882" w:type="pct"/>
            <w:vAlign w:val="center"/>
            <w:hideMark/>
          </w:tcPr>
          <w:p w:rsidR="008970B2" w:rsidRPr="001A351F" w:rsidRDefault="008970B2" w:rsidP="00700980">
            <w:pPr>
              <w:keepNext/>
              <w:spacing w:line="300" w:lineRule="auto"/>
              <w:jc w:val="center"/>
              <w:rPr>
                <w:rFonts w:ascii="Arial Narrow" w:hAnsi="Arial Narrow" w:cs="Arial"/>
                <w:sz w:val="24"/>
                <w:szCs w:val="24"/>
              </w:rPr>
            </w:pPr>
            <w:r w:rsidRPr="001A351F">
              <w:rPr>
                <w:rFonts w:ascii="Arial Narrow" w:hAnsi="Arial Narrow" w:cs="Arial"/>
                <w:color w:val="000000"/>
                <w:sz w:val="24"/>
                <w:szCs w:val="24"/>
              </w:rPr>
              <w:t>55.0%</w:t>
            </w:r>
          </w:p>
        </w:tc>
      </w:tr>
      <w:tr w:rsidR="008970B2" w:rsidRPr="001A351F" w:rsidTr="00700980">
        <w:tc>
          <w:tcPr>
            <w:tcW w:w="966" w:type="pct"/>
            <w:vAlign w:val="center"/>
            <w:hideMark/>
          </w:tcPr>
          <w:p w:rsidR="008970B2" w:rsidRPr="001A351F" w:rsidRDefault="008970B2" w:rsidP="00700980">
            <w:pPr>
              <w:keepNext/>
              <w:spacing w:line="300" w:lineRule="auto"/>
              <w:rPr>
                <w:rFonts w:ascii="Arial Narrow" w:hAnsi="Arial Narrow" w:cs="Arial"/>
                <w:sz w:val="24"/>
                <w:szCs w:val="24"/>
              </w:rPr>
            </w:pPr>
            <w:r w:rsidRPr="001A351F">
              <w:rPr>
                <w:rFonts w:ascii="Arial Narrow" w:hAnsi="Arial Narrow" w:cs="Arial"/>
                <w:sz w:val="24"/>
                <w:szCs w:val="24"/>
              </w:rPr>
              <w:t>All</w:t>
            </w:r>
          </w:p>
        </w:tc>
        <w:tc>
          <w:tcPr>
            <w:tcW w:w="1021" w:type="pct"/>
            <w:vAlign w:val="center"/>
            <w:hideMark/>
          </w:tcPr>
          <w:p w:rsidR="008970B2" w:rsidRPr="001A351F" w:rsidRDefault="008970B2" w:rsidP="00700980">
            <w:pPr>
              <w:keepNext/>
              <w:spacing w:line="300" w:lineRule="auto"/>
              <w:jc w:val="center"/>
              <w:rPr>
                <w:rFonts w:ascii="Arial Narrow" w:hAnsi="Arial Narrow" w:cs="Arial"/>
                <w:sz w:val="24"/>
                <w:szCs w:val="24"/>
              </w:rPr>
            </w:pPr>
            <w:r w:rsidRPr="001A351F">
              <w:rPr>
                <w:rFonts w:ascii="Arial Narrow" w:hAnsi="Arial Narrow" w:cs="Arial"/>
                <w:color w:val="000000"/>
                <w:sz w:val="24"/>
                <w:szCs w:val="24"/>
              </w:rPr>
              <w:t>121,628</w:t>
            </w:r>
          </w:p>
        </w:tc>
        <w:tc>
          <w:tcPr>
            <w:tcW w:w="1021" w:type="pct"/>
            <w:vAlign w:val="center"/>
            <w:hideMark/>
          </w:tcPr>
          <w:p w:rsidR="008970B2" w:rsidRPr="001A351F" w:rsidRDefault="008970B2" w:rsidP="00700980">
            <w:pPr>
              <w:keepNext/>
              <w:spacing w:line="300" w:lineRule="auto"/>
              <w:jc w:val="center"/>
              <w:rPr>
                <w:rFonts w:ascii="Arial Narrow" w:hAnsi="Arial Narrow" w:cs="Arial"/>
                <w:sz w:val="24"/>
                <w:szCs w:val="24"/>
              </w:rPr>
            </w:pPr>
            <w:r w:rsidRPr="001A351F">
              <w:rPr>
                <w:rFonts w:ascii="Arial Narrow" w:hAnsi="Arial Narrow" w:cs="Arial"/>
                <w:color w:val="000000"/>
                <w:sz w:val="24"/>
                <w:szCs w:val="24"/>
              </w:rPr>
              <w:t>141,517</w:t>
            </w:r>
          </w:p>
        </w:tc>
        <w:tc>
          <w:tcPr>
            <w:tcW w:w="1109" w:type="pct"/>
            <w:vAlign w:val="center"/>
            <w:hideMark/>
          </w:tcPr>
          <w:p w:rsidR="008970B2" w:rsidRPr="001A351F" w:rsidRDefault="008970B2" w:rsidP="00700980">
            <w:pPr>
              <w:keepNext/>
              <w:spacing w:line="300" w:lineRule="auto"/>
              <w:jc w:val="center"/>
              <w:rPr>
                <w:rFonts w:ascii="Arial Narrow" w:hAnsi="Arial Narrow" w:cs="Arial"/>
                <w:sz w:val="24"/>
                <w:szCs w:val="24"/>
              </w:rPr>
            </w:pPr>
            <w:r w:rsidRPr="001A351F">
              <w:rPr>
                <w:rFonts w:ascii="Arial Narrow" w:hAnsi="Arial Narrow" w:cs="Arial"/>
                <w:color w:val="000000"/>
                <w:sz w:val="24"/>
                <w:szCs w:val="24"/>
              </w:rPr>
              <w:t>19,889</w:t>
            </w:r>
          </w:p>
        </w:tc>
        <w:tc>
          <w:tcPr>
            <w:tcW w:w="882" w:type="pct"/>
            <w:vAlign w:val="center"/>
            <w:hideMark/>
          </w:tcPr>
          <w:p w:rsidR="008970B2" w:rsidRPr="001A351F" w:rsidRDefault="008970B2" w:rsidP="00700980">
            <w:pPr>
              <w:keepNext/>
              <w:spacing w:line="300" w:lineRule="auto"/>
              <w:jc w:val="center"/>
              <w:rPr>
                <w:rFonts w:ascii="Arial Narrow" w:hAnsi="Arial Narrow" w:cs="Arial"/>
                <w:sz w:val="24"/>
                <w:szCs w:val="24"/>
              </w:rPr>
            </w:pPr>
            <w:r w:rsidRPr="001A351F">
              <w:rPr>
                <w:rFonts w:ascii="Arial Narrow" w:hAnsi="Arial Narrow" w:cs="Arial"/>
                <w:color w:val="000000"/>
                <w:sz w:val="24"/>
                <w:szCs w:val="24"/>
              </w:rPr>
              <w:t>16.4%</w:t>
            </w:r>
          </w:p>
        </w:tc>
      </w:tr>
    </w:tbl>
    <w:p w:rsidR="00F63FBB" w:rsidRPr="00CA47B9" w:rsidRDefault="00F63FBB" w:rsidP="00700980">
      <w:pPr>
        <w:widowControl w:val="0"/>
        <w:tabs>
          <w:tab w:val="left" w:pos="851"/>
        </w:tabs>
        <w:spacing w:after="120" w:line="360" w:lineRule="auto"/>
        <w:rPr>
          <w:rFonts w:cstheme="minorBidi"/>
          <w:iCs/>
          <w:color w:val="auto"/>
          <w:szCs w:val="22"/>
          <w:lang w:eastAsia="en-US"/>
        </w:rPr>
      </w:pPr>
      <w:r w:rsidRPr="00CA47B9">
        <w:rPr>
          <w:iCs/>
          <w:color w:val="auto"/>
        </w:rPr>
        <w:t>Source: Derived from ONS subnational population projections (2014-based)</w:t>
      </w:r>
    </w:p>
    <w:p w:rsidR="00F63FBB" w:rsidRPr="00CA47B9" w:rsidRDefault="00F63FBB" w:rsidP="0028171E">
      <w:pPr>
        <w:pStyle w:val="11Bodytext"/>
        <w:tabs>
          <w:tab w:val="clear" w:pos="2212"/>
        </w:tabs>
        <w:ind w:left="567" w:hanging="567"/>
      </w:pPr>
      <w:r w:rsidRPr="00CA47B9">
        <w:t>In total population terms, the projections show an increase in the population aged 75 and over of around 9,</w:t>
      </w:r>
      <w:r w:rsidR="008970B2">
        <w:t>0</w:t>
      </w:r>
      <w:r w:rsidRPr="00CA47B9">
        <w:t xml:space="preserve">00 people, this is against a backdrop of an overall increase of approximately </w:t>
      </w:r>
      <w:r w:rsidR="008970B2">
        <w:t>19,900</w:t>
      </w:r>
      <w:r w:rsidRPr="00CA47B9">
        <w:t xml:space="preserve"> </w:t>
      </w:r>
      <w:r w:rsidR="00A36190">
        <w:t xml:space="preserve">people </w:t>
      </w:r>
      <w:r w:rsidRPr="00CA47B9">
        <w:t xml:space="preserve">and an increase in the population aged under 65 of approximately </w:t>
      </w:r>
      <w:r w:rsidR="008970B2">
        <w:t>10,800</w:t>
      </w:r>
      <w:r w:rsidRPr="00CA47B9">
        <w:t xml:space="preserve">. </w:t>
      </w:r>
    </w:p>
    <w:p w:rsidR="00F63FBB" w:rsidRPr="00CA47B9" w:rsidRDefault="00F63FBB" w:rsidP="00805614">
      <w:pPr>
        <w:pStyle w:val="Addressline1"/>
        <w:ind w:left="567" w:firstLine="0"/>
      </w:pPr>
      <w:r w:rsidRPr="00CA47B9">
        <w:t>Older Persons’ Housing Needs</w:t>
      </w:r>
    </w:p>
    <w:p w:rsidR="00F63FBB" w:rsidRPr="00CA47B9" w:rsidRDefault="00F63FBB" w:rsidP="0028171E">
      <w:pPr>
        <w:pStyle w:val="11Bodytext"/>
        <w:tabs>
          <w:tab w:val="clear" w:pos="2212"/>
        </w:tabs>
        <w:ind w:left="567" w:hanging="567"/>
        <w:rPr>
          <w:color w:val="auto"/>
        </w:rPr>
      </w:pPr>
      <w:r w:rsidRPr="00CA47B9">
        <w:t xml:space="preserve">Given the ageing population and higher levels of disability and health problems amongst older people, there is likely to be an increased requirement for specialist housing options moving forward. The analysis in this section draws on data from the Housing Learning and Information Network (Housing LIN) along with demographic projections to </w:t>
      </w:r>
      <w:r w:rsidR="00855CA6">
        <w:t>indicate</w:t>
      </w:r>
      <w:r w:rsidRPr="00CA47B9">
        <w:t xml:space="preserve"> the potential level of additional </w:t>
      </w:r>
      <w:r w:rsidRPr="00CA47B9">
        <w:rPr>
          <w:color w:val="auto"/>
        </w:rPr>
        <w:t>specialist housing that might be required for older people in the future.</w:t>
      </w:r>
    </w:p>
    <w:p w:rsidR="00F63FBB" w:rsidRPr="00CA47B9" w:rsidRDefault="00F63FBB" w:rsidP="0028171E">
      <w:pPr>
        <w:pStyle w:val="11Bodytext"/>
        <w:tabs>
          <w:tab w:val="clear" w:pos="2212"/>
        </w:tabs>
        <w:ind w:left="567" w:hanging="567"/>
      </w:pPr>
      <w:r w:rsidRPr="00CA47B9">
        <w:t xml:space="preserve">The data for need is calculated by applying prevalence rates to the population aged 75+ and as projected forward. </w:t>
      </w:r>
      <w:r w:rsidR="008205D4">
        <w:t>The prevalence rate</w:t>
      </w:r>
      <w:r w:rsidR="00E66743">
        <w:t>s</w:t>
      </w:r>
      <w:r w:rsidR="008205D4">
        <w:t xml:space="preserve"> </w:t>
      </w:r>
      <w:r w:rsidR="00E66743">
        <w:t>are</w:t>
      </w:r>
      <w:r w:rsidR="008205D4">
        <w:t xml:space="preserve"> the rate of provision for each accommodation type by care level and tenure for every 1,000 people aged over 75 (although the supply is for the total population regardless of age).</w:t>
      </w:r>
      <w:r w:rsidR="008205D4" w:rsidRPr="00CA47B9">
        <w:t xml:space="preserve"> </w:t>
      </w:r>
      <w:r w:rsidRPr="00CA47B9">
        <w:t xml:space="preserve">The </w:t>
      </w:r>
      <w:r w:rsidR="008205D4">
        <w:t>starting point for</w:t>
      </w:r>
      <w:r w:rsidR="00E66743">
        <w:t xml:space="preserve"> </w:t>
      </w:r>
      <w:r w:rsidR="008205D4">
        <w:t xml:space="preserve">the </w:t>
      </w:r>
      <w:r w:rsidRPr="00CA47B9">
        <w:t xml:space="preserve">prevalence rates have been taken from a toolkit </w:t>
      </w:r>
      <w:r w:rsidRPr="00CA47B9">
        <w:rPr>
          <w:lang w:eastAsia="en-GB"/>
        </w:rPr>
        <w:t xml:space="preserve">developed by Housing LIN, </w:t>
      </w:r>
      <w:r w:rsidRPr="00CA47B9">
        <w:t xml:space="preserve">in association with the Elderly Accommodation Council and endorsed by the Department of Health. </w:t>
      </w:r>
    </w:p>
    <w:p w:rsidR="00F63FBB" w:rsidRPr="00CA47B9" w:rsidRDefault="00F63FBB" w:rsidP="0028171E">
      <w:pPr>
        <w:pStyle w:val="11Bodytext"/>
        <w:tabs>
          <w:tab w:val="clear" w:pos="2212"/>
        </w:tabs>
        <w:ind w:left="567" w:hanging="567"/>
      </w:pPr>
      <w:r w:rsidRPr="00CA47B9">
        <w:t xml:space="preserve">This database includes the need across the following categories (discussed in more detail below): sheltered housing, enhanced sheltered housing, extra care, residential </w:t>
      </w:r>
      <w:r w:rsidRPr="00CA47B9">
        <w:lastRenderedPageBreak/>
        <w:t xml:space="preserve">care and nursing care. Additionally, the analysis draws on current supply estimates from HOPSR (Housing for Older People Supply Recommendations) – a database developed by Sheffield Hallam University along with data from the Elderly Accommodation Counsel (EAC) which </w:t>
      </w:r>
      <w:r w:rsidR="00855CA6">
        <w:t>indicates</w:t>
      </w:r>
      <w:r w:rsidRPr="00CA47B9">
        <w:t xml:space="preserve"> the current tenure mix of such accommodation.</w:t>
      </w:r>
    </w:p>
    <w:tbl>
      <w:tblPr>
        <w:tblStyle w:val="TableGrid"/>
        <w:tblW w:w="5000" w:type="pct"/>
        <w:tblLook w:val="04A0" w:firstRow="1" w:lastRow="0" w:firstColumn="1" w:lastColumn="0" w:noHBand="0" w:noVBand="1"/>
        <w:tblCaption w:val="Definitions of Different Types of Older Persons’ Accommodation"/>
      </w:tblPr>
      <w:tblGrid>
        <w:gridCol w:w="9847"/>
      </w:tblGrid>
      <w:tr w:rsidR="00F63FBB" w:rsidRPr="00CA47B9" w:rsidTr="00D30252">
        <w:trPr>
          <w:tblHeader/>
        </w:trPr>
        <w:tc>
          <w:tcPr>
            <w:tcW w:w="5000" w:type="pct"/>
            <w:tcBorders>
              <w:top w:val="single" w:sz="4" w:space="0" w:color="auto"/>
              <w:left w:val="single" w:sz="4" w:space="0" w:color="auto"/>
              <w:bottom w:val="single" w:sz="4" w:space="0" w:color="auto"/>
              <w:right w:val="single" w:sz="4" w:space="0" w:color="auto"/>
            </w:tcBorders>
          </w:tcPr>
          <w:p w:rsidR="00F63FBB" w:rsidRPr="00CA47B9" w:rsidRDefault="00F63FBB" w:rsidP="00ED1C06">
            <w:pPr>
              <w:pStyle w:val="11Bodytext"/>
              <w:numPr>
                <w:ilvl w:val="0"/>
                <w:numId w:val="0"/>
              </w:numPr>
            </w:pPr>
            <w:r w:rsidRPr="00CA47B9">
              <w:t>Definitions of Different Types of Older Persons’ Accommodation</w:t>
            </w:r>
          </w:p>
          <w:p w:rsidR="00F63FBB" w:rsidRPr="00786E20" w:rsidRDefault="00F63FBB" w:rsidP="008970B2">
            <w:pPr>
              <w:keepNext/>
              <w:autoSpaceDE w:val="0"/>
              <w:autoSpaceDN w:val="0"/>
              <w:adjustRightInd w:val="0"/>
              <w:spacing w:line="300" w:lineRule="auto"/>
              <w:rPr>
                <w:rFonts w:eastAsiaTheme="minorHAnsi"/>
                <w:b/>
                <w:bCs/>
                <w:i/>
                <w:iCs/>
                <w:color w:val="auto"/>
                <w:sz w:val="22"/>
                <w:szCs w:val="22"/>
                <w:lang w:eastAsia="en-US"/>
              </w:rPr>
            </w:pPr>
            <w:r w:rsidRPr="00786E20">
              <w:rPr>
                <w:rFonts w:eastAsiaTheme="minorHAnsi"/>
                <w:b/>
                <w:bCs/>
                <w:i/>
                <w:iCs/>
                <w:color w:val="auto"/>
                <w:sz w:val="22"/>
                <w:szCs w:val="22"/>
                <w:lang w:eastAsia="en-US"/>
              </w:rPr>
              <w:t>Retirement/sheltered housing</w:t>
            </w:r>
            <w:r w:rsidR="00F975F7" w:rsidRPr="00786E20">
              <w:rPr>
                <w:rFonts w:eastAsiaTheme="minorHAnsi"/>
                <w:b/>
                <w:bCs/>
                <w:i/>
                <w:iCs/>
                <w:color w:val="auto"/>
                <w:sz w:val="22"/>
                <w:szCs w:val="22"/>
                <w:lang w:eastAsia="en-US"/>
              </w:rPr>
              <w:t xml:space="preserve"> (typically Use Class C3)</w:t>
            </w:r>
            <w:r w:rsidRPr="00786E20">
              <w:rPr>
                <w:rFonts w:eastAsiaTheme="minorHAnsi"/>
                <w:b/>
                <w:bCs/>
                <w:i/>
                <w:iCs/>
                <w:color w:val="auto"/>
                <w:sz w:val="22"/>
                <w:szCs w:val="22"/>
                <w:lang w:eastAsia="en-US"/>
              </w:rPr>
              <w:t>:</w:t>
            </w:r>
          </w:p>
          <w:p w:rsidR="00F63FBB" w:rsidRPr="008970B2" w:rsidRDefault="00F63FBB" w:rsidP="00E519C8">
            <w:pPr>
              <w:pStyle w:val="11Bodytext"/>
              <w:numPr>
                <w:ilvl w:val="0"/>
                <w:numId w:val="0"/>
              </w:numPr>
              <w:spacing w:before="120"/>
              <w:rPr>
                <w:lang w:eastAsia="en-US"/>
              </w:rPr>
            </w:pPr>
            <w:r w:rsidRPr="008970B2">
              <w:rPr>
                <w:lang w:eastAsia="en-US"/>
              </w:rPr>
              <w:t>A group of self-contained flats or bungalows typically reserved for people over the age of 55 or 60; some shared facilities lounge, garden, guest suite, laundry; plus, on-site supportive management. A regularly visiting scheme manager if s/he is available to all residents when on site. An on-call-only service does not qualify a scheme to retirement/sheltered housing. Developments usually built for either owner occupation or renting on secure tenancies.</w:t>
            </w:r>
          </w:p>
          <w:p w:rsidR="00F63FBB" w:rsidRPr="00B37CA8" w:rsidRDefault="00F63FBB" w:rsidP="008970B2">
            <w:pPr>
              <w:keepNext/>
              <w:autoSpaceDE w:val="0"/>
              <w:autoSpaceDN w:val="0"/>
              <w:adjustRightInd w:val="0"/>
              <w:spacing w:line="300" w:lineRule="auto"/>
              <w:rPr>
                <w:rFonts w:eastAsiaTheme="minorHAnsi"/>
                <w:b/>
                <w:bCs/>
                <w:i/>
                <w:iCs/>
                <w:color w:val="auto"/>
                <w:sz w:val="24"/>
                <w:szCs w:val="24"/>
                <w:lang w:eastAsia="en-US"/>
              </w:rPr>
            </w:pPr>
            <w:r w:rsidRPr="00B37CA8">
              <w:rPr>
                <w:rFonts w:eastAsiaTheme="minorHAnsi"/>
                <w:b/>
                <w:bCs/>
                <w:i/>
                <w:iCs/>
                <w:color w:val="auto"/>
                <w:sz w:val="24"/>
                <w:szCs w:val="24"/>
                <w:lang w:eastAsia="en-US"/>
              </w:rPr>
              <w:t>Enhanced sheltered housing</w:t>
            </w:r>
            <w:r w:rsidR="00F975F7" w:rsidRPr="00B37CA8">
              <w:rPr>
                <w:rFonts w:eastAsiaTheme="minorHAnsi"/>
                <w:b/>
                <w:bCs/>
                <w:i/>
                <w:iCs/>
                <w:color w:val="auto"/>
                <w:sz w:val="24"/>
                <w:szCs w:val="24"/>
                <w:lang w:eastAsia="en-US"/>
              </w:rPr>
              <w:t xml:space="preserve"> (typically Use Class C3)</w:t>
            </w:r>
            <w:r w:rsidRPr="00B37CA8">
              <w:rPr>
                <w:rFonts w:eastAsiaTheme="minorHAnsi"/>
                <w:b/>
                <w:bCs/>
                <w:i/>
                <w:iCs/>
                <w:color w:val="auto"/>
                <w:sz w:val="24"/>
                <w:szCs w:val="24"/>
                <w:lang w:eastAsia="en-US"/>
              </w:rPr>
              <w:t>:</w:t>
            </w:r>
          </w:p>
          <w:p w:rsidR="00F63FBB" w:rsidRPr="008970B2" w:rsidRDefault="00F63FBB" w:rsidP="00E519C8">
            <w:pPr>
              <w:pStyle w:val="11Bodytext"/>
              <w:numPr>
                <w:ilvl w:val="0"/>
                <w:numId w:val="0"/>
              </w:numPr>
              <w:spacing w:before="120"/>
            </w:pPr>
            <w:r w:rsidRPr="008970B2">
              <w:rPr>
                <w:lang w:eastAsia="en-US"/>
              </w:rPr>
              <w:t xml:space="preserve">Sheltered housing with additional services to enable older people to retain their independence in their own home </w:t>
            </w:r>
            <w:r w:rsidR="003E3F87">
              <w:rPr>
                <w:lang w:eastAsia="en-US"/>
              </w:rPr>
              <w:t xml:space="preserve">if </w:t>
            </w:r>
            <w:r w:rsidRPr="008970B2">
              <w:rPr>
                <w:lang w:eastAsia="en-US"/>
              </w:rPr>
              <w:t xml:space="preserve">possible. Typically, there may be 24/7 (non-registered) staffing cover, at least one daily meal will be </w:t>
            </w:r>
            <w:proofErr w:type="gramStart"/>
            <w:r w:rsidRPr="008970B2">
              <w:rPr>
                <w:lang w:eastAsia="en-US"/>
              </w:rPr>
              <w:t xml:space="preserve">provided </w:t>
            </w:r>
            <w:r w:rsidR="003E3F87">
              <w:rPr>
                <w:lang w:eastAsia="en-US"/>
              </w:rPr>
              <w:t xml:space="preserve"> and</w:t>
            </w:r>
            <w:proofErr w:type="gramEnd"/>
            <w:r w:rsidR="003E3F87">
              <w:rPr>
                <w:lang w:eastAsia="en-US"/>
              </w:rPr>
              <w:t xml:space="preserve"> there will be </w:t>
            </w:r>
            <w:r w:rsidRPr="008970B2">
              <w:rPr>
                <w:lang w:eastAsia="en-US"/>
              </w:rPr>
              <w:t>additional shared facilities. Also called assisted living and very sheltered housing.</w:t>
            </w:r>
          </w:p>
          <w:p w:rsidR="00F63FBB" w:rsidRPr="00B37CA8" w:rsidRDefault="00F63FBB" w:rsidP="008970B2">
            <w:pPr>
              <w:keepNext/>
              <w:autoSpaceDE w:val="0"/>
              <w:autoSpaceDN w:val="0"/>
              <w:adjustRightInd w:val="0"/>
              <w:spacing w:line="300" w:lineRule="auto"/>
              <w:rPr>
                <w:rFonts w:eastAsiaTheme="minorHAnsi"/>
                <w:b/>
                <w:bCs/>
                <w:i/>
                <w:iCs/>
                <w:color w:val="auto"/>
                <w:sz w:val="24"/>
                <w:szCs w:val="24"/>
                <w:lang w:eastAsia="en-US"/>
              </w:rPr>
            </w:pPr>
            <w:r w:rsidRPr="00B37CA8">
              <w:rPr>
                <w:rFonts w:eastAsiaTheme="minorHAnsi"/>
                <w:b/>
                <w:bCs/>
                <w:i/>
                <w:iCs/>
                <w:color w:val="auto"/>
                <w:sz w:val="24"/>
                <w:szCs w:val="24"/>
                <w:lang w:eastAsia="en-US"/>
              </w:rPr>
              <w:t>Extra care housing</w:t>
            </w:r>
            <w:r w:rsidR="00F975F7" w:rsidRPr="00B37CA8">
              <w:rPr>
                <w:rFonts w:eastAsiaTheme="minorHAnsi"/>
                <w:b/>
                <w:bCs/>
                <w:i/>
                <w:iCs/>
                <w:color w:val="auto"/>
                <w:sz w:val="24"/>
                <w:szCs w:val="24"/>
                <w:lang w:eastAsia="en-US"/>
              </w:rPr>
              <w:t xml:space="preserve"> (typically Use Class C3)</w:t>
            </w:r>
            <w:r w:rsidRPr="00B37CA8">
              <w:rPr>
                <w:rFonts w:eastAsiaTheme="minorHAnsi"/>
                <w:b/>
                <w:bCs/>
                <w:i/>
                <w:iCs/>
                <w:color w:val="auto"/>
                <w:sz w:val="24"/>
                <w:szCs w:val="24"/>
                <w:lang w:eastAsia="en-US"/>
              </w:rPr>
              <w:t>:</w:t>
            </w:r>
          </w:p>
          <w:p w:rsidR="00F63FBB" w:rsidRDefault="00F63FBB" w:rsidP="00E519C8">
            <w:pPr>
              <w:pStyle w:val="11Bodytext"/>
              <w:numPr>
                <w:ilvl w:val="0"/>
                <w:numId w:val="0"/>
              </w:numPr>
              <w:spacing w:before="120"/>
              <w:rPr>
                <w:lang w:eastAsia="en-US"/>
              </w:rPr>
            </w:pPr>
            <w:r w:rsidRPr="008970B2">
              <w:rPr>
                <w:lang w:eastAsia="en-US"/>
              </w:rPr>
              <w:t xml:space="preserve">Schemes where a service registered to provide personal or nursing care is available on site 24/7. Typically, </w:t>
            </w:r>
            <w:r w:rsidR="00AD30BE">
              <w:rPr>
                <w:lang w:eastAsia="en-US"/>
              </w:rPr>
              <w:t>meals</w:t>
            </w:r>
            <w:r w:rsidR="00855CA6">
              <w:rPr>
                <w:lang w:eastAsia="en-US"/>
              </w:rPr>
              <w:t xml:space="preserve"> </w:t>
            </w:r>
            <w:r w:rsidRPr="008970B2">
              <w:rPr>
                <w:lang w:eastAsia="en-US"/>
              </w:rPr>
              <w:t>will be provided and there will be additional shared facilities. Some schemes specialise in dementia care or may have a dementia unit.</w:t>
            </w:r>
          </w:p>
          <w:p w:rsidR="00F63FBB" w:rsidRPr="00B37CA8" w:rsidRDefault="00F63FBB" w:rsidP="008970B2">
            <w:pPr>
              <w:keepNext/>
              <w:autoSpaceDE w:val="0"/>
              <w:autoSpaceDN w:val="0"/>
              <w:adjustRightInd w:val="0"/>
              <w:spacing w:line="300" w:lineRule="auto"/>
              <w:rPr>
                <w:rFonts w:eastAsiaTheme="minorHAnsi"/>
                <w:b/>
                <w:bCs/>
                <w:i/>
                <w:iCs/>
                <w:color w:val="auto"/>
                <w:sz w:val="24"/>
                <w:szCs w:val="24"/>
                <w:lang w:eastAsia="en-US"/>
              </w:rPr>
            </w:pPr>
            <w:r w:rsidRPr="00B37CA8">
              <w:rPr>
                <w:rFonts w:eastAsiaTheme="minorHAnsi"/>
                <w:b/>
                <w:bCs/>
                <w:i/>
                <w:iCs/>
                <w:color w:val="auto"/>
                <w:sz w:val="24"/>
                <w:szCs w:val="24"/>
                <w:lang w:eastAsia="en-US"/>
              </w:rPr>
              <w:t>Care beds</w:t>
            </w:r>
            <w:r w:rsidR="00F975F7" w:rsidRPr="00B37CA8">
              <w:rPr>
                <w:rFonts w:eastAsiaTheme="minorHAnsi"/>
                <w:b/>
                <w:bCs/>
                <w:i/>
                <w:iCs/>
                <w:color w:val="auto"/>
                <w:sz w:val="24"/>
                <w:szCs w:val="24"/>
                <w:lang w:eastAsia="en-US"/>
              </w:rPr>
              <w:t xml:space="preserve"> (typically Use Class C</w:t>
            </w:r>
            <w:r w:rsidR="00FC775E" w:rsidRPr="00B37CA8">
              <w:rPr>
                <w:rFonts w:eastAsiaTheme="minorHAnsi"/>
                <w:b/>
                <w:bCs/>
                <w:i/>
                <w:iCs/>
                <w:color w:val="auto"/>
                <w:sz w:val="24"/>
                <w:szCs w:val="24"/>
                <w:lang w:eastAsia="en-US"/>
              </w:rPr>
              <w:t>2</w:t>
            </w:r>
            <w:r w:rsidR="00F975F7" w:rsidRPr="00B37CA8">
              <w:rPr>
                <w:rFonts w:eastAsiaTheme="minorHAnsi"/>
                <w:b/>
                <w:bCs/>
                <w:i/>
                <w:iCs/>
                <w:color w:val="auto"/>
                <w:sz w:val="24"/>
                <w:szCs w:val="24"/>
                <w:lang w:eastAsia="en-US"/>
              </w:rPr>
              <w:t>)</w:t>
            </w:r>
            <w:r w:rsidRPr="00B37CA8">
              <w:rPr>
                <w:rFonts w:eastAsiaTheme="minorHAnsi"/>
                <w:b/>
                <w:bCs/>
                <w:i/>
                <w:iCs/>
                <w:color w:val="auto"/>
                <w:sz w:val="24"/>
                <w:szCs w:val="24"/>
                <w:lang w:eastAsia="en-US"/>
              </w:rPr>
              <w:t>:</w:t>
            </w:r>
          </w:p>
          <w:p w:rsidR="00F63FBB" w:rsidRPr="00B37CA8" w:rsidRDefault="00F63FBB" w:rsidP="00E519C8">
            <w:pPr>
              <w:keepNext/>
              <w:autoSpaceDE w:val="0"/>
              <w:autoSpaceDN w:val="0"/>
              <w:adjustRightInd w:val="0"/>
              <w:spacing w:before="120" w:after="120" w:line="360" w:lineRule="auto"/>
              <w:rPr>
                <w:rFonts w:eastAsiaTheme="minorHAnsi"/>
                <w:color w:val="auto"/>
                <w:sz w:val="24"/>
                <w:szCs w:val="24"/>
                <w:lang w:eastAsia="en-US"/>
              </w:rPr>
            </w:pPr>
            <w:r w:rsidRPr="00B37CA8">
              <w:rPr>
                <w:rFonts w:eastAsiaTheme="minorHAnsi"/>
                <w:i/>
                <w:iCs/>
                <w:color w:val="auto"/>
                <w:sz w:val="24"/>
                <w:szCs w:val="24"/>
                <w:lang w:eastAsia="en-US"/>
              </w:rPr>
              <w:t xml:space="preserve">Care homes: </w:t>
            </w:r>
            <w:r w:rsidRPr="00B37CA8">
              <w:rPr>
                <w:rFonts w:eastAsiaTheme="minorHAnsi"/>
                <w:color w:val="auto"/>
                <w:sz w:val="24"/>
                <w:szCs w:val="24"/>
                <w:lang w:eastAsia="en-US"/>
              </w:rPr>
              <w:t>Residential settings where a number of older people live, usually in single rooms, and have access to personal care services (such as help with washing and eating).</w:t>
            </w:r>
          </w:p>
          <w:p w:rsidR="00F63FBB" w:rsidRPr="00CA47B9" w:rsidRDefault="00F63FBB" w:rsidP="00E519C8">
            <w:pPr>
              <w:pStyle w:val="11Bodytext"/>
              <w:numPr>
                <w:ilvl w:val="0"/>
                <w:numId w:val="0"/>
              </w:numPr>
              <w:spacing w:before="0" w:after="0"/>
              <w:rPr>
                <w:lang w:eastAsia="en-US"/>
              </w:rPr>
            </w:pPr>
            <w:r w:rsidRPr="008970B2">
              <w:rPr>
                <w:i/>
                <w:iCs/>
                <w:lang w:eastAsia="en-US"/>
              </w:rPr>
              <w:t xml:space="preserve">Care homes with nursing: </w:t>
            </w:r>
            <w:r w:rsidRPr="008970B2">
              <w:rPr>
                <w:lang w:eastAsia="en-US"/>
              </w:rPr>
              <w:t>These homes are similar to those without nursing care, but they also have registered nurses to provide care for more complex health needs.</w:t>
            </w:r>
          </w:p>
        </w:tc>
      </w:tr>
    </w:tbl>
    <w:p w:rsidR="00F63FBB" w:rsidRPr="00CA47B9" w:rsidRDefault="00F63FBB" w:rsidP="00700980">
      <w:pPr>
        <w:pStyle w:val="11Bodytext"/>
        <w:numPr>
          <w:ilvl w:val="0"/>
          <w:numId w:val="0"/>
        </w:numPr>
        <w:spacing w:before="0" w:after="0" w:line="240" w:lineRule="auto"/>
      </w:pPr>
      <w:r w:rsidRPr="00CA47B9">
        <w:t>Source: HOPSR</w:t>
      </w:r>
    </w:p>
    <w:p w:rsidR="00F63FBB" w:rsidRPr="00CA47B9" w:rsidRDefault="00F63FBB" w:rsidP="0028171E">
      <w:pPr>
        <w:pStyle w:val="11Bodytext"/>
        <w:tabs>
          <w:tab w:val="clear" w:pos="2212"/>
        </w:tabs>
        <w:ind w:left="567" w:hanging="567"/>
      </w:pPr>
      <w:r w:rsidRPr="00CA47B9">
        <w:t xml:space="preserve">As well as setting out overall prevalence rates for different types of housing, the Housing LIN provides some suggestions for the tenure split between rented and </w:t>
      </w:r>
      <w:r w:rsidRPr="00CA47B9">
        <w:lastRenderedPageBreak/>
        <w:t xml:space="preserve">leasehold accommodation (essentially public vs. private provision), this varies depending on an area’s level of deprivation. </w:t>
      </w:r>
    </w:p>
    <w:p w:rsidR="00F63FBB" w:rsidRPr="00CA47B9" w:rsidRDefault="00F63FBB" w:rsidP="0028171E">
      <w:pPr>
        <w:pStyle w:val="11Bodytext"/>
        <w:tabs>
          <w:tab w:val="clear" w:pos="2212"/>
        </w:tabs>
        <w:ind w:left="567" w:hanging="567"/>
      </w:pPr>
      <w:r w:rsidRPr="00CA47B9">
        <w:t>The data draws on assumptions from the Shop@ tool with</w:t>
      </w:r>
      <w:r w:rsidR="008205D4">
        <w:t xml:space="preserve"> local</w:t>
      </w:r>
      <w:r w:rsidRPr="00CA47B9">
        <w:t xml:space="preserve"> adjustments</w:t>
      </w:r>
      <w:r w:rsidR="008205D4">
        <w:t xml:space="preserve"> </w:t>
      </w:r>
      <w:r w:rsidRPr="00CA47B9">
        <w:t xml:space="preserve">based on the relative health of older people locally (from 2011 Census data) and a tenure split based on local deprivation levels (2015 IMD). </w:t>
      </w:r>
    </w:p>
    <w:p w:rsidR="00F63FBB" w:rsidRPr="00CA47B9" w:rsidRDefault="00F63FBB" w:rsidP="0028171E">
      <w:pPr>
        <w:pStyle w:val="11Bodytext"/>
        <w:tabs>
          <w:tab w:val="clear" w:pos="2212"/>
        </w:tabs>
        <w:ind w:left="567" w:hanging="567"/>
      </w:pPr>
      <w:r w:rsidRPr="00CA47B9">
        <w:t>Consideration has also been given to overall levels of disability in the older person population; given that these are slightly higher than the national average a small upwards adjustment has been made.</w:t>
      </w:r>
    </w:p>
    <w:p w:rsidR="00F975F7" w:rsidRDefault="00F63FBB" w:rsidP="0028171E">
      <w:pPr>
        <w:pStyle w:val="11Bodytext"/>
        <w:tabs>
          <w:tab w:val="clear" w:pos="2212"/>
        </w:tabs>
        <w:ind w:left="567" w:hanging="567"/>
      </w:pPr>
      <w:r w:rsidRPr="00CA47B9">
        <w:t xml:space="preserve">The table below reports </w:t>
      </w:r>
      <w:r w:rsidR="00855CA6">
        <w:t xml:space="preserve">the </w:t>
      </w:r>
      <w:r w:rsidRPr="00CA47B9">
        <w:t xml:space="preserve">older person’s dwelling requirements for Chichester District based on the delivery of </w:t>
      </w:r>
      <w:r w:rsidR="008970B2">
        <w:t>731</w:t>
      </w:r>
      <w:r w:rsidRPr="00CA47B9">
        <w:t xml:space="preserve"> dpa </w:t>
      </w:r>
      <w:r w:rsidR="00C568C4">
        <w:t xml:space="preserve">(the minimum annual housing need figure) </w:t>
      </w:r>
      <w:r w:rsidRPr="00CA47B9">
        <w:t>to 2036.</w:t>
      </w:r>
      <w:r w:rsidR="00855CA6">
        <w:t xml:space="preserve"> </w:t>
      </w:r>
      <w:r w:rsidR="00F975F7">
        <w:t xml:space="preserve"> The supply analysis is not available for the Plan Area </w:t>
      </w:r>
      <w:r w:rsidR="00AD30BE">
        <w:t xml:space="preserve">hence </w:t>
      </w:r>
      <w:r w:rsidR="00F975F7">
        <w:t>the calculations can only be made for the wider area.</w:t>
      </w:r>
    </w:p>
    <w:p w:rsidR="00F63FBB" w:rsidRPr="00CA47B9" w:rsidRDefault="00F63FBB" w:rsidP="0028171E">
      <w:pPr>
        <w:pStyle w:val="11Bodytext"/>
        <w:tabs>
          <w:tab w:val="clear" w:pos="2212"/>
        </w:tabs>
        <w:ind w:left="567" w:hanging="567"/>
      </w:pPr>
      <w:r w:rsidRPr="00CA47B9">
        <w:t xml:space="preserve">The dwelling requirements use two categories of accommodation (in addition to care beds). These are a) Housing with Support (which covers retirement/sheltered housing) and b) Housing with Care (which includes the enhanced sheltered and extra-care housing). </w:t>
      </w:r>
    </w:p>
    <w:p w:rsidR="005C34F7" w:rsidRDefault="00F63FBB" w:rsidP="0028171E">
      <w:pPr>
        <w:pStyle w:val="11Bodytext"/>
        <w:tabs>
          <w:tab w:val="clear" w:pos="2212"/>
        </w:tabs>
        <w:ind w:left="567" w:hanging="567"/>
      </w:pPr>
      <w:bookmarkStart w:id="182" w:name="_Hlk16091808"/>
      <w:r w:rsidRPr="00CA47B9">
        <w:t>The data in the table below shows a deficit for housing with support (rented and leasehold) is</w:t>
      </w:r>
      <w:r w:rsidR="00D53082">
        <w:t xml:space="preserve"> 376 dwellings increasing to</w:t>
      </w:r>
      <w:r w:rsidRPr="00CA47B9">
        <w:t xml:space="preserve"> 1,</w:t>
      </w:r>
      <w:r w:rsidR="003226FB">
        <w:t>319</w:t>
      </w:r>
      <w:r w:rsidR="00F975F7">
        <w:t xml:space="preserve"> units by 2036, the majority of which would be leasehold</w:t>
      </w:r>
      <w:r w:rsidRPr="00CA47B9">
        <w:t>. There is a current deficit of</w:t>
      </w:r>
      <w:r w:rsidR="00D53082">
        <w:t xml:space="preserve"> 485 increasing to</w:t>
      </w:r>
      <w:r w:rsidRPr="00CA47B9">
        <w:t xml:space="preserve"> </w:t>
      </w:r>
      <w:r w:rsidR="003226FB">
        <w:t>825</w:t>
      </w:r>
      <w:r w:rsidRPr="00CA47B9">
        <w:t xml:space="preserve"> </w:t>
      </w:r>
      <w:r w:rsidR="00F975F7">
        <w:t>units</w:t>
      </w:r>
      <w:r w:rsidRPr="00CA47B9">
        <w:t xml:space="preserve"> for housing with care with a higher volume required for leasehold. </w:t>
      </w:r>
      <w:r w:rsidR="002F7AD3">
        <w:t>This data is also provided in Appendix B for the alternative plan period.</w:t>
      </w:r>
    </w:p>
    <w:p w:rsidR="005C34F7" w:rsidRDefault="005C34F7" w:rsidP="0028171E">
      <w:pPr>
        <w:pStyle w:val="11Bodytext"/>
        <w:tabs>
          <w:tab w:val="clear" w:pos="2212"/>
        </w:tabs>
        <w:ind w:left="567" w:hanging="567"/>
        <w:sectPr w:rsidR="005C34F7" w:rsidSect="008B43C6">
          <w:pgSz w:w="11900" w:h="16840"/>
          <w:pgMar w:top="1668" w:right="851" w:bottom="1418" w:left="1418" w:header="709" w:footer="709" w:gutter="0"/>
          <w:cols w:space="720"/>
          <w:formProt w:val="0"/>
        </w:sectPr>
      </w:pPr>
    </w:p>
    <w:p w:rsidR="00F63FBB" w:rsidRPr="00CA47B9" w:rsidRDefault="00F63FBB" w:rsidP="00BD0EDE">
      <w:pPr>
        <w:pStyle w:val="Tableheading"/>
        <w:tabs>
          <w:tab w:val="clear" w:pos="794"/>
          <w:tab w:val="clear" w:pos="1843"/>
          <w:tab w:val="left" w:pos="0"/>
        </w:tabs>
        <w:spacing w:line="240" w:lineRule="auto"/>
        <w:ind w:left="0" w:firstLine="0"/>
      </w:pPr>
      <w:bookmarkStart w:id="183" w:name="_Hlk33519722"/>
      <w:bookmarkEnd w:id="182"/>
      <w:r w:rsidRPr="00CA47B9">
        <w:lastRenderedPageBreak/>
        <w:t>Older Person’s Dwelling and Care Bedspace Requirements 2019 - 2036</w:t>
      </w:r>
    </w:p>
    <w:tbl>
      <w:tblPr>
        <w:tblStyle w:val="ListTable3-Accent21"/>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40: Older Person’s Dwelling and Care Bedspace Requirements 2019 - 2036"/>
      </w:tblPr>
      <w:tblGrid>
        <w:gridCol w:w="1337"/>
        <w:gridCol w:w="790"/>
        <w:gridCol w:w="376"/>
        <w:gridCol w:w="1322"/>
        <w:gridCol w:w="995"/>
        <w:gridCol w:w="1158"/>
        <w:gridCol w:w="1158"/>
        <w:gridCol w:w="1301"/>
        <w:gridCol w:w="1201"/>
      </w:tblGrid>
      <w:tr w:rsidR="00F63FBB" w:rsidRPr="001A351F" w:rsidTr="00D23B5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93" w:type="pct"/>
            <w:tcBorders>
              <w:bottom w:val="none" w:sz="0" w:space="0" w:color="auto"/>
              <w:right w:val="none" w:sz="0" w:space="0" w:color="auto"/>
            </w:tcBorders>
          </w:tcPr>
          <w:p w:rsidR="00F63FBB" w:rsidRPr="001A351F" w:rsidRDefault="00F63FBB" w:rsidP="001A351F">
            <w:pPr>
              <w:keepNext/>
              <w:rPr>
                <w:rFonts w:ascii="Arial Narrow" w:hAnsi="Arial Narrow"/>
                <w:b w:val="0"/>
                <w:bCs w:val="0"/>
                <w:sz w:val="24"/>
                <w:szCs w:val="24"/>
              </w:rPr>
            </w:pPr>
          </w:p>
        </w:tc>
        <w:tc>
          <w:tcPr>
            <w:tcW w:w="605" w:type="pct"/>
            <w:gridSpan w:val="2"/>
          </w:tcPr>
          <w:p w:rsidR="00F63FBB" w:rsidRPr="001A351F" w:rsidRDefault="00F63FBB" w:rsidP="001A351F">
            <w:pPr>
              <w:pStyle w:val="11Bodytext"/>
              <w:numPr>
                <w:ilvl w:val="0"/>
                <w:numId w:val="0"/>
              </w:num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rPr>
            </w:pPr>
          </w:p>
        </w:tc>
        <w:tc>
          <w:tcPr>
            <w:tcW w:w="686" w:type="pct"/>
            <w:tcBorders>
              <w:bottom w:val="single" w:sz="4" w:space="0" w:color="auto"/>
            </w:tcBorders>
            <w:hideMark/>
          </w:tcPr>
          <w:p w:rsidR="00F63FBB" w:rsidRPr="001A351F" w:rsidRDefault="00F63FBB" w:rsidP="00BD0EDE">
            <w:pPr>
              <w:pStyle w:val="11Bodytext"/>
              <w:numPr>
                <w:ilvl w:val="0"/>
                <w:numId w:val="0"/>
              </w:num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1A351F">
              <w:rPr>
                <w:rFonts w:ascii="Arial Narrow" w:hAnsi="Arial Narrow"/>
              </w:rPr>
              <w:t>Housing demand per 1,000 75+</w:t>
            </w:r>
          </w:p>
        </w:tc>
        <w:tc>
          <w:tcPr>
            <w:tcW w:w="516" w:type="pct"/>
            <w:tcBorders>
              <w:bottom w:val="single" w:sz="4" w:space="0" w:color="auto"/>
            </w:tcBorders>
            <w:hideMark/>
          </w:tcPr>
          <w:p w:rsidR="00F63FBB" w:rsidRPr="001A351F" w:rsidRDefault="00F63FBB" w:rsidP="00BD0EDE">
            <w:pPr>
              <w:pStyle w:val="11Bodytext"/>
              <w:numPr>
                <w:ilvl w:val="0"/>
                <w:numId w:val="0"/>
              </w:num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1A351F">
              <w:rPr>
                <w:rFonts w:ascii="Arial Narrow" w:hAnsi="Arial Narrow"/>
              </w:rPr>
              <w:t>Current supply</w:t>
            </w:r>
          </w:p>
        </w:tc>
        <w:tc>
          <w:tcPr>
            <w:tcW w:w="601" w:type="pct"/>
            <w:tcBorders>
              <w:bottom w:val="single" w:sz="4" w:space="0" w:color="auto"/>
            </w:tcBorders>
            <w:hideMark/>
          </w:tcPr>
          <w:p w:rsidR="00F63FBB" w:rsidRPr="001A351F" w:rsidRDefault="00F63FBB" w:rsidP="00BD0EDE">
            <w:pPr>
              <w:pStyle w:val="11Bodytext"/>
              <w:numPr>
                <w:ilvl w:val="0"/>
                <w:numId w:val="0"/>
              </w:num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1A351F">
              <w:rPr>
                <w:rFonts w:ascii="Arial Narrow" w:hAnsi="Arial Narrow"/>
              </w:rPr>
              <w:t>2019 Demand</w:t>
            </w:r>
          </w:p>
        </w:tc>
        <w:tc>
          <w:tcPr>
            <w:tcW w:w="601" w:type="pct"/>
            <w:tcBorders>
              <w:bottom w:val="single" w:sz="4" w:space="0" w:color="auto"/>
            </w:tcBorders>
            <w:hideMark/>
          </w:tcPr>
          <w:p w:rsidR="00F63FBB" w:rsidRPr="001A351F" w:rsidRDefault="00F63FBB" w:rsidP="00BD0EDE">
            <w:pPr>
              <w:pStyle w:val="11Bodytext"/>
              <w:numPr>
                <w:ilvl w:val="0"/>
                <w:numId w:val="0"/>
              </w:num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1A351F">
              <w:rPr>
                <w:rFonts w:ascii="Arial Narrow" w:hAnsi="Arial Narrow"/>
              </w:rPr>
              <w:t>Current shortfall/ (surplus)</w:t>
            </w:r>
          </w:p>
        </w:tc>
        <w:tc>
          <w:tcPr>
            <w:tcW w:w="675" w:type="pct"/>
            <w:tcBorders>
              <w:bottom w:val="single" w:sz="4" w:space="0" w:color="auto"/>
            </w:tcBorders>
          </w:tcPr>
          <w:p w:rsidR="00F63FBB" w:rsidRPr="001A351F" w:rsidRDefault="00F63FBB" w:rsidP="00BD0EDE">
            <w:pPr>
              <w:pStyle w:val="11Bodytext"/>
              <w:numPr>
                <w:ilvl w:val="0"/>
                <w:numId w:val="0"/>
              </w:num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1A351F">
              <w:rPr>
                <w:rFonts w:ascii="Arial Narrow" w:hAnsi="Arial Narrow"/>
                <w:spacing w:val="-2"/>
              </w:rPr>
              <w:t>Additional</w:t>
            </w:r>
            <w:r w:rsidRPr="001A351F">
              <w:rPr>
                <w:rFonts w:ascii="Arial Narrow" w:hAnsi="Arial Narrow"/>
              </w:rPr>
              <w:t xml:space="preserve"> demand to 2036</w:t>
            </w:r>
          </w:p>
        </w:tc>
        <w:tc>
          <w:tcPr>
            <w:tcW w:w="624" w:type="pct"/>
            <w:tcBorders>
              <w:bottom w:val="single" w:sz="4" w:space="0" w:color="auto"/>
            </w:tcBorders>
            <w:hideMark/>
          </w:tcPr>
          <w:p w:rsidR="00F63FBB" w:rsidRPr="001A351F" w:rsidRDefault="00F63FBB" w:rsidP="00BD0EDE">
            <w:pPr>
              <w:pStyle w:val="11Bodytext"/>
              <w:numPr>
                <w:ilvl w:val="0"/>
                <w:numId w:val="0"/>
              </w:num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1A351F">
              <w:rPr>
                <w:rFonts w:ascii="Arial Narrow" w:hAnsi="Arial Narrow"/>
              </w:rPr>
              <w:t>Shortfall/ (surplus) by 2036</w:t>
            </w:r>
          </w:p>
        </w:tc>
      </w:tr>
      <w:tr w:rsidR="008970B2" w:rsidRPr="001A351F" w:rsidTr="00D23B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pct"/>
            <w:tcBorders>
              <w:bottom w:val="single" w:sz="4" w:space="0" w:color="FFFFFF" w:themeColor="background1"/>
            </w:tcBorders>
            <w:vAlign w:val="center"/>
            <w:hideMark/>
          </w:tcPr>
          <w:p w:rsidR="008970B2" w:rsidRPr="001A351F" w:rsidRDefault="008970B2" w:rsidP="00D23B55">
            <w:pPr>
              <w:pStyle w:val="11Bodytext"/>
              <w:numPr>
                <w:ilvl w:val="0"/>
                <w:numId w:val="0"/>
              </w:numPr>
              <w:spacing w:before="0" w:after="0" w:line="240" w:lineRule="auto"/>
              <w:rPr>
                <w:rFonts w:ascii="Arial Narrow" w:hAnsi="Arial Narrow"/>
              </w:rPr>
            </w:pPr>
            <w:r w:rsidRPr="001A351F">
              <w:rPr>
                <w:rFonts w:ascii="Arial Narrow" w:hAnsi="Arial Narrow"/>
              </w:rPr>
              <w:t xml:space="preserve">Housing </w:t>
            </w:r>
          </w:p>
        </w:tc>
        <w:tc>
          <w:tcPr>
            <w:tcW w:w="605" w:type="pct"/>
            <w:gridSpan w:val="2"/>
            <w:tcBorders>
              <w:right w:val="single" w:sz="4" w:space="0" w:color="auto"/>
            </w:tcBorders>
            <w:vAlign w:val="center"/>
            <w:hideMark/>
          </w:tcPr>
          <w:p w:rsidR="008970B2" w:rsidRPr="001A351F" w:rsidRDefault="008970B2" w:rsidP="00BD0EDE">
            <w:pPr>
              <w:pStyle w:val="11Bodytext"/>
              <w:numPr>
                <w:ilvl w:val="0"/>
                <w:numId w:val="0"/>
              </w:num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A351F">
              <w:rPr>
                <w:rFonts w:ascii="Arial Narrow" w:hAnsi="Arial Narrow"/>
              </w:rPr>
              <w:t>Rented</w:t>
            </w:r>
          </w:p>
        </w:tc>
        <w:tc>
          <w:tcPr>
            <w:tcW w:w="6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70B2" w:rsidRPr="001A351F" w:rsidRDefault="008970B2" w:rsidP="00BD0EDE">
            <w:pPr>
              <w:keepN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1A351F">
              <w:rPr>
                <w:rFonts w:ascii="Arial Narrow" w:eastAsia="Times New Roman" w:hAnsi="Arial Narrow"/>
                <w:color w:val="000000"/>
                <w:sz w:val="24"/>
                <w:szCs w:val="24"/>
                <w:lang w:eastAsia="en-GB"/>
              </w:rPr>
              <w:t>40</w:t>
            </w:r>
          </w:p>
        </w:tc>
        <w:tc>
          <w:tcPr>
            <w:tcW w:w="5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70B2" w:rsidRPr="001A351F" w:rsidRDefault="008970B2" w:rsidP="00BD0EDE">
            <w:pPr>
              <w:keepN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1A351F">
              <w:rPr>
                <w:rFonts w:ascii="Arial Narrow" w:eastAsia="Times New Roman" w:hAnsi="Arial Narrow"/>
                <w:color w:val="000000"/>
                <w:sz w:val="24"/>
                <w:szCs w:val="24"/>
                <w:lang w:eastAsia="en-GB"/>
              </w:rPr>
              <w:t>599</w:t>
            </w:r>
          </w:p>
        </w:tc>
        <w:tc>
          <w:tcPr>
            <w:tcW w:w="6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70B2" w:rsidRPr="001A351F" w:rsidRDefault="008970B2" w:rsidP="00BD0EDE">
            <w:pPr>
              <w:keepN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1A351F">
              <w:rPr>
                <w:rFonts w:ascii="Arial Narrow" w:eastAsia="Times New Roman" w:hAnsi="Arial Narrow"/>
                <w:color w:val="000000"/>
                <w:sz w:val="24"/>
                <w:szCs w:val="24"/>
                <w:lang w:eastAsia="en-GB"/>
              </w:rPr>
              <w:t>652</w:t>
            </w:r>
          </w:p>
        </w:tc>
        <w:tc>
          <w:tcPr>
            <w:tcW w:w="6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70B2" w:rsidRPr="001A351F" w:rsidRDefault="008970B2" w:rsidP="00BD0EDE">
            <w:pPr>
              <w:keepN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1A351F">
              <w:rPr>
                <w:rFonts w:ascii="Arial Narrow" w:eastAsia="Times New Roman" w:hAnsi="Arial Narrow"/>
                <w:color w:val="000000"/>
                <w:sz w:val="24"/>
                <w:szCs w:val="24"/>
                <w:lang w:eastAsia="en-GB"/>
              </w:rPr>
              <w:t>53</w:t>
            </w:r>
          </w:p>
        </w:tc>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70B2" w:rsidRPr="001A351F" w:rsidRDefault="008970B2" w:rsidP="00BD0EDE">
            <w:pPr>
              <w:keepN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1A351F">
              <w:rPr>
                <w:rFonts w:ascii="Arial Narrow" w:eastAsia="Times New Roman" w:hAnsi="Arial Narrow"/>
                <w:color w:val="000000"/>
                <w:sz w:val="24"/>
                <w:szCs w:val="24"/>
                <w:lang w:eastAsia="en-GB"/>
              </w:rPr>
              <w:t>358</w:t>
            </w:r>
          </w:p>
        </w:tc>
        <w:tc>
          <w:tcPr>
            <w:tcW w:w="6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70B2" w:rsidRPr="001A351F" w:rsidRDefault="008970B2" w:rsidP="00BD0EDE">
            <w:pPr>
              <w:keepN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1A351F">
              <w:rPr>
                <w:rFonts w:ascii="Arial Narrow" w:eastAsia="Times New Roman" w:hAnsi="Arial Narrow"/>
                <w:color w:val="000000"/>
                <w:sz w:val="24"/>
                <w:szCs w:val="24"/>
                <w:lang w:eastAsia="en-GB"/>
              </w:rPr>
              <w:t>411</w:t>
            </w:r>
          </w:p>
        </w:tc>
      </w:tr>
      <w:tr w:rsidR="008970B2" w:rsidRPr="001A351F" w:rsidTr="00D23B55">
        <w:tc>
          <w:tcPr>
            <w:cnfStyle w:val="001000000000" w:firstRow="0" w:lastRow="0" w:firstColumn="1" w:lastColumn="0" w:oddVBand="0" w:evenVBand="0" w:oddHBand="0" w:evenHBand="0" w:firstRowFirstColumn="0" w:firstRowLastColumn="0" w:lastRowFirstColumn="0" w:lastRowLastColumn="0"/>
            <w:tcW w:w="693" w:type="pct"/>
            <w:tcBorders>
              <w:top w:val="single" w:sz="4" w:space="0" w:color="FFFFFF" w:themeColor="background1"/>
            </w:tcBorders>
            <w:vAlign w:val="center"/>
            <w:hideMark/>
          </w:tcPr>
          <w:p w:rsidR="008970B2" w:rsidRPr="001A351F" w:rsidRDefault="00D23B55" w:rsidP="001A351F">
            <w:pPr>
              <w:keepNext/>
              <w:rPr>
                <w:rFonts w:ascii="Arial Narrow" w:hAnsi="Arial Narrow"/>
                <w:b w:val="0"/>
                <w:bCs w:val="0"/>
                <w:sz w:val="24"/>
                <w:szCs w:val="24"/>
              </w:rPr>
            </w:pPr>
            <w:r w:rsidRPr="00D23B55">
              <w:rPr>
                <w:rFonts w:ascii="Arial Narrow" w:hAnsi="Arial Narrow"/>
                <w:sz w:val="22"/>
              </w:rPr>
              <w:t>with support</w:t>
            </w:r>
          </w:p>
        </w:tc>
        <w:tc>
          <w:tcPr>
            <w:tcW w:w="605" w:type="pct"/>
            <w:gridSpan w:val="2"/>
            <w:tcBorders>
              <w:right w:val="single" w:sz="4" w:space="0" w:color="auto"/>
            </w:tcBorders>
            <w:vAlign w:val="center"/>
            <w:hideMark/>
          </w:tcPr>
          <w:p w:rsidR="008970B2" w:rsidRPr="001A351F" w:rsidRDefault="008970B2" w:rsidP="00BD0EDE">
            <w:pPr>
              <w:pStyle w:val="11Bodytext"/>
              <w:numPr>
                <w:ilvl w:val="0"/>
                <w:numId w:val="0"/>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1A351F">
              <w:rPr>
                <w:rFonts w:ascii="Arial Narrow" w:hAnsi="Arial Narrow"/>
              </w:rPr>
              <w:t>Leasehold</w:t>
            </w:r>
          </w:p>
        </w:tc>
        <w:tc>
          <w:tcPr>
            <w:tcW w:w="6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70B2" w:rsidRPr="001A351F" w:rsidRDefault="008970B2" w:rsidP="00BD0EDE">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1A351F">
              <w:rPr>
                <w:rFonts w:ascii="Arial Narrow" w:eastAsia="Times New Roman" w:hAnsi="Arial Narrow"/>
                <w:color w:val="000000"/>
                <w:sz w:val="24"/>
                <w:szCs w:val="24"/>
                <w:lang w:eastAsia="en-GB"/>
              </w:rPr>
              <w:t>65</w:t>
            </w:r>
          </w:p>
        </w:tc>
        <w:tc>
          <w:tcPr>
            <w:tcW w:w="5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70B2" w:rsidRPr="001A351F" w:rsidRDefault="008970B2" w:rsidP="00BD0EDE">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1A351F">
              <w:rPr>
                <w:rFonts w:ascii="Arial Narrow" w:eastAsia="Times New Roman" w:hAnsi="Arial Narrow"/>
                <w:color w:val="000000"/>
                <w:sz w:val="24"/>
                <w:szCs w:val="24"/>
                <w:lang w:eastAsia="en-GB"/>
              </w:rPr>
              <w:t>742</w:t>
            </w:r>
          </w:p>
        </w:tc>
        <w:tc>
          <w:tcPr>
            <w:tcW w:w="6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70B2" w:rsidRPr="001A351F" w:rsidRDefault="008970B2" w:rsidP="00BD0EDE">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1A351F">
              <w:rPr>
                <w:rFonts w:ascii="Arial Narrow" w:eastAsia="Times New Roman" w:hAnsi="Arial Narrow"/>
                <w:color w:val="000000"/>
                <w:sz w:val="24"/>
                <w:szCs w:val="24"/>
                <w:lang w:eastAsia="en-GB"/>
              </w:rPr>
              <w:t>1,065</w:t>
            </w:r>
          </w:p>
        </w:tc>
        <w:tc>
          <w:tcPr>
            <w:tcW w:w="6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70B2" w:rsidRPr="001A351F" w:rsidRDefault="008970B2" w:rsidP="00BD0EDE">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1A351F">
              <w:rPr>
                <w:rFonts w:ascii="Arial Narrow" w:eastAsia="Times New Roman" w:hAnsi="Arial Narrow"/>
                <w:color w:val="000000"/>
                <w:sz w:val="24"/>
                <w:szCs w:val="24"/>
                <w:lang w:eastAsia="en-GB"/>
              </w:rPr>
              <w:t>323</w:t>
            </w:r>
          </w:p>
        </w:tc>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70B2" w:rsidRPr="001A351F" w:rsidRDefault="008970B2" w:rsidP="00BD0EDE">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1A351F">
              <w:rPr>
                <w:rFonts w:ascii="Arial Narrow" w:eastAsia="Times New Roman" w:hAnsi="Arial Narrow"/>
                <w:color w:val="000000"/>
                <w:sz w:val="24"/>
                <w:szCs w:val="24"/>
                <w:lang w:eastAsia="en-GB"/>
              </w:rPr>
              <w:t>585</w:t>
            </w:r>
          </w:p>
        </w:tc>
        <w:tc>
          <w:tcPr>
            <w:tcW w:w="6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70B2" w:rsidRPr="001A351F" w:rsidRDefault="008970B2" w:rsidP="00BD0EDE">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1A351F">
              <w:rPr>
                <w:rFonts w:ascii="Arial Narrow" w:eastAsia="Times New Roman" w:hAnsi="Arial Narrow"/>
                <w:color w:val="000000"/>
                <w:sz w:val="24"/>
                <w:szCs w:val="24"/>
                <w:lang w:eastAsia="en-GB"/>
              </w:rPr>
              <w:t>908</w:t>
            </w:r>
          </w:p>
        </w:tc>
      </w:tr>
      <w:tr w:rsidR="008970B2" w:rsidRPr="001A351F" w:rsidTr="00D23B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pct"/>
            <w:tcBorders>
              <w:bottom w:val="single" w:sz="4" w:space="0" w:color="FFFFFF" w:themeColor="background1"/>
            </w:tcBorders>
            <w:vAlign w:val="center"/>
            <w:hideMark/>
          </w:tcPr>
          <w:p w:rsidR="008970B2" w:rsidRPr="001A351F" w:rsidRDefault="008970B2" w:rsidP="00D23B55">
            <w:pPr>
              <w:pStyle w:val="11Bodytext"/>
              <w:numPr>
                <w:ilvl w:val="0"/>
                <w:numId w:val="0"/>
              </w:numPr>
              <w:spacing w:before="0" w:after="0" w:line="240" w:lineRule="auto"/>
              <w:rPr>
                <w:rFonts w:ascii="Arial Narrow" w:hAnsi="Arial Narrow"/>
              </w:rPr>
            </w:pPr>
            <w:r w:rsidRPr="001A351F">
              <w:rPr>
                <w:rFonts w:ascii="Arial Narrow" w:hAnsi="Arial Narrow"/>
              </w:rPr>
              <w:t xml:space="preserve">Housing </w:t>
            </w:r>
          </w:p>
        </w:tc>
        <w:tc>
          <w:tcPr>
            <w:tcW w:w="605" w:type="pct"/>
            <w:gridSpan w:val="2"/>
            <w:tcBorders>
              <w:right w:val="single" w:sz="4" w:space="0" w:color="auto"/>
            </w:tcBorders>
            <w:vAlign w:val="center"/>
            <w:hideMark/>
          </w:tcPr>
          <w:p w:rsidR="008970B2" w:rsidRPr="001A351F" w:rsidRDefault="008970B2" w:rsidP="00BD0EDE">
            <w:pPr>
              <w:pStyle w:val="11Bodytext"/>
              <w:numPr>
                <w:ilvl w:val="0"/>
                <w:numId w:val="0"/>
              </w:num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A351F">
              <w:rPr>
                <w:rFonts w:ascii="Arial Narrow" w:hAnsi="Arial Narrow"/>
              </w:rPr>
              <w:t>Rented</w:t>
            </w:r>
          </w:p>
        </w:tc>
        <w:tc>
          <w:tcPr>
            <w:tcW w:w="6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70B2" w:rsidRPr="001A351F" w:rsidRDefault="008970B2" w:rsidP="00BD0EDE">
            <w:pPr>
              <w:keepN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1A351F">
              <w:rPr>
                <w:rFonts w:ascii="Arial Narrow" w:eastAsia="Times New Roman" w:hAnsi="Arial Narrow"/>
                <w:color w:val="000000"/>
                <w:sz w:val="24"/>
                <w:szCs w:val="24"/>
                <w:lang w:eastAsia="en-GB"/>
              </w:rPr>
              <w:t>17</w:t>
            </w:r>
          </w:p>
        </w:tc>
        <w:tc>
          <w:tcPr>
            <w:tcW w:w="5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70B2" w:rsidRPr="001A351F" w:rsidRDefault="008970B2" w:rsidP="00BD0EDE">
            <w:pPr>
              <w:keepN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1A351F">
              <w:rPr>
                <w:rFonts w:ascii="Arial Narrow" w:eastAsia="Times New Roman" w:hAnsi="Arial Narrow"/>
                <w:color w:val="000000"/>
                <w:sz w:val="24"/>
                <w:szCs w:val="24"/>
                <w:lang w:eastAsia="en-GB"/>
              </w:rPr>
              <w:t>99</w:t>
            </w:r>
          </w:p>
        </w:tc>
        <w:tc>
          <w:tcPr>
            <w:tcW w:w="6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70B2" w:rsidRPr="001A351F" w:rsidRDefault="008970B2" w:rsidP="00BD0EDE">
            <w:pPr>
              <w:keepN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1A351F">
              <w:rPr>
                <w:rFonts w:ascii="Arial Narrow" w:eastAsia="Times New Roman" w:hAnsi="Arial Narrow"/>
                <w:color w:val="000000"/>
                <w:sz w:val="24"/>
                <w:szCs w:val="24"/>
                <w:lang w:eastAsia="en-GB"/>
              </w:rPr>
              <w:t>281</w:t>
            </w:r>
          </w:p>
        </w:tc>
        <w:tc>
          <w:tcPr>
            <w:tcW w:w="6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70B2" w:rsidRPr="001A351F" w:rsidRDefault="008970B2" w:rsidP="00BD0EDE">
            <w:pPr>
              <w:keepN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1A351F">
              <w:rPr>
                <w:rFonts w:ascii="Arial Narrow" w:eastAsia="Times New Roman" w:hAnsi="Arial Narrow"/>
                <w:color w:val="000000"/>
                <w:sz w:val="24"/>
                <w:szCs w:val="24"/>
                <w:lang w:eastAsia="en-GB"/>
              </w:rPr>
              <w:t>182</w:t>
            </w:r>
          </w:p>
        </w:tc>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70B2" w:rsidRPr="001A351F" w:rsidRDefault="008970B2" w:rsidP="00BD0EDE">
            <w:pPr>
              <w:keepN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1A351F">
              <w:rPr>
                <w:rFonts w:ascii="Arial Narrow" w:eastAsia="Times New Roman" w:hAnsi="Arial Narrow"/>
                <w:color w:val="000000"/>
                <w:sz w:val="24"/>
                <w:szCs w:val="24"/>
                <w:lang w:eastAsia="en-GB"/>
              </w:rPr>
              <w:t>155</w:t>
            </w:r>
          </w:p>
        </w:tc>
        <w:tc>
          <w:tcPr>
            <w:tcW w:w="6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70B2" w:rsidRPr="001A351F" w:rsidRDefault="008970B2" w:rsidP="00BD0EDE">
            <w:pPr>
              <w:keepN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1A351F">
              <w:rPr>
                <w:rFonts w:ascii="Arial Narrow" w:eastAsia="Times New Roman" w:hAnsi="Arial Narrow"/>
                <w:color w:val="000000"/>
                <w:sz w:val="24"/>
                <w:szCs w:val="24"/>
                <w:lang w:eastAsia="en-GB"/>
              </w:rPr>
              <w:t>337</w:t>
            </w:r>
          </w:p>
        </w:tc>
      </w:tr>
      <w:tr w:rsidR="008970B2" w:rsidRPr="001A351F" w:rsidTr="00D23B55">
        <w:tc>
          <w:tcPr>
            <w:cnfStyle w:val="001000000000" w:firstRow="0" w:lastRow="0" w:firstColumn="1" w:lastColumn="0" w:oddVBand="0" w:evenVBand="0" w:oddHBand="0" w:evenHBand="0" w:firstRowFirstColumn="0" w:firstRowLastColumn="0" w:lastRowFirstColumn="0" w:lastRowLastColumn="0"/>
            <w:tcW w:w="693" w:type="pct"/>
            <w:tcBorders>
              <w:top w:val="single" w:sz="4" w:space="0" w:color="FFFFFF" w:themeColor="background1"/>
              <w:bottom w:val="single" w:sz="4" w:space="0" w:color="auto"/>
            </w:tcBorders>
            <w:hideMark/>
          </w:tcPr>
          <w:p w:rsidR="008970B2" w:rsidRPr="001A351F" w:rsidRDefault="00D23B55" w:rsidP="001A351F">
            <w:pPr>
              <w:keepNext/>
              <w:rPr>
                <w:rFonts w:ascii="Arial Narrow" w:hAnsi="Arial Narrow"/>
                <w:b w:val="0"/>
                <w:bCs w:val="0"/>
                <w:sz w:val="24"/>
                <w:szCs w:val="24"/>
              </w:rPr>
            </w:pPr>
            <w:r w:rsidRPr="00D23B55">
              <w:rPr>
                <w:rFonts w:ascii="Arial Narrow" w:hAnsi="Arial Narrow"/>
                <w:sz w:val="22"/>
              </w:rPr>
              <w:t>with care</w:t>
            </w:r>
          </w:p>
        </w:tc>
        <w:tc>
          <w:tcPr>
            <w:tcW w:w="605" w:type="pct"/>
            <w:gridSpan w:val="2"/>
            <w:tcBorders>
              <w:bottom w:val="single" w:sz="4" w:space="0" w:color="auto"/>
              <w:right w:val="single" w:sz="4" w:space="0" w:color="auto"/>
            </w:tcBorders>
            <w:vAlign w:val="center"/>
            <w:hideMark/>
          </w:tcPr>
          <w:p w:rsidR="008970B2" w:rsidRPr="001A351F" w:rsidRDefault="008970B2" w:rsidP="00BD0EDE">
            <w:pPr>
              <w:pStyle w:val="11Bodytext"/>
              <w:numPr>
                <w:ilvl w:val="0"/>
                <w:numId w:val="0"/>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1A351F">
              <w:rPr>
                <w:rFonts w:ascii="Arial Narrow" w:hAnsi="Arial Narrow"/>
              </w:rPr>
              <w:t>Leasehold</w:t>
            </w:r>
          </w:p>
        </w:tc>
        <w:tc>
          <w:tcPr>
            <w:tcW w:w="6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70B2" w:rsidRPr="001A351F" w:rsidRDefault="008970B2" w:rsidP="00BD0EDE">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1A351F">
              <w:rPr>
                <w:rFonts w:ascii="Arial Narrow" w:eastAsia="Times New Roman" w:hAnsi="Arial Narrow"/>
                <w:color w:val="000000"/>
                <w:sz w:val="24"/>
                <w:szCs w:val="24"/>
                <w:lang w:eastAsia="en-GB"/>
              </w:rPr>
              <w:t>21</w:t>
            </w:r>
          </w:p>
        </w:tc>
        <w:tc>
          <w:tcPr>
            <w:tcW w:w="5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70B2" w:rsidRPr="001A351F" w:rsidRDefault="008970B2" w:rsidP="00BD0EDE">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1A351F">
              <w:rPr>
                <w:rFonts w:ascii="Arial Narrow" w:eastAsia="Times New Roman" w:hAnsi="Arial Narrow"/>
                <w:color w:val="000000"/>
                <w:sz w:val="24"/>
                <w:szCs w:val="24"/>
                <w:lang w:eastAsia="en-GB"/>
              </w:rPr>
              <w:t>34</w:t>
            </w:r>
          </w:p>
        </w:tc>
        <w:tc>
          <w:tcPr>
            <w:tcW w:w="6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70B2" w:rsidRPr="001A351F" w:rsidRDefault="008970B2" w:rsidP="00BD0EDE">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1A351F">
              <w:rPr>
                <w:rFonts w:ascii="Arial Narrow" w:eastAsia="Times New Roman" w:hAnsi="Arial Narrow"/>
                <w:color w:val="000000"/>
                <w:sz w:val="24"/>
                <w:szCs w:val="24"/>
                <w:lang w:eastAsia="en-GB"/>
              </w:rPr>
              <w:t>337</w:t>
            </w:r>
          </w:p>
        </w:tc>
        <w:tc>
          <w:tcPr>
            <w:tcW w:w="6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70B2" w:rsidRPr="001A351F" w:rsidRDefault="008970B2" w:rsidP="00BD0EDE">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1A351F">
              <w:rPr>
                <w:rFonts w:ascii="Arial Narrow" w:eastAsia="Times New Roman" w:hAnsi="Arial Narrow"/>
                <w:color w:val="000000"/>
                <w:sz w:val="24"/>
                <w:szCs w:val="24"/>
                <w:lang w:eastAsia="en-GB"/>
              </w:rPr>
              <w:t>303</w:t>
            </w:r>
          </w:p>
        </w:tc>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70B2" w:rsidRPr="001A351F" w:rsidRDefault="008970B2" w:rsidP="00BD0EDE">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1A351F">
              <w:rPr>
                <w:rFonts w:ascii="Arial Narrow" w:eastAsia="Times New Roman" w:hAnsi="Arial Narrow"/>
                <w:color w:val="000000"/>
                <w:sz w:val="24"/>
                <w:szCs w:val="24"/>
                <w:lang w:eastAsia="en-GB"/>
              </w:rPr>
              <w:t>185</w:t>
            </w:r>
          </w:p>
        </w:tc>
        <w:tc>
          <w:tcPr>
            <w:tcW w:w="6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70B2" w:rsidRPr="001A351F" w:rsidRDefault="008970B2" w:rsidP="00BD0EDE">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1A351F">
              <w:rPr>
                <w:rFonts w:ascii="Arial Narrow" w:eastAsia="Times New Roman" w:hAnsi="Arial Narrow"/>
                <w:color w:val="000000"/>
                <w:sz w:val="24"/>
                <w:szCs w:val="24"/>
                <w:lang w:eastAsia="en-GB"/>
              </w:rPr>
              <w:t>488</w:t>
            </w:r>
          </w:p>
        </w:tc>
      </w:tr>
      <w:tr w:rsidR="00D23B55" w:rsidRPr="001A351F" w:rsidTr="00D23B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gridSpan w:val="2"/>
            <w:tcBorders>
              <w:top w:val="single" w:sz="4" w:space="0" w:color="auto"/>
              <w:bottom w:val="single" w:sz="4" w:space="0" w:color="FFFFFF" w:themeColor="background1"/>
              <w:right w:val="single" w:sz="4" w:space="0" w:color="FFFFFF" w:themeColor="background1"/>
            </w:tcBorders>
          </w:tcPr>
          <w:p w:rsidR="00D23B55" w:rsidRPr="001A351F" w:rsidRDefault="00D23B55" w:rsidP="001A351F">
            <w:pPr>
              <w:pStyle w:val="11Bodytext"/>
              <w:numPr>
                <w:ilvl w:val="0"/>
                <w:numId w:val="0"/>
              </w:numPr>
              <w:spacing w:before="0" w:after="0" w:line="240" w:lineRule="auto"/>
              <w:rPr>
                <w:rFonts w:ascii="Arial Narrow" w:hAnsi="Arial Narrow"/>
                <w:b w:val="0"/>
                <w:bCs/>
              </w:rPr>
            </w:pPr>
            <w:r w:rsidRPr="001A351F">
              <w:rPr>
                <w:rFonts w:ascii="Arial Narrow" w:hAnsi="Arial Narrow"/>
              </w:rPr>
              <w:t>Total (dwellings)</w:t>
            </w:r>
          </w:p>
        </w:tc>
        <w:tc>
          <w:tcPr>
            <w:tcW w:w="194" w:type="pct"/>
            <w:tcBorders>
              <w:top w:val="single" w:sz="4" w:space="0" w:color="auto"/>
              <w:left w:val="single" w:sz="4" w:space="0" w:color="FFFFFF" w:themeColor="background1"/>
              <w:bottom w:val="single" w:sz="4" w:space="0" w:color="auto"/>
              <w:right w:val="single" w:sz="4" w:space="0" w:color="auto"/>
            </w:tcBorders>
          </w:tcPr>
          <w:p w:rsidR="00D23B55" w:rsidRPr="001A351F" w:rsidRDefault="00D23B55" w:rsidP="001A351F">
            <w:pPr>
              <w:pStyle w:val="11Bodytext"/>
              <w:numPr>
                <w:ilvl w:val="0"/>
                <w:numId w:val="0"/>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6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B55" w:rsidRPr="001A351F" w:rsidRDefault="00D23B55" w:rsidP="00BD0EDE">
            <w:pPr>
              <w:keepN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1A351F">
              <w:rPr>
                <w:rFonts w:ascii="Arial Narrow" w:eastAsia="Times New Roman" w:hAnsi="Arial Narrow"/>
                <w:color w:val="000000"/>
                <w:sz w:val="24"/>
                <w:szCs w:val="24"/>
                <w:lang w:eastAsia="en-GB"/>
              </w:rPr>
              <w:t>142</w:t>
            </w:r>
          </w:p>
        </w:tc>
        <w:tc>
          <w:tcPr>
            <w:tcW w:w="5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B55" w:rsidRPr="001A351F" w:rsidRDefault="00D23B55" w:rsidP="00BD0EDE">
            <w:pPr>
              <w:keepN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1A351F">
              <w:rPr>
                <w:rFonts w:ascii="Arial Narrow" w:eastAsia="Times New Roman" w:hAnsi="Arial Narrow"/>
                <w:color w:val="000000"/>
                <w:sz w:val="24"/>
                <w:szCs w:val="24"/>
                <w:lang w:eastAsia="en-GB"/>
              </w:rPr>
              <w:t>1,474</w:t>
            </w:r>
          </w:p>
        </w:tc>
        <w:tc>
          <w:tcPr>
            <w:tcW w:w="6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B55" w:rsidRPr="001A351F" w:rsidRDefault="00D23B55" w:rsidP="00BD0EDE">
            <w:pPr>
              <w:keepN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1A351F">
              <w:rPr>
                <w:rFonts w:ascii="Arial Narrow" w:eastAsia="Times New Roman" w:hAnsi="Arial Narrow"/>
                <w:color w:val="000000"/>
                <w:sz w:val="24"/>
                <w:szCs w:val="24"/>
                <w:lang w:eastAsia="en-GB"/>
              </w:rPr>
              <w:t>2,335</w:t>
            </w:r>
          </w:p>
        </w:tc>
        <w:tc>
          <w:tcPr>
            <w:tcW w:w="6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B55" w:rsidRPr="001A351F" w:rsidRDefault="00D23B55" w:rsidP="00BD0EDE">
            <w:pPr>
              <w:keepN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1A351F">
              <w:rPr>
                <w:rFonts w:ascii="Arial Narrow" w:eastAsia="Times New Roman" w:hAnsi="Arial Narrow"/>
                <w:color w:val="000000"/>
                <w:sz w:val="24"/>
                <w:szCs w:val="24"/>
                <w:lang w:eastAsia="en-GB"/>
              </w:rPr>
              <w:t>861</w:t>
            </w:r>
          </w:p>
        </w:tc>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B55" w:rsidRPr="001A351F" w:rsidRDefault="00D23B55" w:rsidP="00BD0EDE">
            <w:pPr>
              <w:keepN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1A351F">
              <w:rPr>
                <w:rFonts w:ascii="Arial Narrow" w:eastAsia="Times New Roman" w:hAnsi="Arial Narrow"/>
                <w:color w:val="000000"/>
                <w:sz w:val="24"/>
                <w:szCs w:val="24"/>
                <w:lang w:eastAsia="en-GB"/>
              </w:rPr>
              <w:t>1,283</w:t>
            </w:r>
          </w:p>
        </w:tc>
        <w:tc>
          <w:tcPr>
            <w:tcW w:w="6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23B55" w:rsidRPr="001A351F" w:rsidRDefault="00D23B55" w:rsidP="00BD0EDE">
            <w:pPr>
              <w:keepN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1A351F">
              <w:rPr>
                <w:rFonts w:ascii="Arial Narrow" w:eastAsia="Times New Roman" w:hAnsi="Arial Narrow"/>
                <w:color w:val="000000"/>
                <w:sz w:val="24"/>
                <w:szCs w:val="24"/>
                <w:lang w:eastAsia="en-GB"/>
              </w:rPr>
              <w:t>2,144</w:t>
            </w:r>
          </w:p>
        </w:tc>
      </w:tr>
      <w:tr w:rsidR="008970B2" w:rsidRPr="001A351F" w:rsidTr="00D23B55">
        <w:tc>
          <w:tcPr>
            <w:cnfStyle w:val="001000000000" w:firstRow="0" w:lastRow="0" w:firstColumn="1" w:lastColumn="0" w:oddVBand="0" w:evenVBand="0" w:oddHBand="0" w:evenHBand="0" w:firstRowFirstColumn="0" w:firstRowLastColumn="0" w:lastRowFirstColumn="0" w:lastRowLastColumn="0"/>
            <w:tcW w:w="1297" w:type="pct"/>
            <w:gridSpan w:val="3"/>
            <w:tcBorders>
              <w:top w:val="single" w:sz="4" w:space="0" w:color="auto"/>
              <w:bottom w:val="single" w:sz="4" w:space="0" w:color="auto"/>
              <w:right w:val="single" w:sz="4" w:space="0" w:color="auto"/>
            </w:tcBorders>
          </w:tcPr>
          <w:p w:rsidR="008970B2" w:rsidRPr="001A351F" w:rsidRDefault="008970B2" w:rsidP="001A351F">
            <w:pPr>
              <w:pStyle w:val="11Bodytext"/>
              <w:numPr>
                <w:ilvl w:val="0"/>
                <w:numId w:val="0"/>
              </w:numPr>
              <w:spacing w:before="0" w:after="0" w:line="240" w:lineRule="auto"/>
              <w:rPr>
                <w:rFonts w:ascii="Arial Narrow" w:hAnsi="Arial Narrow"/>
              </w:rPr>
            </w:pPr>
            <w:r w:rsidRPr="001A351F">
              <w:rPr>
                <w:rFonts w:ascii="Arial Narrow" w:hAnsi="Arial Narrow"/>
              </w:rPr>
              <w:t>Care bedspaces</w:t>
            </w:r>
          </w:p>
        </w:tc>
        <w:tc>
          <w:tcPr>
            <w:tcW w:w="6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70B2" w:rsidRPr="001A351F" w:rsidRDefault="008970B2" w:rsidP="00BD0EDE">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1A351F">
              <w:rPr>
                <w:rFonts w:ascii="Arial Narrow" w:eastAsia="Times New Roman" w:hAnsi="Arial Narrow"/>
                <w:color w:val="000000"/>
                <w:sz w:val="24"/>
                <w:szCs w:val="24"/>
                <w:lang w:eastAsia="en-GB"/>
              </w:rPr>
              <w:t>92</w:t>
            </w:r>
          </w:p>
        </w:tc>
        <w:tc>
          <w:tcPr>
            <w:tcW w:w="5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70B2" w:rsidRPr="001A351F" w:rsidRDefault="008970B2" w:rsidP="00BD0EDE">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1A351F">
              <w:rPr>
                <w:rFonts w:ascii="Arial Narrow" w:eastAsia="Times New Roman" w:hAnsi="Arial Narrow"/>
                <w:color w:val="000000"/>
                <w:sz w:val="24"/>
                <w:szCs w:val="24"/>
                <w:lang w:eastAsia="en-GB"/>
              </w:rPr>
              <w:t>1,502</w:t>
            </w:r>
          </w:p>
        </w:tc>
        <w:tc>
          <w:tcPr>
            <w:tcW w:w="6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70B2" w:rsidRPr="001A351F" w:rsidRDefault="008970B2" w:rsidP="00BD0EDE">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1A351F">
              <w:rPr>
                <w:rFonts w:ascii="Arial Narrow" w:eastAsia="Times New Roman" w:hAnsi="Arial Narrow"/>
                <w:color w:val="000000"/>
                <w:sz w:val="24"/>
                <w:szCs w:val="24"/>
                <w:lang w:eastAsia="en-GB"/>
              </w:rPr>
              <w:t>1,511</w:t>
            </w:r>
          </w:p>
        </w:tc>
        <w:tc>
          <w:tcPr>
            <w:tcW w:w="6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70B2" w:rsidRPr="001A351F" w:rsidRDefault="008970B2" w:rsidP="00BD0EDE">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1A351F">
              <w:rPr>
                <w:rFonts w:ascii="Arial Narrow" w:eastAsia="Times New Roman" w:hAnsi="Arial Narrow"/>
                <w:color w:val="000000"/>
                <w:sz w:val="24"/>
                <w:szCs w:val="24"/>
                <w:lang w:eastAsia="en-GB"/>
              </w:rPr>
              <w:t>9</w:t>
            </w:r>
          </w:p>
        </w:tc>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70B2" w:rsidRPr="001A351F" w:rsidRDefault="008970B2" w:rsidP="00BD0EDE">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1A351F">
              <w:rPr>
                <w:rFonts w:ascii="Arial Narrow" w:eastAsia="Times New Roman" w:hAnsi="Arial Narrow"/>
                <w:color w:val="000000"/>
                <w:sz w:val="24"/>
                <w:szCs w:val="24"/>
                <w:lang w:eastAsia="en-GB"/>
              </w:rPr>
              <w:t>830</w:t>
            </w:r>
          </w:p>
        </w:tc>
        <w:tc>
          <w:tcPr>
            <w:tcW w:w="6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70B2" w:rsidRPr="001A351F" w:rsidRDefault="008970B2" w:rsidP="00BD0EDE">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1A351F">
              <w:rPr>
                <w:rFonts w:ascii="Arial Narrow" w:eastAsia="Times New Roman" w:hAnsi="Arial Narrow"/>
                <w:color w:val="000000"/>
                <w:sz w:val="24"/>
                <w:szCs w:val="24"/>
                <w:lang w:eastAsia="en-GB"/>
              </w:rPr>
              <w:t>839</w:t>
            </w:r>
          </w:p>
        </w:tc>
      </w:tr>
    </w:tbl>
    <w:p w:rsidR="00F63FBB" w:rsidRDefault="00F63FBB" w:rsidP="00BD0EDE">
      <w:pPr>
        <w:pStyle w:val="11Bodytext"/>
        <w:numPr>
          <w:ilvl w:val="0"/>
          <w:numId w:val="0"/>
        </w:numPr>
        <w:spacing w:before="0" w:after="0" w:line="240" w:lineRule="auto"/>
      </w:pPr>
      <w:r w:rsidRPr="00CA47B9">
        <w:t>Source: Derived from demographic projections and Housing LIN/HOPSR/EAC</w:t>
      </w:r>
    </w:p>
    <w:bookmarkEnd w:id="183"/>
    <w:p w:rsidR="00B008D9" w:rsidRDefault="008205D4" w:rsidP="0028171E">
      <w:pPr>
        <w:pStyle w:val="11Bodytext"/>
        <w:tabs>
          <w:tab w:val="clear" w:pos="2212"/>
        </w:tabs>
        <w:ind w:left="567" w:hanging="567"/>
      </w:pPr>
      <w:r>
        <w:t>Based on this analysis t</w:t>
      </w:r>
      <w:r w:rsidR="00D53082" w:rsidRPr="00CA47B9">
        <w:t>here is also a</w:t>
      </w:r>
      <w:r w:rsidR="00D53082">
        <w:t xml:space="preserve"> current small</w:t>
      </w:r>
      <w:r w:rsidR="00D53082" w:rsidRPr="00CA47B9">
        <w:t xml:space="preserve"> shortfall of </w:t>
      </w:r>
      <w:r w:rsidR="00D53082">
        <w:t>9</w:t>
      </w:r>
      <w:r w:rsidR="00D53082" w:rsidRPr="00CA47B9">
        <w:t xml:space="preserve"> </w:t>
      </w:r>
      <w:r w:rsidR="00D53082">
        <w:t>C</w:t>
      </w:r>
      <w:r w:rsidR="00D53082" w:rsidRPr="00CA47B9">
        <w:t>are bedspaces</w:t>
      </w:r>
      <w:r w:rsidR="00D53082">
        <w:t>.</w:t>
      </w:r>
      <w:r w:rsidR="00855CA6">
        <w:t xml:space="preserve"> </w:t>
      </w:r>
      <w:r w:rsidR="00D53082">
        <w:t xml:space="preserve">However, this is expected to increase significantly to 839 over the period to 2036. </w:t>
      </w:r>
      <w:r w:rsidR="00B008D9">
        <w:t>The estimated need for care</w:t>
      </w:r>
      <w:r w:rsidR="00D53082">
        <w:t xml:space="preserve"> </w:t>
      </w:r>
      <w:r w:rsidR="00B008D9">
        <w:t xml:space="preserve">bedspaces is based on national prevalence rates. However, it should be noted that in reality, the proportion of people in care home </w:t>
      </w:r>
      <w:r w:rsidR="00F975F7">
        <w:t>accommodation</w:t>
      </w:r>
      <w:r w:rsidR="00B008D9">
        <w:t xml:space="preserve"> will also be influenced by government policy and the potential of health and social care service interventions to prevent people needing to move into such accommodation.</w:t>
      </w:r>
    </w:p>
    <w:p w:rsidR="00B008D9" w:rsidRDefault="00B008D9" w:rsidP="0028171E">
      <w:pPr>
        <w:pStyle w:val="11Bodytext"/>
        <w:tabs>
          <w:tab w:val="clear" w:pos="2212"/>
        </w:tabs>
        <w:ind w:left="567" w:hanging="567"/>
      </w:pPr>
      <w:r>
        <w:t>In addition, the need for housing with care and support is part of the overall housing need (not additional to it). In meeting the need, there could be some changes to the mix of housing required across the District.</w:t>
      </w:r>
      <w:r w:rsidR="00855CA6">
        <w:t xml:space="preserve"> </w:t>
      </w:r>
    </w:p>
    <w:p w:rsidR="008205D4" w:rsidRDefault="008205D4" w:rsidP="0028171E">
      <w:pPr>
        <w:pStyle w:val="11Bodytext"/>
        <w:tabs>
          <w:tab w:val="clear" w:pos="2212"/>
        </w:tabs>
        <w:ind w:left="567" w:hanging="567"/>
      </w:pPr>
      <w:r>
        <w:t>The traditional model of ‘</w:t>
      </w:r>
      <w:r w:rsidRPr="00873DCC">
        <w:t>Housing with Support’</w:t>
      </w:r>
      <w:r>
        <w:t xml:space="preserve"> for older people i.e. </w:t>
      </w:r>
      <w:r w:rsidR="00855CA6">
        <w:t>council-</w:t>
      </w:r>
      <w:r>
        <w:t xml:space="preserve">run sheltered housing with on-site support staff </w:t>
      </w:r>
      <w:r w:rsidR="003A3C4F">
        <w:t>is</w:t>
      </w:r>
      <w:r>
        <w:t xml:space="preserve"> becoming </w:t>
      </w:r>
      <w:r w:rsidR="00855CA6">
        <w:t>rarer</w:t>
      </w:r>
      <w:r>
        <w:t>.</w:t>
      </w:r>
      <w:r w:rsidR="00855CA6">
        <w:t xml:space="preserve"> </w:t>
      </w:r>
      <w:r>
        <w:t xml:space="preserve">Most schemes now operate simply as </w:t>
      </w:r>
      <w:r w:rsidR="00855CA6">
        <w:t>age-</w:t>
      </w:r>
      <w:r>
        <w:t xml:space="preserve">restricted retirement schemes with access to a 24/7 alarm monitoring service which is remotely based. </w:t>
      </w:r>
    </w:p>
    <w:p w:rsidR="008205D4" w:rsidRDefault="008205D4" w:rsidP="0028171E">
      <w:pPr>
        <w:pStyle w:val="11Bodytext"/>
        <w:tabs>
          <w:tab w:val="clear" w:pos="2212"/>
        </w:tabs>
        <w:ind w:left="567" w:hanging="567"/>
      </w:pPr>
      <w:r>
        <w:t>Given the very limited appetite for commissioning such services it is unlikely that within the affordable sector at least, this kind of need will be met in the foreseeable future. Reflecting this West Sussex County Council has expressed the ambition for extra care housing to become the default option for adults with care needs who require residential placement.</w:t>
      </w:r>
      <w:r w:rsidR="00855CA6">
        <w:t xml:space="preserve"> </w:t>
      </w:r>
    </w:p>
    <w:p w:rsidR="008205D4" w:rsidRDefault="008205D4" w:rsidP="0028171E">
      <w:pPr>
        <w:pStyle w:val="11Bodytext"/>
        <w:tabs>
          <w:tab w:val="clear" w:pos="2212"/>
        </w:tabs>
        <w:ind w:left="567" w:hanging="567"/>
      </w:pPr>
      <w:r>
        <w:t>In theory</w:t>
      </w:r>
      <w:r w:rsidR="00855CA6">
        <w:t>,</w:t>
      </w:r>
      <w:r>
        <w:t xml:space="preserve"> this would increase the need for housing with care and reduce the need for housing with support with in-situ care providing the intermediate step. However, this </w:t>
      </w:r>
      <w:r>
        <w:lastRenderedPageBreak/>
        <w:t>would only be in the rented sector (which includes both social and private renting) as the market demand for leaseholder accommodation of this type remains buoyant.</w:t>
      </w:r>
    </w:p>
    <w:p w:rsidR="00B163A3" w:rsidRDefault="00B163A3" w:rsidP="0028171E">
      <w:pPr>
        <w:pStyle w:val="11Bodytext"/>
        <w:tabs>
          <w:tab w:val="clear" w:pos="2212"/>
        </w:tabs>
        <w:ind w:left="567" w:hanging="567"/>
      </w:pPr>
      <w:r>
        <w:t>The nature of Extra Care Housing requires the involvement of a Registered Provider with the capacity to deliver a core element of the scheme for the benefit of residents with eligible social care needs.</w:t>
      </w:r>
      <w:r w:rsidR="00855CA6">
        <w:t xml:space="preserve"> </w:t>
      </w:r>
      <w:r>
        <w:t xml:space="preserve"> With the involvement of the social care authority extra care schemes present the opportunity to provide affordable 24/7 care presence to residents who live independently in their own home. </w:t>
      </w:r>
    </w:p>
    <w:p w:rsidR="00B163A3" w:rsidRDefault="00B163A3" w:rsidP="0028171E">
      <w:pPr>
        <w:pStyle w:val="11Bodytext"/>
        <w:tabs>
          <w:tab w:val="clear" w:pos="2212"/>
        </w:tabs>
        <w:ind w:left="567" w:hanging="567"/>
      </w:pPr>
      <w:r>
        <w:t xml:space="preserve">In many cases schemes will provide a mix of tenures – rented and </w:t>
      </w:r>
      <w:r w:rsidR="00451CFA">
        <w:t>home ownership</w:t>
      </w:r>
      <w:r>
        <w:t xml:space="preserve"> – which cater</w:t>
      </w:r>
      <w:r w:rsidR="00855CA6">
        <w:t>s</w:t>
      </w:r>
      <w:r>
        <w:t xml:space="preserve"> for those with both </w:t>
      </w:r>
      <w:r w:rsidR="00855CA6">
        <w:t xml:space="preserve">an </w:t>
      </w:r>
      <w:r>
        <w:t>eligible care needs as well as those who self- fund.</w:t>
      </w:r>
      <w:r w:rsidR="00855CA6">
        <w:t xml:space="preserve"> </w:t>
      </w:r>
      <w:r>
        <w:t>The role of the ‘affordable element’ in extra care is however critical and without it</w:t>
      </w:r>
      <w:r w:rsidR="00855CA6">
        <w:t>,</w:t>
      </w:r>
      <w:r>
        <w:t xml:space="preserve"> private market schemes are very unlikely to be able to provide the 24/7 care presence in a way that would be affordable or viable.</w:t>
      </w:r>
    </w:p>
    <w:p w:rsidR="00B163A3" w:rsidRDefault="00B163A3" w:rsidP="0028171E">
      <w:pPr>
        <w:pStyle w:val="11Bodytext"/>
        <w:tabs>
          <w:tab w:val="clear" w:pos="2212"/>
        </w:tabs>
        <w:ind w:left="567" w:hanging="567"/>
      </w:pPr>
      <w:r>
        <w:t>It should also be noted that the County Council ha</w:t>
      </w:r>
      <w:r w:rsidR="00521862">
        <w:t>s</w:t>
      </w:r>
      <w:r>
        <w:t xml:space="preserve"> also assessed the need for this type of accommodation</w:t>
      </w:r>
      <w:r w:rsidR="00855CA6">
        <w:t>,</w:t>
      </w:r>
      <w:r>
        <w:t xml:space="preserve"> also using prevalence rates from the Housing LIN.</w:t>
      </w:r>
      <w:r w:rsidR="00855CA6">
        <w:t xml:space="preserve"> </w:t>
      </w:r>
      <w:r>
        <w:t>However</w:t>
      </w:r>
      <w:r w:rsidR="00855CA6">
        <w:t>,</w:t>
      </w:r>
      <w:r>
        <w:t xml:space="preserve"> the assessment is based on the official population projections rather than the somewhat larger population growth associated with 731 dpa.</w:t>
      </w:r>
      <w:r w:rsidR="00855CA6">
        <w:t xml:space="preserve"> </w:t>
      </w:r>
      <w:r>
        <w:t>As a result</w:t>
      </w:r>
      <w:r w:rsidR="00855CA6">
        <w:t>,</w:t>
      </w:r>
      <w:r>
        <w:t xml:space="preserve"> the needs identified by the County Council are lower. </w:t>
      </w:r>
    </w:p>
    <w:p w:rsidR="008F5270" w:rsidRDefault="008F5270" w:rsidP="0028171E">
      <w:pPr>
        <w:pStyle w:val="11Bodytext"/>
        <w:tabs>
          <w:tab w:val="clear" w:pos="2212"/>
        </w:tabs>
        <w:ind w:left="567" w:hanging="567"/>
      </w:pPr>
      <w:r>
        <w:t xml:space="preserve">Based on the population growth of those aged 75 and over in the Plan Area and the District (see table 13 and 14) approximately 77% of the additional demand for specialist accommodation will be in the Plan Area. Assuming the supply is distributed on the same basis this would provide a Plan Area need by </w:t>
      </w:r>
      <w:r w:rsidRPr="00FE72F8">
        <w:t>20</w:t>
      </w:r>
      <w:r w:rsidRPr="002E26AC">
        <w:t>3</w:t>
      </w:r>
      <w:r>
        <w:t>6</w:t>
      </w:r>
      <w:r w:rsidRPr="002E26AC">
        <w:t xml:space="preserve"> </w:t>
      </w:r>
      <w:r w:rsidRPr="00FE72F8">
        <w:t>f</w:t>
      </w:r>
      <w:r>
        <w:t>or:</w:t>
      </w:r>
    </w:p>
    <w:p w:rsidR="008F5270" w:rsidRDefault="008F5270" w:rsidP="008F5270">
      <w:pPr>
        <w:pStyle w:val="Bulletblueplain"/>
      </w:pPr>
      <w:r>
        <w:t>1,016 Units of Housing With Support of which 316 would be rented and 699 leasehold;</w:t>
      </w:r>
    </w:p>
    <w:p w:rsidR="008F5270" w:rsidRDefault="008F5270" w:rsidP="008F5270">
      <w:pPr>
        <w:pStyle w:val="Bulletblueplain"/>
      </w:pPr>
      <w:r>
        <w:t>635 Units of Housing With Care of which 259 would be rented and 376 leasehold; and</w:t>
      </w:r>
    </w:p>
    <w:p w:rsidR="008F5270" w:rsidRDefault="008F5270" w:rsidP="008F5270">
      <w:pPr>
        <w:pStyle w:val="Bulletblueplain"/>
      </w:pPr>
      <w:r>
        <w:t xml:space="preserve">646 care bedspaces. </w:t>
      </w:r>
    </w:p>
    <w:p w:rsidR="00F63FBB" w:rsidRPr="00CA47B9" w:rsidRDefault="00F63FBB" w:rsidP="00805614">
      <w:pPr>
        <w:pStyle w:val="SubheadBlue12"/>
        <w:ind w:left="567" w:firstLine="0"/>
      </w:pPr>
      <w:r w:rsidRPr="00CA47B9">
        <w:t>People with disabilities</w:t>
      </w:r>
    </w:p>
    <w:p w:rsidR="00F63FBB" w:rsidRPr="00CA47B9" w:rsidRDefault="00F63FBB" w:rsidP="0028171E">
      <w:pPr>
        <w:pStyle w:val="11Bodytext"/>
        <w:tabs>
          <w:tab w:val="clear" w:pos="2212"/>
        </w:tabs>
        <w:ind w:left="567" w:hanging="567"/>
      </w:pPr>
      <w:r w:rsidRPr="00CA47B9">
        <w:t xml:space="preserve">The Guide provides data about households with a long-term illness or disability from the English Housing Survey. Whilst this provides a national perspective, the source cannot provide more localised data. Hence the analysis below has drawn on the </w:t>
      </w:r>
      <w:r w:rsidRPr="00CA47B9">
        <w:lastRenderedPageBreak/>
        <w:t>2011 Census (which has a definition of long-term health problem or disability (LTHPD)).</w:t>
      </w:r>
    </w:p>
    <w:p w:rsidR="00847752" w:rsidRDefault="00F63FBB" w:rsidP="0028171E">
      <w:pPr>
        <w:pStyle w:val="11Bodytext"/>
        <w:tabs>
          <w:tab w:val="clear" w:pos="2212"/>
        </w:tabs>
        <w:ind w:left="567" w:hanging="567"/>
      </w:pPr>
      <w:r w:rsidRPr="00CA47B9">
        <w:t xml:space="preserve">The table below shows the proportion of people with a long-term health problem or disability (LTHPD) and the proportion of households where at least one person has </w:t>
      </w:r>
      <w:r w:rsidR="00855CA6">
        <w:t>an LTHPD</w:t>
      </w:r>
      <w:r w:rsidRPr="00CA47B9">
        <w:t>. The data suggests that across the District</w:t>
      </w:r>
      <w:r w:rsidR="00847752">
        <w:t>,</w:t>
      </w:r>
      <w:r w:rsidRPr="00CA47B9">
        <w:t xml:space="preserve"> some 31% of households contain someone with </w:t>
      </w:r>
      <w:r w:rsidR="00855CA6">
        <w:t>an LTHPD</w:t>
      </w:r>
      <w:r w:rsidR="00847752">
        <w:t xml:space="preserve"> and 32% for the Plan Area</w:t>
      </w:r>
      <w:r w:rsidRPr="00CA47B9">
        <w:t xml:space="preserve">. This figure is similar to that seen in </w:t>
      </w:r>
      <w:r w:rsidR="00A36190">
        <w:t>the wider</w:t>
      </w:r>
      <w:r w:rsidR="00A36190" w:rsidRPr="00CA47B9">
        <w:t xml:space="preserve"> </w:t>
      </w:r>
      <w:r w:rsidRPr="00CA47B9">
        <w:t xml:space="preserve">areas. </w:t>
      </w:r>
    </w:p>
    <w:p w:rsidR="00F63FBB" w:rsidRPr="00CA47B9" w:rsidRDefault="00F63FBB" w:rsidP="0028171E">
      <w:pPr>
        <w:pStyle w:val="11Bodytext"/>
        <w:tabs>
          <w:tab w:val="clear" w:pos="2212"/>
        </w:tabs>
        <w:ind w:left="567" w:hanging="567"/>
      </w:pPr>
      <w:r w:rsidRPr="00CA47B9">
        <w:t xml:space="preserve">The figures for the population with </w:t>
      </w:r>
      <w:r w:rsidR="00855CA6">
        <w:t>an LTHPD</w:t>
      </w:r>
      <w:r w:rsidRPr="00CA47B9">
        <w:t xml:space="preserve"> again show a similar pattern in comparison with other areas</w:t>
      </w:r>
      <w:r w:rsidR="00847752">
        <w:t>. At the District level, around 17% of the population have LTHPD and around 18% for the Plan Area.</w:t>
      </w:r>
      <w:r w:rsidRPr="00CA47B9">
        <w:t xml:space="preserve"> The analysis</w:t>
      </w:r>
      <w:r w:rsidR="00855CA6">
        <w:t>, therefore,</w:t>
      </w:r>
      <w:r w:rsidRPr="00CA47B9">
        <w:t xml:space="preserve"> identifies that issues around disability are similar in the District, despite the area having a higher proportion of older people.</w:t>
      </w:r>
    </w:p>
    <w:p w:rsidR="00F63FBB" w:rsidRPr="00CA47B9" w:rsidRDefault="00F63FBB" w:rsidP="00BD0EDE">
      <w:pPr>
        <w:pStyle w:val="Tableheading"/>
        <w:tabs>
          <w:tab w:val="clear" w:pos="794"/>
          <w:tab w:val="clear" w:pos="1843"/>
          <w:tab w:val="left" w:pos="0"/>
        </w:tabs>
        <w:spacing w:line="240" w:lineRule="auto"/>
        <w:ind w:left="0" w:firstLine="0"/>
      </w:pPr>
      <w:r w:rsidRPr="00CA47B9">
        <w:t xml:space="preserve">Households and people with Long-Term Health Problem or Disability (2011) </w:t>
      </w:r>
    </w:p>
    <w:tbl>
      <w:tblPr>
        <w:tblStyle w:val="Style1"/>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41: Households and people with Long-Term Health Problem or Disability (2011) "/>
      </w:tblPr>
      <w:tblGrid>
        <w:gridCol w:w="2222"/>
        <w:gridCol w:w="1880"/>
        <w:gridCol w:w="1880"/>
        <w:gridCol w:w="1879"/>
        <w:gridCol w:w="1777"/>
      </w:tblGrid>
      <w:tr w:rsidR="00F63FBB" w:rsidRPr="001A351F" w:rsidTr="00BD0E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52" w:type="pct"/>
          </w:tcPr>
          <w:p w:rsidR="00F63FBB" w:rsidRPr="001A351F" w:rsidRDefault="00F63FBB" w:rsidP="001A351F">
            <w:pPr>
              <w:pStyle w:val="11Bodytext"/>
              <w:numPr>
                <w:ilvl w:val="0"/>
                <w:numId w:val="0"/>
              </w:numPr>
              <w:spacing w:before="0" w:after="0" w:line="240" w:lineRule="auto"/>
              <w:rPr>
                <w:rFonts w:ascii="Arial Narrow" w:hAnsi="Arial Narrow"/>
              </w:rPr>
            </w:pPr>
          </w:p>
        </w:tc>
        <w:tc>
          <w:tcPr>
            <w:tcW w:w="1950" w:type="pct"/>
            <w:gridSpan w:val="2"/>
            <w:hideMark/>
          </w:tcPr>
          <w:p w:rsidR="00F63FBB" w:rsidRPr="001A351F" w:rsidRDefault="00F63FBB" w:rsidP="001A351F">
            <w:pPr>
              <w:keepNext/>
              <w:widowControl w:val="0"/>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1A351F">
              <w:rPr>
                <w:rFonts w:ascii="Arial Narrow" w:hAnsi="Arial Narrow"/>
                <w:sz w:val="24"/>
                <w:szCs w:val="24"/>
              </w:rPr>
              <w:t>Households containing someone with health problem</w:t>
            </w:r>
          </w:p>
        </w:tc>
        <w:tc>
          <w:tcPr>
            <w:tcW w:w="1897" w:type="pct"/>
            <w:gridSpan w:val="2"/>
            <w:hideMark/>
          </w:tcPr>
          <w:p w:rsidR="00F63FBB" w:rsidRPr="001A351F" w:rsidRDefault="00F63FBB" w:rsidP="001A351F">
            <w:pPr>
              <w:pStyle w:val="11Bodytext"/>
              <w:numPr>
                <w:ilvl w:val="0"/>
                <w:numId w:val="0"/>
              </w:num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1A351F">
              <w:rPr>
                <w:rFonts w:ascii="Arial Narrow" w:hAnsi="Arial Narrow"/>
              </w:rPr>
              <w:t>Population with health problem</w:t>
            </w:r>
          </w:p>
        </w:tc>
      </w:tr>
      <w:tr w:rsidR="00F63FBB" w:rsidRPr="001A351F" w:rsidTr="00C65DBC">
        <w:tc>
          <w:tcPr>
            <w:cnfStyle w:val="001000000000" w:firstRow="0" w:lastRow="0" w:firstColumn="1" w:lastColumn="0" w:oddVBand="0" w:evenVBand="0" w:oddHBand="0" w:evenHBand="0" w:firstRowFirstColumn="0" w:firstRowLastColumn="0" w:lastRowFirstColumn="0" w:lastRowLastColumn="0"/>
            <w:tcW w:w="1152" w:type="pct"/>
            <w:shd w:val="clear" w:color="auto" w:fill="0093D5" w:themeFill="accent2"/>
            <w:hideMark/>
          </w:tcPr>
          <w:p w:rsidR="00F63FBB" w:rsidRPr="001A351F" w:rsidRDefault="00F63FBB" w:rsidP="001A351F">
            <w:pPr>
              <w:spacing w:line="240" w:lineRule="auto"/>
              <w:rPr>
                <w:rFonts w:ascii="Arial Narrow" w:eastAsia="MS PGothic" w:hAnsi="Arial Narrow"/>
                <w:sz w:val="24"/>
                <w:szCs w:val="24"/>
              </w:rPr>
            </w:pPr>
          </w:p>
        </w:tc>
        <w:tc>
          <w:tcPr>
            <w:tcW w:w="975" w:type="pct"/>
            <w:shd w:val="clear" w:color="auto" w:fill="0093D5" w:themeFill="accent2"/>
            <w:hideMark/>
          </w:tcPr>
          <w:p w:rsidR="00F63FBB" w:rsidRPr="001A351F" w:rsidRDefault="00F63FBB" w:rsidP="001A351F">
            <w:pPr>
              <w:keepNext/>
              <w:widowControl w:val="0"/>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sz w:val="24"/>
                <w:szCs w:val="24"/>
              </w:rPr>
            </w:pPr>
            <w:r w:rsidRPr="001A351F">
              <w:rPr>
                <w:rFonts w:ascii="Arial Narrow" w:hAnsi="Arial Narrow"/>
                <w:color w:val="FFFFFF" w:themeColor="background1"/>
                <w:sz w:val="24"/>
                <w:szCs w:val="24"/>
              </w:rPr>
              <w:t>Number</w:t>
            </w:r>
          </w:p>
        </w:tc>
        <w:tc>
          <w:tcPr>
            <w:tcW w:w="975" w:type="pct"/>
            <w:shd w:val="clear" w:color="auto" w:fill="0093D5" w:themeFill="accent2"/>
            <w:hideMark/>
          </w:tcPr>
          <w:p w:rsidR="00F63FBB" w:rsidRPr="001A351F" w:rsidRDefault="00F63FBB" w:rsidP="001A351F">
            <w:pPr>
              <w:keepNext/>
              <w:widowControl w:val="0"/>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sz w:val="24"/>
                <w:szCs w:val="24"/>
              </w:rPr>
            </w:pPr>
            <w:r w:rsidRPr="001A351F">
              <w:rPr>
                <w:rFonts w:ascii="Arial Narrow" w:hAnsi="Arial Narrow"/>
                <w:color w:val="FFFFFF" w:themeColor="background1"/>
                <w:sz w:val="24"/>
                <w:szCs w:val="24"/>
              </w:rPr>
              <w:t>%</w:t>
            </w:r>
          </w:p>
        </w:tc>
        <w:tc>
          <w:tcPr>
            <w:tcW w:w="975" w:type="pct"/>
            <w:shd w:val="clear" w:color="auto" w:fill="0093D5" w:themeFill="accent2"/>
            <w:hideMark/>
          </w:tcPr>
          <w:p w:rsidR="00F63FBB" w:rsidRPr="001A351F" w:rsidRDefault="00F63FBB" w:rsidP="001A351F">
            <w:pPr>
              <w:keepNext/>
              <w:widowControl w:val="0"/>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sz w:val="24"/>
                <w:szCs w:val="24"/>
              </w:rPr>
            </w:pPr>
            <w:r w:rsidRPr="001A351F">
              <w:rPr>
                <w:rFonts w:ascii="Arial Narrow" w:hAnsi="Arial Narrow"/>
                <w:color w:val="FFFFFF" w:themeColor="background1"/>
                <w:sz w:val="24"/>
                <w:szCs w:val="24"/>
              </w:rPr>
              <w:t>Number</w:t>
            </w:r>
          </w:p>
        </w:tc>
        <w:tc>
          <w:tcPr>
            <w:tcW w:w="922" w:type="pct"/>
            <w:shd w:val="clear" w:color="auto" w:fill="0093D5" w:themeFill="accent2"/>
            <w:hideMark/>
          </w:tcPr>
          <w:p w:rsidR="00F63FBB" w:rsidRPr="001A351F" w:rsidRDefault="00F63FBB" w:rsidP="001A351F">
            <w:pPr>
              <w:keepNext/>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FFFF" w:themeColor="background1"/>
                <w:sz w:val="24"/>
                <w:szCs w:val="24"/>
              </w:rPr>
            </w:pPr>
            <w:r w:rsidRPr="001A351F">
              <w:rPr>
                <w:rFonts w:ascii="Arial Narrow" w:hAnsi="Arial Narrow"/>
                <w:color w:val="FFFFFF" w:themeColor="background1"/>
                <w:sz w:val="24"/>
                <w:szCs w:val="24"/>
              </w:rPr>
              <w:t>%</w:t>
            </w:r>
          </w:p>
        </w:tc>
      </w:tr>
      <w:tr w:rsidR="00F63FBB" w:rsidRPr="001A351F" w:rsidTr="00BD0EDE">
        <w:tc>
          <w:tcPr>
            <w:cnfStyle w:val="001000000000" w:firstRow="0" w:lastRow="0" w:firstColumn="1" w:lastColumn="0" w:oddVBand="0" w:evenVBand="0" w:oddHBand="0" w:evenHBand="0" w:firstRowFirstColumn="0" w:firstRowLastColumn="0" w:lastRowFirstColumn="0" w:lastRowLastColumn="0"/>
            <w:tcW w:w="1152" w:type="pct"/>
            <w:hideMark/>
          </w:tcPr>
          <w:p w:rsidR="00F63FBB" w:rsidRPr="001A351F" w:rsidRDefault="00F63FBB" w:rsidP="001A351F">
            <w:pPr>
              <w:pStyle w:val="11Bodytext"/>
              <w:numPr>
                <w:ilvl w:val="0"/>
                <w:numId w:val="0"/>
              </w:numPr>
              <w:spacing w:before="0" w:after="0" w:line="240" w:lineRule="auto"/>
              <w:rPr>
                <w:rFonts w:ascii="Arial Narrow" w:hAnsi="Arial Narrow"/>
              </w:rPr>
            </w:pPr>
            <w:r w:rsidRPr="001A351F">
              <w:rPr>
                <w:rFonts w:ascii="Arial Narrow" w:hAnsi="Arial Narrow"/>
              </w:rPr>
              <w:t>Chichester District</w:t>
            </w:r>
          </w:p>
        </w:tc>
        <w:tc>
          <w:tcPr>
            <w:tcW w:w="975" w:type="pct"/>
            <w:hideMark/>
          </w:tcPr>
          <w:p w:rsidR="00F63FBB" w:rsidRPr="001A351F" w:rsidRDefault="00F63FBB" w:rsidP="001A351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1A351F">
              <w:rPr>
                <w:rFonts w:ascii="Arial Narrow" w:hAnsi="Arial Narrow"/>
                <w:b/>
                <w:sz w:val="24"/>
                <w:szCs w:val="24"/>
              </w:rPr>
              <w:t>15,292</w:t>
            </w:r>
          </w:p>
        </w:tc>
        <w:tc>
          <w:tcPr>
            <w:tcW w:w="975" w:type="pct"/>
            <w:hideMark/>
          </w:tcPr>
          <w:p w:rsidR="00F63FBB" w:rsidRPr="001A351F" w:rsidRDefault="00F63FBB" w:rsidP="001A351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4"/>
                <w:szCs w:val="24"/>
              </w:rPr>
            </w:pPr>
            <w:r w:rsidRPr="001A351F">
              <w:rPr>
                <w:rFonts w:ascii="Arial Narrow" w:hAnsi="Arial Narrow"/>
                <w:b/>
                <w:sz w:val="24"/>
                <w:szCs w:val="24"/>
              </w:rPr>
              <w:t>30.7%</w:t>
            </w:r>
          </w:p>
        </w:tc>
        <w:tc>
          <w:tcPr>
            <w:tcW w:w="975" w:type="pct"/>
          </w:tcPr>
          <w:p w:rsidR="00F63FBB" w:rsidRPr="001A351F" w:rsidRDefault="00847752" w:rsidP="001A351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sz w:val="24"/>
                <w:szCs w:val="24"/>
                <w:lang w:eastAsia="en-GB"/>
              </w:rPr>
            </w:pPr>
            <w:r w:rsidRPr="001A351F">
              <w:rPr>
                <w:rFonts w:ascii="Arial Narrow" w:eastAsia="Times New Roman" w:hAnsi="Arial Narrow"/>
                <w:b/>
                <w:sz w:val="24"/>
                <w:szCs w:val="24"/>
                <w:lang w:eastAsia="en-GB"/>
              </w:rPr>
              <w:t>18,506</w:t>
            </w:r>
          </w:p>
        </w:tc>
        <w:tc>
          <w:tcPr>
            <w:tcW w:w="922" w:type="pct"/>
          </w:tcPr>
          <w:p w:rsidR="00F63FBB" w:rsidRPr="001A351F" w:rsidRDefault="00847752" w:rsidP="001A351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sz w:val="24"/>
                <w:szCs w:val="24"/>
                <w:lang w:eastAsia="en-GB"/>
              </w:rPr>
            </w:pPr>
            <w:r w:rsidRPr="001A351F">
              <w:rPr>
                <w:rFonts w:ascii="Arial Narrow" w:eastAsia="Times New Roman" w:hAnsi="Arial Narrow"/>
                <w:b/>
                <w:sz w:val="24"/>
                <w:szCs w:val="24"/>
                <w:lang w:eastAsia="en-GB"/>
              </w:rPr>
              <w:t>16.7%</w:t>
            </w:r>
          </w:p>
        </w:tc>
      </w:tr>
      <w:tr w:rsidR="00847752" w:rsidRPr="001A351F" w:rsidTr="00BD0EDE">
        <w:tc>
          <w:tcPr>
            <w:cnfStyle w:val="001000000000" w:firstRow="0" w:lastRow="0" w:firstColumn="1" w:lastColumn="0" w:oddVBand="0" w:evenVBand="0" w:oddHBand="0" w:evenHBand="0" w:firstRowFirstColumn="0" w:firstRowLastColumn="0" w:lastRowFirstColumn="0" w:lastRowLastColumn="0"/>
            <w:tcW w:w="1152" w:type="pct"/>
          </w:tcPr>
          <w:p w:rsidR="00847752" w:rsidRPr="001A351F" w:rsidRDefault="00847752" w:rsidP="001A351F">
            <w:pPr>
              <w:pStyle w:val="11Bodytext"/>
              <w:numPr>
                <w:ilvl w:val="0"/>
                <w:numId w:val="0"/>
              </w:numPr>
              <w:spacing w:before="0" w:after="0" w:line="240" w:lineRule="auto"/>
              <w:rPr>
                <w:rFonts w:ascii="Arial Narrow" w:hAnsi="Arial Narrow"/>
              </w:rPr>
            </w:pPr>
            <w:r w:rsidRPr="001A351F">
              <w:rPr>
                <w:rFonts w:ascii="Arial Narrow" w:hAnsi="Arial Narrow"/>
              </w:rPr>
              <w:t>Plan Area</w:t>
            </w:r>
          </w:p>
        </w:tc>
        <w:tc>
          <w:tcPr>
            <w:tcW w:w="975" w:type="pct"/>
          </w:tcPr>
          <w:p w:rsidR="00847752" w:rsidRPr="001A351F" w:rsidRDefault="00847752" w:rsidP="001A351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1A351F">
              <w:rPr>
                <w:rFonts w:ascii="Arial Narrow" w:hAnsi="Arial Narrow"/>
                <w:sz w:val="24"/>
                <w:szCs w:val="24"/>
              </w:rPr>
              <w:t>11,089</w:t>
            </w:r>
          </w:p>
        </w:tc>
        <w:tc>
          <w:tcPr>
            <w:tcW w:w="975" w:type="pct"/>
          </w:tcPr>
          <w:p w:rsidR="00847752" w:rsidRPr="001A351F" w:rsidRDefault="00847752" w:rsidP="001A351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1A351F">
              <w:rPr>
                <w:rFonts w:ascii="Arial Narrow" w:hAnsi="Arial Narrow"/>
                <w:sz w:val="24"/>
                <w:szCs w:val="24"/>
              </w:rPr>
              <w:t>32.2%</w:t>
            </w:r>
          </w:p>
        </w:tc>
        <w:tc>
          <w:tcPr>
            <w:tcW w:w="975" w:type="pct"/>
          </w:tcPr>
          <w:p w:rsidR="00847752" w:rsidRPr="001A351F" w:rsidRDefault="00847752" w:rsidP="001A351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13,244</w:t>
            </w:r>
          </w:p>
        </w:tc>
        <w:tc>
          <w:tcPr>
            <w:tcW w:w="922" w:type="pct"/>
          </w:tcPr>
          <w:p w:rsidR="00847752" w:rsidRPr="001A351F" w:rsidRDefault="00847752" w:rsidP="001A351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17.5%</w:t>
            </w:r>
          </w:p>
        </w:tc>
      </w:tr>
      <w:tr w:rsidR="00F63FBB" w:rsidRPr="001A351F" w:rsidTr="00BD0EDE">
        <w:tc>
          <w:tcPr>
            <w:cnfStyle w:val="001000000000" w:firstRow="0" w:lastRow="0" w:firstColumn="1" w:lastColumn="0" w:oddVBand="0" w:evenVBand="0" w:oddHBand="0" w:evenHBand="0" w:firstRowFirstColumn="0" w:firstRowLastColumn="0" w:lastRowFirstColumn="0" w:lastRowLastColumn="0"/>
            <w:tcW w:w="1152" w:type="pct"/>
            <w:hideMark/>
          </w:tcPr>
          <w:p w:rsidR="00F63FBB" w:rsidRPr="001A351F" w:rsidRDefault="00F63FBB" w:rsidP="001A351F">
            <w:pPr>
              <w:pStyle w:val="11Bodytext"/>
              <w:numPr>
                <w:ilvl w:val="0"/>
                <w:numId w:val="0"/>
              </w:numPr>
              <w:spacing w:before="0" w:after="0" w:line="240" w:lineRule="auto"/>
              <w:rPr>
                <w:rFonts w:ascii="Arial Narrow" w:hAnsi="Arial Narrow"/>
              </w:rPr>
            </w:pPr>
            <w:r w:rsidRPr="001A351F">
              <w:rPr>
                <w:rFonts w:ascii="Arial Narrow" w:hAnsi="Arial Narrow"/>
              </w:rPr>
              <w:t>West Sussex</w:t>
            </w:r>
          </w:p>
        </w:tc>
        <w:tc>
          <w:tcPr>
            <w:tcW w:w="975" w:type="pct"/>
            <w:hideMark/>
          </w:tcPr>
          <w:p w:rsidR="00F63FBB" w:rsidRPr="001A351F" w:rsidRDefault="00F63FBB" w:rsidP="001A351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1A351F">
              <w:rPr>
                <w:rFonts w:ascii="Arial Narrow" w:hAnsi="Arial Narrow"/>
                <w:sz w:val="24"/>
                <w:szCs w:val="24"/>
              </w:rPr>
              <w:t>107,127</w:t>
            </w:r>
          </w:p>
        </w:tc>
        <w:tc>
          <w:tcPr>
            <w:tcW w:w="975" w:type="pct"/>
            <w:hideMark/>
          </w:tcPr>
          <w:p w:rsidR="00F63FBB" w:rsidRPr="001A351F" w:rsidRDefault="00F63FBB" w:rsidP="001A351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1A351F">
              <w:rPr>
                <w:rFonts w:ascii="Arial Narrow" w:hAnsi="Arial Narrow"/>
                <w:sz w:val="24"/>
                <w:szCs w:val="24"/>
              </w:rPr>
              <w:t>31.0%</w:t>
            </w:r>
          </w:p>
        </w:tc>
        <w:tc>
          <w:tcPr>
            <w:tcW w:w="975" w:type="pct"/>
          </w:tcPr>
          <w:p w:rsidR="00F63FBB" w:rsidRPr="001A351F" w:rsidRDefault="00847752" w:rsidP="001A351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129,912</w:t>
            </w:r>
          </w:p>
        </w:tc>
        <w:tc>
          <w:tcPr>
            <w:tcW w:w="922" w:type="pct"/>
          </w:tcPr>
          <w:p w:rsidR="00F63FBB" w:rsidRPr="001A351F" w:rsidRDefault="00847752" w:rsidP="001A351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6.4%</w:t>
            </w:r>
          </w:p>
        </w:tc>
      </w:tr>
      <w:tr w:rsidR="00F63FBB" w:rsidRPr="001A351F" w:rsidTr="00BD0EDE">
        <w:tc>
          <w:tcPr>
            <w:cnfStyle w:val="001000000000" w:firstRow="0" w:lastRow="0" w:firstColumn="1" w:lastColumn="0" w:oddVBand="0" w:evenVBand="0" w:oddHBand="0" w:evenHBand="0" w:firstRowFirstColumn="0" w:firstRowLastColumn="0" w:lastRowFirstColumn="0" w:lastRowLastColumn="0"/>
            <w:tcW w:w="1152" w:type="pct"/>
            <w:hideMark/>
          </w:tcPr>
          <w:p w:rsidR="00F63FBB" w:rsidRPr="001A351F" w:rsidRDefault="00F63FBB" w:rsidP="001A351F">
            <w:pPr>
              <w:pStyle w:val="11Bodytext"/>
              <w:numPr>
                <w:ilvl w:val="0"/>
                <w:numId w:val="0"/>
              </w:numPr>
              <w:spacing w:before="0" w:after="0" w:line="240" w:lineRule="auto"/>
              <w:rPr>
                <w:rFonts w:ascii="Arial Narrow" w:hAnsi="Arial Narrow"/>
              </w:rPr>
            </w:pPr>
            <w:r w:rsidRPr="001A351F">
              <w:rPr>
                <w:rFonts w:ascii="Arial Narrow" w:hAnsi="Arial Narrow"/>
              </w:rPr>
              <w:t>South East</w:t>
            </w:r>
          </w:p>
        </w:tc>
        <w:tc>
          <w:tcPr>
            <w:tcW w:w="975" w:type="pct"/>
            <w:hideMark/>
          </w:tcPr>
          <w:p w:rsidR="00F63FBB" w:rsidRPr="001A351F" w:rsidRDefault="00F63FBB" w:rsidP="001A351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1A351F">
              <w:rPr>
                <w:rFonts w:ascii="Arial Narrow" w:hAnsi="Arial Narrow"/>
                <w:sz w:val="24"/>
                <w:szCs w:val="24"/>
              </w:rPr>
              <w:t>1,048,887</w:t>
            </w:r>
          </w:p>
        </w:tc>
        <w:tc>
          <w:tcPr>
            <w:tcW w:w="975" w:type="pct"/>
            <w:hideMark/>
          </w:tcPr>
          <w:p w:rsidR="00F63FBB" w:rsidRPr="001A351F" w:rsidRDefault="00F63FBB" w:rsidP="001A351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1A351F">
              <w:rPr>
                <w:rFonts w:ascii="Arial Narrow" w:hAnsi="Arial Narrow"/>
                <w:sz w:val="24"/>
                <w:szCs w:val="24"/>
              </w:rPr>
              <w:t>29.5%</w:t>
            </w:r>
          </w:p>
        </w:tc>
        <w:tc>
          <w:tcPr>
            <w:tcW w:w="975" w:type="pct"/>
          </w:tcPr>
          <w:p w:rsidR="00F63FBB" w:rsidRPr="001A351F" w:rsidRDefault="00847752" w:rsidP="001A351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1,278,964</w:t>
            </w:r>
          </w:p>
        </w:tc>
        <w:tc>
          <w:tcPr>
            <w:tcW w:w="922" w:type="pct"/>
          </w:tcPr>
          <w:p w:rsidR="00F63FBB" w:rsidRPr="001A351F" w:rsidRDefault="00847752" w:rsidP="001A351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15.1%</w:t>
            </w:r>
          </w:p>
        </w:tc>
      </w:tr>
      <w:tr w:rsidR="00F63FBB" w:rsidRPr="001A351F" w:rsidTr="00BD0EDE">
        <w:tc>
          <w:tcPr>
            <w:cnfStyle w:val="001000000000" w:firstRow="0" w:lastRow="0" w:firstColumn="1" w:lastColumn="0" w:oddVBand="0" w:evenVBand="0" w:oddHBand="0" w:evenHBand="0" w:firstRowFirstColumn="0" w:firstRowLastColumn="0" w:lastRowFirstColumn="0" w:lastRowLastColumn="0"/>
            <w:tcW w:w="1152" w:type="pct"/>
            <w:hideMark/>
          </w:tcPr>
          <w:p w:rsidR="00F63FBB" w:rsidRPr="001A351F" w:rsidRDefault="00F63FBB" w:rsidP="001A351F">
            <w:pPr>
              <w:pStyle w:val="11Bodytext"/>
              <w:numPr>
                <w:ilvl w:val="0"/>
                <w:numId w:val="0"/>
              </w:numPr>
              <w:spacing w:before="0" w:after="0" w:line="240" w:lineRule="auto"/>
              <w:rPr>
                <w:rFonts w:ascii="Arial Narrow" w:hAnsi="Arial Narrow"/>
              </w:rPr>
            </w:pPr>
            <w:r w:rsidRPr="001A351F">
              <w:rPr>
                <w:rFonts w:ascii="Arial Narrow" w:hAnsi="Arial Narrow"/>
              </w:rPr>
              <w:t>England</w:t>
            </w:r>
          </w:p>
        </w:tc>
        <w:tc>
          <w:tcPr>
            <w:tcW w:w="975" w:type="pct"/>
            <w:hideMark/>
          </w:tcPr>
          <w:p w:rsidR="00F63FBB" w:rsidRPr="001A351F" w:rsidRDefault="00F63FBB" w:rsidP="001A351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1A351F">
              <w:rPr>
                <w:rFonts w:ascii="Arial Narrow" w:hAnsi="Arial Narrow"/>
                <w:sz w:val="24"/>
                <w:szCs w:val="24"/>
              </w:rPr>
              <w:t>7,217,905</w:t>
            </w:r>
          </w:p>
        </w:tc>
        <w:tc>
          <w:tcPr>
            <w:tcW w:w="975" w:type="pct"/>
            <w:hideMark/>
          </w:tcPr>
          <w:p w:rsidR="00F63FBB" w:rsidRPr="001A351F" w:rsidRDefault="00F63FBB" w:rsidP="001A351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1A351F">
              <w:rPr>
                <w:rFonts w:ascii="Arial Narrow" w:hAnsi="Arial Narrow"/>
                <w:sz w:val="24"/>
                <w:szCs w:val="24"/>
              </w:rPr>
              <w:t>32.7%</w:t>
            </w:r>
          </w:p>
        </w:tc>
        <w:tc>
          <w:tcPr>
            <w:tcW w:w="975" w:type="pct"/>
          </w:tcPr>
          <w:p w:rsidR="00F63FBB" w:rsidRPr="001A351F" w:rsidRDefault="00847752" w:rsidP="001A351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8,936,954</w:t>
            </w:r>
          </w:p>
        </w:tc>
        <w:tc>
          <w:tcPr>
            <w:tcW w:w="922" w:type="pct"/>
          </w:tcPr>
          <w:p w:rsidR="00F63FBB" w:rsidRPr="001A351F" w:rsidRDefault="00847752" w:rsidP="001A351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17.2%</w:t>
            </w:r>
          </w:p>
        </w:tc>
      </w:tr>
    </w:tbl>
    <w:p w:rsidR="00F63FBB" w:rsidRPr="001A351F" w:rsidRDefault="00F63FBB" w:rsidP="00BD0EDE">
      <w:pPr>
        <w:pStyle w:val="ReportSourceundertable0"/>
        <w:widowControl w:val="0"/>
        <w:jc w:val="left"/>
        <w:rPr>
          <w:rFonts w:ascii="Arial" w:hAnsi="Arial"/>
          <w:color w:val="auto"/>
          <w:sz w:val="24"/>
          <w:lang w:val="en-GB"/>
        </w:rPr>
      </w:pPr>
      <w:r w:rsidRPr="001A351F">
        <w:rPr>
          <w:rFonts w:ascii="Arial" w:hAnsi="Arial"/>
          <w:color w:val="auto"/>
          <w:sz w:val="24"/>
          <w:lang w:val="en-GB"/>
        </w:rPr>
        <w:t>Source: 2011 Census</w:t>
      </w:r>
    </w:p>
    <w:p w:rsidR="00F63FBB" w:rsidRPr="00CA47B9" w:rsidRDefault="00855CA6" w:rsidP="0028171E">
      <w:pPr>
        <w:pStyle w:val="11Bodytext"/>
        <w:tabs>
          <w:tab w:val="clear" w:pos="2212"/>
        </w:tabs>
        <w:ind w:left="567" w:hanging="567"/>
      </w:pPr>
      <w:r>
        <w:rPr>
          <w:color w:val="auto"/>
        </w:rPr>
        <w:t xml:space="preserve">The age profile </w:t>
      </w:r>
      <w:r w:rsidR="00F63FBB" w:rsidRPr="00CA47B9">
        <w:t>impact</w:t>
      </w:r>
      <w:r>
        <w:t>s</w:t>
      </w:r>
      <w:r w:rsidR="00F63FBB" w:rsidRPr="00CA47B9">
        <w:t xml:space="preserve"> upon the numbers of people with </w:t>
      </w:r>
      <w:r>
        <w:t>an LTHPD</w:t>
      </w:r>
      <w:r w:rsidR="00F63FBB" w:rsidRPr="00CA47B9">
        <w:t xml:space="preserve">, as older people tend to be more likely to have </w:t>
      </w:r>
      <w:r>
        <w:t>an LTHPD</w:t>
      </w:r>
      <w:r w:rsidR="00F63FBB" w:rsidRPr="00CA47B9">
        <w:t xml:space="preserve">. Therefore, the </w:t>
      </w:r>
      <w:r w:rsidR="00D53082">
        <w:t>f</w:t>
      </w:r>
      <w:r w:rsidR="00F63FBB" w:rsidRPr="00CA47B9">
        <w:t xml:space="preserve">igure below shows the age bands of people with </w:t>
      </w:r>
      <w:r>
        <w:t>an LTHPD</w:t>
      </w:r>
      <w:r w:rsidR="00F63FBB" w:rsidRPr="00CA47B9">
        <w:t xml:space="preserve">. It is clear from this analysis that those people in the oldest age bands are more likely to have </w:t>
      </w:r>
      <w:r>
        <w:t>an LTHPD</w:t>
      </w:r>
      <w:r w:rsidR="006D50B1">
        <w:t>.</w:t>
      </w:r>
    </w:p>
    <w:p w:rsidR="00F63FBB" w:rsidRPr="00CA47B9" w:rsidRDefault="00F63FBB" w:rsidP="00BD0EDE">
      <w:pPr>
        <w:pStyle w:val="FigureHeading"/>
        <w:tabs>
          <w:tab w:val="clear" w:pos="794"/>
          <w:tab w:val="clear" w:pos="1843"/>
          <w:tab w:val="left" w:pos="0"/>
        </w:tabs>
        <w:ind w:left="0" w:firstLine="0"/>
      </w:pPr>
      <w:r w:rsidRPr="00CA47B9">
        <w:lastRenderedPageBreak/>
        <w:t>Population with Long-Term Health Problem or Disability in each Age Band</w:t>
      </w:r>
    </w:p>
    <w:p w:rsidR="00F63FBB" w:rsidRDefault="00F63FBB" w:rsidP="00F63FBB">
      <w:pPr>
        <w:pStyle w:val="Bodytextwithindent"/>
        <w:keepNext/>
        <w:spacing w:before="0" w:after="0" w:line="240" w:lineRule="auto"/>
        <w:rPr>
          <w:color w:val="auto"/>
          <w:lang w:eastAsia="en-GB"/>
        </w:rPr>
      </w:pPr>
    </w:p>
    <w:p w:rsidR="00F63209" w:rsidRPr="004F4DBD" w:rsidRDefault="00F63209" w:rsidP="00163B4B">
      <w:pPr>
        <w:rPr>
          <w:lang w:eastAsia="en-GB"/>
        </w:rPr>
      </w:pPr>
      <w:r>
        <w:rPr>
          <w:noProof/>
          <w:lang w:eastAsia="en-GB"/>
        </w:rPr>
        <w:drawing>
          <wp:inline distT="0" distB="0" distL="0" distR="0" wp14:anchorId="6CECC084" wp14:editId="51A28349">
            <wp:extent cx="6141600" cy="4161600"/>
            <wp:effectExtent l="0" t="0" r="12065" b="10795"/>
            <wp:docPr id="1035" name="Chart 1035" descr="Bar chart comparing the percent of the population with a long term health problem or disability, comparing Chichester district to other geographies" title="Figure 43: Population with Long-Term Health Problem or Disability in each Age Band">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076D2AE-9D17-4751-9801-2F5EEE9467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F63FBB" w:rsidRPr="001A351F" w:rsidRDefault="00F63FBB" w:rsidP="00BD0EDE">
      <w:pPr>
        <w:pStyle w:val="ReportSourceundertable0"/>
        <w:widowControl w:val="0"/>
        <w:spacing w:after="120" w:line="360" w:lineRule="auto"/>
        <w:jc w:val="left"/>
        <w:rPr>
          <w:rFonts w:ascii="Arial" w:hAnsi="Arial"/>
          <w:color w:val="auto"/>
          <w:sz w:val="24"/>
          <w:lang w:val="en-GB"/>
        </w:rPr>
      </w:pPr>
      <w:r w:rsidRPr="001A351F">
        <w:rPr>
          <w:rFonts w:ascii="Arial" w:hAnsi="Arial"/>
          <w:color w:val="auto"/>
          <w:sz w:val="24"/>
          <w:lang w:val="en-GB"/>
        </w:rPr>
        <w:t>Source: 2011 Census</w:t>
      </w:r>
    </w:p>
    <w:p w:rsidR="00F63FBB" w:rsidRPr="00CA47B9" w:rsidRDefault="00F63FBB" w:rsidP="0028171E">
      <w:pPr>
        <w:pStyle w:val="11Bodytext"/>
        <w:tabs>
          <w:tab w:val="clear" w:pos="2212"/>
        </w:tabs>
        <w:ind w:left="567" w:hanging="567"/>
      </w:pPr>
      <w:r w:rsidRPr="00CA47B9">
        <w:t xml:space="preserve">The figure below shows the tenures of people with </w:t>
      </w:r>
      <w:r w:rsidR="00855CA6">
        <w:t>an LTHPD</w:t>
      </w:r>
      <w:r w:rsidRPr="00CA47B9">
        <w:t xml:space="preserve">. Notably, the data is for </w:t>
      </w:r>
      <w:r w:rsidR="00855CA6">
        <w:t xml:space="preserve">the </w:t>
      </w:r>
      <w:r w:rsidRPr="00CA47B9">
        <w:t xml:space="preserve">population living in households rather than households. The analysis clearly shows that people with </w:t>
      </w:r>
      <w:r w:rsidR="00855CA6">
        <w:t>an LTHPD</w:t>
      </w:r>
      <w:r w:rsidRPr="00CA47B9">
        <w:t xml:space="preserve"> are more likely to live in social rented housing and are also more likely to be outright owners (this will be linked to the age profile of the population with a disability). </w:t>
      </w:r>
    </w:p>
    <w:p w:rsidR="00F63FBB" w:rsidRPr="00CA47B9" w:rsidRDefault="00F63FBB" w:rsidP="0028171E">
      <w:pPr>
        <w:pStyle w:val="11Bodytext"/>
        <w:tabs>
          <w:tab w:val="clear" w:pos="2212"/>
        </w:tabs>
        <w:ind w:left="567" w:hanging="567"/>
      </w:pPr>
      <w:r w:rsidRPr="00CA47B9">
        <w:t>Given that typically the lowest incomes are found in the social rented sector and to a lesser extent for outright owners, the analysis would suggest that the population/households with a disability are likely to be relatively disadvantaged when compared to the rest of the population.</w:t>
      </w:r>
      <w:r w:rsidR="00FE0959">
        <w:t xml:space="preserve"> This is because</w:t>
      </w:r>
      <w:r w:rsidR="009524F3">
        <w:t xml:space="preserve"> not all housing options are suitable to their housing needs meaning they are </w:t>
      </w:r>
      <w:r w:rsidR="00FE0959">
        <w:t>often dependent on wheelchair adaptable dwelling</w:t>
      </w:r>
      <w:r w:rsidR="009524F3">
        <w:t xml:space="preserve">s. </w:t>
      </w:r>
    </w:p>
    <w:p w:rsidR="00F63FBB" w:rsidRPr="001A351F" w:rsidRDefault="00F63FBB" w:rsidP="00BD0EDE">
      <w:pPr>
        <w:pStyle w:val="FigureHeading"/>
        <w:tabs>
          <w:tab w:val="clear" w:pos="794"/>
          <w:tab w:val="clear" w:pos="1843"/>
          <w:tab w:val="left" w:pos="0"/>
        </w:tabs>
        <w:spacing w:line="240" w:lineRule="auto"/>
        <w:ind w:left="0" w:firstLine="0"/>
        <w:rPr>
          <w:szCs w:val="24"/>
        </w:rPr>
      </w:pPr>
      <w:r w:rsidRPr="001A351F">
        <w:rPr>
          <w:szCs w:val="24"/>
        </w:rPr>
        <w:lastRenderedPageBreak/>
        <w:t xml:space="preserve">Tenure of people with LTHPD </w:t>
      </w:r>
    </w:p>
    <w:p w:rsidR="005D4A34" w:rsidRPr="001A351F" w:rsidRDefault="005D4A34" w:rsidP="00163B4B">
      <w:pPr>
        <w:pStyle w:val="11Bodytext"/>
        <w:numPr>
          <w:ilvl w:val="0"/>
          <w:numId w:val="0"/>
        </w:numPr>
        <w:spacing w:before="0" w:after="0" w:line="240" w:lineRule="auto"/>
        <w:rPr>
          <w:color w:val="auto"/>
        </w:rPr>
      </w:pPr>
      <w:r w:rsidRPr="001A351F">
        <w:rPr>
          <w:noProof/>
          <w:lang w:eastAsia="en-GB"/>
        </w:rPr>
        <w:drawing>
          <wp:inline distT="0" distB="0" distL="0" distR="0" wp14:anchorId="6293609C" wp14:editId="4AEE1963">
            <wp:extent cx="6120000" cy="3589200"/>
            <wp:effectExtent l="0" t="0" r="14605" b="11430"/>
            <wp:docPr id="1037" name="Chart 1037" descr="Stacked bar chart showing the overall share of tenure types amongst people with a LTHPD" title="Figure 44: Tenure of people with LTHPD ">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C5620F-DB93-4E2E-BABF-074C8171DE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F63FBB" w:rsidRPr="00CA47B9" w:rsidRDefault="00F63FBB" w:rsidP="00BD0EDE">
      <w:pPr>
        <w:pStyle w:val="ReportSourceundertable0"/>
        <w:widowControl w:val="0"/>
        <w:jc w:val="left"/>
        <w:rPr>
          <w:rFonts w:ascii="Arial" w:hAnsi="Arial"/>
          <w:color w:val="auto"/>
          <w:szCs w:val="20"/>
          <w:lang w:val="en-GB"/>
        </w:rPr>
      </w:pPr>
      <w:r w:rsidRPr="001A351F">
        <w:rPr>
          <w:rFonts w:ascii="Arial" w:hAnsi="Arial"/>
          <w:color w:val="auto"/>
          <w:sz w:val="24"/>
          <w:lang w:val="en-GB"/>
        </w:rPr>
        <w:t>Source: 2011 Census</w:t>
      </w:r>
    </w:p>
    <w:p w:rsidR="00F63FBB" w:rsidRPr="00CA47B9" w:rsidRDefault="00F63FBB" w:rsidP="0028171E">
      <w:pPr>
        <w:pStyle w:val="11Bodytext"/>
        <w:tabs>
          <w:tab w:val="clear" w:pos="2212"/>
        </w:tabs>
        <w:ind w:left="567" w:hanging="567"/>
        <w:rPr>
          <w:lang w:eastAsia="en-GB"/>
        </w:rPr>
      </w:pPr>
      <w:r w:rsidRPr="00CA47B9">
        <w:rPr>
          <w:lang w:eastAsia="en-GB"/>
        </w:rPr>
        <w:t xml:space="preserve">The table below shows the projected changes to </w:t>
      </w:r>
      <w:r w:rsidR="00855CA6">
        <w:rPr>
          <w:lang w:eastAsia="en-GB"/>
        </w:rPr>
        <w:t xml:space="preserve">the </w:t>
      </w:r>
      <w:r w:rsidRPr="00CA47B9">
        <w:rPr>
          <w:lang w:eastAsia="en-GB"/>
        </w:rPr>
        <w:t xml:space="preserve">population with a range of disabilities. The data is at the Chichester District </w:t>
      </w:r>
      <w:r w:rsidR="00A2023D">
        <w:rPr>
          <w:lang w:eastAsia="en-GB"/>
        </w:rPr>
        <w:t xml:space="preserve">level </w:t>
      </w:r>
      <w:r w:rsidRPr="00CA47B9">
        <w:rPr>
          <w:lang w:eastAsia="en-GB"/>
        </w:rPr>
        <w:t xml:space="preserve">and based on the </w:t>
      </w:r>
      <w:r w:rsidRPr="00CA47B9">
        <w:t>delivery</w:t>
      </w:r>
      <w:r w:rsidRPr="00CA47B9">
        <w:rPr>
          <w:lang w:eastAsia="en-GB"/>
        </w:rPr>
        <w:t xml:space="preserve"> of </w:t>
      </w:r>
      <w:r w:rsidR="003226FB">
        <w:rPr>
          <w:lang w:eastAsia="en-GB"/>
        </w:rPr>
        <w:t>731</w:t>
      </w:r>
      <w:r w:rsidRPr="00CA47B9">
        <w:rPr>
          <w:lang w:eastAsia="en-GB"/>
        </w:rPr>
        <w:t xml:space="preserve"> dpa to 2036. The population over 65 years with dementia and mobility problems are expected to experience the greatest growth to 2036. The population with mobility problems is projected to increase by approximately </w:t>
      </w:r>
      <w:r w:rsidR="003226FB">
        <w:rPr>
          <w:lang w:eastAsia="en-GB"/>
        </w:rPr>
        <w:t>5</w:t>
      </w:r>
      <w:r w:rsidR="006863E5">
        <w:rPr>
          <w:lang w:eastAsia="en-GB"/>
        </w:rPr>
        <w:t>1.5</w:t>
      </w:r>
      <w:r w:rsidRPr="00CA47B9">
        <w:rPr>
          <w:lang w:eastAsia="en-GB"/>
        </w:rPr>
        <w:t xml:space="preserve">% by 2036. The population with dementia is projected to grow by approximately </w:t>
      </w:r>
      <w:r w:rsidR="003226FB">
        <w:rPr>
          <w:lang w:eastAsia="en-GB"/>
        </w:rPr>
        <w:t>5</w:t>
      </w:r>
      <w:r w:rsidRPr="00CA47B9">
        <w:rPr>
          <w:lang w:eastAsia="en-GB"/>
        </w:rPr>
        <w:t>8</w:t>
      </w:r>
      <w:r w:rsidR="006863E5">
        <w:rPr>
          <w:lang w:eastAsia="en-GB"/>
        </w:rPr>
        <w:t>.2</w:t>
      </w:r>
      <w:r w:rsidRPr="00CA47B9">
        <w:rPr>
          <w:lang w:eastAsia="en-GB"/>
        </w:rPr>
        <w:t>%.</w:t>
      </w:r>
    </w:p>
    <w:p w:rsidR="00F63FBB" w:rsidRPr="00CA47B9" w:rsidRDefault="00F63FBB" w:rsidP="0028171E">
      <w:pPr>
        <w:pStyle w:val="11Bodytext"/>
        <w:tabs>
          <w:tab w:val="clear" w:pos="2212"/>
        </w:tabs>
        <w:ind w:left="567" w:hanging="567"/>
        <w:rPr>
          <w:lang w:eastAsia="en-GB"/>
        </w:rPr>
      </w:pPr>
      <w:r w:rsidRPr="00CA47B9">
        <w:rPr>
          <w:lang w:eastAsia="en-GB"/>
        </w:rPr>
        <w:t xml:space="preserve">The older population (over 65 years) with autistic spectrum disorders is expected to increase by </w:t>
      </w:r>
      <w:r w:rsidRPr="00CA47B9">
        <w:t>around</w:t>
      </w:r>
      <w:r w:rsidRPr="00CA47B9">
        <w:rPr>
          <w:lang w:eastAsia="en-GB"/>
        </w:rPr>
        <w:t xml:space="preserve"> </w:t>
      </w:r>
      <w:r w:rsidR="003226FB">
        <w:rPr>
          <w:lang w:eastAsia="en-GB"/>
        </w:rPr>
        <w:t>44</w:t>
      </w:r>
      <w:r w:rsidRPr="00CA47B9">
        <w:rPr>
          <w:lang w:eastAsia="en-GB"/>
        </w:rPr>
        <w:t>% over the period. The population aged between 18 to 64 years is expected to change at a less significant rate (approximately 8%).</w:t>
      </w:r>
      <w:r w:rsidR="00BA7744" w:rsidRPr="00CA47B9">
        <w:rPr>
          <w:lang w:eastAsia="en-GB"/>
        </w:rPr>
        <w:t xml:space="preserve"> </w:t>
      </w:r>
    </w:p>
    <w:p w:rsidR="00F63FBB" w:rsidRPr="00CA47B9" w:rsidRDefault="00F63FBB" w:rsidP="00BD0EDE">
      <w:pPr>
        <w:pStyle w:val="Tableheading"/>
        <w:tabs>
          <w:tab w:val="clear" w:pos="794"/>
          <w:tab w:val="clear" w:pos="1843"/>
          <w:tab w:val="left" w:pos="0"/>
        </w:tabs>
        <w:ind w:left="0" w:firstLine="0"/>
        <w:rPr>
          <w:lang w:eastAsia="en-GB"/>
        </w:rPr>
      </w:pPr>
      <w:r w:rsidRPr="00CA47B9">
        <w:rPr>
          <w:lang w:eastAsia="en-GB"/>
        </w:rPr>
        <w:lastRenderedPageBreak/>
        <w:t>Projected changes to population with a range of disabilities Chichester District</w:t>
      </w:r>
    </w:p>
    <w:tbl>
      <w:tblPr>
        <w:tblStyle w:val="TableGrid"/>
        <w:tblW w:w="4894" w:type="pct"/>
        <w:tblInd w:w="108" w:type="dxa"/>
        <w:tblLook w:val="04A0" w:firstRow="1" w:lastRow="0" w:firstColumn="1" w:lastColumn="0" w:noHBand="0" w:noVBand="1"/>
        <w:tblCaption w:val="Table 42: Projected changes to population with a range of disabilities Chichester District"/>
      </w:tblPr>
      <w:tblGrid>
        <w:gridCol w:w="2645"/>
        <w:gridCol w:w="1418"/>
        <w:gridCol w:w="1419"/>
        <w:gridCol w:w="1419"/>
        <w:gridCol w:w="1419"/>
        <w:gridCol w:w="1318"/>
      </w:tblGrid>
      <w:tr w:rsidR="00F63FBB" w:rsidRPr="001A351F" w:rsidTr="00BD0EDE">
        <w:trPr>
          <w:tblHeader/>
        </w:trPr>
        <w:tc>
          <w:tcPr>
            <w:tcW w:w="1372" w:type="pct"/>
            <w:tcBorders>
              <w:top w:val="single" w:sz="4" w:space="0" w:color="auto"/>
              <w:left w:val="single" w:sz="4" w:space="0" w:color="auto"/>
              <w:bottom w:val="single" w:sz="4" w:space="0" w:color="auto"/>
              <w:right w:val="single" w:sz="4" w:space="0" w:color="auto"/>
            </w:tcBorders>
            <w:shd w:val="clear" w:color="auto" w:fill="0093D5" w:themeFill="accent2"/>
            <w:noWrap/>
            <w:hideMark/>
          </w:tcPr>
          <w:p w:rsidR="00F63FBB" w:rsidRPr="001A351F" w:rsidRDefault="00F63FBB" w:rsidP="00D201B7">
            <w:pPr>
              <w:keepNext/>
              <w:spacing w:before="60" w:after="60" w:line="300" w:lineRule="auto"/>
              <w:rPr>
                <w:rFonts w:ascii="Arial Narrow" w:hAnsi="Arial Narrow"/>
                <w:bCs/>
                <w:color w:val="FFFFFF" w:themeColor="background1"/>
                <w:sz w:val="24"/>
                <w:szCs w:val="24"/>
                <w:lang w:eastAsia="en-US"/>
              </w:rPr>
            </w:pPr>
            <w:r w:rsidRPr="001A351F">
              <w:rPr>
                <w:rFonts w:ascii="Arial Narrow" w:hAnsi="Arial Narrow"/>
                <w:bCs/>
                <w:color w:val="FFFFFF" w:themeColor="background1"/>
                <w:sz w:val="24"/>
                <w:szCs w:val="24"/>
                <w:lang w:eastAsia="en-US"/>
              </w:rPr>
              <w:t>Disability</w:t>
            </w:r>
          </w:p>
        </w:tc>
        <w:tc>
          <w:tcPr>
            <w:tcW w:w="736" w:type="pct"/>
            <w:tcBorders>
              <w:top w:val="single" w:sz="4" w:space="0" w:color="auto"/>
              <w:left w:val="single" w:sz="4" w:space="0" w:color="auto"/>
              <w:bottom w:val="single" w:sz="4" w:space="0" w:color="auto"/>
              <w:right w:val="single" w:sz="4" w:space="0" w:color="auto"/>
            </w:tcBorders>
            <w:shd w:val="clear" w:color="auto" w:fill="0093D5" w:themeFill="accent2"/>
            <w:noWrap/>
            <w:vAlign w:val="center"/>
            <w:hideMark/>
          </w:tcPr>
          <w:p w:rsidR="00F63FBB" w:rsidRPr="001A351F" w:rsidRDefault="00F63FBB" w:rsidP="00D201B7">
            <w:pPr>
              <w:keepNext/>
              <w:spacing w:before="60" w:after="60" w:line="300" w:lineRule="auto"/>
              <w:rPr>
                <w:rFonts w:ascii="Arial Narrow" w:hAnsi="Arial Narrow"/>
                <w:bCs/>
                <w:color w:val="FFFFFF" w:themeColor="background1"/>
                <w:sz w:val="24"/>
                <w:szCs w:val="24"/>
                <w:lang w:eastAsia="en-US"/>
              </w:rPr>
            </w:pPr>
            <w:r w:rsidRPr="001A351F">
              <w:rPr>
                <w:rFonts w:ascii="Arial Narrow" w:hAnsi="Arial Narrow"/>
                <w:bCs/>
                <w:color w:val="FFFFFF" w:themeColor="background1"/>
                <w:sz w:val="24"/>
                <w:szCs w:val="24"/>
                <w:lang w:eastAsia="en-US"/>
              </w:rPr>
              <w:t>Age range</w:t>
            </w:r>
          </w:p>
        </w:tc>
        <w:tc>
          <w:tcPr>
            <w:tcW w:w="736" w:type="pct"/>
            <w:tcBorders>
              <w:top w:val="single" w:sz="4" w:space="0" w:color="auto"/>
              <w:left w:val="single" w:sz="4" w:space="0" w:color="auto"/>
              <w:bottom w:val="single" w:sz="4" w:space="0" w:color="auto"/>
              <w:right w:val="single" w:sz="4" w:space="0" w:color="auto"/>
            </w:tcBorders>
            <w:shd w:val="clear" w:color="auto" w:fill="0093D5" w:themeFill="accent2"/>
            <w:noWrap/>
            <w:vAlign w:val="center"/>
            <w:hideMark/>
          </w:tcPr>
          <w:p w:rsidR="00F63FBB" w:rsidRPr="001A351F" w:rsidRDefault="00F63FBB" w:rsidP="00D201B7">
            <w:pPr>
              <w:keepNext/>
              <w:spacing w:before="60" w:after="60" w:line="300" w:lineRule="auto"/>
              <w:jc w:val="center"/>
              <w:rPr>
                <w:rFonts w:ascii="Arial Narrow" w:hAnsi="Arial Narrow"/>
                <w:bCs/>
                <w:color w:val="FFFFFF" w:themeColor="background1"/>
                <w:sz w:val="24"/>
                <w:szCs w:val="24"/>
                <w:lang w:eastAsia="en-US"/>
              </w:rPr>
            </w:pPr>
            <w:r w:rsidRPr="001A351F">
              <w:rPr>
                <w:rFonts w:ascii="Arial Narrow" w:hAnsi="Arial Narrow"/>
                <w:bCs/>
                <w:color w:val="FFFFFF" w:themeColor="background1"/>
                <w:sz w:val="24"/>
                <w:szCs w:val="24"/>
                <w:lang w:eastAsia="en-US"/>
              </w:rPr>
              <w:t>201</w:t>
            </w:r>
            <w:r w:rsidR="003226FB" w:rsidRPr="001A351F">
              <w:rPr>
                <w:rFonts w:ascii="Arial Narrow" w:hAnsi="Arial Narrow"/>
                <w:bCs/>
                <w:color w:val="FFFFFF" w:themeColor="background1"/>
                <w:sz w:val="24"/>
                <w:szCs w:val="24"/>
                <w:lang w:eastAsia="en-US"/>
              </w:rPr>
              <w:t>9</w:t>
            </w:r>
          </w:p>
        </w:tc>
        <w:tc>
          <w:tcPr>
            <w:tcW w:w="736" w:type="pct"/>
            <w:tcBorders>
              <w:top w:val="single" w:sz="4" w:space="0" w:color="auto"/>
              <w:left w:val="single" w:sz="4" w:space="0" w:color="auto"/>
              <w:bottom w:val="single" w:sz="4" w:space="0" w:color="auto"/>
              <w:right w:val="single" w:sz="4" w:space="0" w:color="auto"/>
            </w:tcBorders>
            <w:shd w:val="clear" w:color="auto" w:fill="0093D5" w:themeFill="accent2"/>
            <w:noWrap/>
            <w:vAlign w:val="center"/>
            <w:hideMark/>
          </w:tcPr>
          <w:p w:rsidR="00F63FBB" w:rsidRPr="001A351F" w:rsidRDefault="00F63FBB" w:rsidP="00D201B7">
            <w:pPr>
              <w:keepNext/>
              <w:spacing w:before="60" w:after="60" w:line="300" w:lineRule="auto"/>
              <w:jc w:val="center"/>
              <w:rPr>
                <w:rFonts w:ascii="Arial Narrow" w:hAnsi="Arial Narrow"/>
                <w:bCs/>
                <w:color w:val="FFFFFF" w:themeColor="background1"/>
                <w:sz w:val="24"/>
                <w:szCs w:val="24"/>
                <w:lang w:eastAsia="en-US"/>
              </w:rPr>
            </w:pPr>
            <w:r w:rsidRPr="001A351F">
              <w:rPr>
                <w:rFonts w:ascii="Arial Narrow" w:hAnsi="Arial Narrow"/>
                <w:bCs/>
                <w:color w:val="FFFFFF" w:themeColor="background1"/>
                <w:sz w:val="24"/>
                <w:szCs w:val="24"/>
                <w:lang w:eastAsia="en-US"/>
              </w:rPr>
              <w:t>2036</w:t>
            </w:r>
          </w:p>
        </w:tc>
        <w:tc>
          <w:tcPr>
            <w:tcW w:w="736" w:type="pct"/>
            <w:tcBorders>
              <w:top w:val="single" w:sz="4" w:space="0" w:color="auto"/>
              <w:left w:val="single" w:sz="4" w:space="0" w:color="auto"/>
              <w:bottom w:val="single" w:sz="4" w:space="0" w:color="auto"/>
              <w:right w:val="single" w:sz="4" w:space="0" w:color="auto"/>
            </w:tcBorders>
            <w:shd w:val="clear" w:color="auto" w:fill="0093D5" w:themeFill="accent2"/>
            <w:noWrap/>
            <w:vAlign w:val="center"/>
            <w:hideMark/>
          </w:tcPr>
          <w:p w:rsidR="00F63FBB" w:rsidRPr="001A351F" w:rsidRDefault="00F63FBB" w:rsidP="00D201B7">
            <w:pPr>
              <w:keepNext/>
              <w:spacing w:before="60" w:after="60" w:line="300" w:lineRule="auto"/>
              <w:jc w:val="center"/>
              <w:rPr>
                <w:rFonts w:ascii="Arial Narrow" w:hAnsi="Arial Narrow"/>
                <w:bCs/>
                <w:color w:val="FFFFFF" w:themeColor="background1"/>
                <w:sz w:val="24"/>
                <w:szCs w:val="24"/>
                <w:lang w:eastAsia="en-US"/>
              </w:rPr>
            </w:pPr>
            <w:r w:rsidRPr="001A351F">
              <w:rPr>
                <w:rFonts w:ascii="Arial Narrow" w:hAnsi="Arial Narrow"/>
                <w:bCs/>
                <w:color w:val="FFFFFF" w:themeColor="background1"/>
                <w:sz w:val="24"/>
                <w:szCs w:val="24"/>
                <w:lang w:eastAsia="en-US"/>
              </w:rPr>
              <w:t>Change</w:t>
            </w:r>
          </w:p>
        </w:tc>
        <w:tc>
          <w:tcPr>
            <w:tcW w:w="685" w:type="pct"/>
            <w:tcBorders>
              <w:top w:val="single" w:sz="4" w:space="0" w:color="auto"/>
              <w:left w:val="single" w:sz="4" w:space="0" w:color="auto"/>
              <w:bottom w:val="single" w:sz="4" w:space="0" w:color="auto"/>
              <w:right w:val="single" w:sz="4" w:space="0" w:color="auto"/>
            </w:tcBorders>
            <w:shd w:val="clear" w:color="auto" w:fill="0093D5" w:themeFill="accent2"/>
            <w:noWrap/>
            <w:vAlign w:val="center"/>
            <w:hideMark/>
          </w:tcPr>
          <w:p w:rsidR="00F63FBB" w:rsidRPr="001A351F" w:rsidRDefault="00F63FBB" w:rsidP="00D201B7">
            <w:pPr>
              <w:keepNext/>
              <w:spacing w:before="60" w:after="60" w:line="300" w:lineRule="auto"/>
              <w:jc w:val="center"/>
              <w:rPr>
                <w:rFonts w:ascii="Arial Narrow" w:hAnsi="Arial Narrow"/>
                <w:bCs/>
                <w:color w:val="FFFFFF" w:themeColor="background1"/>
                <w:sz w:val="24"/>
                <w:szCs w:val="24"/>
                <w:lang w:eastAsia="en-US"/>
              </w:rPr>
            </w:pPr>
            <w:r w:rsidRPr="001A351F">
              <w:rPr>
                <w:rFonts w:ascii="Arial Narrow" w:hAnsi="Arial Narrow"/>
                <w:bCs/>
                <w:color w:val="FFFFFF" w:themeColor="background1"/>
                <w:sz w:val="24"/>
                <w:szCs w:val="24"/>
                <w:lang w:eastAsia="en-US"/>
              </w:rPr>
              <w:t>% change</w:t>
            </w:r>
          </w:p>
        </w:tc>
      </w:tr>
      <w:tr w:rsidR="003226FB" w:rsidRPr="001A351F" w:rsidTr="00BD0EDE">
        <w:tc>
          <w:tcPr>
            <w:tcW w:w="1372" w:type="pct"/>
            <w:tcBorders>
              <w:top w:val="single" w:sz="4" w:space="0" w:color="auto"/>
              <w:left w:val="single" w:sz="4" w:space="0" w:color="auto"/>
              <w:bottom w:val="single" w:sz="4" w:space="0" w:color="auto"/>
              <w:right w:val="single" w:sz="4" w:space="0" w:color="auto"/>
            </w:tcBorders>
            <w:noWrap/>
            <w:hideMark/>
          </w:tcPr>
          <w:p w:rsidR="003226FB" w:rsidRPr="001A351F" w:rsidRDefault="003226FB" w:rsidP="003226FB">
            <w:pPr>
              <w:keepNext/>
              <w:spacing w:line="300" w:lineRule="auto"/>
              <w:rPr>
                <w:rFonts w:ascii="Arial Narrow" w:hAnsi="Arial Narrow"/>
                <w:bCs/>
                <w:color w:val="000000"/>
                <w:sz w:val="24"/>
                <w:szCs w:val="24"/>
                <w:lang w:eastAsia="en-US"/>
              </w:rPr>
            </w:pPr>
            <w:r w:rsidRPr="001A351F">
              <w:rPr>
                <w:rFonts w:ascii="Arial Narrow" w:hAnsi="Arial Narrow"/>
                <w:bCs/>
                <w:color w:val="000000"/>
                <w:sz w:val="24"/>
                <w:szCs w:val="24"/>
                <w:lang w:eastAsia="en-US"/>
              </w:rPr>
              <w:t>Dementia</w:t>
            </w:r>
          </w:p>
        </w:tc>
        <w:tc>
          <w:tcPr>
            <w:tcW w:w="736" w:type="pct"/>
            <w:tcBorders>
              <w:top w:val="single" w:sz="4" w:space="0" w:color="auto"/>
              <w:left w:val="single" w:sz="4" w:space="0" w:color="auto"/>
              <w:bottom w:val="single" w:sz="4" w:space="0" w:color="auto"/>
              <w:right w:val="single" w:sz="4" w:space="0" w:color="auto"/>
            </w:tcBorders>
            <w:noWrap/>
            <w:vAlign w:val="center"/>
            <w:hideMark/>
          </w:tcPr>
          <w:p w:rsidR="003226FB" w:rsidRPr="001A351F" w:rsidRDefault="003226FB" w:rsidP="003226FB">
            <w:pPr>
              <w:keepNext/>
              <w:spacing w:line="300" w:lineRule="auto"/>
              <w:rPr>
                <w:rFonts w:ascii="Arial Narrow" w:hAnsi="Arial Narrow"/>
                <w:bCs/>
                <w:color w:val="000000"/>
                <w:sz w:val="24"/>
                <w:szCs w:val="24"/>
                <w:lang w:eastAsia="en-US"/>
              </w:rPr>
            </w:pPr>
            <w:r w:rsidRPr="001A351F">
              <w:rPr>
                <w:rFonts w:ascii="Arial Narrow" w:hAnsi="Arial Narrow"/>
                <w:bCs/>
                <w:color w:val="000000"/>
                <w:sz w:val="24"/>
                <w:szCs w:val="24"/>
                <w:lang w:eastAsia="en-US"/>
              </w:rPr>
              <w:t>65+</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226FB" w:rsidRPr="001A351F" w:rsidRDefault="003226FB" w:rsidP="003226FB">
            <w:pPr>
              <w:keepNext/>
              <w:spacing w:line="300" w:lineRule="auto"/>
              <w:jc w:val="center"/>
              <w:rPr>
                <w:rFonts w:ascii="Arial Narrow" w:hAnsi="Arial Narrow"/>
                <w:bCs/>
                <w:color w:val="000000"/>
                <w:sz w:val="24"/>
                <w:szCs w:val="24"/>
                <w:lang w:eastAsia="en-US"/>
              </w:rPr>
            </w:pPr>
            <w:r w:rsidRPr="001A351F">
              <w:rPr>
                <w:rFonts w:ascii="Arial Narrow" w:hAnsi="Arial Narrow"/>
                <w:color w:val="000000"/>
                <w:sz w:val="24"/>
                <w:szCs w:val="24"/>
              </w:rPr>
              <w:t>2,475</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226FB" w:rsidRPr="001A351F" w:rsidRDefault="003226FB" w:rsidP="003226FB">
            <w:pPr>
              <w:keepNext/>
              <w:spacing w:line="300" w:lineRule="auto"/>
              <w:jc w:val="center"/>
              <w:rPr>
                <w:rFonts w:ascii="Arial Narrow" w:hAnsi="Arial Narrow"/>
                <w:bCs/>
                <w:color w:val="000000"/>
                <w:sz w:val="24"/>
                <w:szCs w:val="24"/>
                <w:lang w:eastAsia="en-US"/>
              </w:rPr>
            </w:pPr>
            <w:r w:rsidRPr="001A351F">
              <w:rPr>
                <w:rFonts w:ascii="Arial Narrow" w:hAnsi="Arial Narrow"/>
                <w:color w:val="000000"/>
                <w:sz w:val="24"/>
                <w:szCs w:val="24"/>
              </w:rPr>
              <w:t>3,917</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226FB" w:rsidRPr="001A351F" w:rsidRDefault="003226FB" w:rsidP="003226FB">
            <w:pPr>
              <w:keepNext/>
              <w:spacing w:line="300" w:lineRule="auto"/>
              <w:jc w:val="center"/>
              <w:rPr>
                <w:rFonts w:ascii="Arial Narrow" w:hAnsi="Arial Narrow"/>
                <w:bCs/>
                <w:color w:val="000000"/>
                <w:sz w:val="24"/>
                <w:szCs w:val="24"/>
                <w:lang w:eastAsia="en-US"/>
              </w:rPr>
            </w:pPr>
            <w:r w:rsidRPr="001A351F">
              <w:rPr>
                <w:rFonts w:ascii="Arial Narrow" w:hAnsi="Arial Narrow"/>
                <w:color w:val="000000"/>
                <w:sz w:val="24"/>
                <w:szCs w:val="24"/>
              </w:rPr>
              <w:t>1,442</w:t>
            </w:r>
          </w:p>
        </w:tc>
        <w:tc>
          <w:tcPr>
            <w:tcW w:w="68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226FB" w:rsidRPr="001A351F" w:rsidRDefault="003226FB" w:rsidP="003226FB">
            <w:pPr>
              <w:keepNext/>
              <w:spacing w:line="300" w:lineRule="auto"/>
              <w:jc w:val="center"/>
              <w:rPr>
                <w:rFonts w:ascii="Arial Narrow" w:hAnsi="Arial Narrow"/>
                <w:bCs/>
                <w:color w:val="000000"/>
                <w:sz w:val="24"/>
                <w:szCs w:val="24"/>
                <w:lang w:eastAsia="en-US"/>
              </w:rPr>
            </w:pPr>
            <w:r w:rsidRPr="001A351F">
              <w:rPr>
                <w:rFonts w:ascii="Arial Narrow" w:hAnsi="Arial Narrow"/>
                <w:color w:val="000000"/>
                <w:sz w:val="24"/>
                <w:szCs w:val="24"/>
              </w:rPr>
              <w:t>58.2%</w:t>
            </w:r>
          </w:p>
        </w:tc>
      </w:tr>
      <w:tr w:rsidR="003226FB" w:rsidRPr="001A351F" w:rsidTr="00BD0EDE">
        <w:tc>
          <w:tcPr>
            <w:tcW w:w="1372" w:type="pct"/>
            <w:tcBorders>
              <w:top w:val="single" w:sz="4" w:space="0" w:color="auto"/>
              <w:left w:val="single" w:sz="4" w:space="0" w:color="auto"/>
              <w:bottom w:val="single" w:sz="4" w:space="0" w:color="auto"/>
              <w:right w:val="single" w:sz="4" w:space="0" w:color="auto"/>
            </w:tcBorders>
            <w:noWrap/>
            <w:hideMark/>
          </w:tcPr>
          <w:p w:rsidR="003226FB" w:rsidRPr="001A351F" w:rsidRDefault="003226FB" w:rsidP="003226FB">
            <w:pPr>
              <w:keepNext/>
              <w:spacing w:line="300" w:lineRule="auto"/>
              <w:rPr>
                <w:rFonts w:ascii="Arial Narrow" w:hAnsi="Arial Narrow"/>
                <w:bCs/>
                <w:color w:val="000000"/>
                <w:sz w:val="24"/>
                <w:szCs w:val="24"/>
                <w:lang w:eastAsia="en-US"/>
              </w:rPr>
            </w:pPr>
            <w:r w:rsidRPr="001A351F">
              <w:rPr>
                <w:rFonts w:ascii="Arial Narrow" w:hAnsi="Arial Narrow"/>
                <w:bCs/>
                <w:color w:val="000000"/>
                <w:sz w:val="24"/>
                <w:szCs w:val="24"/>
                <w:lang w:eastAsia="en-US"/>
              </w:rPr>
              <w:t>Mobility problems</w:t>
            </w:r>
          </w:p>
        </w:tc>
        <w:tc>
          <w:tcPr>
            <w:tcW w:w="736" w:type="pct"/>
            <w:tcBorders>
              <w:top w:val="single" w:sz="4" w:space="0" w:color="auto"/>
              <w:left w:val="single" w:sz="4" w:space="0" w:color="auto"/>
              <w:bottom w:val="single" w:sz="4" w:space="0" w:color="auto"/>
              <w:right w:val="single" w:sz="4" w:space="0" w:color="auto"/>
            </w:tcBorders>
            <w:noWrap/>
            <w:vAlign w:val="center"/>
            <w:hideMark/>
          </w:tcPr>
          <w:p w:rsidR="003226FB" w:rsidRPr="001A351F" w:rsidRDefault="003226FB" w:rsidP="003226FB">
            <w:pPr>
              <w:keepNext/>
              <w:spacing w:line="300" w:lineRule="auto"/>
              <w:rPr>
                <w:rFonts w:ascii="Arial Narrow" w:hAnsi="Arial Narrow"/>
                <w:bCs/>
                <w:color w:val="000000"/>
                <w:sz w:val="24"/>
                <w:szCs w:val="24"/>
                <w:lang w:eastAsia="en-US"/>
              </w:rPr>
            </w:pPr>
            <w:r w:rsidRPr="001A351F">
              <w:rPr>
                <w:rFonts w:ascii="Arial Narrow" w:hAnsi="Arial Narrow"/>
                <w:bCs/>
                <w:color w:val="000000"/>
                <w:sz w:val="24"/>
                <w:szCs w:val="24"/>
                <w:lang w:eastAsia="en-US"/>
              </w:rPr>
              <w:t>65+</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226FB" w:rsidRPr="001A351F" w:rsidRDefault="003226FB" w:rsidP="003226FB">
            <w:pPr>
              <w:keepNext/>
              <w:spacing w:line="300" w:lineRule="auto"/>
              <w:jc w:val="center"/>
              <w:rPr>
                <w:rFonts w:ascii="Arial Narrow" w:hAnsi="Arial Narrow"/>
                <w:bCs/>
                <w:color w:val="000000"/>
                <w:sz w:val="24"/>
                <w:szCs w:val="24"/>
                <w:lang w:eastAsia="en-US"/>
              </w:rPr>
            </w:pPr>
            <w:r w:rsidRPr="001A351F">
              <w:rPr>
                <w:rFonts w:ascii="Arial Narrow" w:hAnsi="Arial Narrow"/>
                <w:color w:val="000000"/>
                <w:sz w:val="24"/>
                <w:szCs w:val="24"/>
              </w:rPr>
              <w:t>6,355</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226FB" w:rsidRPr="001A351F" w:rsidRDefault="003226FB" w:rsidP="003226FB">
            <w:pPr>
              <w:keepNext/>
              <w:spacing w:line="300" w:lineRule="auto"/>
              <w:jc w:val="center"/>
              <w:rPr>
                <w:rFonts w:ascii="Arial Narrow" w:hAnsi="Arial Narrow"/>
                <w:bCs/>
                <w:color w:val="000000"/>
                <w:sz w:val="24"/>
                <w:szCs w:val="24"/>
                <w:lang w:eastAsia="en-US"/>
              </w:rPr>
            </w:pPr>
            <w:r w:rsidRPr="001A351F">
              <w:rPr>
                <w:rFonts w:ascii="Arial Narrow" w:hAnsi="Arial Narrow"/>
                <w:color w:val="000000"/>
                <w:sz w:val="24"/>
                <w:szCs w:val="24"/>
              </w:rPr>
              <w:t>9,630</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226FB" w:rsidRPr="001A351F" w:rsidRDefault="003226FB" w:rsidP="003226FB">
            <w:pPr>
              <w:keepNext/>
              <w:spacing w:line="300" w:lineRule="auto"/>
              <w:jc w:val="center"/>
              <w:rPr>
                <w:rFonts w:ascii="Arial Narrow" w:hAnsi="Arial Narrow"/>
                <w:bCs/>
                <w:color w:val="000000"/>
                <w:sz w:val="24"/>
                <w:szCs w:val="24"/>
                <w:lang w:eastAsia="en-US"/>
              </w:rPr>
            </w:pPr>
            <w:r w:rsidRPr="001A351F">
              <w:rPr>
                <w:rFonts w:ascii="Arial Narrow" w:hAnsi="Arial Narrow"/>
                <w:color w:val="000000"/>
                <w:sz w:val="24"/>
                <w:szCs w:val="24"/>
              </w:rPr>
              <w:t>3,275</w:t>
            </w:r>
          </w:p>
        </w:tc>
        <w:tc>
          <w:tcPr>
            <w:tcW w:w="68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226FB" w:rsidRPr="001A351F" w:rsidRDefault="003226FB" w:rsidP="003226FB">
            <w:pPr>
              <w:keepNext/>
              <w:spacing w:line="300" w:lineRule="auto"/>
              <w:jc w:val="center"/>
              <w:rPr>
                <w:rFonts w:ascii="Arial Narrow" w:hAnsi="Arial Narrow"/>
                <w:bCs/>
                <w:color w:val="000000"/>
                <w:sz w:val="24"/>
                <w:szCs w:val="24"/>
                <w:lang w:eastAsia="en-US"/>
              </w:rPr>
            </w:pPr>
            <w:r w:rsidRPr="001A351F">
              <w:rPr>
                <w:rFonts w:ascii="Arial Narrow" w:hAnsi="Arial Narrow"/>
                <w:color w:val="000000"/>
                <w:sz w:val="24"/>
                <w:szCs w:val="24"/>
              </w:rPr>
              <w:t>51.5%</w:t>
            </w:r>
          </w:p>
        </w:tc>
      </w:tr>
      <w:tr w:rsidR="003226FB" w:rsidRPr="001A351F" w:rsidTr="00C65DBC">
        <w:tc>
          <w:tcPr>
            <w:tcW w:w="1372" w:type="pct"/>
            <w:tcBorders>
              <w:top w:val="single" w:sz="4" w:space="0" w:color="auto"/>
              <w:left w:val="single" w:sz="4" w:space="0" w:color="auto"/>
              <w:bottom w:val="single" w:sz="4" w:space="0" w:color="FFFFFF" w:themeColor="background1"/>
              <w:right w:val="single" w:sz="4" w:space="0" w:color="auto"/>
            </w:tcBorders>
            <w:noWrap/>
            <w:hideMark/>
          </w:tcPr>
          <w:p w:rsidR="003226FB" w:rsidRPr="001A351F" w:rsidRDefault="003226FB" w:rsidP="003226FB">
            <w:pPr>
              <w:keepNext/>
              <w:spacing w:line="300" w:lineRule="auto"/>
              <w:rPr>
                <w:rFonts w:ascii="Arial Narrow" w:hAnsi="Arial Narrow"/>
                <w:bCs/>
                <w:color w:val="000000"/>
                <w:sz w:val="24"/>
                <w:szCs w:val="24"/>
                <w:lang w:eastAsia="en-US"/>
              </w:rPr>
            </w:pPr>
            <w:r w:rsidRPr="001A351F">
              <w:rPr>
                <w:rFonts w:ascii="Arial Narrow" w:hAnsi="Arial Narrow"/>
                <w:bCs/>
                <w:color w:val="000000"/>
                <w:sz w:val="24"/>
                <w:szCs w:val="24"/>
                <w:lang w:eastAsia="en-US"/>
              </w:rPr>
              <w:t>Autistic Spectrum Disorders</w:t>
            </w:r>
          </w:p>
        </w:tc>
        <w:tc>
          <w:tcPr>
            <w:tcW w:w="736" w:type="pct"/>
            <w:tcBorders>
              <w:top w:val="single" w:sz="4" w:space="0" w:color="auto"/>
              <w:left w:val="single" w:sz="4" w:space="0" w:color="auto"/>
              <w:bottom w:val="single" w:sz="4" w:space="0" w:color="auto"/>
              <w:right w:val="single" w:sz="4" w:space="0" w:color="auto"/>
            </w:tcBorders>
            <w:noWrap/>
            <w:vAlign w:val="center"/>
            <w:hideMark/>
          </w:tcPr>
          <w:p w:rsidR="003226FB" w:rsidRPr="001A351F" w:rsidRDefault="003226FB" w:rsidP="003226FB">
            <w:pPr>
              <w:keepNext/>
              <w:spacing w:line="300" w:lineRule="auto"/>
              <w:rPr>
                <w:rFonts w:ascii="Arial Narrow" w:hAnsi="Arial Narrow"/>
                <w:bCs/>
                <w:color w:val="000000"/>
                <w:sz w:val="24"/>
                <w:szCs w:val="24"/>
                <w:lang w:eastAsia="en-US"/>
              </w:rPr>
            </w:pPr>
            <w:r w:rsidRPr="001A351F">
              <w:rPr>
                <w:rFonts w:ascii="Arial Narrow" w:hAnsi="Arial Narrow"/>
                <w:bCs/>
                <w:color w:val="000000"/>
                <w:sz w:val="24"/>
                <w:szCs w:val="24"/>
                <w:lang w:eastAsia="en-US"/>
              </w:rPr>
              <w:t>18-64</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226FB" w:rsidRPr="001A351F" w:rsidRDefault="003226FB" w:rsidP="003226FB">
            <w:pPr>
              <w:keepNext/>
              <w:spacing w:line="300" w:lineRule="auto"/>
              <w:jc w:val="center"/>
              <w:rPr>
                <w:rFonts w:ascii="Arial Narrow" w:hAnsi="Arial Narrow"/>
                <w:bCs/>
                <w:color w:val="000000"/>
                <w:sz w:val="24"/>
                <w:szCs w:val="24"/>
                <w:lang w:eastAsia="en-US"/>
              </w:rPr>
            </w:pPr>
            <w:r w:rsidRPr="001A351F">
              <w:rPr>
                <w:rFonts w:ascii="Arial Narrow" w:hAnsi="Arial Narrow"/>
                <w:color w:val="000000"/>
                <w:sz w:val="24"/>
                <w:szCs w:val="24"/>
              </w:rPr>
              <w:t>649</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226FB" w:rsidRPr="001A351F" w:rsidRDefault="003226FB" w:rsidP="003226FB">
            <w:pPr>
              <w:keepNext/>
              <w:spacing w:line="300" w:lineRule="auto"/>
              <w:jc w:val="center"/>
              <w:rPr>
                <w:rFonts w:ascii="Arial Narrow" w:hAnsi="Arial Narrow"/>
                <w:bCs/>
                <w:color w:val="000000"/>
                <w:sz w:val="24"/>
                <w:szCs w:val="24"/>
                <w:lang w:eastAsia="en-US"/>
              </w:rPr>
            </w:pPr>
            <w:r w:rsidRPr="001A351F">
              <w:rPr>
                <w:rFonts w:ascii="Arial Narrow" w:hAnsi="Arial Narrow"/>
                <w:color w:val="000000"/>
                <w:sz w:val="24"/>
                <w:szCs w:val="24"/>
              </w:rPr>
              <w:t>699</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226FB" w:rsidRPr="001A351F" w:rsidRDefault="003226FB" w:rsidP="003226FB">
            <w:pPr>
              <w:keepNext/>
              <w:spacing w:line="300" w:lineRule="auto"/>
              <w:jc w:val="center"/>
              <w:rPr>
                <w:rFonts w:ascii="Arial Narrow" w:hAnsi="Arial Narrow"/>
                <w:bCs/>
                <w:color w:val="000000"/>
                <w:sz w:val="24"/>
                <w:szCs w:val="24"/>
                <w:lang w:eastAsia="en-US"/>
              </w:rPr>
            </w:pPr>
            <w:r w:rsidRPr="001A351F">
              <w:rPr>
                <w:rFonts w:ascii="Arial Narrow" w:hAnsi="Arial Narrow"/>
                <w:color w:val="000000"/>
                <w:sz w:val="24"/>
                <w:szCs w:val="24"/>
              </w:rPr>
              <w:t>49</w:t>
            </w:r>
          </w:p>
        </w:tc>
        <w:tc>
          <w:tcPr>
            <w:tcW w:w="68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226FB" w:rsidRPr="001A351F" w:rsidRDefault="003226FB" w:rsidP="003226FB">
            <w:pPr>
              <w:keepNext/>
              <w:spacing w:line="300" w:lineRule="auto"/>
              <w:jc w:val="center"/>
              <w:rPr>
                <w:rFonts w:ascii="Arial Narrow" w:hAnsi="Arial Narrow"/>
                <w:bCs/>
                <w:color w:val="000000"/>
                <w:sz w:val="24"/>
                <w:szCs w:val="24"/>
                <w:lang w:eastAsia="en-US"/>
              </w:rPr>
            </w:pPr>
            <w:r w:rsidRPr="001A351F">
              <w:rPr>
                <w:rFonts w:ascii="Arial Narrow" w:hAnsi="Arial Narrow"/>
                <w:color w:val="000000"/>
                <w:sz w:val="24"/>
                <w:szCs w:val="24"/>
              </w:rPr>
              <w:t>7.6%</w:t>
            </w:r>
          </w:p>
        </w:tc>
      </w:tr>
      <w:tr w:rsidR="003226FB" w:rsidRPr="001A351F" w:rsidTr="00C65DBC">
        <w:tc>
          <w:tcPr>
            <w:tcW w:w="1372" w:type="pct"/>
            <w:tcBorders>
              <w:top w:val="single" w:sz="4" w:space="0" w:color="FFFFFF" w:themeColor="background1"/>
              <w:left w:val="single" w:sz="4" w:space="0" w:color="auto"/>
              <w:bottom w:val="single" w:sz="4" w:space="0" w:color="auto"/>
              <w:right w:val="single" w:sz="4" w:space="0" w:color="auto"/>
            </w:tcBorders>
            <w:vAlign w:val="center"/>
            <w:hideMark/>
          </w:tcPr>
          <w:p w:rsidR="003226FB" w:rsidRPr="001A351F" w:rsidRDefault="003226FB" w:rsidP="003226FB">
            <w:pPr>
              <w:keepNext/>
              <w:rPr>
                <w:rFonts w:ascii="Arial Narrow" w:hAnsi="Arial Narrow"/>
                <w:bCs/>
                <w:color w:val="000000"/>
                <w:sz w:val="24"/>
                <w:szCs w:val="24"/>
                <w:lang w:eastAsia="en-US"/>
              </w:rPr>
            </w:pPr>
          </w:p>
        </w:tc>
        <w:tc>
          <w:tcPr>
            <w:tcW w:w="736" w:type="pct"/>
            <w:tcBorders>
              <w:top w:val="single" w:sz="4" w:space="0" w:color="auto"/>
              <w:left w:val="single" w:sz="4" w:space="0" w:color="auto"/>
              <w:bottom w:val="single" w:sz="4" w:space="0" w:color="auto"/>
              <w:right w:val="single" w:sz="4" w:space="0" w:color="auto"/>
            </w:tcBorders>
            <w:noWrap/>
            <w:vAlign w:val="center"/>
            <w:hideMark/>
          </w:tcPr>
          <w:p w:rsidR="003226FB" w:rsidRPr="001A351F" w:rsidRDefault="003226FB" w:rsidP="003226FB">
            <w:pPr>
              <w:keepNext/>
              <w:spacing w:line="300" w:lineRule="auto"/>
              <w:rPr>
                <w:rFonts w:ascii="Arial Narrow" w:hAnsi="Arial Narrow"/>
                <w:bCs/>
                <w:color w:val="000000"/>
                <w:sz w:val="24"/>
                <w:szCs w:val="24"/>
                <w:lang w:eastAsia="en-US"/>
              </w:rPr>
            </w:pPr>
            <w:r w:rsidRPr="001A351F">
              <w:rPr>
                <w:rFonts w:ascii="Arial Narrow" w:hAnsi="Arial Narrow"/>
                <w:bCs/>
                <w:color w:val="000000"/>
                <w:sz w:val="24"/>
                <w:szCs w:val="24"/>
                <w:lang w:eastAsia="en-US"/>
              </w:rPr>
              <w:t>65+</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226FB" w:rsidRPr="001A351F" w:rsidRDefault="003226FB" w:rsidP="003226FB">
            <w:pPr>
              <w:keepNext/>
              <w:spacing w:line="300" w:lineRule="auto"/>
              <w:jc w:val="center"/>
              <w:rPr>
                <w:rFonts w:ascii="Arial Narrow" w:hAnsi="Arial Narrow"/>
                <w:bCs/>
                <w:color w:val="000000"/>
                <w:sz w:val="24"/>
                <w:szCs w:val="24"/>
                <w:lang w:eastAsia="en-US"/>
              </w:rPr>
            </w:pPr>
            <w:r w:rsidRPr="001A351F">
              <w:rPr>
                <w:rFonts w:ascii="Arial Narrow" w:hAnsi="Arial Narrow"/>
                <w:color w:val="000000"/>
                <w:sz w:val="24"/>
                <w:szCs w:val="24"/>
              </w:rPr>
              <w:t>305</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226FB" w:rsidRPr="001A351F" w:rsidRDefault="003226FB" w:rsidP="003226FB">
            <w:pPr>
              <w:keepNext/>
              <w:spacing w:line="300" w:lineRule="auto"/>
              <w:jc w:val="center"/>
              <w:rPr>
                <w:rFonts w:ascii="Arial Narrow" w:hAnsi="Arial Narrow"/>
                <w:bCs/>
                <w:color w:val="000000"/>
                <w:sz w:val="24"/>
                <w:szCs w:val="24"/>
                <w:lang w:eastAsia="en-US"/>
              </w:rPr>
            </w:pPr>
            <w:r w:rsidRPr="001A351F">
              <w:rPr>
                <w:rFonts w:ascii="Arial Narrow" w:hAnsi="Arial Narrow"/>
                <w:color w:val="000000"/>
                <w:sz w:val="24"/>
                <w:szCs w:val="24"/>
              </w:rPr>
              <w:t>439</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226FB" w:rsidRPr="001A351F" w:rsidRDefault="003226FB" w:rsidP="003226FB">
            <w:pPr>
              <w:keepNext/>
              <w:spacing w:line="300" w:lineRule="auto"/>
              <w:jc w:val="center"/>
              <w:rPr>
                <w:rFonts w:ascii="Arial Narrow" w:hAnsi="Arial Narrow"/>
                <w:bCs/>
                <w:color w:val="000000"/>
                <w:sz w:val="24"/>
                <w:szCs w:val="24"/>
                <w:lang w:eastAsia="en-US"/>
              </w:rPr>
            </w:pPr>
            <w:r w:rsidRPr="001A351F">
              <w:rPr>
                <w:rFonts w:ascii="Arial Narrow" w:hAnsi="Arial Narrow"/>
                <w:color w:val="000000"/>
                <w:sz w:val="24"/>
                <w:szCs w:val="24"/>
              </w:rPr>
              <w:t>134</w:t>
            </w:r>
          </w:p>
        </w:tc>
        <w:tc>
          <w:tcPr>
            <w:tcW w:w="68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226FB" w:rsidRPr="001A351F" w:rsidRDefault="003226FB" w:rsidP="003226FB">
            <w:pPr>
              <w:keepNext/>
              <w:spacing w:line="300" w:lineRule="auto"/>
              <w:jc w:val="center"/>
              <w:rPr>
                <w:rFonts w:ascii="Arial Narrow" w:hAnsi="Arial Narrow"/>
                <w:bCs/>
                <w:color w:val="000000"/>
                <w:sz w:val="24"/>
                <w:szCs w:val="24"/>
                <w:lang w:eastAsia="en-US"/>
              </w:rPr>
            </w:pPr>
            <w:r w:rsidRPr="001A351F">
              <w:rPr>
                <w:rFonts w:ascii="Arial Narrow" w:hAnsi="Arial Narrow"/>
                <w:color w:val="000000"/>
                <w:sz w:val="24"/>
                <w:szCs w:val="24"/>
              </w:rPr>
              <w:t>43.9%</w:t>
            </w:r>
          </w:p>
        </w:tc>
      </w:tr>
      <w:tr w:rsidR="003226FB" w:rsidRPr="001A351F" w:rsidTr="00C65DBC">
        <w:tc>
          <w:tcPr>
            <w:tcW w:w="1372" w:type="pct"/>
            <w:tcBorders>
              <w:top w:val="single" w:sz="4" w:space="0" w:color="auto"/>
              <w:left w:val="single" w:sz="4" w:space="0" w:color="auto"/>
              <w:bottom w:val="single" w:sz="4" w:space="0" w:color="FFFFFF" w:themeColor="background1"/>
              <w:right w:val="single" w:sz="4" w:space="0" w:color="auto"/>
            </w:tcBorders>
            <w:noWrap/>
            <w:vAlign w:val="center"/>
            <w:hideMark/>
          </w:tcPr>
          <w:p w:rsidR="003226FB" w:rsidRPr="001A351F" w:rsidRDefault="003226FB" w:rsidP="003226FB">
            <w:pPr>
              <w:keepNext/>
              <w:spacing w:line="300" w:lineRule="auto"/>
              <w:rPr>
                <w:rFonts w:ascii="Arial Narrow" w:hAnsi="Arial Narrow"/>
                <w:bCs/>
                <w:color w:val="000000"/>
                <w:sz w:val="24"/>
                <w:szCs w:val="24"/>
                <w:lang w:eastAsia="en-US"/>
              </w:rPr>
            </w:pPr>
            <w:r w:rsidRPr="001A351F">
              <w:rPr>
                <w:rFonts w:ascii="Arial Narrow" w:hAnsi="Arial Narrow"/>
                <w:bCs/>
                <w:color w:val="000000"/>
                <w:sz w:val="24"/>
                <w:szCs w:val="24"/>
                <w:lang w:eastAsia="en-US"/>
              </w:rPr>
              <w:t>Learning Disabilities</w:t>
            </w:r>
          </w:p>
        </w:tc>
        <w:tc>
          <w:tcPr>
            <w:tcW w:w="736" w:type="pct"/>
            <w:tcBorders>
              <w:top w:val="single" w:sz="4" w:space="0" w:color="auto"/>
              <w:left w:val="single" w:sz="4" w:space="0" w:color="auto"/>
              <w:bottom w:val="single" w:sz="4" w:space="0" w:color="auto"/>
              <w:right w:val="single" w:sz="4" w:space="0" w:color="auto"/>
            </w:tcBorders>
            <w:noWrap/>
            <w:vAlign w:val="center"/>
            <w:hideMark/>
          </w:tcPr>
          <w:p w:rsidR="003226FB" w:rsidRPr="001A351F" w:rsidRDefault="003226FB" w:rsidP="003226FB">
            <w:pPr>
              <w:keepNext/>
              <w:spacing w:line="300" w:lineRule="auto"/>
              <w:rPr>
                <w:rFonts w:ascii="Arial Narrow" w:hAnsi="Arial Narrow"/>
                <w:bCs/>
                <w:color w:val="000000"/>
                <w:sz w:val="24"/>
                <w:szCs w:val="24"/>
                <w:lang w:eastAsia="en-US"/>
              </w:rPr>
            </w:pPr>
            <w:r w:rsidRPr="001A351F">
              <w:rPr>
                <w:rFonts w:ascii="Arial Narrow" w:hAnsi="Arial Narrow"/>
                <w:bCs/>
                <w:color w:val="000000"/>
                <w:sz w:val="24"/>
                <w:szCs w:val="24"/>
                <w:lang w:eastAsia="en-US"/>
              </w:rPr>
              <w:t>15-64</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226FB" w:rsidRPr="001A351F" w:rsidRDefault="003226FB" w:rsidP="003226FB">
            <w:pPr>
              <w:keepNext/>
              <w:spacing w:line="300" w:lineRule="auto"/>
              <w:jc w:val="center"/>
              <w:rPr>
                <w:rFonts w:ascii="Arial Narrow" w:hAnsi="Arial Narrow"/>
                <w:bCs/>
                <w:color w:val="000000"/>
                <w:sz w:val="24"/>
                <w:szCs w:val="24"/>
                <w:lang w:eastAsia="en-US"/>
              </w:rPr>
            </w:pPr>
            <w:r w:rsidRPr="001A351F">
              <w:rPr>
                <w:rFonts w:ascii="Arial Narrow" w:hAnsi="Arial Narrow"/>
                <w:color w:val="000000"/>
                <w:sz w:val="24"/>
                <w:szCs w:val="24"/>
              </w:rPr>
              <w:t>1,696</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226FB" w:rsidRPr="001A351F" w:rsidRDefault="003226FB" w:rsidP="003226FB">
            <w:pPr>
              <w:keepNext/>
              <w:spacing w:line="300" w:lineRule="auto"/>
              <w:jc w:val="center"/>
              <w:rPr>
                <w:rFonts w:ascii="Arial Narrow" w:hAnsi="Arial Narrow"/>
                <w:bCs/>
                <w:color w:val="000000"/>
                <w:sz w:val="24"/>
                <w:szCs w:val="24"/>
                <w:lang w:eastAsia="en-US"/>
              </w:rPr>
            </w:pPr>
            <w:r w:rsidRPr="001A351F">
              <w:rPr>
                <w:rFonts w:ascii="Arial Narrow" w:hAnsi="Arial Narrow"/>
                <w:color w:val="000000"/>
                <w:sz w:val="24"/>
                <w:szCs w:val="24"/>
              </w:rPr>
              <w:t>1,828</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226FB" w:rsidRPr="001A351F" w:rsidRDefault="003226FB" w:rsidP="003226FB">
            <w:pPr>
              <w:keepNext/>
              <w:spacing w:line="300" w:lineRule="auto"/>
              <w:jc w:val="center"/>
              <w:rPr>
                <w:rFonts w:ascii="Arial Narrow" w:hAnsi="Arial Narrow"/>
                <w:bCs/>
                <w:color w:val="000000"/>
                <w:sz w:val="24"/>
                <w:szCs w:val="24"/>
                <w:lang w:eastAsia="en-US"/>
              </w:rPr>
            </w:pPr>
            <w:r w:rsidRPr="001A351F">
              <w:rPr>
                <w:rFonts w:ascii="Arial Narrow" w:hAnsi="Arial Narrow"/>
                <w:color w:val="000000"/>
                <w:sz w:val="24"/>
                <w:szCs w:val="24"/>
              </w:rPr>
              <w:t>132</w:t>
            </w:r>
          </w:p>
        </w:tc>
        <w:tc>
          <w:tcPr>
            <w:tcW w:w="68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226FB" w:rsidRPr="001A351F" w:rsidRDefault="003226FB" w:rsidP="003226FB">
            <w:pPr>
              <w:keepNext/>
              <w:spacing w:line="300" w:lineRule="auto"/>
              <w:jc w:val="center"/>
              <w:rPr>
                <w:rFonts w:ascii="Arial Narrow" w:hAnsi="Arial Narrow"/>
                <w:bCs/>
                <w:color w:val="000000"/>
                <w:sz w:val="24"/>
                <w:szCs w:val="24"/>
                <w:lang w:eastAsia="en-US"/>
              </w:rPr>
            </w:pPr>
            <w:r w:rsidRPr="001A351F">
              <w:rPr>
                <w:rFonts w:ascii="Arial Narrow" w:hAnsi="Arial Narrow"/>
                <w:color w:val="000000"/>
                <w:sz w:val="24"/>
                <w:szCs w:val="24"/>
              </w:rPr>
              <w:t>7.8%</w:t>
            </w:r>
          </w:p>
        </w:tc>
      </w:tr>
      <w:tr w:rsidR="003226FB" w:rsidRPr="001A351F" w:rsidTr="00C65DBC">
        <w:tc>
          <w:tcPr>
            <w:tcW w:w="1372" w:type="pct"/>
            <w:tcBorders>
              <w:top w:val="single" w:sz="4" w:space="0" w:color="FFFFFF" w:themeColor="background1"/>
              <w:left w:val="single" w:sz="4" w:space="0" w:color="auto"/>
              <w:bottom w:val="single" w:sz="4" w:space="0" w:color="auto"/>
              <w:right w:val="single" w:sz="4" w:space="0" w:color="auto"/>
            </w:tcBorders>
            <w:vAlign w:val="center"/>
            <w:hideMark/>
          </w:tcPr>
          <w:p w:rsidR="003226FB" w:rsidRPr="001A351F" w:rsidRDefault="003226FB" w:rsidP="003226FB">
            <w:pPr>
              <w:keepNext/>
              <w:rPr>
                <w:rFonts w:ascii="Arial Narrow" w:hAnsi="Arial Narrow"/>
                <w:bCs/>
                <w:color w:val="000000"/>
                <w:sz w:val="24"/>
                <w:szCs w:val="24"/>
                <w:lang w:eastAsia="en-US"/>
              </w:rPr>
            </w:pPr>
          </w:p>
        </w:tc>
        <w:tc>
          <w:tcPr>
            <w:tcW w:w="736" w:type="pct"/>
            <w:tcBorders>
              <w:top w:val="single" w:sz="4" w:space="0" w:color="auto"/>
              <w:left w:val="single" w:sz="4" w:space="0" w:color="auto"/>
              <w:bottom w:val="single" w:sz="4" w:space="0" w:color="auto"/>
              <w:right w:val="single" w:sz="4" w:space="0" w:color="auto"/>
            </w:tcBorders>
            <w:noWrap/>
            <w:vAlign w:val="center"/>
            <w:hideMark/>
          </w:tcPr>
          <w:p w:rsidR="003226FB" w:rsidRPr="001A351F" w:rsidRDefault="003226FB" w:rsidP="003226FB">
            <w:pPr>
              <w:keepNext/>
              <w:spacing w:line="300" w:lineRule="auto"/>
              <w:rPr>
                <w:rFonts w:ascii="Arial Narrow" w:hAnsi="Arial Narrow"/>
                <w:bCs/>
                <w:color w:val="000000"/>
                <w:sz w:val="24"/>
                <w:szCs w:val="24"/>
                <w:lang w:eastAsia="en-US"/>
              </w:rPr>
            </w:pPr>
            <w:r w:rsidRPr="001A351F">
              <w:rPr>
                <w:rFonts w:ascii="Arial Narrow" w:hAnsi="Arial Narrow"/>
                <w:bCs/>
                <w:color w:val="000000"/>
                <w:sz w:val="24"/>
                <w:szCs w:val="24"/>
                <w:lang w:eastAsia="en-US"/>
              </w:rPr>
              <w:t>65+</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226FB" w:rsidRPr="001A351F" w:rsidRDefault="003226FB" w:rsidP="003226FB">
            <w:pPr>
              <w:keepNext/>
              <w:spacing w:line="300" w:lineRule="auto"/>
              <w:jc w:val="center"/>
              <w:rPr>
                <w:rFonts w:ascii="Arial Narrow" w:hAnsi="Arial Narrow"/>
                <w:bCs/>
                <w:color w:val="000000"/>
                <w:sz w:val="24"/>
                <w:szCs w:val="24"/>
                <w:lang w:eastAsia="en-US"/>
              </w:rPr>
            </w:pPr>
            <w:r w:rsidRPr="001A351F">
              <w:rPr>
                <w:rFonts w:ascii="Arial Narrow" w:hAnsi="Arial Narrow"/>
                <w:color w:val="000000"/>
                <w:sz w:val="24"/>
                <w:szCs w:val="24"/>
              </w:rPr>
              <w:t>688</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226FB" w:rsidRPr="001A351F" w:rsidRDefault="003226FB" w:rsidP="003226FB">
            <w:pPr>
              <w:keepNext/>
              <w:spacing w:line="300" w:lineRule="auto"/>
              <w:jc w:val="center"/>
              <w:rPr>
                <w:rFonts w:ascii="Arial Narrow" w:hAnsi="Arial Narrow"/>
                <w:bCs/>
                <w:color w:val="000000"/>
                <w:sz w:val="24"/>
                <w:szCs w:val="24"/>
                <w:lang w:eastAsia="en-US"/>
              </w:rPr>
            </w:pPr>
            <w:r w:rsidRPr="001A351F">
              <w:rPr>
                <w:rFonts w:ascii="Arial Narrow" w:hAnsi="Arial Narrow"/>
                <w:color w:val="000000"/>
                <w:sz w:val="24"/>
                <w:szCs w:val="24"/>
              </w:rPr>
              <w:t>969</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226FB" w:rsidRPr="001A351F" w:rsidRDefault="003226FB" w:rsidP="003226FB">
            <w:pPr>
              <w:keepNext/>
              <w:spacing w:line="300" w:lineRule="auto"/>
              <w:jc w:val="center"/>
              <w:rPr>
                <w:rFonts w:ascii="Arial Narrow" w:hAnsi="Arial Narrow"/>
                <w:bCs/>
                <w:color w:val="000000"/>
                <w:sz w:val="24"/>
                <w:szCs w:val="24"/>
                <w:lang w:eastAsia="en-US"/>
              </w:rPr>
            </w:pPr>
            <w:r w:rsidRPr="001A351F">
              <w:rPr>
                <w:rFonts w:ascii="Arial Narrow" w:hAnsi="Arial Narrow"/>
                <w:color w:val="000000"/>
                <w:sz w:val="24"/>
                <w:szCs w:val="24"/>
              </w:rPr>
              <w:t>281</w:t>
            </w:r>
          </w:p>
        </w:tc>
        <w:tc>
          <w:tcPr>
            <w:tcW w:w="68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226FB" w:rsidRPr="001A351F" w:rsidRDefault="003226FB" w:rsidP="003226FB">
            <w:pPr>
              <w:keepNext/>
              <w:spacing w:line="300" w:lineRule="auto"/>
              <w:jc w:val="center"/>
              <w:rPr>
                <w:rFonts w:ascii="Arial Narrow" w:hAnsi="Arial Narrow"/>
                <w:bCs/>
                <w:color w:val="000000"/>
                <w:sz w:val="24"/>
                <w:szCs w:val="24"/>
                <w:lang w:eastAsia="en-US"/>
              </w:rPr>
            </w:pPr>
            <w:r w:rsidRPr="001A351F">
              <w:rPr>
                <w:rFonts w:ascii="Arial Narrow" w:hAnsi="Arial Narrow"/>
                <w:color w:val="000000"/>
                <w:sz w:val="24"/>
                <w:szCs w:val="24"/>
              </w:rPr>
              <w:t>40.8%</w:t>
            </w:r>
          </w:p>
        </w:tc>
      </w:tr>
      <w:tr w:rsidR="003226FB" w:rsidRPr="001A351F" w:rsidTr="00BD0EDE">
        <w:tc>
          <w:tcPr>
            <w:tcW w:w="1372" w:type="pct"/>
            <w:tcBorders>
              <w:top w:val="single" w:sz="4" w:space="0" w:color="auto"/>
              <w:left w:val="single" w:sz="4" w:space="0" w:color="auto"/>
              <w:bottom w:val="single" w:sz="4" w:space="0" w:color="auto"/>
              <w:right w:val="single" w:sz="4" w:space="0" w:color="auto"/>
            </w:tcBorders>
            <w:noWrap/>
            <w:hideMark/>
          </w:tcPr>
          <w:p w:rsidR="003226FB" w:rsidRPr="001A351F" w:rsidRDefault="003226FB" w:rsidP="003226FB">
            <w:pPr>
              <w:keepNext/>
              <w:spacing w:line="300" w:lineRule="auto"/>
              <w:rPr>
                <w:rFonts w:ascii="Arial Narrow" w:hAnsi="Arial Narrow"/>
                <w:bCs/>
                <w:color w:val="000000"/>
                <w:sz w:val="24"/>
                <w:szCs w:val="24"/>
                <w:lang w:eastAsia="en-US"/>
              </w:rPr>
            </w:pPr>
            <w:r w:rsidRPr="001A351F">
              <w:rPr>
                <w:rFonts w:ascii="Arial Narrow" w:hAnsi="Arial Narrow"/>
                <w:bCs/>
                <w:color w:val="000000"/>
                <w:sz w:val="24"/>
                <w:szCs w:val="24"/>
                <w:lang w:eastAsia="en-US"/>
              </w:rPr>
              <w:t>Challenging behaviour</w:t>
            </w:r>
          </w:p>
        </w:tc>
        <w:tc>
          <w:tcPr>
            <w:tcW w:w="736" w:type="pct"/>
            <w:tcBorders>
              <w:top w:val="single" w:sz="4" w:space="0" w:color="auto"/>
              <w:left w:val="single" w:sz="4" w:space="0" w:color="auto"/>
              <w:bottom w:val="single" w:sz="4" w:space="0" w:color="auto"/>
              <w:right w:val="single" w:sz="4" w:space="0" w:color="auto"/>
            </w:tcBorders>
            <w:noWrap/>
            <w:vAlign w:val="center"/>
            <w:hideMark/>
          </w:tcPr>
          <w:p w:rsidR="003226FB" w:rsidRPr="001A351F" w:rsidRDefault="003226FB" w:rsidP="003226FB">
            <w:pPr>
              <w:keepNext/>
              <w:spacing w:line="300" w:lineRule="auto"/>
              <w:rPr>
                <w:rFonts w:ascii="Arial Narrow" w:hAnsi="Arial Narrow"/>
                <w:bCs/>
                <w:color w:val="000000"/>
                <w:sz w:val="24"/>
                <w:szCs w:val="24"/>
                <w:lang w:eastAsia="en-US"/>
              </w:rPr>
            </w:pPr>
            <w:r w:rsidRPr="001A351F">
              <w:rPr>
                <w:rFonts w:ascii="Arial Narrow" w:hAnsi="Arial Narrow"/>
                <w:bCs/>
                <w:color w:val="000000"/>
                <w:sz w:val="24"/>
                <w:szCs w:val="24"/>
                <w:lang w:eastAsia="en-US"/>
              </w:rPr>
              <w:t>15-64</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226FB" w:rsidRPr="001A351F" w:rsidRDefault="003226FB" w:rsidP="003226FB">
            <w:pPr>
              <w:keepNext/>
              <w:spacing w:line="300" w:lineRule="auto"/>
              <w:jc w:val="center"/>
              <w:rPr>
                <w:rFonts w:ascii="Arial Narrow" w:hAnsi="Arial Narrow"/>
                <w:bCs/>
                <w:color w:val="000000"/>
                <w:sz w:val="24"/>
                <w:szCs w:val="24"/>
                <w:lang w:eastAsia="en-US"/>
              </w:rPr>
            </w:pPr>
            <w:r w:rsidRPr="001A351F">
              <w:rPr>
                <w:rFonts w:ascii="Arial Narrow" w:hAnsi="Arial Narrow"/>
                <w:color w:val="000000"/>
                <w:sz w:val="24"/>
                <w:szCs w:val="24"/>
              </w:rPr>
              <w:t>31</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226FB" w:rsidRPr="001A351F" w:rsidRDefault="003226FB" w:rsidP="003226FB">
            <w:pPr>
              <w:keepNext/>
              <w:spacing w:line="300" w:lineRule="auto"/>
              <w:jc w:val="center"/>
              <w:rPr>
                <w:rFonts w:ascii="Arial Narrow" w:hAnsi="Arial Narrow"/>
                <w:bCs/>
                <w:color w:val="000000"/>
                <w:sz w:val="24"/>
                <w:szCs w:val="24"/>
                <w:lang w:eastAsia="en-US"/>
              </w:rPr>
            </w:pPr>
            <w:r w:rsidRPr="001A351F">
              <w:rPr>
                <w:rFonts w:ascii="Arial Narrow" w:hAnsi="Arial Narrow"/>
                <w:color w:val="000000"/>
                <w:sz w:val="24"/>
                <w:szCs w:val="24"/>
              </w:rPr>
              <w:t>34</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226FB" w:rsidRPr="001A351F" w:rsidRDefault="003226FB" w:rsidP="003226FB">
            <w:pPr>
              <w:keepNext/>
              <w:spacing w:line="300" w:lineRule="auto"/>
              <w:jc w:val="center"/>
              <w:rPr>
                <w:rFonts w:ascii="Arial Narrow" w:hAnsi="Arial Narrow"/>
                <w:bCs/>
                <w:color w:val="000000"/>
                <w:sz w:val="24"/>
                <w:szCs w:val="24"/>
                <w:lang w:eastAsia="en-US"/>
              </w:rPr>
            </w:pPr>
            <w:r w:rsidRPr="001A351F">
              <w:rPr>
                <w:rFonts w:ascii="Arial Narrow" w:hAnsi="Arial Narrow"/>
                <w:color w:val="000000"/>
                <w:sz w:val="24"/>
                <w:szCs w:val="24"/>
              </w:rPr>
              <w:t>2</w:t>
            </w:r>
          </w:p>
        </w:tc>
        <w:tc>
          <w:tcPr>
            <w:tcW w:w="68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226FB" w:rsidRPr="001A351F" w:rsidRDefault="003226FB" w:rsidP="003226FB">
            <w:pPr>
              <w:keepNext/>
              <w:spacing w:line="300" w:lineRule="auto"/>
              <w:jc w:val="center"/>
              <w:rPr>
                <w:rFonts w:ascii="Arial Narrow" w:hAnsi="Arial Narrow"/>
                <w:bCs/>
                <w:color w:val="000000"/>
                <w:sz w:val="24"/>
                <w:szCs w:val="24"/>
                <w:lang w:eastAsia="en-US"/>
              </w:rPr>
            </w:pPr>
            <w:r w:rsidRPr="001A351F">
              <w:rPr>
                <w:rFonts w:ascii="Arial Narrow" w:hAnsi="Arial Narrow"/>
                <w:color w:val="000000"/>
                <w:sz w:val="24"/>
                <w:szCs w:val="24"/>
              </w:rPr>
              <w:t>7.2%</w:t>
            </w:r>
          </w:p>
        </w:tc>
      </w:tr>
      <w:tr w:rsidR="003226FB" w:rsidRPr="001A351F" w:rsidTr="00BD0EDE">
        <w:tc>
          <w:tcPr>
            <w:tcW w:w="1372" w:type="pct"/>
            <w:tcBorders>
              <w:top w:val="single" w:sz="4" w:space="0" w:color="auto"/>
              <w:left w:val="single" w:sz="4" w:space="0" w:color="auto"/>
              <w:bottom w:val="single" w:sz="4" w:space="0" w:color="auto"/>
              <w:right w:val="single" w:sz="4" w:space="0" w:color="auto"/>
            </w:tcBorders>
            <w:noWrap/>
            <w:hideMark/>
          </w:tcPr>
          <w:p w:rsidR="003226FB" w:rsidRPr="001A351F" w:rsidRDefault="003226FB" w:rsidP="003226FB">
            <w:pPr>
              <w:keepNext/>
              <w:spacing w:line="300" w:lineRule="auto"/>
              <w:rPr>
                <w:rFonts w:ascii="Arial Narrow" w:hAnsi="Arial Narrow"/>
                <w:bCs/>
                <w:color w:val="000000"/>
                <w:sz w:val="24"/>
                <w:szCs w:val="24"/>
                <w:lang w:eastAsia="en-US"/>
              </w:rPr>
            </w:pPr>
            <w:r w:rsidRPr="001A351F">
              <w:rPr>
                <w:rFonts w:ascii="Arial Narrow" w:hAnsi="Arial Narrow"/>
                <w:bCs/>
                <w:color w:val="000000"/>
                <w:sz w:val="24"/>
                <w:szCs w:val="24"/>
                <w:lang w:eastAsia="en-US"/>
              </w:rPr>
              <w:t>Impaired mobility</w:t>
            </w:r>
          </w:p>
        </w:tc>
        <w:tc>
          <w:tcPr>
            <w:tcW w:w="736" w:type="pct"/>
            <w:tcBorders>
              <w:top w:val="single" w:sz="4" w:space="0" w:color="auto"/>
              <w:left w:val="single" w:sz="4" w:space="0" w:color="auto"/>
              <w:bottom w:val="single" w:sz="4" w:space="0" w:color="auto"/>
              <w:right w:val="single" w:sz="4" w:space="0" w:color="auto"/>
            </w:tcBorders>
            <w:noWrap/>
            <w:vAlign w:val="center"/>
            <w:hideMark/>
          </w:tcPr>
          <w:p w:rsidR="003226FB" w:rsidRPr="001A351F" w:rsidRDefault="003226FB" w:rsidP="003226FB">
            <w:pPr>
              <w:keepNext/>
              <w:spacing w:line="300" w:lineRule="auto"/>
              <w:rPr>
                <w:rFonts w:ascii="Arial Narrow" w:hAnsi="Arial Narrow"/>
                <w:bCs/>
                <w:color w:val="000000"/>
                <w:sz w:val="24"/>
                <w:szCs w:val="24"/>
                <w:lang w:eastAsia="en-US"/>
              </w:rPr>
            </w:pPr>
            <w:r w:rsidRPr="001A351F">
              <w:rPr>
                <w:rFonts w:ascii="Arial Narrow" w:hAnsi="Arial Narrow"/>
                <w:bCs/>
                <w:color w:val="000000"/>
                <w:sz w:val="24"/>
                <w:szCs w:val="24"/>
                <w:lang w:eastAsia="en-US"/>
              </w:rPr>
              <w:t>16-64</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226FB" w:rsidRPr="001A351F" w:rsidRDefault="003226FB" w:rsidP="003226FB">
            <w:pPr>
              <w:keepNext/>
              <w:spacing w:line="300" w:lineRule="auto"/>
              <w:jc w:val="center"/>
              <w:rPr>
                <w:rFonts w:ascii="Arial Narrow" w:hAnsi="Arial Narrow"/>
                <w:bCs/>
                <w:color w:val="000000"/>
                <w:sz w:val="24"/>
                <w:szCs w:val="24"/>
                <w:lang w:eastAsia="en-US"/>
              </w:rPr>
            </w:pPr>
            <w:r w:rsidRPr="001A351F">
              <w:rPr>
                <w:rFonts w:ascii="Arial Narrow" w:hAnsi="Arial Narrow"/>
                <w:color w:val="000000"/>
                <w:sz w:val="24"/>
                <w:szCs w:val="24"/>
              </w:rPr>
              <w:t>4,099</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226FB" w:rsidRPr="001A351F" w:rsidRDefault="003226FB" w:rsidP="003226FB">
            <w:pPr>
              <w:keepNext/>
              <w:spacing w:line="300" w:lineRule="auto"/>
              <w:jc w:val="center"/>
              <w:rPr>
                <w:rFonts w:ascii="Arial Narrow" w:hAnsi="Arial Narrow"/>
                <w:bCs/>
                <w:color w:val="000000"/>
                <w:sz w:val="24"/>
                <w:szCs w:val="24"/>
                <w:lang w:eastAsia="en-US"/>
              </w:rPr>
            </w:pPr>
            <w:r w:rsidRPr="001A351F">
              <w:rPr>
                <w:rFonts w:ascii="Arial Narrow" w:hAnsi="Arial Narrow"/>
                <w:color w:val="000000"/>
                <w:sz w:val="24"/>
                <w:szCs w:val="24"/>
              </w:rPr>
              <w:t>4,152</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226FB" w:rsidRPr="001A351F" w:rsidRDefault="003226FB" w:rsidP="003226FB">
            <w:pPr>
              <w:keepNext/>
              <w:spacing w:line="300" w:lineRule="auto"/>
              <w:jc w:val="center"/>
              <w:rPr>
                <w:rFonts w:ascii="Arial Narrow" w:hAnsi="Arial Narrow"/>
                <w:bCs/>
                <w:color w:val="000000"/>
                <w:sz w:val="24"/>
                <w:szCs w:val="24"/>
                <w:lang w:eastAsia="en-US"/>
              </w:rPr>
            </w:pPr>
            <w:r w:rsidRPr="001A351F">
              <w:rPr>
                <w:rFonts w:ascii="Arial Narrow" w:hAnsi="Arial Narrow"/>
                <w:color w:val="000000"/>
                <w:sz w:val="24"/>
                <w:szCs w:val="24"/>
              </w:rPr>
              <w:t>53</w:t>
            </w:r>
          </w:p>
        </w:tc>
        <w:tc>
          <w:tcPr>
            <w:tcW w:w="68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226FB" w:rsidRPr="001A351F" w:rsidRDefault="003226FB" w:rsidP="003226FB">
            <w:pPr>
              <w:keepNext/>
              <w:spacing w:line="300" w:lineRule="auto"/>
              <w:jc w:val="center"/>
              <w:rPr>
                <w:rFonts w:ascii="Arial Narrow" w:hAnsi="Arial Narrow"/>
                <w:bCs/>
                <w:color w:val="000000"/>
                <w:sz w:val="24"/>
                <w:szCs w:val="24"/>
                <w:lang w:eastAsia="en-US"/>
              </w:rPr>
            </w:pPr>
            <w:r w:rsidRPr="001A351F">
              <w:rPr>
                <w:rFonts w:ascii="Arial Narrow" w:hAnsi="Arial Narrow"/>
                <w:color w:val="000000"/>
                <w:sz w:val="24"/>
                <w:szCs w:val="24"/>
              </w:rPr>
              <w:t>1.3%</w:t>
            </w:r>
          </w:p>
        </w:tc>
      </w:tr>
    </w:tbl>
    <w:p w:rsidR="00F63FBB" w:rsidRPr="00CA47B9" w:rsidRDefault="00F63FBB" w:rsidP="00BD0EDE">
      <w:pPr>
        <w:spacing w:after="120" w:line="360" w:lineRule="auto"/>
      </w:pPr>
      <w:r w:rsidRPr="00CA47B9">
        <w:t>Source: POPPI/PANSI and demographic projections</w:t>
      </w:r>
    </w:p>
    <w:p w:rsidR="00DB0CB2" w:rsidRDefault="00D53082" w:rsidP="0028171E">
      <w:pPr>
        <w:pStyle w:val="11Bodytext"/>
        <w:tabs>
          <w:tab w:val="clear" w:pos="2212"/>
        </w:tabs>
        <w:ind w:left="567" w:hanging="567"/>
      </w:pPr>
      <w:r w:rsidRPr="00CA47B9">
        <w:rPr>
          <w:lang w:eastAsia="en-GB"/>
        </w:rPr>
        <w:t xml:space="preserve">The population with learning disabilities in the over 65 years age group is projected to </w:t>
      </w:r>
      <w:r w:rsidRPr="00CA47B9">
        <w:t>increase</w:t>
      </w:r>
      <w:r w:rsidRPr="00CA47B9">
        <w:rPr>
          <w:lang w:eastAsia="en-GB"/>
        </w:rPr>
        <w:t xml:space="preserve"> by approximately 4</w:t>
      </w:r>
      <w:r w:rsidR="00DB0CB2">
        <w:rPr>
          <w:lang w:eastAsia="en-GB"/>
        </w:rPr>
        <w:t>0.8</w:t>
      </w:r>
      <w:r w:rsidRPr="00CA47B9">
        <w:rPr>
          <w:lang w:eastAsia="en-GB"/>
        </w:rPr>
        <w:t xml:space="preserve">% over the period with those aged 15 to 64 years to increase by around 8%. The population with challenging behaviour is expected to increase by approximately </w:t>
      </w:r>
      <w:r>
        <w:rPr>
          <w:lang w:eastAsia="en-GB"/>
        </w:rPr>
        <w:t>7</w:t>
      </w:r>
      <w:r w:rsidRPr="00CA47B9">
        <w:rPr>
          <w:lang w:eastAsia="en-GB"/>
        </w:rPr>
        <w:t>%.</w:t>
      </w:r>
      <w:r w:rsidR="00855CA6">
        <w:rPr>
          <w:lang w:eastAsia="en-GB"/>
        </w:rPr>
        <w:t xml:space="preserve"> </w:t>
      </w:r>
    </w:p>
    <w:p w:rsidR="007C28FD" w:rsidRDefault="00DB0CB2" w:rsidP="0028171E">
      <w:pPr>
        <w:pStyle w:val="11Bodytext"/>
        <w:tabs>
          <w:tab w:val="clear" w:pos="2212"/>
        </w:tabs>
        <w:ind w:left="567" w:hanging="567"/>
      </w:pPr>
      <w:r>
        <w:rPr>
          <w:lang w:eastAsia="en-GB"/>
        </w:rPr>
        <w:t>Those with a mobility problem are expected to increase by around 51.5%.</w:t>
      </w:r>
      <w:r w:rsidR="00855CA6">
        <w:rPr>
          <w:lang w:eastAsia="en-GB"/>
        </w:rPr>
        <w:t xml:space="preserve"> </w:t>
      </w:r>
      <w:r>
        <w:rPr>
          <w:lang w:eastAsia="en-GB"/>
        </w:rPr>
        <w:t xml:space="preserve">This along </w:t>
      </w:r>
      <w:r>
        <w:t>with</w:t>
      </w:r>
      <w:r>
        <w:rPr>
          <w:lang w:eastAsia="en-GB"/>
        </w:rPr>
        <w:t xml:space="preserve"> the growth in other conditions </w:t>
      </w:r>
      <w:r w:rsidR="007C28FD">
        <w:t xml:space="preserve">would </w:t>
      </w:r>
      <w:r>
        <w:t>justify</w:t>
      </w:r>
      <w:r w:rsidR="007C28FD">
        <w:t xml:space="preserve"> that the Council should seek as much M4(2) compliant as is viably possible.</w:t>
      </w:r>
      <w:r w:rsidR="00855CA6">
        <w:t xml:space="preserve"> </w:t>
      </w:r>
    </w:p>
    <w:p w:rsidR="007931C4" w:rsidRDefault="00920072" w:rsidP="0028171E">
      <w:pPr>
        <w:pStyle w:val="11Bodytext"/>
        <w:tabs>
          <w:tab w:val="clear" w:pos="2212"/>
        </w:tabs>
        <w:ind w:left="567" w:hanging="567"/>
      </w:pPr>
      <w:r>
        <w:t xml:space="preserve">Based on the population growth of those aged 65 and over and those aged </w:t>
      </w:r>
      <w:r w:rsidR="00D71C0C">
        <w:t>16-64</w:t>
      </w:r>
      <w:r>
        <w:t xml:space="preserve"> in the Plan Area and the District (see table 13 and 14)</w:t>
      </w:r>
      <w:r w:rsidR="001B1DDA">
        <w:t>,</w:t>
      </w:r>
      <w:r w:rsidR="007931C4">
        <w:t xml:space="preserve"> </w:t>
      </w:r>
      <w:r w:rsidR="001B1DDA">
        <w:t>a</w:t>
      </w:r>
      <w:r w:rsidR="007931C4">
        <w:t>gain</w:t>
      </w:r>
      <w:r>
        <w:t xml:space="preserve"> approximately 77% </w:t>
      </w:r>
      <w:r w:rsidR="007931C4">
        <w:t>of the growth in those aged over 65 is located in the Plan Area.</w:t>
      </w:r>
      <w:r w:rsidR="00855CA6">
        <w:t xml:space="preserve"> </w:t>
      </w:r>
      <w:r w:rsidR="007931C4">
        <w:t>However</w:t>
      </w:r>
      <w:r w:rsidR="00855CA6">
        <w:t>,</w:t>
      </w:r>
      <w:r w:rsidR="007931C4">
        <w:t xml:space="preserve"> as the working</w:t>
      </w:r>
      <w:r w:rsidR="00855CA6">
        <w:t>-</w:t>
      </w:r>
      <w:r w:rsidR="007931C4">
        <w:t xml:space="preserve">age population is expected </w:t>
      </w:r>
      <w:r w:rsidR="00CC769F">
        <w:t xml:space="preserve">to be </w:t>
      </w:r>
      <w:r w:rsidR="00855CA6">
        <w:t>negative</w:t>
      </w:r>
      <w:r w:rsidR="007931C4">
        <w:t xml:space="preserve"> in the National Park approximately 135% of the District growth is expected in the Plan Area.</w:t>
      </w:r>
      <w:r w:rsidR="00855CA6">
        <w:t xml:space="preserve"> </w:t>
      </w:r>
      <w:r w:rsidR="007931C4">
        <w:t>This results in the following growth within the Plan Area:</w:t>
      </w:r>
    </w:p>
    <w:p w:rsidR="007931C4" w:rsidRPr="00FA5088" w:rsidRDefault="00920072" w:rsidP="00901C92">
      <w:pPr>
        <w:pStyle w:val="Bulletblueplain"/>
      </w:pPr>
      <w:r w:rsidRPr="00FA5088">
        <w:t>1</w:t>
      </w:r>
      <w:r w:rsidR="007931C4" w:rsidRPr="00FA5088">
        <w:t>,191 additional persons with dementia;</w:t>
      </w:r>
    </w:p>
    <w:p w:rsidR="007931C4" w:rsidRPr="00FA5088" w:rsidRDefault="007931C4" w:rsidP="00901C92">
      <w:pPr>
        <w:pStyle w:val="Bulletblueplain"/>
      </w:pPr>
      <w:r w:rsidRPr="00FA5088">
        <w:t>2,524 additional persons with mobility problems;</w:t>
      </w:r>
    </w:p>
    <w:p w:rsidR="007931C4" w:rsidRPr="00FA5088" w:rsidRDefault="007931C4" w:rsidP="00901C92">
      <w:pPr>
        <w:pStyle w:val="Bulletblueplain"/>
      </w:pPr>
      <w:r w:rsidRPr="00FA5088">
        <w:t>66 additional persons aged 18-64 with autistic spectrum disorders;</w:t>
      </w:r>
    </w:p>
    <w:p w:rsidR="007931C4" w:rsidRPr="00FA5088" w:rsidRDefault="007931C4" w:rsidP="00901C92">
      <w:pPr>
        <w:pStyle w:val="Bulletblueplain"/>
      </w:pPr>
      <w:r w:rsidRPr="00FA5088">
        <w:t>104 additional persons aged 65 and over</w:t>
      </w:r>
      <w:r w:rsidR="00855CA6">
        <w:t xml:space="preserve"> </w:t>
      </w:r>
      <w:r w:rsidRPr="00FA5088">
        <w:t>with autistic spectrum disorders;</w:t>
      </w:r>
    </w:p>
    <w:p w:rsidR="007931C4" w:rsidRPr="00FA5088" w:rsidRDefault="007931C4" w:rsidP="00901C92">
      <w:pPr>
        <w:pStyle w:val="Bulletblueplain"/>
      </w:pPr>
      <w:r w:rsidRPr="00FA5088">
        <w:t>3 additional persons with challenging behaviour; and</w:t>
      </w:r>
    </w:p>
    <w:p w:rsidR="007931C4" w:rsidRPr="00FA5088" w:rsidRDefault="007931C4" w:rsidP="00901C92">
      <w:pPr>
        <w:pStyle w:val="Bulletblueplain"/>
      </w:pPr>
      <w:r w:rsidRPr="00FA5088">
        <w:t>72 additional persons with impaired mobility</w:t>
      </w:r>
    </w:p>
    <w:p w:rsidR="00F63FBB" w:rsidRPr="00CA47B9" w:rsidRDefault="00F63FBB" w:rsidP="00805614">
      <w:pPr>
        <w:pStyle w:val="SubheadBlue12"/>
        <w:ind w:left="567" w:firstLine="0"/>
      </w:pPr>
      <w:r w:rsidRPr="00CA47B9">
        <w:lastRenderedPageBreak/>
        <w:t>Wheelchair Adapted Housing</w:t>
      </w:r>
    </w:p>
    <w:p w:rsidR="00F63FBB" w:rsidRPr="00CA47B9" w:rsidRDefault="00F63FBB" w:rsidP="0028171E">
      <w:pPr>
        <w:pStyle w:val="11Bodytext"/>
        <w:tabs>
          <w:tab w:val="clear" w:pos="2212"/>
        </w:tabs>
        <w:ind w:left="567" w:hanging="567"/>
      </w:pPr>
      <w:r w:rsidRPr="00CA47B9">
        <w:t>Information about the need for housing for wheelchair users is difficult to obtain (particularly at a local level) and so some brief analysis has been carried out based on national data within a research report by Habinteg Housing Association and London South Bank University (Supported by the Homes and Communities Agency) – Mind the Step: An estimation of housing need among wheelchair users in England. This report provides information at a national and regional level although there are some doubts about the validity even of the regional figures; hence the focus is on national data.</w:t>
      </w:r>
    </w:p>
    <w:p w:rsidR="00F63FBB" w:rsidRPr="00CA47B9" w:rsidRDefault="00F63FBB" w:rsidP="0028171E">
      <w:pPr>
        <w:pStyle w:val="11Bodytext"/>
        <w:tabs>
          <w:tab w:val="clear" w:pos="2212"/>
        </w:tabs>
        <w:ind w:left="567" w:hanging="567"/>
      </w:pPr>
      <w:r w:rsidRPr="00CA47B9">
        <w:t xml:space="preserve">The report identifies that around 84% of homes in England do not allow someone using a wheelchair to get to and through the front door without difficulty and that once inside, it gets even more restrictive. Furthermore, it is estimated (based on English House Condition Survey data) that just 0.5% of homes meet criteria for ‘accessible and adaptable’, while 3.4% are ‘visitable’ by someone with mobility problems (data from the CLG Guide to available disability (taken from the English Housing Survey) puts the proportion of ‘visitable’ properties at a slightly higher 5.3%). </w:t>
      </w:r>
    </w:p>
    <w:p w:rsidR="00F63FBB" w:rsidRDefault="00F63FBB" w:rsidP="0028171E">
      <w:pPr>
        <w:pStyle w:val="11Bodytext"/>
        <w:tabs>
          <w:tab w:val="clear" w:pos="2212"/>
        </w:tabs>
        <w:ind w:left="567" w:hanging="567"/>
      </w:pPr>
      <w:r w:rsidRPr="00CA47B9">
        <w:t xml:space="preserve">Overall, the report estimates that there is an unmet need for wheelchair adapted dwellings equivalent to 3.5 per 1,000 households – in the Chichester District, as of 2019, this would represent a need for about </w:t>
      </w:r>
      <w:r w:rsidR="003226FB">
        <w:t>190</w:t>
      </w:r>
      <w:r w:rsidRPr="00CA47B9">
        <w:t xml:space="preserve"> wheelchair adapted dwellings. Moving forward, the report estimates a wheelchair accessibility need from around 3% of households. If 3% is applied to the household growth in the projections (2019-</w:t>
      </w:r>
      <w:r w:rsidR="003226FB">
        <w:t>36</w:t>
      </w:r>
      <w:r w:rsidRPr="00CA47B9">
        <w:t xml:space="preserve">) then there would be an additional need for around </w:t>
      </w:r>
      <w:r w:rsidR="003226FB">
        <w:t>373</w:t>
      </w:r>
      <w:r w:rsidRPr="00CA47B9">
        <w:t xml:space="preserve"> adapted homes</w:t>
      </w:r>
      <w:r w:rsidR="007C28FD">
        <w:t xml:space="preserve"> or 22 per annum</w:t>
      </w:r>
      <w:r w:rsidR="00A2023D">
        <w:t xml:space="preserve"> for the District</w:t>
      </w:r>
      <w:r w:rsidRPr="00CA47B9">
        <w:t xml:space="preserve">. </w:t>
      </w:r>
    </w:p>
    <w:p w:rsidR="007931C4" w:rsidRPr="00CA47B9" w:rsidRDefault="00F04937" w:rsidP="0028171E">
      <w:pPr>
        <w:pStyle w:val="11Bodytext"/>
        <w:tabs>
          <w:tab w:val="clear" w:pos="2212"/>
        </w:tabs>
        <w:ind w:left="567" w:hanging="567"/>
      </w:pPr>
      <w:r>
        <w:t>On the basis that 73% of the population live</w:t>
      </w:r>
      <w:r w:rsidR="00855CA6">
        <w:t>s</w:t>
      </w:r>
      <w:r>
        <w:t xml:space="preserve"> in the Plan </w:t>
      </w:r>
      <w:r w:rsidR="00855CA6">
        <w:t>A</w:t>
      </w:r>
      <w:r>
        <w:t>rea</w:t>
      </w:r>
      <w:r w:rsidR="00855CA6">
        <w:t>,</w:t>
      </w:r>
      <w:r>
        <w:t xml:space="preserve"> this would mean a current unmet need of 139 wheelchair adapted households.</w:t>
      </w:r>
      <w:r w:rsidR="00855CA6">
        <w:t xml:space="preserve"> </w:t>
      </w:r>
      <w:r>
        <w:t>On the basis that 77% of the population growth will occur in the Plan Area</w:t>
      </w:r>
      <w:r w:rsidR="00855CA6">
        <w:t>,</w:t>
      </w:r>
      <w:r>
        <w:t xml:space="preserve"> this would mean a future need for 287 wheelchair adapted homes in future or 17 per annum</w:t>
      </w:r>
      <w:r w:rsidR="00FA5088">
        <w:t>.</w:t>
      </w:r>
    </w:p>
    <w:p w:rsidR="00F63FBB" w:rsidRDefault="00F63FBB" w:rsidP="0028171E">
      <w:pPr>
        <w:pStyle w:val="11Bodytext"/>
        <w:tabs>
          <w:tab w:val="clear" w:pos="2212"/>
        </w:tabs>
        <w:ind w:left="567" w:hanging="567"/>
      </w:pPr>
      <w:r w:rsidRPr="00CA47B9">
        <w:t xml:space="preserve">Information in the CLG Guide on available disability data also provides some historical national data about wheelchair users by tenure (data from the 2007/8 English Housing Survey). This showed around 7.1% of social tenants to be </w:t>
      </w:r>
      <w:r w:rsidRPr="00CA47B9">
        <w:lastRenderedPageBreak/>
        <w:t>wheelchair uses, compared with 2.3% of owner-occupiers (there was insufficient data for private renting, suggesting that the number is low). This may impact on the proportion of different tenures that should be developed to be wheelchair accessible (although it should be noted that the PPG (56-009) states that ‘Local Plan policies for wheelchair accessible homes should be applied only to those dwellings where the local authority is responsible for allocating or nominating a person to live in that dwelling’).</w:t>
      </w:r>
    </w:p>
    <w:p w:rsidR="007C28FD" w:rsidRDefault="007C28FD" w:rsidP="0028171E">
      <w:pPr>
        <w:pStyle w:val="11Bodytext"/>
        <w:tabs>
          <w:tab w:val="clear" w:pos="2212"/>
        </w:tabs>
        <w:ind w:left="567" w:hanging="567"/>
      </w:pPr>
      <w:r>
        <w:t>This would suggest that the Council seek around 5% of all new housing to be M4</w:t>
      </w:r>
      <w:r w:rsidR="00DB0CB2">
        <w:t>(</w:t>
      </w:r>
      <w:r>
        <w:t>3</w:t>
      </w:r>
      <w:r w:rsidR="00DB0CB2">
        <w:t>)</w:t>
      </w:r>
      <w:r>
        <w:t xml:space="preserve"> compliant</w:t>
      </w:r>
      <w:r w:rsidR="00671F17">
        <w:t>, subject to the limits of viability</w:t>
      </w:r>
      <w:r>
        <w:t>.</w:t>
      </w:r>
      <w:r w:rsidR="00855CA6">
        <w:t xml:space="preserve"> </w:t>
      </w:r>
      <w:r>
        <w:t>However</w:t>
      </w:r>
      <w:r w:rsidR="002C25A2">
        <w:t>,</w:t>
      </w:r>
      <w:r>
        <w:t xml:space="preserve"> we recognise that this </w:t>
      </w:r>
      <w:r w:rsidR="000E3721">
        <w:t>won’t</w:t>
      </w:r>
      <w:r>
        <w:t xml:space="preserve"> be possible on all sites due to topography and other constraints such as site configuration. </w:t>
      </w:r>
    </w:p>
    <w:p w:rsidR="002C25A2" w:rsidRPr="00303311" w:rsidRDefault="002C25A2" w:rsidP="0028171E">
      <w:pPr>
        <w:pStyle w:val="11Bodytext"/>
        <w:tabs>
          <w:tab w:val="clear" w:pos="2212"/>
        </w:tabs>
        <w:ind w:left="567" w:hanging="567"/>
      </w:pPr>
      <w:r w:rsidRPr="00303311">
        <w:t>Although outside the requirements of the PPG more detailed building regulations can split the M4(3) category in M4(3)a and M4(3)b. According to MHLG information on “The Current status of Part M of the Building Regulations”</w:t>
      </w:r>
      <w:r w:rsidRPr="00303311">
        <w:rPr>
          <w:rStyle w:val="FootnoteReference"/>
        </w:rPr>
        <w:footnoteReference w:id="13"/>
      </w:r>
      <w:r w:rsidRPr="00303311">
        <w:t xml:space="preserve"> M4(3)a is designed to require only simple adaptation and M4(3)b is ready for wheelchair use on completion. </w:t>
      </w:r>
    </w:p>
    <w:p w:rsidR="002C25A2" w:rsidRPr="00303311" w:rsidRDefault="002C25A2" w:rsidP="0028171E">
      <w:pPr>
        <w:pStyle w:val="11Bodytext"/>
        <w:tabs>
          <w:tab w:val="clear" w:pos="2212"/>
        </w:tabs>
        <w:ind w:left="567" w:hanging="567"/>
      </w:pPr>
      <w:r w:rsidRPr="00303311">
        <w:t>In principle, given the additional costs of retrofit, it would stand to reason that the 10% of additional homes that are built to M4(3) standard are done so on completion i.e. M4(3)b. However, Paragraph 9 of the PPG</w:t>
      </w:r>
      <w:r>
        <w:t xml:space="preserve"> </w:t>
      </w:r>
      <w:r w:rsidR="00855CA6">
        <w:t>concerning</w:t>
      </w:r>
      <w:r>
        <w:t xml:space="preserve"> housing optional technical standards</w:t>
      </w:r>
      <w:r w:rsidRPr="00303311">
        <w:t xml:space="preserve"> (Reference ID: 56-009-20150327) states that </w:t>
      </w:r>
      <w:hyperlink r:id="rId66" w:history="1">
        <w:r w:rsidRPr="00303311">
          <w:t>Local Plan</w:t>
        </w:r>
      </w:hyperlink>
      <w:r w:rsidRPr="00303311">
        <w:t xml:space="preserve"> policies for wheelchair accessible homes (M4(3)b) “should be applied only to those dwellings where the local authority is responsible for allocating or nominating a person to live in that dwelling.” </w:t>
      </w:r>
    </w:p>
    <w:p w:rsidR="002C25A2" w:rsidRPr="00303311" w:rsidRDefault="002C25A2" w:rsidP="0028171E">
      <w:pPr>
        <w:pStyle w:val="11Bodytext"/>
        <w:tabs>
          <w:tab w:val="clear" w:pos="2212"/>
        </w:tabs>
        <w:ind w:left="567" w:hanging="567"/>
      </w:pPr>
      <w:r w:rsidRPr="0038723A">
        <w:rPr>
          <w:color w:val="auto"/>
          <w:shd w:val="clear" w:color="auto" w:fill="FFFFFF"/>
        </w:rPr>
        <w:t xml:space="preserve">One solution </w:t>
      </w:r>
      <w:r w:rsidRPr="00303311">
        <w:t xml:space="preserve">may be to have a separate policy seeking 5% of market properties as M4(3)a standard and </w:t>
      </w:r>
      <w:r>
        <w:t>5%-</w:t>
      </w:r>
      <w:r w:rsidRPr="00303311">
        <w:t>10% affordable dwellings at M4(3)b standard.</w:t>
      </w:r>
    </w:p>
    <w:p w:rsidR="00F63FBB" w:rsidRPr="00CA47B9" w:rsidRDefault="00F63FBB" w:rsidP="00805614">
      <w:pPr>
        <w:pStyle w:val="SubheadBlue12"/>
        <w:ind w:left="567" w:firstLine="0"/>
      </w:pPr>
      <w:r w:rsidRPr="00CA47B9">
        <w:lastRenderedPageBreak/>
        <w:t>Black and Minority Ethnic Households</w:t>
      </w:r>
    </w:p>
    <w:p w:rsidR="00F63FBB" w:rsidRPr="00D53082" w:rsidRDefault="00327608" w:rsidP="0028171E">
      <w:pPr>
        <w:pStyle w:val="11Bodytext"/>
        <w:tabs>
          <w:tab w:val="clear" w:pos="2212"/>
        </w:tabs>
        <w:ind w:left="567" w:hanging="567"/>
      </w:pPr>
      <w:r w:rsidRPr="00D53082">
        <w:t>This data remains unchanged from the 2018 HEDNA.</w:t>
      </w:r>
      <w:r w:rsidR="00855CA6">
        <w:t xml:space="preserve"> </w:t>
      </w:r>
      <w:r w:rsidR="00F63FBB" w:rsidRPr="00D53082">
        <w:t>Black or Minority Ethnic (BME) households, as a group, are quite often found to have distinct characteristics in terms of their housing needs or may be disadvantaged in some way.</w:t>
      </w:r>
    </w:p>
    <w:p w:rsidR="00F63FBB" w:rsidRPr="00CA47B9" w:rsidRDefault="00F63FBB" w:rsidP="0028171E">
      <w:pPr>
        <w:pStyle w:val="11Bodytext"/>
        <w:tabs>
          <w:tab w:val="clear" w:pos="2212"/>
        </w:tabs>
        <w:ind w:left="567" w:hanging="567"/>
      </w:pPr>
      <w:r w:rsidRPr="00CA47B9">
        <w:t xml:space="preserve">From 2011 Census data we find that around 6% of the population of the </w:t>
      </w:r>
      <w:r w:rsidR="00E91EC3">
        <w:t>district</w:t>
      </w:r>
      <w:r w:rsidR="00E91EC3" w:rsidRPr="00CA47B9">
        <w:t xml:space="preserve"> </w:t>
      </w:r>
      <w:r w:rsidRPr="00CA47B9">
        <w:t xml:space="preserve">came from a non-White (British/Irish) background. This figure is slightly less than that found across the HMA (7%) and county (10%) and more significantly below that of the South East (14%) and England (19%). </w:t>
      </w:r>
    </w:p>
    <w:p w:rsidR="00F63FBB" w:rsidRPr="00CA47B9" w:rsidRDefault="00F63FBB" w:rsidP="00BD0EDE">
      <w:pPr>
        <w:pStyle w:val="Tableheading"/>
        <w:tabs>
          <w:tab w:val="clear" w:pos="794"/>
          <w:tab w:val="clear" w:pos="1843"/>
          <w:tab w:val="left" w:pos="0"/>
        </w:tabs>
        <w:ind w:left="0" w:firstLine="0"/>
      </w:pPr>
      <w:bookmarkStart w:id="184" w:name="_Toc403661283"/>
      <w:bookmarkStart w:id="185" w:name="_Toc431454713"/>
      <w:r w:rsidRPr="00CA47B9">
        <w:t>Black and Minority Ethnic Population (2011)</w:t>
      </w:r>
      <w:bookmarkEnd w:id="184"/>
      <w:bookmarkEnd w:id="185"/>
    </w:p>
    <w:tbl>
      <w:tblPr>
        <w:tblStyle w:val="Style1"/>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43: Black and Minority Ethnic Population (2011)"/>
      </w:tblPr>
      <w:tblGrid>
        <w:gridCol w:w="2634"/>
        <w:gridCol w:w="1674"/>
        <w:gridCol w:w="1359"/>
        <w:gridCol w:w="1359"/>
        <w:gridCol w:w="1359"/>
        <w:gridCol w:w="1253"/>
      </w:tblGrid>
      <w:tr w:rsidR="00F63FBB" w:rsidRPr="001A351F" w:rsidTr="00BD0E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65" w:type="pct"/>
            <w:hideMark/>
          </w:tcPr>
          <w:p w:rsidR="00F63FBB" w:rsidRPr="001A351F" w:rsidRDefault="00F63FBB" w:rsidP="00FE6AF9">
            <w:pPr>
              <w:keepNext/>
              <w:spacing w:line="240" w:lineRule="auto"/>
              <w:jc w:val="left"/>
              <w:rPr>
                <w:rFonts w:ascii="Arial Narrow" w:eastAsia="Times New Roman" w:hAnsi="Arial Narrow" w:cs="Arial"/>
                <w:sz w:val="24"/>
                <w:szCs w:val="24"/>
                <w:lang w:eastAsia="en-GB"/>
              </w:rPr>
            </w:pPr>
            <w:r w:rsidRPr="001A351F">
              <w:rPr>
                <w:rFonts w:ascii="Arial Narrow" w:eastAsia="Times New Roman" w:hAnsi="Arial Narrow" w:cs="Arial"/>
                <w:sz w:val="24"/>
                <w:szCs w:val="24"/>
                <w:lang w:eastAsia="en-GB"/>
              </w:rPr>
              <w:t>Ethnic Group</w:t>
            </w:r>
          </w:p>
        </w:tc>
        <w:tc>
          <w:tcPr>
            <w:tcW w:w="868" w:type="pct"/>
            <w:hideMark/>
          </w:tcPr>
          <w:p w:rsidR="00F63FBB" w:rsidRPr="001A351F" w:rsidRDefault="00F63FBB" w:rsidP="00FE6AF9">
            <w:pPr>
              <w:keepNext/>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Chichester District</w:t>
            </w:r>
          </w:p>
        </w:tc>
        <w:tc>
          <w:tcPr>
            <w:tcW w:w="705" w:type="pct"/>
            <w:hideMark/>
          </w:tcPr>
          <w:p w:rsidR="00F63FBB" w:rsidRPr="001A351F" w:rsidRDefault="00F63FBB" w:rsidP="00FE6AF9">
            <w:pPr>
              <w:keepNext/>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HMA</w:t>
            </w:r>
          </w:p>
        </w:tc>
        <w:tc>
          <w:tcPr>
            <w:tcW w:w="705" w:type="pct"/>
            <w:hideMark/>
          </w:tcPr>
          <w:p w:rsidR="00F63FBB" w:rsidRPr="001A351F" w:rsidRDefault="00F63FBB" w:rsidP="00FE6AF9">
            <w:pPr>
              <w:keepNext/>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West Sussex</w:t>
            </w:r>
          </w:p>
        </w:tc>
        <w:tc>
          <w:tcPr>
            <w:tcW w:w="705" w:type="pct"/>
            <w:hideMark/>
          </w:tcPr>
          <w:p w:rsidR="00F63FBB" w:rsidRPr="001A351F" w:rsidRDefault="00F63FBB" w:rsidP="00FE6AF9">
            <w:pPr>
              <w:keepNext/>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South East</w:t>
            </w:r>
          </w:p>
        </w:tc>
        <w:tc>
          <w:tcPr>
            <w:tcW w:w="650" w:type="pct"/>
            <w:hideMark/>
          </w:tcPr>
          <w:p w:rsidR="00F63FBB" w:rsidRPr="001A351F" w:rsidRDefault="00F63FBB" w:rsidP="00FE6AF9">
            <w:pPr>
              <w:keepNext/>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England</w:t>
            </w:r>
          </w:p>
        </w:tc>
      </w:tr>
      <w:tr w:rsidR="00F63FBB" w:rsidRPr="001A351F" w:rsidTr="00BD0EDE">
        <w:tc>
          <w:tcPr>
            <w:cnfStyle w:val="001000000000" w:firstRow="0" w:lastRow="0" w:firstColumn="1" w:lastColumn="0" w:oddVBand="0" w:evenVBand="0" w:oddHBand="0" w:evenHBand="0" w:firstRowFirstColumn="0" w:firstRowLastColumn="0" w:lastRowFirstColumn="0" w:lastRowLastColumn="0"/>
            <w:tcW w:w="1365" w:type="pct"/>
            <w:hideMark/>
          </w:tcPr>
          <w:p w:rsidR="00F63FBB" w:rsidRPr="001A351F" w:rsidRDefault="00F63FBB" w:rsidP="00FE6AF9">
            <w:pPr>
              <w:keepNext/>
              <w:spacing w:line="240" w:lineRule="auto"/>
              <w:rPr>
                <w:rFonts w:ascii="Arial Narrow" w:eastAsia="Times New Roman" w:hAnsi="Arial Narrow" w:cstheme="minorHAnsi"/>
                <w:sz w:val="24"/>
                <w:szCs w:val="24"/>
                <w:lang w:eastAsia="en-GB"/>
              </w:rPr>
            </w:pPr>
            <w:r w:rsidRPr="001A351F">
              <w:rPr>
                <w:rFonts w:ascii="Arial Narrow" w:eastAsia="Times New Roman" w:hAnsi="Arial Narrow" w:cstheme="minorHAnsi"/>
                <w:bCs/>
                <w:sz w:val="24"/>
                <w:szCs w:val="24"/>
                <w:lang w:eastAsia="en-GB"/>
              </w:rPr>
              <w:t>White: British</w:t>
            </w:r>
          </w:p>
        </w:tc>
        <w:tc>
          <w:tcPr>
            <w:tcW w:w="868"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93.0%</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92.2%</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88.9%</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85.2%</w:t>
            </w:r>
          </w:p>
        </w:tc>
        <w:tc>
          <w:tcPr>
            <w:tcW w:w="650"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79.8%</w:t>
            </w:r>
          </w:p>
        </w:tc>
      </w:tr>
      <w:tr w:rsidR="00F63FBB" w:rsidRPr="001A351F" w:rsidTr="00BD0EDE">
        <w:tc>
          <w:tcPr>
            <w:cnfStyle w:val="001000000000" w:firstRow="0" w:lastRow="0" w:firstColumn="1" w:lastColumn="0" w:oddVBand="0" w:evenVBand="0" w:oddHBand="0" w:evenHBand="0" w:firstRowFirstColumn="0" w:firstRowLastColumn="0" w:lastRowFirstColumn="0" w:lastRowLastColumn="0"/>
            <w:tcW w:w="1365" w:type="pct"/>
            <w:hideMark/>
          </w:tcPr>
          <w:p w:rsidR="00F63FBB" w:rsidRPr="001A351F" w:rsidRDefault="00F63FBB" w:rsidP="00FE6AF9">
            <w:pPr>
              <w:keepNext/>
              <w:spacing w:line="240" w:lineRule="auto"/>
              <w:rPr>
                <w:rFonts w:ascii="Arial Narrow" w:eastAsia="Times New Roman" w:hAnsi="Arial Narrow" w:cstheme="minorHAnsi"/>
                <w:sz w:val="24"/>
                <w:szCs w:val="24"/>
                <w:lang w:eastAsia="en-GB"/>
              </w:rPr>
            </w:pPr>
            <w:r w:rsidRPr="001A351F">
              <w:rPr>
                <w:rFonts w:ascii="Arial Narrow" w:eastAsia="Times New Roman" w:hAnsi="Arial Narrow" w:cstheme="minorHAnsi"/>
                <w:bCs/>
                <w:sz w:val="24"/>
                <w:szCs w:val="24"/>
                <w:lang w:eastAsia="en-GB"/>
              </w:rPr>
              <w:t>White: Irish</w:t>
            </w:r>
          </w:p>
        </w:tc>
        <w:tc>
          <w:tcPr>
            <w:tcW w:w="868"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0.7%</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0.6%</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0.7%</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0.9%</w:t>
            </w:r>
          </w:p>
        </w:tc>
        <w:tc>
          <w:tcPr>
            <w:tcW w:w="650"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1.0%</w:t>
            </w:r>
          </w:p>
        </w:tc>
      </w:tr>
      <w:tr w:rsidR="00F63FBB" w:rsidRPr="001A351F" w:rsidTr="00BD0EDE">
        <w:tc>
          <w:tcPr>
            <w:cnfStyle w:val="001000000000" w:firstRow="0" w:lastRow="0" w:firstColumn="1" w:lastColumn="0" w:oddVBand="0" w:evenVBand="0" w:oddHBand="0" w:evenHBand="0" w:firstRowFirstColumn="0" w:firstRowLastColumn="0" w:lastRowFirstColumn="0" w:lastRowLastColumn="0"/>
            <w:tcW w:w="1365" w:type="pct"/>
            <w:hideMark/>
          </w:tcPr>
          <w:p w:rsidR="00F63FBB" w:rsidRPr="001A351F" w:rsidRDefault="00F63FBB" w:rsidP="00FE6AF9">
            <w:pPr>
              <w:keepNext/>
              <w:spacing w:line="240" w:lineRule="auto"/>
              <w:rPr>
                <w:rFonts w:ascii="Arial Narrow" w:eastAsia="Times New Roman" w:hAnsi="Arial Narrow" w:cstheme="minorHAnsi"/>
                <w:sz w:val="24"/>
                <w:szCs w:val="24"/>
                <w:lang w:eastAsia="en-GB"/>
              </w:rPr>
            </w:pPr>
            <w:r w:rsidRPr="001A351F">
              <w:rPr>
                <w:rFonts w:ascii="Arial Narrow" w:eastAsia="Times New Roman" w:hAnsi="Arial Narrow" w:cstheme="minorHAnsi"/>
                <w:bCs/>
                <w:sz w:val="24"/>
                <w:szCs w:val="24"/>
                <w:lang w:eastAsia="en-GB"/>
              </w:rPr>
              <w:t xml:space="preserve">White: Gypsy or Irish </w:t>
            </w:r>
            <w:r w:rsidR="00CA47B9" w:rsidRPr="001A351F">
              <w:rPr>
                <w:rFonts w:ascii="Arial Narrow" w:eastAsia="Times New Roman" w:hAnsi="Arial Narrow" w:cstheme="minorHAnsi"/>
                <w:bCs/>
                <w:sz w:val="24"/>
                <w:szCs w:val="24"/>
                <w:lang w:eastAsia="en-GB"/>
              </w:rPr>
              <w:t>Traveller</w:t>
            </w:r>
          </w:p>
        </w:tc>
        <w:tc>
          <w:tcPr>
            <w:tcW w:w="868"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0.2%</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0.2%</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0.1%</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0.2%</w:t>
            </w:r>
          </w:p>
        </w:tc>
        <w:tc>
          <w:tcPr>
            <w:tcW w:w="650"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0.1%</w:t>
            </w:r>
          </w:p>
        </w:tc>
      </w:tr>
      <w:tr w:rsidR="00F63FBB" w:rsidRPr="001A351F" w:rsidTr="00BD0EDE">
        <w:tc>
          <w:tcPr>
            <w:cnfStyle w:val="001000000000" w:firstRow="0" w:lastRow="0" w:firstColumn="1" w:lastColumn="0" w:oddVBand="0" w:evenVBand="0" w:oddHBand="0" w:evenHBand="0" w:firstRowFirstColumn="0" w:firstRowLastColumn="0" w:lastRowFirstColumn="0" w:lastRowLastColumn="0"/>
            <w:tcW w:w="1365" w:type="pct"/>
            <w:hideMark/>
          </w:tcPr>
          <w:p w:rsidR="00F63FBB" w:rsidRPr="001A351F" w:rsidRDefault="00F63FBB" w:rsidP="00FE6AF9">
            <w:pPr>
              <w:keepNext/>
              <w:spacing w:line="240" w:lineRule="auto"/>
              <w:rPr>
                <w:rFonts w:ascii="Arial Narrow" w:eastAsia="Times New Roman" w:hAnsi="Arial Narrow" w:cstheme="minorHAnsi"/>
                <w:sz w:val="24"/>
                <w:szCs w:val="24"/>
                <w:lang w:eastAsia="en-GB"/>
              </w:rPr>
            </w:pPr>
            <w:r w:rsidRPr="001A351F">
              <w:rPr>
                <w:rFonts w:ascii="Arial Narrow" w:eastAsia="Times New Roman" w:hAnsi="Arial Narrow" w:cstheme="minorHAnsi"/>
                <w:bCs/>
                <w:sz w:val="24"/>
                <w:szCs w:val="24"/>
                <w:lang w:eastAsia="en-GB"/>
              </w:rPr>
              <w:t>White: Other White</w:t>
            </w:r>
          </w:p>
        </w:tc>
        <w:tc>
          <w:tcPr>
            <w:tcW w:w="868"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3.1%</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4.0%</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4.0%</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4.4%</w:t>
            </w:r>
          </w:p>
        </w:tc>
        <w:tc>
          <w:tcPr>
            <w:tcW w:w="650"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4.6%</w:t>
            </w:r>
          </w:p>
        </w:tc>
      </w:tr>
      <w:tr w:rsidR="00F63FBB" w:rsidRPr="001A351F" w:rsidTr="00BD0EDE">
        <w:tc>
          <w:tcPr>
            <w:cnfStyle w:val="001000000000" w:firstRow="0" w:lastRow="0" w:firstColumn="1" w:lastColumn="0" w:oddVBand="0" w:evenVBand="0" w:oddHBand="0" w:evenHBand="0" w:firstRowFirstColumn="0" w:firstRowLastColumn="0" w:lastRowFirstColumn="0" w:lastRowLastColumn="0"/>
            <w:tcW w:w="1365" w:type="pct"/>
            <w:hideMark/>
          </w:tcPr>
          <w:p w:rsidR="00F63FBB" w:rsidRPr="001A351F" w:rsidRDefault="00F63FBB" w:rsidP="00FE6AF9">
            <w:pPr>
              <w:keepNext/>
              <w:spacing w:line="240" w:lineRule="auto"/>
              <w:rPr>
                <w:rFonts w:ascii="Arial Narrow" w:eastAsia="Times New Roman" w:hAnsi="Arial Narrow" w:cstheme="minorHAnsi"/>
                <w:sz w:val="24"/>
                <w:szCs w:val="24"/>
                <w:lang w:eastAsia="en-GB"/>
              </w:rPr>
            </w:pPr>
            <w:r w:rsidRPr="001A351F">
              <w:rPr>
                <w:rFonts w:ascii="Arial Narrow" w:eastAsia="Times New Roman" w:hAnsi="Arial Narrow" w:cstheme="minorHAnsi"/>
                <w:bCs/>
                <w:sz w:val="24"/>
                <w:szCs w:val="24"/>
                <w:lang w:eastAsia="en-GB"/>
              </w:rPr>
              <w:t>Mixed: White &amp; Black Caribbean</w:t>
            </w:r>
          </w:p>
        </w:tc>
        <w:tc>
          <w:tcPr>
            <w:tcW w:w="868"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0.2%</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0.3%</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0.4%</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0.5%</w:t>
            </w:r>
          </w:p>
        </w:tc>
        <w:tc>
          <w:tcPr>
            <w:tcW w:w="650"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0.8%</w:t>
            </w:r>
          </w:p>
        </w:tc>
      </w:tr>
      <w:tr w:rsidR="00F63FBB" w:rsidRPr="001A351F" w:rsidTr="00BD0EDE">
        <w:tc>
          <w:tcPr>
            <w:cnfStyle w:val="001000000000" w:firstRow="0" w:lastRow="0" w:firstColumn="1" w:lastColumn="0" w:oddVBand="0" w:evenVBand="0" w:oddHBand="0" w:evenHBand="0" w:firstRowFirstColumn="0" w:firstRowLastColumn="0" w:lastRowFirstColumn="0" w:lastRowLastColumn="0"/>
            <w:tcW w:w="1365" w:type="pct"/>
            <w:hideMark/>
          </w:tcPr>
          <w:p w:rsidR="00F63FBB" w:rsidRPr="001A351F" w:rsidRDefault="00F63FBB" w:rsidP="00FE6AF9">
            <w:pPr>
              <w:keepNext/>
              <w:spacing w:line="240" w:lineRule="auto"/>
              <w:rPr>
                <w:rFonts w:ascii="Arial Narrow" w:eastAsia="Times New Roman" w:hAnsi="Arial Narrow" w:cstheme="minorHAnsi"/>
                <w:sz w:val="24"/>
                <w:szCs w:val="24"/>
                <w:lang w:eastAsia="en-GB"/>
              </w:rPr>
            </w:pPr>
            <w:r w:rsidRPr="001A351F">
              <w:rPr>
                <w:rFonts w:ascii="Arial Narrow" w:eastAsia="Times New Roman" w:hAnsi="Arial Narrow" w:cstheme="minorHAnsi"/>
                <w:bCs/>
                <w:sz w:val="24"/>
                <w:szCs w:val="24"/>
                <w:lang w:eastAsia="en-GB"/>
              </w:rPr>
              <w:t>Mixed: White &amp; Black African</w:t>
            </w:r>
          </w:p>
        </w:tc>
        <w:tc>
          <w:tcPr>
            <w:tcW w:w="868"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0.1%</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0.1%</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0.3%</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0.3%</w:t>
            </w:r>
          </w:p>
        </w:tc>
        <w:tc>
          <w:tcPr>
            <w:tcW w:w="650"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0.3%</w:t>
            </w:r>
          </w:p>
        </w:tc>
      </w:tr>
      <w:tr w:rsidR="00F63FBB" w:rsidRPr="001A351F" w:rsidTr="00BD0EDE">
        <w:tc>
          <w:tcPr>
            <w:cnfStyle w:val="001000000000" w:firstRow="0" w:lastRow="0" w:firstColumn="1" w:lastColumn="0" w:oddVBand="0" w:evenVBand="0" w:oddHBand="0" w:evenHBand="0" w:firstRowFirstColumn="0" w:firstRowLastColumn="0" w:lastRowFirstColumn="0" w:lastRowLastColumn="0"/>
            <w:tcW w:w="1365" w:type="pct"/>
            <w:hideMark/>
          </w:tcPr>
          <w:p w:rsidR="00F63FBB" w:rsidRPr="001A351F" w:rsidRDefault="00F63FBB" w:rsidP="00FE6AF9">
            <w:pPr>
              <w:keepNext/>
              <w:spacing w:line="240" w:lineRule="auto"/>
              <w:rPr>
                <w:rFonts w:ascii="Arial Narrow" w:eastAsia="Times New Roman" w:hAnsi="Arial Narrow" w:cstheme="minorHAnsi"/>
                <w:sz w:val="24"/>
                <w:szCs w:val="24"/>
                <w:lang w:eastAsia="en-GB"/>
              </w:rPr>
            </w:pPr>
            <w:r w:rsidRPr="001A351F">
              <w:rPr>
                <w:rFonts w:ascii="Arial Narrow" w:eastAsia="Times New Roman" w:hAnsi="Arial Narrow" w:cstheme="minorHAnsi"/>
                <w:bCs/>
                <w:sz w:val="24"/>
                <w:szCs w:val="24"/>
                <w:lang w:eastAsia="en-GB"/>
              </w:rPr>
              <w:t>Mixed: White and Asian</w:t>
            </w:r>
          </w:p>
        </w:tc>
        <w:tc>
          <w:tcPr>
            <w:tcW w:w="868"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0.3%</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0.3%</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0.5%</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0.7%</w:t>
            </w:r>
          </w:p>
        </w:tc>
        <w:tc>
          <w:tcPr>
            <w:tcW w:w="650"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0.6%</w:t>
            </w:r>
          </w:p>
        </w:tc>
      </w:tr>
      <w:tr w:rsidR="00F63FBB" w:rsidRPr="001A351F" w:rsidTr="00BD0EDE">
        <w:tc>
          <w:tcPr>
            <w:cnfStyle w:val="001000000000" w:firstRow="0" w:lastRow="0" w:firstColumn="1" w:lastColumn="0" w:oddVBand="0" w:evenVBand="0" w:oddHBand="0" w:evenHBand="0" w:firstRowFirstColumn="0" w:firstRowLastColumn="0" w:lastRowFirstColumn="0" w:lastRowLastColumn="0"/>
            <w:tcW w:w="1365" w:type="pct"/>
            <w:hideMark/>
          </w:tcPr>
          <w:p w:rsidR="00F63FBB" w:rsidRPr="001A351F" w:rsidRDefault="00F63FBB" w:rsidP="00FE6AF9">
            <w:pPr>
              <w:keepNext/>
              <w:spacing w:line="240" w:lineRule="auto"/>
              <w:rPr>
                <w:rFonts w:ascii="Arial Narrow" w:eastAsia="Times New Roman" w:hAnsi="Arial Narrow" w:cstheme="minorHAnsi"/>
                <w:sz w:val="24"/>
                <w:szCs w:val="24"/>
                <w:lang w:eastAsia="en-GB"/>
              </w:rPr>
            </w:pPr>
            <w:r w:rsidRPr="001A351F">
              <w:rPr>
                <w:rFonts w:ascii="Arial Narrow" w:eastAsia="Times New Roman" w:hAnsi="Arial Narrow" w:cstheme="minorHAnsi"/>
                <w:bCs/>
                <w:sz w:val="24"/>
                <w:szCs w:val="24"/>
                <w:lang w:eastAsia="en-GB"/>
              </w:rPr>
              <w:t>Mixed: Other Mixed</w:t>
            </w:r>
          </w:p>
        </w:tc>
        <w:tc>
          <w:tcPr>
            <w:tcW w:w="868"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0.3%</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0.2%</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0.4%</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0.5%</w:t>
            </w:r>
          </w:p>
        </w:tc>
        <w:tc>
          <w:tcPr>
            <w:tcW w:w="650"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0.5%</w:t>
            </w:r>
          </w:p>
        </w:tc>
      </w:tr>
      <w:tr w:rsidR="00F63FBB" w:rsidRPr="001A351F" w:rsidTr="00BD0EDE">
        <w:tc>
          <w:tcPr>
            <w:cnfStyle w:val="001000000000" w:firstRow="0" w:lastRow="0" w:firstColumn="1" w:lastColumn="0" w:oddVBand="0" w:evenVBand="0" w:oddHBand="0" w:evenHBand="0" w:firstRowFirstColumn="0" w:firstRowLastColumn="0" w:lastRowFirstColumn="0" w:lastRowLastColumn="0"/>
            <w:tcW w:w="1365" w:type="pct"/>
            <w:hideMark/>
          </w:tcPr>
          <w:p w:rsidR="00F63FBB" w:rsidRPr="001A351F" w:rsidRDefault="00F63FBB" w:rsidP="00FE6AF9">
            <w:pPr>
              <w:keepNext/>
              <w:spacing w:line="240" w:lineRule="auto"/>
              <w:rPr>
                <w:rFonts w:ascii="Arial Narrow" w:eastAsia="Times New Roman" w:hAnsi="Arial Narrow" w:cstheme="minorHAnsi"/>
                <w:sz w:val="24"/>
                <w:szCs w:val="24"/>
                <w:lang w:eastAsia="en-GB"/>
              </w:rPr>
            </w:pPr>
            <w:r w:rsidRPr="001A351F">
              <w:rPr>
                <w:rFonts w:ascii="Arial Narrow" w:eastAsia="Times New Roman" w:hAnsi="Arial Narrow" w:cstheme="minorHAnsi"/>
                <w:bCs/>
                <w:sz w:val="24"/>
                <w:szCs w:val="24"/>
                <w:lang w:eastAsia="en-GB"/>
              </w:rPr>
              <w:t>Asian: Indian</w:t>
            </w:r>
          </w:p>
        </w:tc>
        <w:tc>
          <w:tcPr>
            <w:tcW w:w="868"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0.4%</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0.4%</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1.2%</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1.8%</w:t>
            </w:r>
          </w:p>
        </w:tc>
        <w:tc>
          <w:tcPr>
            <w:tcW w:w="650"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2.6%</w:t>
            </w:r>
          </w:p>
        </w:tc>
      </w:tr>
      <w:tr w:rsidR="00F63FBB" w:rsidRPr="001A351F" w:rsidTr="00BD0EDE">
        <w:tc>
          <w:tcPr>
            <w:cnfStyle w:val="001000000000" w:firstRow="0" w:lastRow="0" w:firstColumn="1" w:lastColumn="0" w:oddVBand="0" w:evenVBand="0" w:oddHBand="0" w:evenHBand="0" w:firstRowFirstColumn="0" w:firstRowLastColumn="0" w:lastRowFirstColumn="0" w:lastRowLastColumn="0"/>
            <w:tcW w:w="1365" w:type="pct"/>
            <w:hideMark/>
          </w:tcPr>
          <w:p w:rsidR="00F63FBB" w:rsidRPr="001A351F" w:rsidRDefault="00F63FBB" w:rsidP="00FE6AF9">
            <w:pPr>
              <w:keepNext/>
              <w:spacing w:line="240" w:lineRule="auto"/>
              <w:rPr>
                <w:rFonts w:ascii="Arial Narrow" w:eastAsia="Times New Roman" w:hAnsi="Arial Narrow" w:cstheme="minorHAnsi"/>
                <w:sz w:val="24"/>
                <w:szCs w:val="24"/>
                <w:lang w:eastAsia="en-GB"/>
              </w:rPr>
            </w:pPr>
            <w:r w:rsidRPr="001A351F">
              <w:rPr>
                <w:rFonts w:ascii="Arial Narrow" w:eastAsia="Times New Roman" w:hAnsi="Arial Narrow" w:cstheme="minorHAnsi"/>
                <w:bCs/>
                <w:sz w:val="24"/>
                <w:szCs w:val="24"/>
                <w:lang w:eastAsia="en-GB"/>
              </w:rPr>
              <w:t>Asian: Pakistani</w:t>
            </w:r>
          </w:p>
        </w:tc>
        <w:tc>
          <w:tcPr>
            <w:tcW w:w="868"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0.0%</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0.1%</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0.6%</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1.1%</w:t>
            </w:r>
          </w:p>
        </w:tc>
        <w:tc>
          <w:tcPr>
            <w:tcW w:w="650"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2.1%</w:t>
            </w:r>
          </w:p>
        </w:tc>
      </w:tr>
      <w:tr w:rsidR="00F63FBB" w:rsidRPr="001A351F" w:rsidTr="00BD0EDE">
        <w:tc>
          <w:tcPr>
            <w:cnfStyle w:val="001000000000" w:firstRow="0" w:lastRow="0" w:firstColumn="1" w:lastColumn="0" w:oddVBand="0" w:evenVBand="0" w:oddHBand="0" w:evenHBand="0" w:firstRowFirstColumn="0" w:firstRowLastColumn="0" w:lastRowFirstColumn="0" w:lastRowLastColumn="0"/>
            <w:tcW w:w="1365" w:type="pct"/>
            <w:hideMark/>
          </w:tcPr>
          <w:p w:rsidR="00F63FBB" w:rsidRPr="001A351F" w:rsidRDefault="00F63FBB" w:rsidP="00FE6AF9">
            <w:pPr>
              <w:keepNext/>
              <w:spacing w:line="240" w:lineRule="auto"/>
              <w:rPr>
                <w:rFonts w:ascii="Arial Narrow" w:eastAsia="Times New Roman" w:hAnsi="Arial Narrow" w:cstheme="minorHAnsi"/>
                <w:sz w:val="24"/>
                <w:szCs w:val="24"/>
                <w:lang w:eastAsia="en-GB"/>
              </w:rPr>
            </w:pPr>
            <w:r w:rsidRPr="001A351F">
              <w:rPr>
                <w:rFonts w:ascii="Arial Narrow" w:eastAsia="Times New Roman" w:hAnsi="Arial Narrow" w:cstheme="minorHAnsi"/>
                <w:bCs/>
                <w:sz w:val="24"/>
                <w:szCs w:val="24"/>
                <w:lang w:eastAsia="en-GB"/>
              </w:rPr>
              <w:t>Asian: Bangladeshi</w:t>
            </w:r>
          </w:p>
        </w:tc>
        <w:tc>
          <w:tcPr>
            <w:tcW w:w="868"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0.1%</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0.2%</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0.3%</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0.3%</w:t>
            </w:r>
          </w:p>
        </w:tc>
        <w:tc>
          <w:tcPr>
            <w:tcW w:w="650"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0.8%</w:t>
            </w:r>
          </w:p>
        </w:tc>
      </w:tr>
      <w:tr w:rsidR="00F63FBB" w:rsidRPr="001A351F" w:rsidTr="00BD0EDE">
        <w:tc>
          <w:tcPr>
            <w:cnfStyle w:val="001000000000" w:firstRow="0" w:lastRow="0" w:firstColumn="1" w:lastColumn="0" w:oddVBand="0" w:evenVBand="0" w:oddHBand="0" w:evenHBand="0" w:firstRowFirstColumn="0" w:firstRowLastColumn="0" w:lastRowFirstColumn="0" w:lastRowLastColumn="0"/>
            <w:tcW w:w="1365" w:type="pct"/>
            <w:hideMark/>
          </w:tcPr>
          <w:p w:rsidR="00F63FBB" w:rsidRPr="001A351F" w:rsidRDefault="00F63FBB" w:rsidP="00FE6AF9">
            <w:pPr>
              <w:keepNext/>
              <w:spacing w:line="240" w:lineRule="auto"/>
              <w:rPr>
                <w:rFonts w:ascii="Arial Narrow" w:eastAsia="Times New Roman" w:hAnsi="Arial Narrow" w:cstheme="minorHAnsi"/>
                <w:sz w:val="24"/>
                <w:szCs w:val="24"/>
                <w:lang w:eastAsia="en-GB"/>
              </w:rPr>
            </w:pPr>
            <w:r w:rsidRPr="001A351F">
              <w:rPr>
                <w:rFonts w:ascii="Arial Narrow" w:eastAsia="Times New Roman" w:hAnsi="Arial Narrow" w:cstheme="minorHAnsi"/>
                <w:bCs/>
                <w:sz w:val="24"/>
                <w:szCs w:val="24"/>
                <w:lang w:eastAsia="en-GB"/>
              </w:rPr>
              <w:t>Asian: Chinese</w:t>
            </w:r>
          </w:p>
        </w:tc>
        <w:tc>
          <w:tcPr>
            <w:tcW w:w="868"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0.3%</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0.3%</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0.4%</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0.6%</w:t>
            </w:r>
          </w:p>
        </w:tc>
        <w:tc>
          <w:tcPr>
            <w:tcW w:w="650"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0.7%</w:t>
            </w:r>
          </w:p>
        </w:tc>
      </w:tr>
      <w:tr w:rsidR="00F63FBB" w:rsidRPr="001A351F" w:rsidTr="00BD0EDE">
        <w:tc>
          <w:tcPr>
            <w:cnfStyle w:val="001000000000" w:firstRow="0" w:lastRow="0" w:firstColumn="1" w:lastColumn="0" w:oddVBand="0" w:evenVBand="0" w:oddHBand="0" w:evenHBand="0" w:firstRowFirstColumn="0" w:firstRowLastColumn="0" w:lastRowFirstColumn="0" w:lastRowLastColumn="0"/>
            <w:tcW w:w="1365" w:type="pct"/>
            <w:hideMark/>
          </w:tcPr>
          <w:p w:rsidR="00F63FBB" w:rsidRPr="001A351F" w:rsidRDefault="00F63FBB" w:rsidP="00FE6AF9">
            <w:pPr>
              <w:keepNext/>
              <w:spacing w:line="240" w:lineRule="auto"/>
              <w:rPr>
                <w:rFonts w:ascii="Arial Narrow" w:eastAsia="Times New Roman" w:hAnsi="Arial Narrow" w:cstheme="minorHAnsi"/>
                <w:sz w:val="24"/>
                <w:szCs w:val="24"/>
                <w:lang w:eastAsia="en-GB"/>
              </w:rPr>
            </w:pPr>
            <w:r w:rsidRPr="001A351F">
              <w:rPr>
                <w:rFonts w:ascii="Arial Narrow" w:eastAsia="Times New Roman" w:hAnsi="Arial Narrow" w:cstheme="minorHAnsi"/>
                <w:bCs/>
                <w:sz w:val="24"/>
                <w:szCs w:val="24"/>
                <w:lang w:eastAsia="en-GB"/>
              </w:rPr>
              <w:t>Asian: Other Asian</w:t>
            </w:r>
          </w:p>
        </w:tc>
        <w:tc>
          <w:tcPr>
            <w:tcW w:w="868"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0.6%</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0.5%</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1.0%</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1.4%</w:t>
            </w:r>
          </w:p>
        </w:tc>
        <w:tc>
          <w:tcPr>
            <w:tcW w:w="650"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1.5%</w:t>
            </w:r>
          </w:p>
        </w:tc>
      </w:tr>
      <w:tr w:rsidR="00F63FBB" w:rsidRPr="001A351F" w:rsidTr="00BD0EDE">
        <w:tc>
          <w:tcPr>
            <w:cnfStyle w:val="001000000000" w:firstRow="0" w:lastRow="0" w:firstColumn="1" w:lastColumn="0" w:oddVBand="0" w:evenVBand="0" w:oddHBand="0" w:evenHBand="0" w:firstRowFirstColumn="0" w:firstRowLastColumn="0" w:lastRowFirstColumn="0" w:lastRowLastColumn="0"/>
            <w:tcW w:w="1365" w:type="pct"/>
            <w:hideMark/>
          </w:tcPr>
          <w:p w:rsidR="00F63FBB" w:rsidRPr="001A351F" w:rsidRDefault="00F63FBB" w:rsidP="00FE6AF9">
            <w:pPr>
              <w:keepNext/>
              <w:spacing w:line="240" w:lineRule="auto"/>
              <w:rPr>
                <w:rFonts w:ascii="Arial Narrow" w:eastAsia="Times New Roman" w:hAnsi="Arial Narrow" w:cstheme="minorHAnsi"/>
                <w:sz w:val="24"/>
                <w:szCs w:val="24"/>
                <w:lang w:eastAsia="en-GB"/>
              </w:rPr>
            </w:pPr>
            <w:r w:rsidRPr="001A351F">
              <w:rPr>
                <w:rFonts w:ascii="Arial Narrow" w:eastAsia="Times New Roman" w:hAnsi="Arial Narrow" w:cstheme="minorHAnsi"/>
                <w:bCs/>
                <w:sz w:val="24"/>
                <w:szCs w:val="24"/>
                <w:lang w:eastAsia="en-GB"/>
              </w:rPr>
              <w:t>Black: African</w:t>
            </w:r>
          </w:p>
        </w:tc>
        <w:tc>
          <w:tcPr>
            <w:tcW w:w="868"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0.3%</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0.2%</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0.6%</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1.0%</w:t>
            </w:r>
          </w:p>
        </w:tc>
        <w:tc>
          <w:tcPr>
            <w:tcW w:w="650"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1.8%</w:t>
            </w:r>
          </w:p>
        </w:tc>
      </w:tr>
      <w:tr w:rsidR="00F63FBB" w:rsidRPr="001A351F" w:rsidTr="00BD0EDE">
        <w:tc>
          <w:tcPr>
            <w:cnfStyle w:val="001000000000" w:firstRow="0" w:lastRow="0" w:firstColumn="1" w:lastColumn="0" w:oddVBand="0" w:evenVBand="0" w:oddHBand="0" w:evenHBand="0" w:firstRowFirstColumn="0" w:firstRowLastColumn="0" w:lastRowFirstColumn="0" w:lastRowLastColumn="0"/>
            <w:tcW w:w="1365" w:type="pct"/>
            <w:hideMark/>
          </w:tcPr>
          <w:p w:rsidR="00F63FBB" w:rsidRPr="001A351F" w:rsidRDefault="00F63FBB" w:rsidP="00FE6AF9">
            <w:pPr>
              <w:keepNext/>
              <w:spacing w:line="240" w:lineRule="auto"/>
              <w:rPr>
                <w:rFonts w:ascii="Arial Narrow" w:eastAsia="Times New Roman" w:hAnsi="Arial Narrow" w:cstheme="minorHAnsi"/>
                <w:sz w:val="24"/>
                <w:szCs w:val="24"/>
                <w:lang w:eastAsia="en-GB"/>
              </w:rPr>
            </w:pPr>
            <w:r w:rsidRPr="001A351F">
              <w:rPr>
                <w:rFonts w:ascii="Arial Narrow" w:eastAsia="Times New Roman" w:hAnsi="Arial Narrow" w:cstheme="minorHAnsi"/>
                <w:bCs/>
                <w:sz w:val="24"/>
                <w:szCs w:val="24"/>
                <w:lang w:eastAsia="en-GB"/>
              </w:rPr>
              <w:t>Black: Caribbean</w:t>
            </w:r>
          </w:p>
        </w:tc>
        <w:tc>
          <w:tcPr>
            <w:tcW w:w="868"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0.1%</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0.1%</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0.2%</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0.4%</w:t>
            </w:r>
          </w:p>
        </w:tc>
        <w:tc>
          <w:tcPr>
            <w:tcW w:w="650"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1.1%</w:t>
            </w:r>
          </w:p>
        </w:tc>
      </w:tr>
      <w:tr w:rsidR="00F63FBB" w:rsidRPr="001A351F" w:rsidTr="00BD0EDE">
        <w:tc>
          <w:tcPr>
            <w:cnfStyle w:val="001000000000" w:firstRow="0" w:lastRow="0" w:firstColumn="1" w:lastColumn="0" w:oddVBand="0" w:evenVBand="0" w:oddHBand="0" w:evenHBand="0" w:firstRowFirstColumn="0" w:firstRowLastColumn="0" w:lastRowFirstColumn="0" w:lastRowLastColumn="0"/>
            <w:tcW w:w="1365" w:type="pct"/>
            <w:hideMark/>
          </w:tcPr>
          <w:p w:rsidR="00F63FBB" w:rsidRPr="001A351F" w:rsidRDefault="00F63FBB" w:rsidP="00FE6AF9">
            <w:pPr>
              <w:keepNext/>
              <w:spacing w:line="240" w:lineRule="auto"/>
              <w:rPr>
                <w:rFonts w:ascii="Arial Narrow" w:eastAsia="Times New Roman" w:hAnsi="Arial Narrow" w:cstheme="minorHAnsi"/>
                <w:sz w:val="24"/>
                <w:szCs w:val="24"/>
                <w:lang w:eastAsia="en-GB"/>
              </w:rPr>
            </w:pPr>
            <w:r w:rsidRPr="001A351F">
              <w:rPr>
                <w:rFonts w:ascii="Arial Narrow" w:eastAsia="Times New Roman" w:hAnsi="Arial Narrow" w:cstheme="minorHAnsi"/>
                <w:bCs/>
                <w:sz w:val="24"/>
                <w:szCs w:val="24"/>
                <w:lang w:eastAsia="en-GB"/>
              </w:rPr>
              <w:t>Black: Other Black</w:t>
            </w:r>
          </w:p>
        </w:tc>
        <w:tc>
          <w:tcPr>
            <w:tcW w:w="868"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0.1%</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0.1%</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0.2%</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0.2%</w:t>
            </w:r>
          </w:p>
        </w:tc>
        <w:tc>
          <w:tcPr>
            <w:tcW w:w="650"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0.5%</w:t>
            </w:r>
          </w:p>
        </w:tc>
      </w:tr>
      <w:tr w:rsidR="00F63FBB" w:rsidRPr="001A351F" w:rsidTr="00BD0EDE">
        <w:tc>
          <w:tcPr>
            <w:cnfStyle w:val="001000000000" w:firstRow="0" w:lastRow="0" w:firstColumn="1" w:lastColumn="0" w:oddVBand="0" w:evenVBand="0" w:oddHBand="0" w:evenHBand="0" w:firstRowFirstColumn="0" w:firstRowLastColumn="0" w:lastRowFirstColumn="0" w:lastRowLastColumn="0"/>
            <w:tcW w:w="1365" w:type="pct"/>
            <w:hideMark/>
          </w:tcPr>
          <w:p w:rsidR="00F63FBB" w:rsidRPr="001A351F" w:rsidRDefault="00F63FBB" w:rsidP="00FE6AF9">
            <w:pPr>
              <w:keepNext/>
              <w:spacing w:line="240" w:lineRule="auto"/>
              <w:rPr>
                <w:rFonts w:ascii="Arial Narrow" w:eastAsia="Times New Roman" w:hAnsi="Arial Narrow" w:cstheme="minorHAnsi"/>
                <w:sz w:val="24"/>
                <w:szCs w:val="24"/>
                <w:lang w:eastAsia="en-GB"/>
              </w:rPr>
            </w:pPr>
            <w:r w:rsidRPr="001A351F">
              <w:rPr>
                <w:rFonts w:ascii="Arial Narrow" w:eastAsia="Times New Roman" w:hAnsi="Arial Narrow" w:cstheme="minorHAnsi"/>
                <w:bCs/>
                <w:sz w:val="24"/>
                <w:szCs w:val="24"/>
                <w:lang w:eastAsia="en-GB"/>
              </w:rPr>
              <w:t>Other ethnic group: Arab</w:t>
            </w:r>
          </w:p>
        </w:tc>
        <w:tc>
          <w:tcPr>
            <w:tcW w:w="868"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0.1%</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0.1%</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0.1%</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0.2%</w:t>
            </w:r>
          </w:p>
        </w:tc>
        <w:tc>
          <w:tcPr>
            <w:tcW w:w="650"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0.4%</w:t>
            </w:r>
          </w:p>
        </w:tc>
      </w:tr>
      <w:tr w:rsidR="00F63FBB" w:rsidRPr="001A351F" w:rsidTr="00BD0EDE">
        <w:tc>
          <w:tcPr>
            <w:cnfStyle w:val="001000000000" w:firstRow="0" w:lastRow="0" w:firstColumn="1" w:lastColumn="0" w:oddVBand="0" w:evenVBand="0" w:oddHBand="0" w:evenHBand="0" w:firstRowFirstColumn="0" w:firstRowLastColumn="0" w:lastRowFirstColumn="0" w:lastRowLastColumn="0"/>
            <w:tcW w:w="1365" w:type="pct"/>
            <w:hideMark/>
          </w:tcPr>
          <w:p w:rsidR="00F63FBB" w:rsidRPr="001A351F" w:rsidRDefault="00F63FBB" w:rsidP="00FE6AF9">
            <w:pPr>
              <w:keepNext/>
              <w:spacing w:line="240" w:lineRule="auto"/>
              <w:rPr>
                <w:rFonts w:ascii="Arial Narrow" w:eastAsia="Times New Roman" w:hAnsi="Arial Narrow" w:cstheme="minorHAnsi"/>
                <w:sz w:val="24"/>
                <w:szCs w:val="24"/>
                <w:lang w:eastAsia="en-GB"/>
              </w:rPr>
            </w:pPr>
            <w:r w:rsidRPr="001A351F">
              <w:rPr>
                <w:rFonts w:ascii="Arial Narrow" w:eastAsia="Times New Roman" w:hAnsi="Arial Narrow" w:cstheme="minorHAnsi"/>
                <w:bCs/>
                <w:sz w:val="24"/>
                <w:szCs w:val="24"/>
                <w:lang w:eastAsia="en-GB"/>
              </w:rPr>
              <w:t>Any other ethnic group</w:t>
            </w:r>
          </w:p>
        </w:tc>
        <w:tc>
          <w:tcPr>
            <w:tcW w:w="868"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0.1%</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0.1%</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0.2%</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0.4%</w:t>
            </w:r>
          </w:p>
        </w:tc>
        <w:tc>
          <w:tcPr>
            <w:tcW w:w="650"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0.6%</w:t>
            </w:r>
          </w:p>
        </w:tc>
      </w:tr>
      <w:tr w:rsidR="00F63FBB" w:rsidRPr="001A351F" w:rsidTr="00BD0EDE">
        <w:tc>
          <w:tcPr>
            <w:cnfStyle w:val="001000000000" w:firstRow="0" w:lastRow="0" w:firstColumn="1" w:lastColumn="0" w:oddVBand="0" w:evenVBand="0" w:oddHBand="0" w:evenHBand="0" w:firstRowFirstColumn="0" w:firstRowLastColumn="0" w:lastRowFirstColumn="0" w:lastRowLastColumn="0"/>
            <w:tcW w:w="1365" w:type="pct"/>
            <w:hideMark/>
          </w:tcPr>
          <w:p w:rsidR="00F63FBB" w:rsidRPr="001A351F" w:rsidRDefault="00F63FBB" w:rsidP="00FE6AF9">
            <w:pPr>
              <w:keepNext/>
              <w:spacing w:line="240" w:lineRule="auto"/>
              <w:rPr>
                <w:rFonts w:ascii="Arial Narrow" w:eastAsia="Times New Roman" w:hAnsi="Arial Narrow" w:cstheme="minorHAnsi"/>
                <w:sz w:val="24"/>
                <w:szCs w:val="24"/>
                <w:lang w:eastAsia="en-GB"/>
              </w:rPr>
            </w:pPr>
            <w:r w:rsidRPr="001A351F">
              <w:rPr>
                <w:rFonts w:ascii="Arial Narrow" w:eastAsia="Times New Roman" w:hAnsi="Arial Narrow" w:cstheme="minorHAnsi"/>
                <w:bCs/>
                <w:sz w:val="24"/>
                <w:szCs w:val="24"/>
                <w:lang w:eastAsia="en-GB"/>
              </w:rPr>
              <w:t>Total</w:t>
            </w:r>
          </w:p>
        </w:tc>
        <w:tc>
          <w:tcPr>
            <w:tcW w:w="868"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100%</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100%</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100%</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100%</w:t>
            </w:r>
          </w:p>
        </w:tc>
        <w:tc>
          <w:tcPr>
            <w:tcW w:w="650"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100%</w:t>
            </w:r>
          </w:p>
        </w:tc>
      </w:tr>
      <w:tr w:rsidR="00F63FBB" w:rsidRPr="001A351F" w:rsidTr="00BD0EDE">
        <w:tc>
          <w:tcPr>
            <w:cnfStyle w:val="001000000000" w:firstRow="0" w:lastRow="0" w:firstColumn="1" w:lastColumn="0" w:oddVBand="0" w:evenVBand="0" w:oddHBand="0" w:evenHBand="0" w:firstRowFirstColumn="0" w:firstRowLastColumn="0" w:lastRowFirstColumn="0" w:lastRowLastColumn="0"/>
            <w:tcW w:w="1365" w:type="pct"/>
            <w:hideMark/>
          </w:tcPr>
          <w:p w:rsidR="00F63FBB" w:rsidRPr="001A351F" w:rsidRDefault="00F63FBB" w:rsidP="00FE6AF9">
            <w:pPr>
              <w:keepNext/>
              <w:spacing w:line="240" w:lineRule="auto"/>
              <w:rPr>
                <w:rFonts w:ascii="Arial Narrow" w:eastAsia="Times New Roman" w:hAnsi="Arial Narrow" w:cstheme="minorHAnsi"/>
                <w:sz w:val="24"/>
                <w:szCs w:val="24"/>
                <w:lang w:eastAsia="en-GB"/>
              </w:rPr>
            </w:pPr>
            <w:r w:rsidRPr="001A351F">
              <w:rPr>
                <w:rFonts w:ascii="Arial Narrow" w:eastAsia="Times New Roman" w:hAnsi="Arial Narrow" w:cstheme="minorHAnsi"/>
                <w:bCs/>
                <w:sz w:val="24"/>
                <w:szCs w:val="24"/>
                <w:lang w:eastAsia="en-GB"/>
              </w:rPr>
              <w:t>Total population</w:t>
            </w:r>
          </w:p>
        </w:tc>
        <w:tc>
          <w:tcPr>
            <w:tcW w:w="868"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113,794</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263,312</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806,892</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8,634,750</w:t>
            </w:r>
          </w:p>
        </w:tc>
        <w:tc>
          <w:tcPr>
            <w:tcW w:w="650"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1A351F">
              <w:rPr>
                <w:rFonts w:ascii="Arial Narrow" w:eastAsia="Times New Roman" w:hAnsi="Arial Narrow"/>
                <w:sz w:val="24"/>
                <w:szCs w:val="24"/>
                <w:lang w:eastAsia="en-GB"/>
              </w:rPr>
              <w:t>53,012,456</w:t>
            </w:r>
          </w:p>
        </w:tc>
      </w:tr>
      <w:tr w:rsidR="00F63FBB" w:rsidRPr="001A351F" w:rsidTr="00BD0EDE">
        <w:tc>
          <w:tcPr>
            <w:cnfStyle w:val="001000000000" w:firstRow="0" w:lastRow="0" w:firstColumn="1" w:lastColumn="0" w:oddVBand="0" w:evenVBand="0" w:oddHBand="0" w:evenHBand="0" w:firstRowFirstColumn="0" w:firstRowLastColumn="0" w:lastRowFirstColumn="0" w:lastRowLastColumn="0"/>
            <w:tcW w:w="1365" w:type="pct"/>
            <w:hideMark/>
          </w:tcPr>
          <w:p w:rsidR="00F63FBB" w:rsidRPr="001A351F" w:rsidRDefault="00F63FBB" w:rsidP="00FE6AF9">
            <w:pPr>
              <w:keepNext/>
              <w:spacing w:line="240" w:lineRule="auto"/>
              <w:rPr>
                <w:rFonts w:ascii="Arial Narrow" w:eastAsia="Times New Roman" w:hAnsi="Arial Narrow" w:cstheme="minorHAnsi"/>
                <w:b/>
                <w:sz w:val="24"/>
                <w:szCs w:val="24"/>
                <w:lang w:eastAsia="en-GB"/>
              </w:rPr>
            </w:pPr>
            <w:r w:rsidRPr="001A351F">
              <w:rPr>
                <w:rFonts w:ascii="Arial Narrow" w:eastAsia="Times New Roman" w:hAnsi="Arial Narrow" w:cstheme="minorHAnsi"/>
                <w:b/>
                <w:bCs/>
                <w:sz w:val="24"/>
                <w:szCs w:val="24"/>
                <w:lang w:eastAsia="en-GB"/>
              </w:rPr>
              <w:t>% non-White (British/Irish)</w:t>
            </w:r>
          </w:p>
        </w:tc>
        <w:tc>
          <w:tcPr>
            <w:tcW w:w="868"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sz w:val="24"/>
                <w:szCs w:val="24"/>
                <w:lang w:eastAsia="en-GB"/>
              </w:rPr>
            </w:pPr>
            <w:r w:rsidRPr="001A351F">
              <w:rPr>
                <w:rFonts w:ascii="Arial Narrow" w:eastAsia="Times New Roman" w:hAnsi="Arial Narrow"/>
                <w:b/>
                <w:sz w:val="24"/>
                <w:szCs w:val="24"/>
                <w:lang w:eastAsia="en-GB"/>
              </w:rPr>
              <w:t>6.3%</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sz w:val="24"/>
                <w:szCs w:val="24"/>
                <w:lang w:eastAsia="en-GB"/>
              </w:rPr>
            </w:pPr>
            <w:r w:rsidRPr="001A351F">
              <w:rPr>
                <w:rFonts w:ascii="Arial Narrow" w:eastAsia="Times New Roman" w:hAnsi="Arial Narrow"/>
                <w:b/>
                <w:sz w:val="24"/>
                <w:szCs w:val="24"/>
                <w:lang w:eastAsia="en-GB"/>
              </w:rPr>
              <w:t>7.1%</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sz w:val="24"/>
                <w:szCs w:val="24"/>
                <w:lang w:eastAsia="en-GB"/>
              </w:rPr>
            </w:pPr>
            <w:r w:rsidRPr="001A351F">
              <w:rPr>
                <w:rFonts w:ascii="Arial Narrow" w:eastAsia="Times New Roman" w:hAnsi="Arial Narrow"/>
                <w:b/>
                <w:sz w:val="24"/>
                <w:szCs w:val="24"/>
                <w:lang w:eastAsia="en-GB"/>
              </w:rPr>
              <w:t>10.3%</w:t>
            </w:r>
          </w:p>
        </w:tc>
        <w:tc>
          <w:tcPr>
            <w:tcW w:w="705"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sz w:val="24"/>
                <w:szCs w:val="24"/>
                <w:lang w:eastAsia="en-GB"/>
              </w:rPr>
            </w:pPr>
            <w:r w:rsidRPr="001A351F">
              <w:rPr>
                <w:rFonts w:ascii="Arial Narrow" w:eastAsia="Times New Roman" w:hAnsi="Arial Narrow"/>
                <w:b/>
                <w:sz w:val="24"/>
                <w:szCs w:val="24"/>
                <w:lang w:eastAsia="en-GB"/>
              </w:rPr>
              <w:t>13.9%</w:t>
            </w:r>
          </w:p>
        </w:tc>
        <w:tc>
          <w:tcPr>
            <w:tcW w:w="650" w:type="pct"/>
            <w:noWrap/>
            <w:hideMark/>
          </w:tcPr>
          <w:p w:rsidR="00F63FBB" w:rsidRPr="001A351F" w:rsidRDefault="00F63FBB" w:rsidP="00FE6AF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sz w:val="24"/>
                <w:szCs w:val="24"/>
                <w:lang w:eastAsia="en-GB"/>
              </w:rPr>
            </w:pPr>
            <w:r w:rsidRPr="001A351F">
              <w:rPr>
                <w:rFonts w:ascii="Arial Narrow" w:eastAsia="Times New Roman" w:hAnsi="Arial Narrow"/>
                <w:b/>
                <w:sz w:val="24"/>
                <w:szCs w:val="24"/>
                <w:lang w:eastAsia="en-GB"/>
              </w:rPr>
              <w:t>19.3%</w:t>
            </w:r>
          </w:p>
        </w:tc>
      </w:tr>
    </w:tbl>
    <w:p w:rsidR="00F63FBB" w:rsidRPr="001A351F" w:rsidRDefault="00F63FBB" w:rsidP="00BD0EDE">
      <w:pPr>
        <w:widowControl w:val="0"/>
        <w:autoSpaceDE w:val="0"/>
        <w:autoSpaceDN w:val="0"/>
        <w:adjustRightInd w:val="0"/>
        <w:spacing w:after="120" w:line="300" w:lineRule="auto"/>
        <w:rPr>
          <w:iCs/>
          <w:color w:val="auto"/>
          <w:sz w:val="24"/>
          <w:szCs w:val="24"/>
          <w:lang w:eastAsia="en-US"/>
        </w:rPr>
      </w:pPr>
      <w:r w:rsidRPr="001A351F">
        <w:rPr>
          <w:iCs/>
          <w:color w:val="auto"/>
          <w:sz w:val="24"/>
          <w:szCs w:val="24"/>
        </w:rPr>
        <w:t>Source: ONS (2011 Census)</w:t>
      </w:r>
    </w:p>
    <w:p w:rsidR="00D53082" w:rsidRPr="00CA47B9" w:rsidRDefault="00D53082" w:rsidP="0028171E">
      <w:pPr>
        <w:pStyle w:val="11Bodytext"/>
        <w:tabs>
          <w:tab w:val="clear" w:pos="2212"/>
        </w:tabs>
        <w:ind w:left="567" w:hanging="567"/>
      </w:pPr>
      <w:r w:rsidRPr="00CA47B9">
        <w:t xml:space="preserve">The largest minority ethnic group in Chichester and the HMA is the Other-White group (which is likely to contain </w:t>
      </w:r>
      <w:r w:rsidR="00855CA6">
        <w:t>many</w:t>
      </w:r>
      <w:r w:rsidRPr="00CA47B9">
        <w:t xml:space="preserve"> Eastern European migrants). The Other-White </w:t>
      </w:r>
      <w:r w:rsidRPr="00CA47B9">
        <w:lastRenderedPageBreak/>
        <w:t>population makes up 3.1% of all people in the district and 4% in the HMA. This figure is notably higher than for any other group.</w:t>
      </w:r>
    </w:p>
    <w:p w:rsidR="00F63FBB" w:rsidRPr="00CA47B9" w:rsidRDefault="00F63FBB" w:rsidP="0028171E">
      <w:pPr>
        <w:pStyle w:val="11Bodytext"/>
        <w:tabs>
          <w:tab w:val="clear" w:pos="2212"/>
        </w:tabs>
        <w:ind w:left="567" w:hanging="567"/>
      </w:pPr>
      <w:r w:rsidRPr="00CA47B9">
        <w:t xml:space="preserve">Since 2001 the BME population in the </w:t>
      </w:r>
      <w:r w:rsidR="00E91EC3">
        <w:t>district</w:t>
      </w:r>
      <w:r w:rsidR="00F04937">
        <w:t xml:space="preserve"> </w:t>
      </w:r>
      <w:r w:rsidRPr="00CA47B9">
        <w:t xml:space="preserve">can be seen to have increased significantly as can be seen in Table </w:t>
      </w:r>
      <w:r w:rsidR="00BD10C9">
        <w:t>4</w:t>
      </w:r>
      <w:r w:rsidR="00E91EC3">
        <w:t>4</w:t>
      </w:r>
      <w:r w:rsidRPr="00CA47B9">
        <w:t xml:space="preserve">. We have merged some categories due to a slightly different list of potential groups being used in the 2011 Census when compared with 2001 data. </w:t>
      </w:r>
    </w:p>
    <w:p w:rsidR="00F63FBB" w:rsidRPr="00CA47B9" w:rsidRDefault="00F63FBB" w:rsidP="0028171E">
      <w:pPr>
        <w:pStyle w:val="11Bodytext"/>
        <w:tabs>
          <w:tab w:val="clear" w:pos="2212"/>
        </w:tabs>
        <w:ind w:left="567" w:hanging="567"/>
      </w:pPr>
      <w:r w:rsidRPr="00CA47B9">
        <w:t xml:space="preserve">The data shows that whilst the overall population of the </w:t>
      </w:r>
      <w:r w:rsidR="00E91EC3">
        <w:t>district</w:t>
      </w:r>
      <w:r w:rsidR="00F04937">
        <w:t xml:space="preserve"> </w:t>
      </w:r>
      <w:r w:rsidRPr="00CA47B9">
        <w:t>has risen by 7,300 over the 10</w:t>
      </w:r>
      <w:r w:rsidR="00855CA6">
        <w:t xml:space="preserve"> years</w:t>
      </w:r>
      <w:r w:rsidRPr="00CA47B9">
        <w:t xml:space="preserve"> the increase in BME groups (all groups other than White (British/Irish)) has been</w:t>
      </w:r>
      <w:r w:rsidR="00F04937">
        <w:t xml:space="preserve"> around</w:t>
      </w:r>
      <w:r w:rsidRPr="00CA47B9">
        <w:t xml:space="preserve"> 3,200. The White (British/Irish) population has therefore increased by 4.1% compared to an increase of 84% in BME groups (all combined).</w:t>
      </w:r>
    </w:p>
    <w:p w:rsidR="00F63FBB" w:rsidRPr="00CA47B9" w:rsidRDefault="00F63FBB" w:rsidP="00BD0EDE">
      <w:pPr>
        <w:pStyle w:val="Tableheading"/>
        <w:tabs>
          <w:tab w:val="clear" w:pos="794"/>
          <w:tab w:val="clear" w:pos="1843"/>
          <w:tab w:val="left" w:pos="0"/>
        </w:tabs>
        <w:ind w:left="0" w:firstLine="0"/>
      </w:pPr>
      <w:bookmarkStart w:id="186" w:name="_Toc403661284"/>
      <w:bookmarkStart w:id="187" w:name="_Toc431454714"/>
      <w:r w:rsidRPr="00CA47B9">
        <w:t>Change in BME groups 2001 to 2011 -Chichester District</w:t>
      </w:r>
      <w:bookmarkEnd w:id="186"/>
      <w:bookmarkEnd w:id="187"/>
    </w:p>
    <w:tbl>
      <w:tblPr>
        <w:tblW w:w="4894" w:type="pct"/>
        <w:tblInd w:w="108" w:type="dxa"/>
        <w:tblLook w:val="04A0" w:firstRow="1" w:lastRow="0" w:firstColumn="1" w:lastColumn="0" w:noHBand="0" w:noVBand="1"/>
        <w:tblCaption w:val="Table 44: Change in BME groups 2001 to 2011 -Chichester District"/>
      </w:tblPr>
      <w:tblGrid>
        <w:gridCol w:w="3164"/>
        <w:gridCol w:w="1644"/>
        <w:gridCol w:w="1646"/>
        <w:gridCol w:w="1644"/>
        <w:gridCol w:w="1540"/>
      </w:tblGrid>
      <w:tr w:rsidR="00F63FBB" w:rsidRPr="001A351F" w:rsidTr="00BD0EDE">
        <w:trPr>
          <w:trHeight w:val="600"/>
          <w:tblHeader/>
        </w:trPr>
        <w:tc>
          <w:tcPr>
            <w:tcW w:w="1641" w:type="pct"/>
            <w:tcBorders>
              <w:top w:val="single" w:sz="4" w:space="0" w:color="auto"/>
              <w:left w:val="single" w:sz="4" w:space="0" w:color="auto"/>
              <w:bottom w:val="single" w:sz="4" w:space="0" w:color="auto"/>
              <w:right w:val="single" w:sz="4" w:space="0" w:color="auto"/>
            </w:tcBorders>
            <w:shd w:val="clear" w:color="000000" w:fill="0093D5"/>
            <w:vAlign w:val="center"/>
            <w:hideMark/>
          </w:tcPr>
          <w:p w:rsidR="00F63FBB" w:rsidRPr="001A351F" w:rsidRDefault="00F63FBB" w:rsidP="00F63FBB">
            <w:pPr>
              <w:keepNext/>
              <w:spacing w:line="300" w:lineRule="auto"/>
              <w:rPr>
                <w:rFonts w:ascii="Arial Narrow" w:eastAsia="Times New Roman" w:hAnsi="Arial Narrow" w:cstheme="minorHAnsi"/>
                <w:color w:val="FFFFFF" w:themeColor="background1"/>
                <w:sz w:val="24"/>
                <w:szCs w:val="24"/>
                <w:lang w:eastAsia="en-GB"/>
              </w:rPr>
            </w:pPr>
            <w:r w:rsidRPr="001A351F">
              <w:rPr>
                <w:rFonts w:ascii="Arial Narrow" w:eastAsia="Times New Roman" w:hAnsi="Arial Narrow" w:cstheme="minorHAnsi"/>
                <w:color w:val="FFFFFF" w:themeColor="background1"/>
                <w:sz w:val="24"/>
                <w:szCs w:val="24"/>
                <w:lang w:eastAsia="en-GB"/>
              </w:rPr>
              <w:t>Ethnic Group</w:t>
            </w:r>
          </w:p>
        </w:tc>
        <w:tc>
          <w:tcPr>
            <w:tcW w:w="853" w:type="pct"/>
            <w:tcBorders>
              <w:top w:val="single" w:sz="4" w:space="0" w:color="auto"/>
              <w:left w:val="nil"/>
              <w:bottom w:val="single" w:sz="4" w:space="0" w:color="auto"/>
              <w:right w:val="single" w:sz="4" w:space="0" w:color="auto"/>
            </w:tcBorders>
            <w:shd w:val="clear" w:color="000000" w:fill="0093D5"/>
            <w:vAlign w:val="center"/>
            <w:hideMark/>
          </w:tcPr>
          <w:p w:rsidR="00F63FBB" w:rsidRPr="001A351F" w:rsidRDefault="00F63FBB" w:rsidP="00F63FBB">
            <w:pPr>
              <w:keepNext/>
              <w:spacing w:line="300" w:lineRule="auto"/>
              <w:jc w:val="center"/>
              <w:rPr>
                <w:rFonts w:ascii="Arial Narrow" w:eastAsia="Times New Roman" w:hAnsi="Arial Narrow" w:cstheme="minorHAnsi"/>
                <w:color w:val="FFFFFF" w:themeColor="background1"/>
                <w:sz w:val="24"/>
                <w:szCs w:val="24"/>
                <w:lang w:eastAsia="en-GB"/>
              </w:rPr>
            </w:pPr>
            <w:r w:rsidRPr="001A351F">
              <w:rPr>
                <w:rFonts w:ascii="Arial Narrow" w:eastAsia="Times New Roman" w:hAnsi="Arial Narrow" w:cstheme="minorHAnsi"/>
                <w:color w:val="FFFFFF" w:themeColor="background1"/>
                <w:sz w:val="24"/>
                <w:szCs w:val="24"/>
                <w:lang w:eastAsia="en-GB"/>
              </w:rPr>
              <w:t>2001</w:t>
            </w:r>
          </w:p>
        </w:tc>
        <w:tc>
          <w:tcPr>
            <w:tcW w:w="854" w:type="pct"/>
            <w:tcBorders>
              <w:top w:val="single" w:sz="4" w:space="0" w:color="auto"/>
              <w:left w:val="nil"/>
              <w:bottom w:val="single" w:sz="4" w:space="0" w:color="auto"/>
              <w:right w:val="single" w:sz="4" w:space="0" w:color="auto"/>
            </w:tcBorders>
            <w:shd w:val="clear" w:color="000000" w:fill="0093D5"/>
            <w:vAlign w:val="center"/>
            <w:hideMark/>
          </w:tcPr>
          <w:p w:rsidR="00F63FBB" w:rsidRPr="001A351F" w:rsidRDefault="00F63FBB" w:rsidP="00F63FBB">
            <w:pPr>
              <w:keepNext/>
              <w:spacing w:line="300" w:lineRule="auto"/>
              <w:jc w:val="center"/>
              <w:rPr>
                <w:rFonts w:ascii="Arial Narrow" w:eastAsia="Times New Roman" w:hAnsi="Arial Narrow" w:cstheme="minorHAnsi"/>
                <w:color w:val="FFFFFF" w:themeColor="background1"/>
                <w:sz w:val="24"/>
                <w:szCs w:val="24"/>
                <w:lang w:eastAsia="en-GB"/>
              </w:rPr>
            </w:pPr>
            <w:r w:rsidRPr="001A351F">
              <w:rPr>
                <w:rFonts w:ascii="Arial Narrow" w:eastAsia="Times New Roman" w:hAnsi="Arial Narrow" w:cstheme="minorHAnsi"/>
                <w:color w:val="FFFFFF" w:themeColor="background1"/>
                <w:sz w:val="24"/>
                <w:szCs w:val="24"/>
                <w:lang w:eastAsia="en-GB"/>
              </w:rPr>
              <w:t>2011</w:t>
            </w:r>
          </w:p>
        </w:tc>
        <w:tc>
          <w:tcPr>
            <w:tcW w:w="853" w:type="pct"/>
            <w:tcBorders>
              <w:top w:val="single" w:sz="4" w:space="0" w:color="auto"/>
              <w:left w:val="nil"/>
              <w:bottom w:val="single" w:sz="4" w:space="0" w:color="auto"/>
              <w:right w:val="single" w:sz="4" w:space="0" w:color="auto"/>
            </w:tcBorders>
            <w:shd w:val="clear" w:color="000000" w:fill="0093D5"/>
            <w:vAlign w:val="center"/>
            <w:hideMark/>
          </w:tcPr>
          <w:p w:rsidR="00F63FBB" w:rsidRPr="001A351F" w:rsidRDefault="00F63FBB" w:rsidP="00F63FBB">
            <w:pPr>
              <w:keepNext/>
              <w:spacing w:line="300" w:lineRule="auto"/>
              <w:jc w:val="center"/>
              <w:rPr>
                <w:rFonts w:ascii="Arial Narrow" w:eastAsia="Times New Roman" w:hAnsi="Arial Narrow" w:cstheme="minorHAnsi"/>
                <w:color w:val="FFFFFF" w:themeColor="background1"/>
                <w:sz w:val="24"/>
                <w:szCs w:val="24"/>
                <w:lang w:eastAsia="en-GB"/>
              </w:rPr>
            </w:pPr>
            <w:r w:rsidRPr="001A351F">
              <w:rPr>
                <w:rFonts w:ascii="Arial Narrow" w:eastAsia="Times New Roman" w:hAnsi="Arial Narrow" w:cstheme="minorHAnsi"/>
                <w:color w:val="FFFFFF" w:themeColor="background1"/>
                <w:sz w:val="24"/>
                <w:szCs w:val="24"/>
                <w:lang w:eastAsia="en-GB"/>
              </w:rPr>
              <w:t>Change</w:t>
            </w:r>
          </w:p>
        </w:tc>
        <w:tc>
          <w:tcPr>
            <w:tcW w:w="800" w:type="pct"/>
            <w:tcBorders>
              <w:top w:val="single" w:sz="4" w:space="0" w:color="auto"/>
              <w:left w:val="nil"/>
              <w:bottom w:val="single" w:sz="4" w:space="0" w:color="auto"/>
              <w:right w:val="single" w:sz="4" w:space="0" w:color="auto"/>
            </w:tcBorders>
            <w:shd w:val="clear" w:color="000000" w:fill="0093D5"/>
            <w:vAlign w:val="center"/>
            <w:hideMark/>
          </w:tcPr>
          <w:p w:rsidR="00F63FBB" w:rsidRPr="001A351F" w:rsidRDefault="00F63FBB" w:rsidP="00F63FBB">
            <w:pPr>
              <w:keepNext/>
              <w:spacing w:line="300" w:lineRule="auto"/>
              <w:jc w:val="center"/>
              <w:rPr>
                <w:rFonts w:ascii="Arial Narrow" w:eastAsia="Times New Roman" w:hAnsi="Arial Narrow" w:cstheme="minorHAnsi"/>
                <w:color w:val="FFFFFF" w:themeColor="background1"/>
                <w:sz w:val="24"/>
                <w:szCs w:val="24"/>
                <w:lang w:eastAsia="en-GB"/>
              </w:rPr>
            </w:pPr>
            <w:r w:rsidRPr="001A351F">
              <w:rPr>
                <w:rFonts w:ascii="Arial Narrow" w:eastAsia="Times New Roman" w:hAnsi="Arial Narrow" w:cstheme="minorHAnsi"/>
                <w:color w:val="FFFFFF" w:themeColor="background1"/>
                <w:sz w:val="24"/>
                <w:szCs w:val="24"/>
                <w:lang w:eastAsia="en-GB"/>
              </w:rPr>
              <w:t>% change</w:t>
            </w:r>
          </w:p>
        </w:tc>
      </w:tr>
      <w:tr w:rsidR="00F63FBB" w:rsidRPr="001A351F" w:rsidTr="00BD0EDE">
        <w:trPr>
          <w:trHeight w:val="285"/>
        </w:trPr>
        <w:tc>
          <w:tcPr>
            <w:tcW w:w="1641" w:type="pct"/>
            <w:tcBorders>
              <w:top w:val="nil"/>
              <w:left w:val="single" w:sz="4" w:space="0" w:color="auto"/>
              <w:bottom w:val="single" w:sz="4" w:space="0" w:color="auto"/>
              <w:right w:val="single" w:sz="4" w:space="0" w:color="auto"/>
            </w:tcBorders>
            <w:shd w:val="clear" w:color="auto" w:fill="auto"/>
            <w:vAlign w:val="center"/>
          </w:tcPr>
          <w:p w:rsidR="00F63FBB" w:rsidRPr="001A351F" w:rsidRDefault="00F63FBB" w:rsidP="00F63FBB">
            <w:pPr>
              <w:keepNext/>
              <w:spacing w:line="300" w:lineRule="auto"/>
              <w:rPr>
                <w:rFonts w:ascii="Arial Narrow" w:hAnsi="Arial Narrow" w:cstheme="minorHAnsi"/>
                <w:color w:val="auto"/>
                <w:sz w:val="24"/>
                <w:szCs w:val="24"/>
              </w:rPr>
            </w:pPr>
            <w:r w:rsidRPr="001A351F">
              <w:rPr>
                <w:rFonts w:ascii="Arial Narrow" w:hAnsi="Arial Narrow" w:cstheme="minorHAnsi"/>
                <w:bCs/>
                <w:color w:val="auto"/>
                <w:sz w:val="24"/>
                <w:szCs w:val="24"/>
              </w:rPr>
              <w:t>White (British/Irish)</w:t>
            </w:r>
          </w:p>
        </w:tc>
        <w:tc>
          <w:tcPr>
            <w:tcW w:w="853" w:type="pct"/>
            <w:tcBorders>
              <w:top w:val="nil"/>
              <w:left w:val="nil"/>
              <w:bottom w:val="single" w:sz="4" w:space="0" w:color="auto"/>
              <w:right w:val="single" w:sz="4" w:space="0" w:color="auto"/>
            </w:tcBorders>
            <w:shd w:val="clear" w:color="auto" w:fill="auto"/>
            <w:noWrap/>
            <w:vAlign w:val="center"/>
            <w:hideMark/>
          </w:tcPr>
          <w:p w:rsidR="00F63FBB" w:rsidRPr="001A351F" w:rsidRDefault="00F63FBB" w:rsidP="00BD0EDE">
            <w:pPr>
              <w:keepNext/>
              <w:spacing w:line="300" w:lineRule="auto"/>
              <w:jc w:val="center"/>
              <w:rPr>
                <w:rFonts w:ascii="Arial Narrow" w:hAnsi="Arial Narrow" w:cstheme="minorHAnsi"/>
                <w:color w:val="auto"/>
                <w:sz w:val="24"/>
                <w:szCs w:val="24"/>
              </w:rPr>
            </w:pPr>
            <w:r w:rsidRPr="001A351F">
              <w:rPr>
                <w:rFonts w:ascii="Arial Narrow" w:hAnsi="Arial Narrow" w:cstheme="minorHAnsi"/>
                <w:color w:val="auto"/>
                <w:sz w:val="24"/>
                <w:szCs w:val="24"/>
              </w:rPr>
              <w:t>102,431</w:t>
            </w:r>
          </w:p>
        </w:tc>
        <w:tc>
          <w:tcPr>
            <w:tcW w:w="854" w:type="pct"/>
            <w:tcBorders>
              <w:top w:val="nil"/>
              <w:left w:val="nil"/>
              <w:bottom w:val="single" w:sz="4" w:space="0" w:color="auto"/>
              <w:right w:val="single" w:sz="4" w:space="0" w:color="auto"/>
            </w:tcBorders>
            <w:shd w:val="clear" w:color="auto" w:fill="auto"/>
            <w:noWrap/>
            <w:vAlign w:val="center"/>
            <w:hideMark/>
          </w:tcPr>
          <w:p w:rsidR="00F63FBB" w:rsidRPr="001A351F" w:rsidRDefault="00F63FBB" w:rsidP="00BD0EDE">
            <w:pPr>
              <w:keepNext/>
              <w:spacing w:line="300" w:lineRule="auto"/>
              <w:jc w:val="center"/>
              <w:rPr>
                <w:rFonts w:ascii="Arial Narrow" w:hAnsi="Arial Narrow" w:cstheme="minorHAnsi"/>
                <w:color w:val="auto"/>
                <w:sz w:val="24"/>
                <w:szCs w:val="24"/>
              </w:rPr>
            </w:pPr>
            <w:r w:rsidRPr="001A351F">
              <w:rPr>
                <w:rFonts w:ascii="Arial Narrow" w:hAnsi="Arial Narrow" w:cstheme="minorHAnsi"/>
                <w:color w:val="auto"/>
                <w:sz w:val="24"/>
                <w:szCs w:val="24"/>
              </w:rPr>
              <w:t>106,584</w:t>
            </w:r>
          </w:p>
        </w:tc>
        <w:tc>
          <w:tcPr>
            <w:tcW w:w="853" w:type="pct"/>
            <w:tcBorders>
              <w:top w:val="nil"/>
              <w:left w:val="nil"/>
              <w:bottom w:val="single" w:sz="4" w:space="0" w:color="auto"/>
              <w:right w:val="single" w:sz="4" w:space="0" w:color="auto"/>
            </w:tcBorders>
            <w:shd w:val="clear" w:color="auto" w:fill="auto"/>
            <w:noWrap/>
            <w:vAlign w:val="center"/>
            <w:hideMark/>
          </w:tcPr>
          <w:p w:rsidR="00F63FBB" w:rsidRPr="001A351F" w:rsidRDefault="00F63FBB" w:rsidP="00BD0EDE">
            <w:pPr>
              <w:keepNext/>
              <w:spacing w:line="300" w:lineRule="auto"/>
              <w:jc w:val="center"/>
              <w:rPr>
                <w:rFonts w:ascii="Arial Narrow" w:hAnsi="Arial Narrow" w:cstheme="minorHAnsi"/>
                <w:color w:val="auto"/>
                <w:sz w:val="24"/>
                <w:szCs w:val="24"/>
              </w:rPr>
            </w:pPr>
            <w:r w:rsidRPr="001A351F">
              <w:rPr>
                <w:rFonts w:ascii="Arial Narrow" w:hAnsi="Arial Narrow" w:cstheme="minorHAnsi"/>
                <w:color w:val="auto"/>
                <w:sz w:val="24"/>
                <w:szCs w:val="24"/>
              </w:rPr>
              <w:t>4,153</w:t>
            </w:r>
          </w:p>
        </w:tc>
        <w:tc>
          <w:tcPr>
            <w:tcW w:w="800" w:type="pct"/>
            <w:tcBorders>
              <w:top w:val="nil"/>
              <w:left w:val="nil"/>
              <w:bottom w:val="single" w:sz="4" w:space="0" w:color="auto"/>
              <w:right w:val="single" w:sz="4" w:space="0" w:color="auto"/>
            </w:tcBorders>
            <w:shd w:val="clear" w:color="auto" w:fill="auto"/>
            <w:vAlign w:val="center"/>
            <w:hideMark/>
          </w:tcPr>
          <w:p w:rsidR="00F63FBB" w:rsidRPr="001A351F" w:rsidRDefault="00F63FBB" w:rsidP="00BD0EDE">
            <w:pPr>
              <w:keepNext/>
              <w:spacing w:line="300" w:lineRule="auto"/>
              <w:jc w:val="center"/>
              <w:rPr>
                <w:rFonts w:ascii="Arial Narrow" w:hAnsi="Arial Narrow" w:cstheme="minorHAnsi"/>
                <w:color w:val="auto"/>
                <w:sz w:val="24"/>
                <w:szCs w:val="24"/>
              </w:rPr>
            </w:pPr>
            <w:r w:rsidRPr="001A351F">
              <w:rPr>
                <w:rFonts w:ascii="Arial Narrow" w:hAnsi="Arial Narrow" w:cstheme="minorHAnsi"/>
                <w:bCs/>
                <w:color w:val="auto"/>
                <w:sz w:val="24"/>
                <w:szCs w:val="24"/>
              </w:rPr>
              <w:t>4.1%</w:t>
            </w:r>
          </w:p>
        </w:tc>
      </w:tr>
      <w:tr w:rsidR="00F63FBB" w:rsidRPr="001A351F" w:rsidTr="00BD0EDE">
        <w:trPr>
          <w:trHeight w:val="285"/>
        </w:trPr>
        <w:tc>
          <w:tcPr>
            <w:tcW w:w="1641" w:type="pct"/>
            <w:tcBorders>
              <w:top w:val="nil"/>
              <w:left w:val="single" w:sz="4" w:space="0" w:color="auto"/>
              <w:bottom w:val="single" w:sz="4" w:space="0" w:color="auto"/>
              <w:right w:val="single" w:sz="4" w:space="0" w:color="auto"/>
            </w:tcBorders>
            <w:shd w:val="clear" w:color="auto" w:fill="auto"/>
            <w:vAlign w:val="center"/>
          </w:tcPr>
          <w:p w:rsidR="00F63FBB" w:rsidRPr="001A351F" w:rsidRDefault="00F63FBB" w:rsidP="00F63FBB">
            <w:pPr>
              <w:keepNext/>
              <w:spacing w:line="300" w:lineRule="auto"/>
              <w:rPr>
                <w:rFonts w:ascii="Arial Narrow" w:hAnsi="Arial Narrow" w:cstheme="minorHAnsi"/>
                <w:color w:val="auto"/>
                <w:sz w:val="24"/>
                <w:szCs w:val="24"/>
              </w:rPr>
            </w:pPr>
            <w:r w:rsidRPr="001A351F">
              <w:rPr>
                <w:rFonts w:ascii="Arial Narrow" w:hAnsi="Arial Narrow" w:cstheme="minorHAnsi"/>
                <w:bCs/>
                <w:color w:val="auto"/>
                <w:sz w:val="24"/>
                <w:szCs w:val="24"/>
              </w:rPr>
              <w:t>White - Other</w:t>
            </w:r>
          </w:p>
        </w:tc>
        <w:tc>
          <w:tcPr>
            <w:tcW w:w="853" w:type="pct"/>
            <w:tcBorders>
              <w:top w:val="nil"/>
              <w:left w:val="nil"/>
              <w:bottom w:val="single" w:sz="4" w:space="0" w:color="auto"/>
              <w:right w:val="single" w:sz="4" w:space="0" w:color="auto"/>
            </w:tcBorders>
            <w:shd w:val="clear" w:color="auto" w:fill="auto"/>
            <w:noWrap/>
            <w:vAlign w:val="center"/>
            <w:hideMark/>
          </w:tcPr>
          <w:p w:rsidR="00F63FBB" w:rsidRPr="001A351F" w:rsidRDefault="00F63FBB" w:rsidP="00BD0EDE">
            <w:pPr>
              <w:keepNext/>
              <w:spacing w:line="300" w:lineRule="auto"/>
              <w:jc w:val="center"/>
              <w:rPr>
                <w:rFonts w:ascii="Arial Narrow" w:hAnsi="Arial Narrow" w:cstheme="minorHAnsi"/>
                <w:color w:val="auto"/>
                <w:sz w:val="24"/>
                <w:szCs w:val="24"/>
              </w:rPr>
            </w:pPr>
            <w:r w:rsidRPr="001A351F">
              <w:rPr>
                <w:rFonts w:ascii="Arial Narrow" w:hAnsi="Arial Narrow" w:cstheme="minorHAnsi"/>
                <w:color w:val="auto"/>
                <w:sz w:val="24"/>
                <w:szCs w:val="24"/>
              </w:rPr>
              <w:t>2,272</w:t>
            </w:r>
          </w:p>
        </w:tc>
        <w:tc>
          <w:tcPr>
            <w:tcW w:w="854" w:type="pct"/>
            <w:tcBorders>
              <w:top w:val="nil"/>
              <w:left w:val="nil"/>
              <w:bottom w:val="single" w:sz="4" w:space="0" w:color="auto"/>
              <w:right w:val="single" w:sz="4" w:space="0" w:color="auto"/>
            </w:tcBorders>
            <w:shd w:val="clear" w:color="auto" w:fill="auto"/>
            <w:noWrap/>
            <w:vAlign w:val="center"/>
            <w:hideMark/>
          </w:tcPr>
          <w:p w:rsidR="00F63FBB" w:rsidRPr="001A351F" w:rsidRDefault="00F63FBB" w:rsidP="00BD0EDE">
            <w:pPr>
              <w:keepNext/>
              <w:spacing w:line="300" w:lineRule="auto"/>
              <w:jc w:val="center"/>
              <w:rPr>
                <w:rFonts w:ascii="Arial Narrow" w:hAnsi="Arial Narrow" w:cstheme="minorHAnsi"/>
                <w:color w:val="auto"/>
                <w:sz w:val="24"/>
                <w:szCs w:val="24"/>
              </w:rPr>
            </w:pPr>
            <w:r w:rsidRPr="001A351F">
              <w:rPr>
                <w:rFonts w:ascii="Arial Narrow" w:hAnsi="Arial Narrow" w:cstheme="minorHAnsi"/>
                <w:color w:val="auto"/>
                <w:sz w:val="24"/>
                <w:szCs w:val="24"/>
              </w:rPr>
              <w:t>3,738</w:t>
            </w:r>
          </w:p>
        </w:tc>
        <w:tc>
          <w:tcPr>
            <w:tcW w:w="853" w:type="pct"/>
            <w:tcBorders>
              <w:top w:val="nil"/>
              <w:left w:val="nil"/>
              <w:bottom w:val="single" w:sz="4" w:space="0" w:color="auto"/>
              <w:right w:val="single" w:sz="4" w:space="0" w:color="auto"/>
            </w:tcBorders>
            <w:shd w:val="clear" w:color="auto" w:fill="auto"/>
            <w:noWrap/>
            <w:vAlign w:val="center"/>
            <w:hideMark/>
          </w:tcPr>
          <w:p w:rsidR="00F63FBB" w:rsidRPr="001A351F" w:rsidRDefault="00F63FBB" w:rsidP="00BD0EDE">
            <w:pPr>
              <w:keepNext/>
              <w:spacing w:line="300" w:lineRule="auto"/>
              <w:jc w:val="center"/>
              <w:rPr>
                <w:rFonts w:ascii="Arial Narrow" w:hAnsi="Arial Narrow" w:cstheme="minorHAnsi"/>
                <w:color w:val="auto"/>
                <w:sz w:val="24"/>
                <w:szCs w:val="24"/>
              </w:rPr>
            </w:pPr>
            <w:r w:rsidRPr="001A351F">
              <w:rPr>
                <w:rFonts w:ascii="Arial Narrow" w:hAnsi="Arial Narrow" w:cstheme="minorHAnsi"/>
                <w:color w:val="auto"/>
                <w:sz w:val="24"/>
                <w:szCs w:val="24"/>
              </w:rPr>
              <w:t>1,466</w:t>
            </w:r>
          </w:p>
        </w:tc>
        <w:tc>
          <w:tcPr>
            <w:tcW w:w="800" w:type="pct"/>
            <w:tcBorders>
              <w:top w:val="nil"/>
              <w:left w:val="nil"/>
              <w:bottom w:val="single" w:sz="4" w:space="0" w:color="auto"/>
              <w:right w:val="single" w:sz="4" w:space="0" w:color="auto"/>
            </w:tcBorders>
            <w:shd w:val="clear" w:color="auto" w:fill="auto"/>
            <w:vAlign w:val="center"/>
            <w:hideMark/>
          </w:tcPr>
          <w:p w:rsidR="00F63FBB" w:rsidRPr="001A351F" w:rsidRDefault="00F63FBB" w:rsidP="00BD0EDE">
            <w:pPr>
              <w:keepNext/>
              <w:spacing w:line="300" w:lineRule="auto"/>
              <w:jc w:val="center"/>
              <w:rPr>
                <w:rFonts w:ascii="Arial Narrow" w:hAnsi="Arial Narrow" w:cstheme="minorHAnsi"/>
                <w:color w:val="auto"/>
                <w:sz w:val="24"/>
                <w:szCs w:val="24"/>
              </w:rPr>
            </w:pPr>
            <w:r w:rsidRPr="001A351F">
              <w:rPr>
                <w:rFonts w:ascii="Arial Narrow" w:hAnsi="Arial Narrow" w:cstheme="minorHAnsi"/>
                <w:bCs/>
                <w:color w:val="auto"/>
                <w:sz w:val="24"/>
                <w:szCs w:val="24"/>
              </w:rPr>
              <w:t>64.5%</w:t>
            </w:r>
          </w:p>
        </w:tc>
      </w:tr>
      <w:tr w:rsidR="00F63FBB" w:rsidRPr="001A351F" w:rsidTr="00BD0EDE">
        <w:trPr>
          <w:trHeight w:val="285"/>
        </w:trPr>
        <w:tc>
          <w:tcPr>
            <w:tcW w:w="1641" w:type="pct"/>
            <w:tcBorders>
              <w:top w:val="nil"/>
              <w:left w:val="single" w:sz="4" w:space="0" w:color="auto"/>
              <w:bottom w:val="single" w:sz="4" w:space="0" w:color="auto"/>
              <w:right w:val="single" w:sz="4" w:space="0" w:color="auto"/>
            </w:tcBorders>
            <w:shd w:val="clear" w:color="auto" w:fill="auto"/>
            <w:vAlign w:val="center"/>
          </w:tcPr>
          <w:p w:rsidR="00F63FBB" w:rsidRPr="001A351F" w:rsidRDefault="00F63FBB" w:rsidP="00F63FBB">
            <w:pPr>
              <w:keepNext/>
              <w:spacing w:line="300" w:lineRule="auto"/>
              <w:rPr>
                <w:rFonts w:ascii="Arial Narrow" w:hAnsi="Arial Narrow" w:cstheme="minorHAnsi"/>
                <w:color w:val="auto"/>
                <w:sz w:val="24"/>
                <w:szCs w:val="24"/>
              </w:rPr>
            </w:pPr>
            <w:r w:rsidRPr="001A351F">
              <w:rPr>
                <w:rFonts w:ascii="Arial Narrow" w:hAnsi="Arial Narrow" w:cstheme="minorHAnsi"/>
                <w:bCs/>
                <w:color w:val="auto"/>
                <w:sz w:val="24"/>
                <w:szCs w:val="24"/>
              </w:rPr>
              <w:t>Mixed</w:t>
            </w:r>
          </w:p>
        </w:tc>
        <w:tc>
          <w:tcPr>
            <w:tcW w:w="853" w:type="pct"/>
            <w:tcBorders>
              <w:top w:val="nil"/>
              <w:left w:val="nil"/>
              <w:bottom w:val="single" w:sz="4" w:space="0" w:color="auto"/>
              <w:right w:val="single" w:sz="4" w:space="0" w:color="auto"/>
            </w:tcBorders>
            <w:shd w:val="clear" w:color="auto" w:fill="auto"/>
            <w:noWrap/>
            <w:vAlign w:val="center"/>
            <w:hideMark/>
          </w:tcPr>
          <w:p w:rsidR="00F63FBB" w:rsidRPr="001A351F" w:rsidRDefault="00F63FBB" w:rsidP="00BD0EDE">
            <w:pPr>
              <w:keepNext/>
              <w:spacing w:line="300" w:lineRule="auto"/>
              <w:jc w:val="center"/>
              <w:rPr>
                <w:rFonts w:ascii="Arial Narrow" w:hAnsi="Arial Narrow" w:cstheme="minorHAnsi"/>
                <w:color w:val="auto"/>
                <w:sz w:val="24"/>
                <w:szCs w:val="24"/>
              </w:rPr>
            </w:pPr>
            <w:r w:rsidRPr="001A351F">
              <w:rPr>
                <w:rFonts w:ascii="Arial Narrow" w:hAnsi="Arial Narrow" w:cstheme="minorHAnsi"/>
                <w:color w:val="auto"/>
                <w:sz w:val="24"/>
                <w:szCs w:val="24"/>
              </w:rPr>
              <w:t>656</w:t>
            </w:r>
          </w:p>
        </w:tc>
        <w:tc>
          <w:tcPr>
            <w:tcW w:w="854" w:type="pct"/>
            <w:tcBorders>
              <w:top w:val="nil"/>
              <w:left w:val="nil"/>
              <w:bottom w:val="single" w:sz="4" w:space="0" w:color="auto"/>
              <w:right w:val="single" w:sz="4" w:space="0" w:color="auto"/>
            </w:tcBorders>
            <w:shd w:val="clear" w:color="auto" w:fill="auto"/>
            <w:noWrap/>
            <w:vAlign w:val="center"/>
            <w:hideMark/>
          </w:tcPr>
          <w:p w:rsidR="00F63FBB" w:rsidRPr="001A351F" w:rsidRDefault="00F63FBB" w:rsidP="00BD0EDE">
            <w:pPr>
              <w:keepNext/>
              <w:spacing w:line="300" w:lineRule="auto"/>
              <w:jc w:val="center"/>
              <w:rPr>
                <w:rFonts w:ascii="Arial Narrow" w:hAnsi="Arial Narrow" w:cstheme="minorHAnsi"/>
                <w:color w:val="auto"/>
                <w:sz w:val="24"/>
                <w:szCs w:val="24"/>
              </w:rPr>
            </w:pPr>
            <w:r w:rsidRPr="001A351F">
              <w:rPr>
                <w:rFonts w:ascii="Arial Narrow" w:hAnsi="Arial Narrow" w:cstheme="minorHAnsi"/>
                <w:color w:val="auto"/>
                <w:sz w:val="24"/>
                <w:szCs w:val="24"/>
              </w:rPr>
              <w:t>1,092</w:t>
            </w:r>
          </w:p>
        </w:tc>
        <w:tc>
          <w:tcPr>
            <w:tcW w:w="853" w:type="pct"/>
            <w:tcBorders>
              <w:top w:val="nil"/>
              <w:left w:val="nil"/>
              <w:bottom w:val="single" w:sz="4" w:space="0" w:color="auto"/>
              <w:right w:val="single" w:sz="4" w:space="0" w:color="auto"/>
            </w:tcBorders>
            <w:shd w:val="clear" w:color="auto" w:fill="auto"/>
            <w:noWrap/>
            <w:vAlign w:val="center"/>
            <w:hideMark/>
          </w:tcPr>
          <w:p w:rsidR="00F63FBB" w:rsidRPr="001A351F" w:rsidRDefault="00F63FBB" w:rsidP="00BD0EDE">
            <w:pPr>
              <w:keepNext/>
              <w:spacing w:line="300" w:lineRule="auto"/>
              <w:jc w:val="center"/>
              <w:rPr>
                <w:rFonts w:ascii="Arial Narrow" w:hAnsi="Arial Narrow" w:cstheme="minorHAnsi"/>
                <w:color w:val="auto"/>
                <w:sz w:val="24"/>
                <w:szCs w:val="24"/>
              </w:rPr>
            </w:pPr>
            <w:r w:rsidRPr="001A351F">
              <w:rPr>
                <w:rFonts w:ascii="Arial Narrow" w:hAnsi="Arial Narrow" w:cstheme="minorHAnsi"/>
                <w:color w:val="auto"/>
                <w:sz w:val="24"/>
                <w:szCs w:val="24"/>
              </w:rPr>
              <w:t>436</w:t>
            </w:r>
          </w:p>
        </w:tc>
        <w:tc>
          <w:tcPr>
            <w:tcW w:w="800" w:type="pct"/>
            <w:tcBorders>
              <w:top w:val="nil"/>
              <w:left w:val="nil"/>
              <w:bottom w:val="single" w:sz="4" w:space="0" w:color="auto"/>
              <w:right w:val="single" w:sz="4" w:space="0" w:color="auto"/>
            </w:tcBorders>
            <w:shd w:val="clear" w:color="auto" w:fill="auto"/>
            <w:vAlign w:val="center"/>
            <w:hideMark/>
          </w:tcPr>
          <w:p w:rsidR="00F63FBB" w:rsidRPr="001A351F" w:rsidRDefault="00F63FBB" w:rsidP="00BD0EDE">
            <w:pPr>
              <w:keepNext/>
              <w:spacing w:line="300" w:lineRule="auto"/>
              <w:jc w:val="center"/>
              <w:rPr>
                <w:rFonts w:ascii="Arial Narrow" w:hAnsi="Arial Narrow" w:cstheme="minorHAnsi"/>
                <w:color w:val="auto"/>
                <w:sz w:val="24"/>
                <w:szCs w:val="24"/>
              </w:rPr>
            </w:pPr>
            <w:r w:rsidRPr="001A351F">
              <w:rPr>
                <w:rFonts w:ascii="Arial Narrow" w:hAnsi="Arial Narrow" w:cstheme="minorHAnsi"/>
                <w:bCs/>
                <w:color w:val="auto"/>
                <w:sz w:val="24"/>
                <w:szCs w:val="24"/>
              </w:rPr>
              <w:t>66.5%</w:t>
            </w:r>
          </w:p>
        </w:tc>
      </w:tr>
      <w:tr w:rsidR="00F63FBB" w:rsidRPr="001A351F" w:rsidTr="00BD0EDE">
        <w:trPr>
          <w:trHeight w:val="285"/>
        </w:trPr>
        <w:tc>
          <w:tcPr>
            <w:tcW w:w="1641" w:type="pct"/>
            <w:tcBorders>
              <w:top w:val="nil"/>
              <w:left w:val="single" w:sz="4" w:space="0" w:color="auto"/>
              <w:bottom w:val="single" w:sz="4" w:space="0" w:color="auto"/>
              <w:right w:val="single" w:sz="4" w:space="0" w:color="auto"/>
            </w:tcBorders>
            <w:shd w:val="clear" w:color="auto" w:fill="auto"/>
            <w:vAlign w:val="center"/>
          </w:tcPr>
          <w:p w:rsidR="00F63FBB" w:rsidRPr="001A351F" w:rsidRDefault="00F63FBB" w:rsidP="00F63FBB">
            <w:pPr>
              <w:keepNext/>
              <w:spacing w:line="300" w:lineRule="auto"/>
              <w:rPr>
                <w:rFonts w:ascii="Arial Narrow" w:hAnsi="Arial Narrow" w:cstheme="minorHAnsi"/>
                <w:color w:val="auto"/>
                <w:sz w:val="24"/>
                <w:szCs w:val="24"/>
              </w:rPr>
            </w:pPr>
            <w:r w:rsidRPr="001A351F">
              <w:rPr>
                <w:rFonts w:ascii="Arial Narrow" w:hAnsi="Arial Narrow" w:cstheme="minorHAnsi"/>
                <w:bCs/>
                <w:color w:val="auto"/>
                <w:sz w:val="24"/>
                <w:szCs w:val="24"/>
              </w:rPr>
              <w:t>Asian or Asian British</w:t>
            </w:r>
          </w:p>
        </w:tc>
        <w:tc>
          <w:tcPr>
            <w:tcW w:w="853" w:type="pct"/>
            <w:tcBorders>
              <w:top w:val="nil"/>
              <w:left w:val="nil"/>
              <w:bottom w:val="single" w:sz="4" w:space="0" w:color="auto"/>
              <w:right w:val="single" w:sz="4" w:space="0" w:color="auto"/>
            </w:tcBorders>
            <w:shd w:val="clear" w:color="auto" w:fill="auto"/>
            <w:noWrap/>
            <w:vAlign w:val="center"/>
            <w:hideMark/>
          </w:tcPr>
          <w:p w:rsidR="00F63FBB" w:rsidRPr="001A351F" w:rsidRDefault="00F63FBB" w:rsidP="00BD0EDE">
            <w:pPr>
              <w:keepNext/>
              <w:spacing w:line="300" w:lineRule="auto"/>
              <w:jc w:val="center"/>
              <w:rPr>
                <w:rFonts w:ascii="Arial Narrow" w:hAnsi="Arial Narrow" w:cstheme="minorHAnsi"/>
                <w:color w:val="auto"/>
                <w:sz w:val="24"/>
                <w:szCs w:val="24"/>
              </w:rPr>
            </w:pPr>
            <w:r w:rsidRPr="001A351F">
              <w:rPr>
                <w:rFonts w:ascii="Arial Narrow" w:hAnsi="Arial Narrow" w:cstheme="minorHAnsi"/>
                <w:color w:val="auto"/>
                <w:sz w:val="24"/>
                <w:szCs w:val="24"/>
              </w:rPr>
              <w:t>275</w:t>
            </w:r>
          </w:p>
        </w:tc>
        <w:tc>
          <w:tcPr>
            <w:tcW w:w="854" w:type="pct"/>
            <w:tcBorders>
              <w:top w:val="nil"/>
              <w:left w:val="nil"/>
              <w:bottom w:val="single" w:sz="4" w:space="0" w:color="auto"/>
              <w:right w:val="single" w:sz="4" w:space="0" w:color="auto"/>
            </w:tcBorders>
            <w:shd w:val="clear" w:color="auto" w:fill="auto"/>
            <w:noWrap/>
            <w:vAlign w:val="center"/>
            <w:hideMark/>
          </w:tcPr>
          <w:p w:rsidR="00F63FBB" w:rsidRPr="001A351F" w:rsidRDefault="00F63FBB" w:rsidP="00BD0EDE">
            <w:pPr>
              <w:keepNext/>
              <w:spacing w:line="300" w:lineRule="auto"/>
              <w:jc w:val="center"/>
              <w:rPr>
                <w:rFonts w:ascii="Arial Narrow" w:hAnsi="Arial Narrow" w:cstheme="minorHAnsi"/>
                <w:color w:val="auto"/>
                <w:sz w:val="24"/>
                <w:szCs w:val="24"/>
              </w:rPr>
            </w:pPr>
            <w:r w:rsidRPr="001A351F">
              <w:rPr>
                <w:rFonts w:ascii="Arial Narrow" w:hAnsi="Arial Narrow" w:cstheme="minorHAnsi"/>
                <w:color w:val="auto"/>
                <w:sz w:val="24"/>
                <w:szCs w:val="24"/>
              </w:rPr>
              <w:t>637</w:t>
            </w:r>
          </w:p>
        </w:tc>
        <w:tc>
          <w:tcPr>
            <w:tcW w:w="853" w:type="pct"/>
            <w:tcBorders>
              <w:top w:val="nil"/>
              <w:left w:val="nil"/>
              <w:bottom w:val="single" w:sz="4" w:space="0" w:color="auto"/>
              <w:right w:val="single" w:sz="4" w:space="0" w:color="auto"/>
            </w:tcBorders>
            <w:shd w:val="clear" w:color="auto" w:fill="auto"/>
            <w:noWrap/>
            <w:vAlign w:val="center"/>
            <w:hideMark/>
          </w:tcPr>
          <w:p w:rsidR="00F63FBB" w:rsidRPr="001A351F" w:rsidRDefault="00F63FBB" w:rsidP="00BD0EDE">
            <w:pPr>
              <w:keepNext/>
              <w:spacing w:line="300" w:lineRule="auto"/>
              <w:jc w:val="center"/>
              <w:rPr>
                <w:rFonts w:ascii="Arial Narrow" w:hAnsi="Arial Narrow" w:cstheme="minorHAnsi"/>
                <w:color w:val="auto"/>
                <w:sz w:val="24"/>
                <w:szCs w:val="24"/>
              </w:rPr>
            </w:pPr>
            <w:r w:rsidRPr="001A351F">
              <w:rPr>
                <w:rFonts w:ascii="Arial Narrow" w:hAnsi="Arial Narrow" w:cstheme="minorHAnsi"/>
                <w:color w:val="auto"/>
                <w:sz w:val="24"/>
                <w:szCs w:val="24"/>
              </w:rPr>
              <w:t>362</w:t>
            </w:r>
          </w:p>
        </w:tc>
        <w:tc>
          <w:tcPr>
            <w:tcW w:w="800" w:type="pct"/>
            <w:tcBorders>
              <w:top w:val="nil"/>
              <w:left w:val="nil"/>
              <w:bottom w:val="single" w:sz="4" w:space="0" w:color="auto"/>
              <w:right w:val="single" w:sz="4" w:space="0" w:color="auto"/>
            </w:tcBorders>
            <w:shd w:val="clear" w:color="auto" w:fill="auto"/>
            <w:vAlign w:val="center"/>
            <w:hideMark/>
          </w:tcPr>
          <w:p w:rsidR="00F63FBB" w:rsidRPr="001A351F" w:rsidRDefault="00F63FBB" w:rsidP="00BD0EDE">
            <w:pPr>
              <w:keepNext/>
              <w:spacing w:line="300" w:lineRule="auto"/>
              <w:jc w:val="center"/>
              <w:rPr>
                <w:rFonts w:ascii="Arial Narrow" w:hAnsi="Arial Narrow" w:cstheme="minorHAnsi"/>
                <w:color w:val="auto"/>
                <w:sz w:val="24"/>
                <w:szCs w:val="24"/>
              </w:rPr>
            </w:pPr>
            <w:r w:rsidRPr="001A351F">
              <w:rPr>
                <w:rFonts w:ascii="Arial Narrow" w:hAnsi="Arial Narrow" w:cstheme="minorHAnsi"/>
                <w:bCs/>
                <w:color w:val="auto"/>
                <w:sz w:val="24"/>
                <w:szCs w:val="24"/>
              </w:rPr>
              <w:t>131.6%</w:t>
            </w:r>
          </w:p>
        </w:tc>
      </w:tr>
      <w:tr w:rsidR="00F63FBB" w:rsidRPr="001A351F" w:rsidTr="00BD0EDE">
        <w:trPr>
          <w:trHeight w:val="285"/>
        </w:trPr>
        <w:tc>
          <w:tcPr>
            <w:tcW w:w="1641" w:type="pct"/>
            <w:tcBorders>
              <w:top w:val="nil"/>
              <w:left w:val="single" w:sz="4" w:space="0" w:color="auto"/>
              <w:bottom w:val="single" w:sz="4" w:space="0" w:color="auto"/>
              <w:right w:val="single" w:sz="4" w:space="0" w:color="auto"/>
            </w:tcBorders>
            <w:shd w:val="clear" w:color="auto" w:fill="auto"/>
            <w:vAlign w:val="center"/>
          </w:tcPr>
          <w:p w:rsidR="00F63FBB" w:rsidRPr="001A351F" w:rsidRDefault="00F63FBB" w:rsidP="00F63FBB">
            <w:pPr>
              <w:keepNext/>
              <w:spacing w:line="300" w:lineRule="auto"/>
              <w:rPr>
                <w:rFonts w:ascii="Arial Narrow" w:hAnsi="Arial Narrow" w:cstheme="minorHAnsi"/>
                <w:color w:val="auto"/>
                <w:sz w:val="24"/>
                <w:szCs w:val="24"/>
              </w:rPr>
            </w:pPr>
            <w:r w:rsidRPr="001A351F">
              <w:rPr>
                <w:rFonts w:ascii="Arial Narrow" w:hAnsi="Arial Narrow" w:cstheme="minorHAnsi"/>
                <w:bCs/>
                <w:color w:val="auto"/>
                <w:sz w:val="24"/>
                <w:szCs w:val="24"/>
              </w:rPr>
              <w:t>Black or Black British</w:t>
            </w:r>
          </w:p>
        </w:tc>
        <w:tc>
          <w:tcPr>
            <w:tcW w:w="853" w:type="pct"/>
            <w:tcBorders>
              <w:top w:val="nil"/>
              <w:left w:val="nil"/>
              <w:bottom w:val="single" w:sz="4" w:space="0" w:color="auto"/>
              <w:right w:val="single" w:sz="4" w:space="0" w:color="auto"/>
            </w:tcBorders>
            <w:shd w:val="clear" w:color="auto" w:fill="auto"/>
            <w:noWrap/>
            <w:vAlign w:val="center"/>
            <w:hideMark/>
          </w:tcPr>
          <w:p w:rsidR="00F63FBB" w:rsidRPr="001A351F" w:rsidRDefault="00F63FBB" w:rsidP="00BD0EDE">
            <w:pPr>
              <w:keepNext/>
              <w:spacing w:line="300" w:lineRule="auto"/>
              <w:jc w:val="center"/>
              <w:rPr>
                <w:rFonts w:ascii="Arial Narrow" w:hAnsi="Arial Narrow" w:cstheme="minorHAnsi"/>
                <w:color w:val="auto"/>
                <w:sz w:val="24"/>
                <w:szCs w:val="24"/>
              </w:rPr>
            </w:pPr>
            <w:r w:rsidRPr="001A351F">
              <w:rPr>
                <w:rFonts w:ascii="Arial Narrow" w:hAnsi="Arial Narrow" w:cstheme="minorHAnsi"/>
                <w:color w:val="auto"/>
                <w:sz w:val="24"/>
                <w:szCs w:val="24"/>
              </w:rPr>
              <w:t>211</w:t>
            </w:r>
          </w:p>
        </w:tc>
        <w:tc>
          <w:tcPr>
            <w:tcW w:w="854" w:type="pct"/>
            <w:tcBorders>
              <w:top w:val="nil"/>
              <w:left w:val="nil"/>
              <w:bottom w:val="single" w:sz="4" w:space="0" w:color="auto"/>
              <w:right w:val="single" w:sz="4" w:space="0" w:color="auto"/>
            </w:tcBorders>
            <w:shd w:val="clear" w:color="auto" w:fill="auto"/>
            <w:noWrap/>
            <w:vAlign w:val="center"/>
            <w:hideMark/>
          </w:tcPr>
          <w:p w:rsidR="00F63FBB" w:rsidRPr="001A351F" w:rsidRDefault="00F63FBB" w:rsidP="00BD0EDE">
            <w:pPr>
              <w:keepNext/>
              <w:spacing w:line="300" w:lineRule="auto"/>
              <w:jc w:val="center"/>
              <w:rPr>
                <w:rFonts w:ascii="Arial Narrow" w:hAnsi="Arial Narrow" w:cstheme="minorHAnsi"/>
                <w:color w:val="auto"/>
                <w:sz w:val="24"/>
                <w:szCs w:val="24"/>
              </w:rPr>
            </w:pPr>
            <w:r w:rsidRPr="001A351F">
              <w:rPr>
                <w:rFonts w:ascii="Arial Narrow" w:hAnsi="Arial Narrow" w:cstheme="minorHAnsi"/>
                <w:color w:val="auto"/>
                <w:sz w:val="24"/>
                <w:szCs w:val="24"/>
              </w:rPr>
              <w:t>518</w:t>
            </w:r>
          </w:p>
        </w:tc>
        <w:tc>
          <w:tcPr>
            <w:tcW w:w="853" w:type="pct"/>
            <w:tcBorders>
              <w:top w:val="nil"/>
              <w:left w:val="nil"/>
              <w:bottom w:val="single" w:sz="4" w:space="0" w:color="auto"/>
              <w:right w:val="single" w:sz="4" w:space="0" w:color="auto"/>
            </w:tcBorders>
            <w:shd w:val="clear" w:color="auto" w:fill="auto"/>
            <w:noWrap/>
            <w:vAlign w:val="center"/>
            <w:hideMark/>
          </w:tcPr>
          <w:p w:rsidR="00F63FBB" w:rsidRPr="001A351F" w:rsidRDefault="00F63FBB" w:rsidP="00BD0EDE">
            <w:pPr>
              <w:keepNext/>
              <w:spacing w:line="300" w:lineRule="auto"/>
              <w:jc w:val="center"/>
              <w:rPr>
                <w:rFonts w:ascii="Arial Narrow" w:hAnsi="Arial Narrow" w:cstheme="minorHAnsi"/>
                <w:color w:val="auto"/>
                <w:sz w:val="24"/>
                <w:szCs w:val="24"/>
              </w:rPr>
            </w:pPr>
            <w:r w:rsidRPr="001A351F">
              <w:rPr>
                <w:rFonts w:ascii="Arial Narrow" w:hAnsi="Arial Narrow" w:cstheme="minorHAnsi"/>
                <w:color w:val="auto"/>
                <w:sz w:val="24"/>
                <w:szCs w:val="24"/>
              </w:rPr>
              <w:t>307</w:t>
            </w:r>
          </w:p>
        </w:tc>
        <w:tc>
          <w:tcPr>
            <w:tcW w:w="800" w:type="pct"/>
            <w:tcBorders>
              <w:top w:val="nil"/>
              <w:left w:val="nil"/>
              <w:bottom w:val="single" w:sz="4" w:space="0" w:color="auto"/>
              <w:right w:val="single" w:sz="4" w:space="0" w:color="auto"/>
            </w:tcBorders>
            <w:shd w:val="clear" w:color="auto" w:fill="auto"/>
            <w:vAlign w:val="center"/>
            <w:hideMark/>
          </w:tcPr>
          <w:p w:rsidR="00F63FBB" w:rsidRPr="001A351F" w:rsidRDefault="00F63FBB" w:rsidP="00BD0EDE">
            <w:pPr>
              <w:keepNext/>
              <w:spacing w:line="300" w:lineRule="auto"/>
              <w:jc w:val="center"/>
              <w:rPr>
                <w:rFonts w:ascii="Arial Narrow" w:hAnsi="Arial Narrow" w:cstheme="minorHAnsi"/>
                <w:color w:val="auto"/>
                <w:sz w:val="24"/>
                <w:szCs w:val="24"/>
              </w:rPr>
            </w:pPr>
            <w:r w:rsidRPr="001A351F">
              <w:rPr>
                <w:rFonts w:ascii="Arial Narrow" w:hAnsi="Arial Narrow" w:cstheme="minorHAnsi"/>
                <w:bCs/>
                <w:color w:val="auto"/>
                <w:sz w:val="24"/>
                <w:szCs w:val="24"/>
              </w:rPr>
              <w:t>145.5%</w:t>
            </w:r>
          </w:p>
        </w:tc>
      </w:tr>
      <w:tr w:rsidR="00F63FBB" w:rsidRPr="001A351F" w:rsidTr="00BD0EDE">
        <w:trPr>
          <w:trHeight w:val="285"/>
        </w:trPr>
        <w:tc>
          <w:tcPr>
            <w:tcW w:w="1641" w:type="pct"/>
            <w:tcBorders>
              <w:top w:val="nil"/>
              <w:left w:val="single" w:sz="4" w:space="0" w:color="auto"/>
              <w:bottom w:val="single" w:sz="4" w:space="0" w:color="auto"/>
              <w:right w:val="single" w:sz="4" w:space="0" w:color="auto"/>
            </w:tcBorders>
            <w:shd w:val="clear" w:color="auto" w:fill="auto"/>
            <w:vAlign w:val="center"/>
          </w:tcPr>
          <w:p w:rsidR="00F63FBB" w:rsidRPr="001A351F" w:rsidRDefault="00F63FBB" w:rsidP="00F63FBB">
            <w:pPr>
              <w:keepNext/>
              <w:spacing w:line="300" w:lineRule="auto"/>
              <w:rPr>
                <w:rFonts w:ascii="Arial Narrow" w:hAnsi="Arial Narrow" w:cstheme="minorHAnsi"/>
                <w:color w:val="auto"/>
                <w:sz w:val="24"/>
                <w:szCs w:val="24"/>
              </w:rPr>
            </w:pPr>
            <w:r w:rsidRPr="001A351F">
              <w:rPr>
                <w:rFonts w:ascii="Arial Narrow" w:hAnsi="Arial Narrow" w:cstheme="minorHAnsi"/>
                <w:bCs/>
                <w:color w:val="auto"/>
                <w:sz w:val="24"/>
                <w:szCs w:val="24"/>
              </w:rPr>
              <w:t>Chinese and other</w:t>
            </w:r>
            <w:r w:rsidR="00E91EC3" w:rsidRPr="001A351F">
              <w:rPr>
                <w:rFonts w:ascii="Arial Narrow" w:hAnsi="Arial Narrow" w:cstheme="minorHAnsi"/>
                <w:bCs/>
                <w:color w:val="auto"/>
                <w:sz w:val="24"/>
                <w:szCs w:val="24"/>
              </w:rPr>
              <w:t xml:space="preserve"> Asian</w:t>
            </w:r>
          </w:p>
        </w:tc>
        <w:tc>
          <w:tcPr>
            <w:tcW w:w="853" w:type="pct"/>
            <w:tcBorders>
              <w:top w:val="nil"/>
              <w:left w:val="nil"/>
              <w:bottom w:val="single" w:sz="4" w:space="0" w:color="auto"/>
              <w:right w:val="single" w:sz="4" w:space="0" w:color="auto"/>
            </w:tcBorders>
            <w:shd w:val="clear" w:color="auto" w:fill="auto"/>
            <w:noWrap/>
            <w:vAlign w:val="center"/>
            <w:hideMark/>
          </w:tcPr>
          <w:p w:rsidR="00F63FBB" w:rsidRPr="001A351F" w:rsidRDefault="00F63FBB" w:rsidP="00BD0EDE">
            <w:pPr>
              <w:keepNext/>
              <w:spacing w:line="300" w:lineRule="auto"/>
              <w:jc w:val="center"/>
              <w:rPr>
                <w:rFonts w:ascii="Arial Narrow" w:hAnsi="Arial Narrow" w:cstheme="minorHAnsi"/>
                <w:color w:val="auto"/>
                <w:sz w:val="24"/>
                <w:szCs w:val="24"/>
              </w:rPr>
            </w:pPr>
            <w:r w:rsidRPr="001A351F">
              <w:rPr>
                <w:rFonts w:ascii="Arial Narrow" w:hAnsi="Arial Narrow" w:cstheme="minorHAnsi"/>
                <w:color w:val="auto"/>
                <w:sz w:val="24"/>
                <w:szCs w:val="24"/>
              </w:rPr>
              <w:t>374</w:t>
            </w:r>
          </w:p>
        </w:tc>
        <w:tc>
          <w:tcPr>
            <w:tcW w:w="854" w:type="pct"/>
            <w:tcBorders>
              <w:top w:val="nil"/>
              <w:left w:val="nil"/>
              <w:bottom w:val="single" w:sz="4" w:space="0" w:color="auto"/>
              <w:right w:val="single" w:sz="4" w:space="0" w:color="auto"/>
            </w:tcBorders>
            <w:shd w:val="clear" w:color="auto" w:fill="auto"/>
            <w:noWrap/>
            <w:vAlign w:val="center"/>
            <w:hideMark/>
          </w:tcPr>
          <w:p w:rsidR="00F63FBB" w:rsidRPr="001A351F" w:rsidRDefault="00F63FBB" w:rsidP="00BD0EDE">
            <w:pPr>
              <w:keepNext/>
              <w:spacing w:line="300" w:lineRule="auto"/>
              <w:jc w:val="center"/>
              <w:rPr>
                <w:rFonts w:ascii="Arial Narrow" w:hAnsi="Arial Narrow" w:cstheme="minorHAnsi"/>
                <w:color w:val="auto"/>
                <w:sz w:val="24"/>
                <w:szCs w:val="24"/>
              </w:rPr>
            </w:pPr>
            <w:r w:rsidRPr="001A351F">
              <w:rPr>
                <w:rFonts w:ascii="Arial Narrow" w:hAnsi="Arial Narrow" w:cstheme="minorHAnsi"/>
                <w:color w:val="auto"/>
                <w:sz w:val="24"/>
                <w:szCs w:val="24"/>
              </w:rPr>
              <w:t>980</w:t>
            </w:r>
          </w:p>
        </w:tc>
        <w:tc>
          <w:tcPr>
            <w:tcW w:w="853" w:type="pct"/>
            <w:tcBorders>
              <w:top w:val="nil"/>
              <w:left w:val="nil"/>
              <w:bottom w:val="single" w:sz="4" w:space="0" w:color="auto"/>
              <w:right w:val="single" w:sz="4" w:space="0" w:color="auto"/>
            </w:tcBorders>
            <w:shd w:val="clear" w:color="auto" w:fill="auto"/>
            <w:noWrap/>
            <w:vAlign w:val="center"/>
            <w:hideMark/>
          </w:tcPr>
          <w:p w:rsidR="00F63FBB" w:rsidRPr="001A351F" w:rsidRDefault="00F63FBB" w:rsidP="00BD0EDE">
            <w:pPr>
              <w:keepNext/>
              <w:spacing w:line="300" w:lineRule="auto"/>
              <w:jc w:val="center"/>
              <w:rPr>
                <w:rFonts w:ascii="Arial Narrow" w:hAnsi="Arial Narrow" w:cstheme="minorHAnsi"/>
                <w:color w:val="auto"/>
                <w:sz w:val="24"/>
                <w:szCs w:val="24"/>
              </w:rPr>
            </w:pPr>
            <w:r w:rsidRPr="001A351F">
              <w:rPr>
                <w:rFonts w:ascii="Arial Narrow" w:hAnsi="Arial Narrow" w:cstheme="minorHAnsi"/>
                <w:color w:val="auto"/>
                <w:sz w:val="24"/>
                <w:szCs w:val="24"/>
              </w:rPr>
              <w:t>606</w:t>
            </w:r>
          </w:p>
        </w:tc>
        <w:tc>
          <w:tcPr>
            <w:tcW w:w="800" w:type="pct"/>
            <w:tcBorders>
              <w:top w:val="nil"/>
              <w:left w:val="nil"/>
              <w:bottom w:val="single" w:sz="4" w:space="0" w:color="auto"/>
              <w:right w:val="single" w:sz="4" w:space="0" w:color="auto"/>
            </w:tcBorders>
            <w:shd w:val="clear" w:color="auto" w:fill="auto"/>
            <w:vAlign w:val="center"/>
            <w:hideMark/>
          </w:tcPr>
          <w:p w:rsidR="00F63FBB" w:rsidRPr="001A351F" w:rsidRDefault="00F63FBB" w:rsidP="00BD0EDE">
            <w:pPr>
              <w:keepNext/>
              <w:spacing w:line="300" w:lineRule="auto"/>
              <w:jc w:val="center"/>
              <w:rPr>
                <w:rFonts w:ascii="Arial Narrow" w:hAnsi="Arial Narrow" w:cstheme="minorHAnsi"/>
                <w:color w:val="auto"/>
                <w:sz w:val="24"/>
                <w:szCs w:val="24"/>
              </w:rPr>
            </w:pPr>
            <w:r w:rsidRPr="001A351F">
              <w:rPr>
                <w:rFonts w:ascii="Arial Narrow" w:hAnsi="Arial Narrow" w:cstheme="minorHAnsi"/>
                <w:bCs/>
                <w:color w:val="auto"/>
                <w:sz w:val="24"/>
                <w:szCs w:val="24"/>
              </w:rPr>
              <w:t>162.0%</w:t>
            </w:r>
          </w:p>
        </w:tc>
      </w:tr>
      <w:tr w:rsidR="00F63FBB" w:rsidRPr="001A351F" w:rsidTr="00BD0EDE">
        <w:trPr>
          <w:trHeight w:val="285"/>
        </w:trPr>
        <w:tc>
          <w:tcPr>
            <w:tcW w:w="1641" w:type="pct"/>
            <w:tcBorders>
              <w:top w:val="nil"/>
              <w:left w:val="single" w:sz="4" w:space="0" w:color="auto"/>
              <w:bottom w:val="single" w:sz="4" w:space="0" w:color="auto"/>
              <w:right w:val="single" w:sz="4" w:space="0" w:color="auto"/>
            </w:tcBorders>
            <w:shd w:val="clear" w:color="auto" w:fill="auto"/>
            <w:vAlign w:val="center"/>
            <w:hideMark/>
          </w:tcPr>
          <w:p w:rsidR="00F63FBB" w:rsidRPr="001A351F" w:rsidRDefault="00F63FBB" w:rsidP="00F63FBB">
            <w:pPr>
              <w:keepNext/>
              <w:spacing w:line="300" w:lineRule="auto"/>
              <w:rPr>
                <w:rFonts w:ascii="Arial Narrow" w:hAnsi="Arial Narrow" w:cstheme="minorHAnsi"/>
                <w:color w:val="auto"/>
                <w:sz w:val="24"/>
                <w:szCs w:val="24"/>
              </w:rPr>
            </w:pPr>
            <w:r w:rsidRPr="001A351F">
              <w:rPr>
                <w:rFonts w:ascii="Arial Narrow" w:hAnsi="Arial Narrow" w:cstheme="minorHAnsi"/>
                <w:bCs/>
                <w:color w:val="auto"/>
                <w:sz w:val="24"/>
                <w:szCs w:val="24"/>
              </w:rPr>
              <w:t>Total</w:t>
            </w:r>
          </w:p>
        </w:tc>
        <w:tc>
          <w:tcPr>
            <w:tcW w:w="853" w:type="pct"/>
            <w:tcBorders>
              <w:top w:val="nil"/>
              <w:left w:val="nil"/>
              <w:bottom w:val="single" w:sz="4" w:space="0" w:color="auto"/>
              <w:right w:val="single" w:sz="4" w:space="0" w:color="auto"/>
            </w:tcBorders>
            <w:shd w:val="clear" w:color="auto" w:fill="auto"/>
            <w:noWrap/>
            <w:vAlign w:val="center"/>
            <w:hideMark/>
          </w:tcPr>
          <w:p w:rsidR="00F63FBB" w:rsidRPr="001A351F" w:rsidRDefault="00F63FBB" w:rsidP="00BD0EDE">
            <w:pPr>
              <w:keepNext/>
              <w:spacing w:line="300" w:lineRule="auto"/>
              <w:jc w:val="center"/>
              <w:rPr>
                <w:rFonts w:ascii="Arial Narrow" w:hAnsi="Arial Narrow" w:cstheme="minorHAnsi"/>
                <w:color w:val="auto"/>
                <w:sz w:val="24"/>
                <w:szCs w:val="24"/>
              </w:rPr>
            </w:pPr>
            <w:r w:rsidRPr="001A351F">
              <w:rPr>
                <w:rFonts w:ascii="Arial Narrow" w:hAnsi="Arial Narrow" w:cstheme="minorHAnsi"/>
                <w:color w:val="auto"/>
                <w:sz w:val="24"/>
                <w:szCs w:val="24"/>
              </w:rPr>
              <w:t>106,450</w:t>
            </w:r>
          </w:p>
        </w:tc>
        <w:tc>
          <w:tcPr>
            <w:tcW w:w="854" w:type="pct"/>
            <w:tcBorders>
              <w:top w:val="nil"/>
              <w:left w:val="nil"/>
              <w:bottom w:val="single" w:sz="4" w:space="0" w:color="auto"/>
              <w:right w:val="single" w:sz="4" w:space="0" w:color="auto"/>
            </w:tcBorders>
            <w:shd w:val="clear" w:color="auto" w:fill="auto"/>
            <w:noWrap/>
            <w:vAlign w:val="center"/>
            <w:hideMark/>
          </w:tcPr>
          <w:p w:rsidR="00F63FBB" w:rsidRPr="001A351F" w:rsidRDefault="00F63FBB" w:rsidP="00BD0EDE">
            <w:pPr>
              <w:keepNext/>
              <w:spacing w:line="300" w:lineRule="auto"/>
              <w:jc w:val="center"/>
              <w:rPr>
                <w:rFonts w:ascii="Arial Narrow" w:hAnsi="Arial Narrow" w:cstheme="minorHAnsi"/>
                <w:color w:val="auto"/>
                <w:sz w:val="24"/>
                <w:szCs w:val="24"/>
              </w:rPr>
            </w:pPr>
            <w:r w:rsidRPr="001A351F">
              <w:rPr>
                <w:rFonts w:ascii="Arial Narrow" w:hAnsi="Arial Narrow" w:cstheme="minorHAnsi"/>
                <w:color w:val="auto"/>
                <w:sz w:val="24"/>
                <w:szCs w:val="24"/>
              </w:rPr>
              <w:t>113,794</w:t>
            </w:r>
          </w:p>
        </w:tc>
        <w:tc>
          <w:tcPr>
            <w:tcW w:w="853" w:type="pct"/>
            <w:tcBorders>
              <w:top w:val="nil"/>
              <w:left w:val="nil"/>
              <w:bottom w:val="single" w:sz="4" w:space="0" w:color="auto"/>
              <w:right w:val="single" w:sz="4" w:space="0" w:color="auto"/>
            </w:tcBorders>
            <w:shd w:val="clear" w:color="auto" w:fill="auto"/>
            <w:noWrap/>
            <w:vAlign w:val="center"/>
            <w:hideMark/>
          </w:tcPr>
          <w:p w:rsidR="00F63FBB" w:rsidRPr="001A351F" w:rsidRDefault="00F63FBB" w:rsidP="00BD0EDE">
            <w:pPr>
              <w:keepNext/>
              <w:spacing w:line="300" w:lineRule="auto"/>
              <w:jc w:val="center"/>
              <w:rPr>
                <w:rFonts w:ascii="Arial Narrow" w:hAnsi="Arial Narrow" w:cstheme="minorHAnsi"/>
                <w:color w:val="auto"/>
                <w:sz w:val="24"/>
                <w:szCs w:val="24"/>
              </w:rPr>
            </w:pPr>
            <w:r w:rsidRPr="001A351F">
              <w:rPr>
                <w:rFonts w:ascii="Arial Narrow" w:hAnsi="Arial Narrow" w:cstheme="minorHAnsi"/>
                <w:color w:val="auto"/>
                <w:sz w:val="24"/>
                <w:szCs w:val="24"/>
              </w:rPr>
              <w:t>7,344</w:t>
            </w:r>
          </w:p>
        </w:tc>
        <w:tc>
          <w:tcPr>
            <w:tcW w:w="800" w:type="pct"/>
            <w:tcBorders>
              <w:top w:val="nil"/>
              <w:left w:val="nil"/>
              <w:bottom w:val="single" w:sz="4" w:space="0" w:color="auto"/>
              <w:right w:val="single" w:sz="4" w:space="0" w:color="auto"/>
            </w:tcBorders>
            <w:shd w:val="clear" w:color="auto" w:fill="auto"/>
            <w:vAlign w:val="center"/>
            <w:hideMark/>
          </w:tcPr>
          <w:p w:rsidR="00F63FBB" w:rsidRPr="001A351F" w:rsidRDefault="00F63FBB" w:rsidP="00BD0EDE">
            <w:pPr>
              <w:keepNext/>
              <w:spacing w:line="300" w:lineRule="auto"/>
              <w:jc w:val="center"/>
              <w:rPr>
                <w:rFonts w:ascii="Arial Narrow" w:hAnsi="Arial Narrow" w:cstheme="minorHAnsi"/>
                <w:color w:val="auto"/>
                <w:sz w:val="24"/>
                <w:szCs w:val="24"/>
              </w:rPr>
            </w:pPr>
            <w:r w:rsidRPr="001A351F">
              <w:rPr>
                <w:rFonts w:ascii="Arial Narrow" w:hAnsi="Arial Narrow" w:cstheme="minorHAnsi"/>
                <w:bCs/>
                <w:color w:val="auto"/>
                <w:sz w:val="24"/>
                <w:szCs w:val="24"/>
              </w:rPr>
              <w:t>6.9%</w:t>
            </w:r>
          </w:p>
        </w:tc>
      </w:tr>
      <w:tr w:rsidR="00F63FBB" w:rsidRPr="001A351F" w:rsidTr="00BD0EDE">
        <w:trPr>
          <w:trHeight w:val="285"/>
        </w:trPr>
        <w:tc>
          <w:tcPr>
            <w:tcW w:w="1641" w:type="pct"/>
            <w:tcBorders>
              <w:top w:val="nil"/>
              <w:left w:val="single" w:sz="4" w:space="0" w:color="auto"/>
              <w:bottom w:val="single" w:sz="4" w:space="0" w:color="auto"/>
              <w:right w:val="single" w:sz="4" w:space="0" w:color="auto"/>
            </w:tcBorders>
            <w:shd w:val="clear" w:color="auto" w:fill="auto"/>
            <w:vAlign w:val="center"/>
            <w:hideMark/>
          </w:tcPr>
          <w:p w:rsidR="00F63FBB" w:rsidRPr="001A351F" w:rsidRDefault="00F63FBB" w:rsidP="00F63FBB">
            <w:pPr>
              <w:keepNext/>
              <w:spacing w:line="300" w:lineRule="auto"/>
              <w:rPr>
                <w:rFonts w:ascii="Arial Narrow" w:hAnsi="Arial Narrow" w:cstheme="minorHAnsi"/>
                <w:color w:val="auto"/>
                <w:sz w:val="24"/>
                <w:szCs w:val="24"/>
              </w:rPr>
            </w:pPr>
            <w:r w:rsidRPr="001A351F">
              <w:rPr>
                <w:rFonts w:ascii="Arial Narrow" w:hAnsi="Arial Narrow" w:cstheme="minorHAnsi"/>
                <w:bCs/>
                <w:color w:val="auto"/>
                <w:sz w:val="24"/>
                <w:szCs w:val="24"/>
              </w:rPr>
              <w:t>Non-White (British/Irish)</w:t>
            </w:r>
          </w:p>
        </w:tc>
        <w:tc>
          <w:tcPr>
            <w:tcW w:w="853" w:type="pct"/>
            <w:tcBorders>
              <w:top w:val="nil"/>
              <w:left w:val="nil"/>
              <w:bottom w:val="single" w:sz="4" w:space="0" w:color="auto"/>
              <w:right w:val="single" w:sz="4" w:space="0" w:color="auto"/>
            </w:tcBorders>
            <w:shd w:val="clear" w:color="auto" w:fill="auto"/>
            <w:noWrap/>
            <w:vAlign w:val="center"/>
            <w:hideMark/>
          </w:tcPr>
          <w:p w:rsidR="00F63FBB" w:rsidRPr="001A351F" w:rsidRDefault="00F63FBB" w:rsidP="00BD0EDE">
            <w:pPr>
              <w:keepNext/>
              <w:spacing w:line="300" w:lineRule="auto"/>
              <w:jc w:val="center"/>
              <w:rPr>
                <w:rFonts w:ascii="Arial Narrow" w:hAnsi="Arial Narrow" w:cstheme="minorHAnsi"/>
                <w:color w:val="auto"/>
                <w:sz w:val="24"/>
                <w:szCs w:val="24"/>
              </w:rPr>
            </w:pPr>
            <w:r w:rsidRPr="001A351F">
              <w:rPr>
                <w:rFonts w:ascii="Arial Narrow" w:hAnsi="Arial Narrow" w:cstheme="minorHAnsi"/>
                <w:color w:val="auto"/>
                <w:sz w:val="24"/>
                <w:szCs w:val="24"/>
              </w:rPr>
              <w:t>3,788</w:t>
            </w:r>
          </w:p>
        </w:tc>
        <w:tc>
          <w:tcPr>
            <w:tcW w:w="854" w:type="pct"/>
            <w:tcBorders>
              <w:top w:val="nil"/>
              <w:left w:val="nil"/>
              <w:bottom w:val="single" w:sz="4" w:space="0" w:color="auto"/>
              <w:right w:val="single" w:sz="4" w:space="0" w:color="auto"/>
            </w:tcBorders>
            <w:shd w:val="clear" w:color="auto" w:fill="auto"/>
            <w:noWrap/>
            <w:vAlign w:val="center"/>
            <w:hideMark/>
          </w:tcPr>
          <w:p w:rsidR="00F63FBB" w:rsidRPr="001A351F" w:rsidRDefault="00F63FBB" w:rsidP="00BD0EDE">
            <w:pPr>
              <w:keepNext/>
              <w:spacing w:line="300" w:lineRule="auto"/>
              <w:jc w:val="center"/>
              <w:rPr>
                <w:rFonts w:ascii="Arial Narrow" w:hAnsi="Arial Narrow" w:cstheme="minorHAnsi"/>
                <w:color w:val="auto"/>
                <w:sz w:val="24"/>
                <w:szCs w:val="24"/>
              </w:rPr>
            </w:pPr>
            <w:r w:rsidRPr="001A351F">
              <w:rPr>
                <w:rFonts w:ascii="Arial Narrow" w:hAnsi="Arial Narrow" w:cstheme="minorHAnsi"/>
                <w:bCs/>
                <w:color w:val="auto"/>
                <w:sz w:val="24"/>
                <w:szCs w:val="24"/>
              </w:rPr>
              <w:t>6,965</w:t>
            </w:r>
          </w:p>
        </w:tc>
        <w:tc>
          <w:tcPr>
            <w:tcW w:w="853" w:type="pct"/>
            <w:tcBorders>
              <w:top w:val="nil"/>
              <w:left w:val="nil"/>
              <w:bottom w:val="single" w:sz="4" w:space="0" w:color="auto"/>
              <w:right w:val="single" w:sz="4" w:space="0" w:color="auto"/>
            </w:tcBorders>
            <w:shd w:val="clear" w:color="auto" w:fill="auto"/>
            <w:noWrap/>
            <w:vAlign w:val="center"/>
            <w:hideMark/>
          </w:tcPr>
          <w:p w:rsidR="00F63FBB" w:rsidRPr="001A351F" w:rsidRDefault="00F63FBB" w:rsidP="00BD0EDE">
            <w:pPr>
              <w:keepNext/>
              <w:spacing w:line="300" w:lineRule="auto"/>
              <w:jc w:val="center"/>
              <w:rPr>
                <w:rFonts w:ascii="Arial Narrow" w:hAnsi="Arial Narrow" w:cstheme="minorHAnsi"/>
                <w:color w:val="auto"/>
                <w:sz w:val="24"/>
                <w:szCs w:val="24"/>
              </w:rPr>
            </w:pPr>
            <w:r w:rsidRPr="001A351F">
              <w:rPr>
                <w:rFonts w:ascii="Arial Narrow" w:hAnsi="Arial Narrow" w:cstheme="minorHAnsi"/>
                <w:bCs/>
                <w:color w:val="auto"/>
                <w:sz w:val="24"/>
                <w:szCs w:val="24"/>
              </w:rPr>
              <w:t>3,177</w:t>
            </w:r>
          </w:p>
        </w:tc>
        <w:tc>
          <w:tcPr>
            <w:tcW w:w="800" w:type="pct"/>
            <w:tcBorders>
              <w:top w:val="nil"/>
              <w:left w:val="nil"/>
              <w:bottom w:val="single" w:sz="4" w:space="0" w:color="auto"/>
              <w:right w:val="single" w:sz="4" w:space="0" w:color="auto"/>
            </w:tcBorders>
            <w:shd w:val="clear" w:color="auto" w:fill="auto"/>
            <w:vAlign w:val="center"/>
            <w:hideMark/>
          </w:tcPr>
          <w:p w:rsidR="00F63FBB" w:rsidRPr="001A351F" w:rsidRDefault="00F63FBB" w:rsidP="00BD0EDE">
            <w:pPr>
              <w:keepNext/>
              <w:spacing w:line="300" w:lineRule="auto"/>
              <w:jc w:val="center"/>
              <w:rPr>
                <w:rFonts w:ascii="Arial Narrow" w:hAnsi="Arial Narrow" w:cstheme="minorHAnsi"/>
                <w:color w:val="auto"/>
                <w:sz w:val="24"/>
                <w:szCs w:val="24"/>
              </w:rPr>
            </w:pPr>
            <w:r w:rsidRPr="001A351F">
              <w:rPr>
                <w:rFonts w:ascii="Arial Narrow" w:hAnsi="Arial Narrow" w:cstheme="minorHAnsi"/>
                <w:bCs/>
                <w:color w:val="auto"/>
                <w:sz w:val="24"/>
                <w:szCs w:val="24"/>
              </w:rPr>
              <w:t>83.9%</w:t>
            </w:r>
          </w:p>
        </w:tc>
      </w:tr>
      <w:tr w:rsidR="00F63FBB" w:rsidRPr="001A351F" w:rsidTr="00BD0EDE">
        <w:trPr>
          <w:trHeight w:val="285"/>
        </w:trPr>
        <w:tc>
          <w:tcPr>
            <w:tcW w:w="1641" w:type="pct"/>
            <w:tcBorders>
              <w:top w:val="nil"/>
              <w:left w:val="single" w:sz="4" w:space="0" w:color="auto"/>
              <w:bottom w:val="single" w:sz="4" w:space="0" w:color="auto"/>
              <w:right w:val="single" w:sz="4" w:space="0" w:color="auto"/>
            </w:tcBorders>
            <w:shd w:val="clear" w:color="auto" w:fill="auto"/>
            <w:vAlign w:val="center"/>
            <w:hideMark/>
          </w:tcPr>
          <w:p w:rsidR="00F63FBB" w:rsidRPr="001A351F" w:rsidRDefault="00F63FBB" w:rsidP="00F63FBB">
            <w:pPr>
              <w:keepNext/>
              <w:spacing w:line="300" w:lineRule="auto"/>
              <w:rPr>
                <w:rFonts w:ascii="Arial Narrow" w:hAnsi="Arial Narrow" w:cstheme="minorHAnsi"/>
                <w:color w:val="auto"/>
                <w:sz w:val="24"/>
                <w:szCs w:val="24"/>
              </w:rPr>
            </w:pPr>
            <w:r w:rsidRPr="001A351F">
              <w:rPr>
                <w:rFonts w:ascii="Arial Narrow" w:hAnsi="Arial Narrow" w:cstheme="minorHAnsi"/>
                <w:bCs/>
                <w:color w:val="auto"/>
                <w:sz w:val="24"/>
                <w:szCs w:val="24"/>
              </w:rPr>
              <w:t>% Non-White (British/Irish)</w:t>
            </w:r>
          </w:p>
        </w:tc>
        <w:tc>
          <w:tcPr>
            <w:tcW w:w="853" w:type="pct"/>
            <w:tcBorders>
              <w:top w:val="nil"/>
              <w:left w:val="nil"/>
              <w:bottom w:val="single" w:sz="4" w:space="0" w:color="auto"/>
              <w:right w:val="single" w:sz="4" w:space="0" w:color="auto"/>
            </w:tcBorders>
            <w:shd w:val="clear" w:color="auto" w:fill="auto"/>
            <w:noWrap/>
            <w:vAlign w:val="center"/>
            <w:hideMark/>
          </w:tcPr>
          <w:p w:rsidR="00F63FBB" w:rsidRPr="001A351F" w:rsidRDefault="00F63FBB" w:rsidP="00BD0EDE">
            <w:pPr>
              <w:keepNext/>
              <w:spacing w:line="300" w:lineRule="auto"/>
              <w:jc w:val="center"/>
              <w:rPr>
                <w:rFonts w:ascii="Arial Narrow" w:hAnsi="Arial Narrow" w:cstheme="minorHAnsi"/>
                <w:color w:val="auto"/>
                <w:sz w:val="24"/>
                <w:szCs w:val="24"/>
              </w:rPr>
            </w:pPr>
            <w:r w:rsidRPr="001A351F">
              <w:rPr>
                <w:rFonts w:ascii="Arial Narrow" w:hAnsi="Arial Narrow" w:cstheme="minorHAnsi"/>
                <w:color w:val="auto"/>
                <w:sz w:val="24"/>
                <w:szCs w:val="24"/>
              </w:rPr>
              <w:t>3.6%</w:t>
            </w:r>
          </w:p>
        </w:tc>
        <w:tc>
          <w:tcPr>
            <w:tcW w:w="854" w:type="pct"/>
            <w:tcBorders>
              <w:top w:val="nil"/>
              <w:left w:val="nil"/>
              <w:bottom w:val="single" w:sz="4" w:space="0" w:color="auto"/>
              <w:right w:val="single" w:sz="4" w:space="0" w:color="auto"/>
            </w:tcBorders>
            <w:shd w:val="clear" w:color="auto" w:fill="auto"/>
            <w:noWrap/>
            <w:vAlign w:val="center"/>
            <w:hideMark/>
          </w:tcPr>
          <w:p w:rsidR="00F63FBB" w:rsidRPr="001A351F" w:rsidRDefault="00F63FBB" w:rsidP="00BD0EDE">
            <w:pPr>
              <w:keepNext/>
              <w:spacing w:line="300" w:lineRule="auto"/>
              <w:jc w:val="center"/>
              <w:rPr>
                <w:rFonts w:ascii="Arial Narrow" w:hAnsi="Arial Narrow" w:cstheme="minorHAnsi"/>
                <w:color w:val="auto"/>
                <w:sz w:val="24"/>
                <w:szCs w:val="24"/>
              </w:rPr>
            </w:pPr>
            <w:r w:rsidRPr="001A351F">
              <w:rPr>
                <w:rFonts w:ascii="Arial Narrow" w:hAnsi="Arial Narrow" w:cstheme="minorHAnsi"/>
                <w:color w:val="auto"/>
                <w:sz w:val="24"/>
                <w:szCs w:val="24"/>
              </w:rPr>
              <w:t>6.1%</w:t>
            </w:r>
          </w:p>
        </w:tc>
        <w:tc>
          <w:tcPr>
            <w:tcW w:w="853" w:type="pct"/>
            <w:tcBorders>
              <w:top w:val="nil"/>
              <w:left w:val="nil"/>
              <w:bottom w:val="single" w:sz="4" w:space="0" w:color="auto"/>
              <w:right w:val="single" w:sz="4" w:space="0" w:color="auto"/>
            </w:tcBorders>
            <w:shd w:val="clear" w:color="auto" w:fill="auto"/>
            <w:noWrap/>
            <w:vAlign w:val="center"/>
            <w:hideMark/>
          </w:tcPr>
          <w:p w:rsidR="00F63FBB" w:rsidRPr="001A351F" w:rsidRDefault="00F63FBB" w:rsidP="00BD0EDE">
            <w:pPr>
              <w:keepNext/>
              <w:spacing w:line="300" w:lineRule="auto"/>
              <w:jc w:val="center"/>
              <w:rPr>
                <w:rFonts w:ascii="Arial Narrow" w:hAnsi="Arial Narrow" w:cstheme="minorHAnsi"/>
                <w:color w:val="auto"/>
                <w:sz w:val="24"/>
                <w:szCs w:val="24"/>
              </w:rPr>
            </w:pPr>
            <w:r w:rsidRPr="001A351F">
              <w:rPr>
                <w:rFonts w:ascii="Arial Narrow" w:hAnsi="Arial Narrow" w:cstheme="minorHAnsi"/>
                <w:color w:val="auto"/>
                <w:sz w:val="24"/>
                <w:szCs w:val="24"/>
              </w:rPr>
              <w:t>43.3%</w:t>
            </w:r>
          </w:p>
        </w:tc>
        <w:tc>
          <w:tcPr>
            <w:tcW w:w="800" w:type="pct"/>
            <w:tcBorders>
              <w:top w:val="nil"/>
              <w:left w:val="nil"/>
              <w:bottom w:val="single" w:sz="4" w:space="0" w:color="auto"/>
              <w:right w:val="single" w:sz="4" w:space="0" w:color="auto"/>
            </w:tcBorders>
            <w:shd w:val="clear" w:color="auto" w:fill="auto"/>
            <w:vAlign w:val="center"/>
            <w:hideMark/>
          </w:tcPr>
          <w:p w:rsidR="00F63FBB" w:rsidRPr="001A351F" w:rsidRDefault="00F63FBB" w:rsidP="00BD0EDE">
            <w:pPr>
              <w:keepNext/>
              <w:spacing w:line="300" w:lineRule="auto"/>
              <w:jc w:val="center"/>
              <w:rPr>
                <w:rFonts w:ascii="Arial Narrow" w:hAnsi="Arial Narrow" w:cstheme="minorHAnsi"/>
                <w:color w:val="auto"/>
                <w:sz w:val="24"/>
                <w:szCs w:val="24"/>
              </w:rPr>
            </w:pPr>
            <w:r w:rsidRPr="001A351F">
              <w:rPr>
                <w:rFonts w:ascii="Arial Narrow" w:hAnsi="Arial Narrow" w:cstheme="minorHAnsi"/>
                <w:color w:val="auto"/>
                <w:sz w:val="24"/>
                <w:szCs w:val="24"/>
              </w:rPr>
              <w:t>-</w:t>
            </w:r>
          </w:p>
        </w:tc>
      </w:tr>
    </w:tbl>
    <w:p w:rsidR="00F63FBB" w:rsidRPr="00CA47B9" w:rsidRDefault="00F63FBB" w:rsidP="00BD0EDE">
      <w:pPr>
        <w:pStyle w:val="ReportSourceundertable0"/>
        <w:widowControl w:val="0"/>
        <w:spacing w:after="120" w:line="300" w:lineRule="auto"/>
        <w:jc w:val="left"/>
        <w:rPr>
          <w:rFonts w:ascii="Arial" w:hAnsi="Arial"/>
          <w:iCs w:val="0"/>
          <w:color w:val="auto"/>
          <w:szCs w:val="20"/>
          <w:lang w:val="en-GB"/>
        </w:rPr>
      </w:pPr>
      <w:r w:rsidRPr="00CA47B9">
        <w:rPr>
          <w:rFonts w:ascii="Arial" w:hAnsi="Arial"/>
          <w:iCs w:val="0"/>
          <w:color w:val="auto"/>
          <w:szCs w:val="20"/>
          <w:lang w:val="en-GB"/>
        </w:rPr>
        <w:t>Source: Census 2001 and 2011</w:t>
      </w:r>
    </w:p>
    <w:p w:rsidR="00D53082" w:rsidRPr="00CA47B9" w:rsidRDefault="00D53082" w:rsidP="0028171E">
      <w:pPr>
        <w:pStyle w:val="11Bodytext"/>
        <w:tabs>
          <w:tab w:val="clear" w:pos="2212"/>
        </w:tabs>
        <w:ind w:left="567" w:hanging="567"/>
        <w:rPr>
          <w:b/>
        </w:rPr>
      </w:pPr>
      <w:r w:rsidRPr="00CA47B9">
        <w:t xml:space="preserve">Looking at particular BME groups we see that the largest increase in terms of population has been within the White Other group increasing by around 1,500 in ten years. While in percentage terms the largest increase was the Chinese and Other Asian population – almost trebling between 2001-11. </w:t>
      </w:r>
    </w:p>
    <w:p w:rsidR="00F63FBB" w:rsidRPr="00CA47B9" w:rsidRDefault="00F63FBB" w:rsidP="00805614">
      <w:pPr>
        <w:pStyle w:val="SubheadBlue12"/>
        <w:ind w:left="567" w:firstLine="0"/>
      </w:pPr>
      <w:r w:rsidRPr="00CA47B9">
        <w:t>BME Household Characteristics</w:t>
      </w:r>
    </w:p>
    <w:p w:rsidR="00F63FBB" w:rsidRPr="00CA47B9" w:rsidRDefault="00F63FBB" w:rsidP="0028171E">
      <w:pPr>
        <w:pStyle w:val="11Bodytext"/>
        <w:tabs>
          <w:tab w:val="clear" w:pos="2212"/>
        </w:tabs>
        <w:ind w:left="567" w:hanging="567"/>
      </w:pPr>
      <w:r w:rsidRPr="00CA47B9">
        <w:t xml:space="preserve">Census data can also be used to provide some broad information about the household and housing characteristics of the BME population in Chichester. Figure </w:t>
      </w:r>
      <w:r w:rsidR="00442CA7">
        <w:lastRenderedPageBreak/>
        <w:t>45</w:t>
      </w:r>
      <w:r w:rsidRPr="00CA47B9">
        <w:t xml:space="preserve"> looks at the population age structure of four broad age groups using data from the 2011 Census.</w:t>
      </w:r>
    </w:p>
    <w:p w:rsidR="00F63FBB" w:rsidRPr="00CA47B9" w:rsidRDefault="00F63FBB" w:rsidP="0028171E">
      <w:pPr>
        <w:pStyle w:val="11Bodytext"/>
        <w:tabs>
          <w:tab w:val="clear" w:pos="2212"/>
        </w:tabs>
        <w:ind w:left="567" w:hanging="567"/>
      </w:pPr>
      <w:r w:rsidRPr="00CA47B9">
        <w:t xml:space="preserve">The age profile of the BME population is striking when compared with White: British/Irish people. All BME groups are considerably younger than the White (British/Irish) group with people from a Mixed background being particularly likely to be aged 15 or younger when compared with any other group. </w:t>
      </w:r>
    </w:p>
    <w:p w:rsidR="00F63FBB" w:rsidRPr="00CA47B9" w:rsidRDefault="00F63FBB" w:rsidP="0028171E">
      <w:pPr>
        <w:pStyle w:val="11Bodytext"/>
        <w:tabs>
          <w:tab w:val="clear" w:pos="2212"/>
        </w:tabs>
        <w:ind w:left="567" w:hanging="567"/>
      </w:pPr>
      <w:r w:rsidRPr="00CA47B9">
        <w:t>The proportions of older persons are also notable with 26% of White; British/Irish people being age 65 or over compared with all BME groups showing proportions of no more than 12%.</w:t>
      </w:r>
    </w:p>
    <w:p w:rsidR="00F63FBB" w:rsidRPr="00CA47B9" w:rsidRDefault="00F63FBB" w:rsidP="00BD0EDE">
      <w:pPr>
        <w:pStyle w:val="FigureHeading"/>
        <w:tabs>
          <w:tab w:val="clear" w:pos="794"/>
          <w:tab w:val="clear" w:pos="1843"/>
          <w:tab w:val="left" w:pos="0"/>
        </w:tabs>
        <w:ind w:left="0" w:firstLine="0"/>
      </w:pPr>
      <w:bookmarkStart w:id="188" w:name="_Toc403660441"/>
      <w:bookmarkStart w:id="189" w:name="_Toc431375367"/>
      <w:r w:rsidRPr="00CA47B9">
        <w:t>Population Age Profile (2011)</w:t>
      </w:r>
      <w:bookmarkEnd w:id="188"/>
      <w:bookmarkEnd w:id="189"/>
      <w:r w:rsidRPr="00CA47B9">
        <w:t xml:space="preserve"> – Chichester District</w:t>
      </w:r>
    </w:p>
    <w:p w:rsidR="00F63FBB" w:rsidRPr="00CA47B9" w:rsidRDefault="00F63FBB" w:rsidP="00163B4B">
      <w:pPr>
        <w:pStyle w:val="ReportSourceundertable0"/>
        <w:keepNext/>
        <w:widowControl w:val="0"/>
        <w:jc w:val="left"/>
        <w:rPr>
          <w:rFonts w:ascii="Arial" w:hAnsi="Arial"/>
          <w:i/>
          <w:color w:val="auto"/>
          <w:szCs w:val="20"/>
          <w:lang w:val="en-GB"/>
        </w:rPr>
      </w:pPr>
      <w:r w:rsidRPr="00CA47B9">
        <w:rPr>
          <w:noProof/>
          <w:color w:val="auto"/>
          <w:lang w:val="en-GB"/>
        </w:rPr>
        <w:drawing>
          <wp:inline distT="0" distB="0" distL="0" distR="0" wp14:anchorId="2B50C734" wp14:editId="54F6E05E">
            <wp:extent cx="6120000" cy="3484800"/>
            <wp:effectExtent l="0" t="0" r="14605" b="20955"/>
            <wp:docPr id="98" name="Chart 98" descr="Stacked horizontal bar chart showing the % of each population's age groups according to background" title="Figure 45: Population Age Profile (2011) – Chichester District"/>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F63FBB" w:rsidRPr="001A351F" w:rsidRDefault="00F63FBB" w:rsidP="00BD0EDE">
      <w:pPr>
        <w:pStyle w:val="ReportSourceundertable0"/>
        <w:widowControl w:val="0"/>
        <w:spacing w:after="120" w:line="360" w:lineRule="auto"/>
        <w:jc w:val="left"/>
        <w:rPr>
          <w:rFonts w:ascii="Arial" w:hAnsi="Arial"/>
          <w:iCs w:val="0"/>
          <w:color w:val="auto"/>
          <w:sz w:val="24"/>
          <w:lang w:val="en-GB"/>
        </w:rPr>
      </w:pPr>
      <w:r w:rsidRPr="001A351F">
        <w:rPr>
          <w:rFonts w:ascii="Arial" w:hAnsi="Arial"/>
          <w:iCs w:val="0"/>
          <w:color w:val="auto"/>
          <w:sz w:val="24"/>
          <w:lang w:val="en-GB"/>
        </w:rPr>
        <w:t>Source: Census (2011)</w:t>
      </w:r>
    </w:p>
    <w:p w:rsidR="00F63FBB" w:rsidRPr="00CA47B9" w:rsidRDefault="00F63FBB" w:rsidP="0028171E">
      <w:pPr>
        <w:pStyle w:val="11Bodytext"/>
        <w:tabs>
          <w:tab w:val="clear" w:pos="2212"/>
        </w:tabs>
        <w:ind w:left="567" w:hanging="567"/>
        <w:rPr>
          <w:b/>
        </w:rPr>
      </w:pPr>
      <w:r w:rsidRPr="00CA47B9">
        <w:t>There are notable differences between the household characteristics of BME households and the White: British population. Figure 4</w:t>
      </w:r>
      <w:r w:rsidR="00442CA7">
        <w:t>6</w:t>
      </w:r>
      <w:r w:rsidRPr="00CA47B9">
        <w:t xml:space="preserve"> indicates that all BME groups are significantly less likely to be owner-occupiers (particularly outright owners) and far more likely to live in Private Rented accommodation. Arguably the starkest trends are the 41% of White (Other), 44% of Asian and 51% of Black households living in the Private Rented Sector.</w:t>
      </w:r>
    </w:p>
    <w:p w:rsidR="00F63FBB" w:rsidRPr="00CA47B9" w:rsidRDefault="00F63FBB" w:rsidP="00BD0EDE">
      <w:pPr>
        <w:pStyle w:val="FigureHeading"/>
        <w:tabs>
          <w:tab w:val="clear" w:pos="794"/>
          <w:tab w:val="clear" w:pos="1843"/>
          <w:tab w:val="left" w:pos="0"/>
        </w:tabs>
        <w:ind w:left="0" w:firstLine="0"/>
      </w:pPr>
      <w:bookmarkStart w:id="190" w:name="_Toc403660442"/>
      <w:bookmarkStart w:id="191" w:name="_Toc431375368"/>
      <w:r w:rsidRPr="00CA47B9">
        <w:lastRenderedPageBreak/>
        <w:t>Tenure by Ethnic Group in</w:t>
      </w:r>
      <w:bookmarkEnd w:id="190"/>
      <w:bookmarkEnd w:id="191"/>
      <w:r w:rsidRPr="00CA47B9">
        <w:t xml:space="preserve"> Chichester District</w:t>
      </w:r>
    </w:p>
    <w:p w:rsidR="00F63FBB" w:rsidRPr="00CA47B9" w:rsidRDefault="00F63FBB" w:rsidP="00031E60">
      <w:pPr>
        <w:pStyle w:val="ReportSourceundertable0"/>
        <w:keepNext/>
        <w:widowControl w:val="0"/>
        <w:jc w:val="left"/>
        <w:rPr>
          <w:rFonts w:ascii="Arial" w:hAnsi="Arial"/>
          <w:color w:val="auto"/>
          <w:szCs w:val="20"/>
          <w:lang w:val="en-GB"/>
        </w:rPr>
      </w:pPr>
      <w:r w:rsidRPr="00CA47B9">
        <w:rPr>
          <w:noProof/>
          <w:color w:val="auto"/>
          <w:lang w:val="en-GB"/>
        </w:rPr>
        <w:drawing>
          <wp:inline distT="0" distB="0" distL="0" distR="0" wp14:anchorId="1E0A651F" wp14:editId="0FD60A1E">
            <wp:extent cx="6120000" cy="2880000"/>
            <wp:effectExtent l="0" t="0" r="14605" b="15875"/>
            <wp:docPr id="99" name="Chart 99" descr="Bar chart showing the tenure profile according to backround" title="Figure 46: Tenure by Ethnic Group in Chichester District"/>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F63FBB" w:rsidRPr="001A351F" w:rsidRDefault="00F63FBB" w:rsidP="00BD0EDE">
      <w:pPr>
        <w:pStyle w:val="ReportSourceundertable0"/>
        <w:widowControl w:val="0"/>
        <w:spacing w:after="120" w:line="360" w:lineRule="auto"/>
        <w:jc w:val="left"/>
        <w:rPr>
          <w:rFonts w:ascii="Arial" w:hAnsi="Arial"/>
          <w:color w:val="auto"/>
          <w:sz w:val="24"/>
          <w:lang w:val="en-GB"/>
        </w:rPr>
      </w:pPr>
      <w:r w:rsidRPr="001A351F">
        <w:rPr>
          <w:rFonts w:ascii="Arial" w:hAnsi="Arial"/>
          <w:color w:val="auto"/>
          <w:sz w:val="24"/>
          <w:lang w:val="en-GB"/>
        </w:rPr>
        <w:t>Source: 2011 Census data (from NOMIS)</w:t>
      </w:r>
    </w:p>
    <w:p w:rsidR="00F63FBB" w:rsidRPr="00CA47B9" w:rsidRDefault="00F63FBB" w:rsidP="0028171E">
      <w:pPr>
        <w:pStyle w:val="11Bodytext"/>
        <w:tabs>
          <w:tab w:val="clear" w:pos="2212"/>
        </w:tabs>
        <w:ind w:left="567" w:hanging="567"/>
      </w:pPr>
      <w:r w:rsidRPr="00CA47B9">
        <w:t xml:space="preserve">The strong representation of BME households in the Private Rented Sector means that they are more likely to be affected by the implementation of Universal Credit. While the </w:t>
      </w:r>
      <w:r w:rsidR="00855CA6" w:rsidRPr="00CA47B9">
        <w:t>over</w:t>
      </w:r>
      <w:r w:rsidR="00855CA6">
        <w:t>-</w:t>
      </w:r>
      <w:r w:rsidRPr="00CA47B9">
        <w:t xml:space="preserve">reliance on PRS could be perceived as an issue it has been reported by local agricultural and horticultural businesses that many of the agricultural workers choose this tenure as a preference as they do not reside in the country for the entire year. </w:t>
      </w:r>
    </w:p>
    <w:p w:rsidR="00F63FBB" w:rsidRPr="00CA47B9" w:rsidRDefault="00F63FBB" w:rsidP="0028171E">
      <w:pPr>
        <w:pStyle w:val="11Bodytext"/>
        <w:tabs>
          <w:tab w:val="clear" w:pos="2212"/>
        </w:tabs>
        <w:ind w:left="567" w:hanging="567"/>
      </w:pPr>
      <w:r w:rsidRPr="00CA47B9">
        <w:t xml:space="preserve">However, as BME communities mature over time, the level of </w:t>
      </w:r>
      <w:r w:rsidR="00855CA6" w:rsidRPr="00CA47B9">
        <w:t>owner</w:t>
      </w:r>
      <w:r w:rsidR="00855CA6">
        <w:t>-</w:t>
      </w:r>
      <w:r w:rsidRPr="00CA47B9">
        <w:t>occupation may increase. The pace at which this happens may be influenced by economic opportunities available</w:t>
      </w:r>
      <w:r w:rsidR="002C2BF8">
        <w:t xml:space="preserve">. </w:t>
      </w:r>
    </w:p>
    <w:p w:rsidR="00F63FBB" w:rsidRPr="00CA47B9" w:rsidRDefault="00F63FBB" w:rsidP="0028171E">
      <w:pPr>
        <w:pStyle w:val="11Bodytext"/>
        <w:tabs>
          <w:tab w:val="clear" w:pos="2212"/>
        </w:tabs>
        <w:ind w:left="567" w:hanging="567"/>
      </w:pPr>
      <w:r w:rsidRPr="00CA47B9">
        <w:t>For some communities</w:t>
      </w:r>
      <w:r w:rsidR="00855CA6">
        <w:t>,</w:t>
      </w:r>
      <w:r w:rsidRPr="00CA47B9">
        <w:t xml:space="preserve"> there may be support mechanisms which can work within the community, such as availability of </w:t>
      </w:r>
      <w:r w:rsidR="00855CA6" w:rsidRPr="00CA47B9">
        <w:t>interest</w:t>
      </w:r>
      <w:r w:rsidR="00855CA6">
        <w:t>-</w:t>
      </w:r>
      <w:r w:rsidRPr="00CA47B9">
        <w:t>free loans or support raising a deposit to buy a home, depending on cultural factors.</w:t>
      </w:r>
    </w:p>
    <w:p w:rsidR="00F63FBB" w:rsidRPr="00CA47B9" w:rsidRDefault="00F63FBB" w:rsidP="0028171E">
      <w:pPr>
        <w:pStyle w:val="11Bodytext"/>
        <w:tabs>
          <w:tab w:val="clear" w:pos="2212"/>
        </w:tabs>
        <w:ind w:left="567" w:hanging="567"/>
      </w:pPr>
      <w:r w:rsidRPr="00CA47B9">
        <w:t>Figure 4</w:t>
      </w:r>
      <w:r w:rsidR="00442CA7">
        <w:t>7</w:t>
      </w:r>
      <w:r w:rsidRPr="00CA47B9">
        <w:t xml:space="preserve"> shows ‘occupancy ratings’ by BME group; this is based on the bedroom standard. BME groups and particularly Asian Households (17%) are more likely to be over-occupied than White (British) households (4%).</w:t>
      </w:r>
      <w:bookmarkStart w:id="192" w:name="_Toc403660443"/>
    </w:p>
    <w:p w:rsidR="00F63FBB" w:rsidRPr="00CA47B9" w:rsidRDefault="00F63FBB" w:rsidP="00BD0EDE">
      <w:pPr>
        <w:pStyle w:val="FigureHeading"/>
        <w:tabs>
          <w:tab w:val="clear" w:pos="794"/>
          <w:tab w:val="clear" w:pos="1843"/>
          <w:tab w:val="left" w:pos="0"/>
        </w:tabs>
        <w:ind w:left="0" w:firstLine="0"/>
      </w:pPr>
      <w:bookmarkStart w:id="193" w:name="_Toc431375369"/>
      <w:r w:rsidRPr="00CA47B9">
        <w:lastRenderedPageBreak/>
        <w:t xml:space="preserve">Occupancy Rating by Ethnic Group – </w:t>
      </w:r>
      <w:bookmarkEnd w:id="192"/>
      <w:bookmarkEnd w:id="193"/>
      <w:r w:rsidRPr="00CA47B9">
        <w:t>Chichester District</w:t>
      </w:r>
    </w:p>
    <w:p w:rsidR="00F63FBB" w:rsidRPr="001A351F" w:rsidRDefault="00F63FBB" w:rsidP="00031E60">
      <w:pPr>
        <w:pStyle w:val="ReportSourceundertable0"/>
        <w:keepNext/>
        <w:widowControl w:val="0"/>
        <w:jc w:val="left"/>
        <w:rPr>
          <w:rFonts w:ascii="Arial" w:hAnsi="Arial"/>
          <w:i/>
          <w:color w:val="FF0000"/>
          <w:sz w:val="24"/>
          <w:lang w:val="en-GB"/>
        </w:rPr>
      </w:pPr>
      <w:r w:rsidRPr="001A351F">
        <w:rPr>
          <w:noProof/>
          <w:color w:val="FF0000"/>
          <w:sz w:val="24"/>
          <w:szCs w:val="32"/>
          <w:lang w:val="en-GB"/>
        </w:rPr>
        <w:drawing>
          <wp:inline distT="0" distB="0" distL="0" distR="0" wp14:anchorId="214EC8B0" wp14:editId="6675CCB8">
            <wp:extent cx="6120000" cy="2880000"/>
            <wp:effectExtent l="0" t="0" r="14605" b="15875"/>
            <wp:docPr id="100" name="Chart 100" descr="Bar chart comparing the percent of people living in under occupied vs over occupied homes according to ethnic group background" title="Figure 47: Occupancy Rating by Ethnic Group – Chichester District"/>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F63FBB" w:rsidRPr="001A351F" w:rsidRDefault="00F63FBB" w:rsidP="00BD0EDE">
      <w:pPr>
        <w:pStyle w:val="ReportSourceundertable0"/>
        <w:widowControl w:val="0"/>
        <w:spacing w:after="120" w:line="360" w:lineRule="auto"/>
        <w:jc w:val="left"/>
        <w:rPr>
          <w:rFonts w:ascii="Arial" w:hAnsi="Arial"/>
          <w:iCs w:val="0"/>
          <w:color w:val="auto"/>
          <w:sz w:val="24"/>
          <w:lang w:val="en-GB"/>
        </w:rPr>
      </w:pPr>
      <w:r w:rsidRPr="001A351F">
        <w:rPr>
          <w:rFonts w:ascii="Arial" w:hAnsi="Arial"/>
          <w:iCs w:val="0"/>
          <w:color w:val="auto"/>
          <w:sz w:val="24"/>
          <w:lang w:val="en-GB"/>
        </w:rPr>
        <w:t>Source: 2011 Census data (from NOMIS)</w:t>
      </w:r>
    </w:p>
    <w:p w:rsidR="00855CA6" w:rsidRDefault="00F63FBB" w:rsidP="0028171E">
      <w:pPr>
        <w:pStyle w:val="11Bodytext"/>
        <w:tabs>
          <w:tab w:val="clear" w:pos="2212"/>
        </w:tabs>
        <w:ind w:left="567" w:hanging="567"/>
        <w:rPr>
          <w:lang w:eastAsia="en-US"/>
        </w:rPr>
      </w:pPr>
      <w:r w:rsidRPr="00CA47B9">
        <w:rPr>
          <w:lang w:eastAsia="en-US"/>
        </w:rPr>
        <w:t>Conversely</w:t>
      </w:r>
      <w:r w:rsidR="00855CA6">
        <w:rPr>
          <w:lang w:eastAsia="en-US"/>
        </w:rPr>
        <w:t>,</w:t>
      </w:r>
      <w:r w:rsidRPr="00CA47B9">
        <w:rPr>
          <w:lang w:eastAsia="en-US"/>
        </w:rPr>
        <w:t xml:space="preserve"> the levels of under-occupancy amongst BME communities are generally lower than in White British/Irish Households. </w:t>
      </w:r>
      <w:r w:rsidR="00855CA6">
        <w:rPr>
          <w:lang w:eastAsia="en-US"/>
        </w:rPr>
        <w:t xml:space="preserve">Additional </w:t>
      </w:r>
      <w:r w:rsidR="00AC022A">
        <w:rPr>
          <w:lang w:eastAsia="en-US"/>
        </w:rPr>
        <w:t xml:space="preserve">larger homes will help to deal with overcrowding, but </w:t>
      </w:r>
      <w:r w:rsidR="00855CA6">
        <w:rPr>
          <w:lang w:eastAsia="en-US"/>
        </w:rPr>
        <w:t xml:space="preserve">additional </w:t>
      </w:r>
      <w:r w:rsidR="00AC022A">
        <w:rPr>
          <w:lang w:eastAsia="en-US"/>
        </w:rPr>
        <w:t>smaller hom</w:t>
      </w:r>
      <w:r w:rsidR="00B8111A">
        <w:rPr>
          <w:lang w:eastAsia="en-US"/>
        </w:rPr>
        <w:t>es may also assist the ag</w:t>
      </w:r>
      <w:r w:rsidR="00B82CB3">
        <w:rPr>
          <w:lang w:eastAsia="en-US"/>
        </w:rPr>
        <w:t>e</w:t>
      </w:r>
      <w:r w:rsidR="00B8111A">
        <w:rPr>
          <w:lang w:eastAsia="en-US"/>
        </w:rPr>
        <w:t>ing and</w:t>
      </w:r>
      <w:r w:rsidR="00AC022A">
        <w:rPr>
          <w:lang w:eastAsia="en-US"/>
        </w:rPr>
        <w:t xml:space="preserve"> under occupying White British / Irish households to downsize and thus release their larger homes</w:t>
      </w:r>
      <w:r w:rsidR="00855CA6">
        <w:rPr>
          <w:lang w:eastAsia="en-US"/>
        </w:rPr>
        <w:t>.</w:t>
      </w:r>
      <w:r w:rsidR="00AC022A">
        <w:rPr>
          <w:lang w:eastAsia="en-US"/>
        </w:rPr>
        <w:t xml:space="preserve"> </w:t>
      </w:r>
    </w:p>
    <w:p w:rsidR="00F63FBB" w:rsidRPr="00CA47B9" w:rsidRDefault="00F63FBB" w:rsidP="0028171E">
      <w:pPr>
        <w:pStyle w:val="11Bodytext"/>
        <w:tabs>
          <w:tab w:val="clear" w:pos="2212"/>
        </w:tabs>
        <w:ind w:left="567" w:hanging="567"/>
        <w:rPr>
          <w:lang w:eastAsia="en-US"/>
        </w:rPr>
      </w:pPr>
      <w:r w:rsidRPr="00CA47B9">
        <w:rPr>
          <w:lang w:eastAsia="en-US"/>
        </w:rPr>
        <w:t>Therefore</w:t>
      </w:r>
      <w:r w:rsidR="004D6E97" w:rsidRPr="00CA47B9">
        <w:rPr>
          <w:lang w:eastAsia="en-US"/>
        </w:rPr>
        <w:t>,</w:t>
      </w:r>
      <w:r w:rsidRPr="00CA47B9">
        <w:rPr>
          <w:lang w:eastAsia="en-US"/>
        </w:rPr>
        <w:t xml:space="preserve"> </w:t>
      </w:r>
      <w:r w:rsidRPr="00CA47B9">
        <w:t>there</w:t>
      </w:r>
      <w:r w:rsidRPr="00CA47B9">
        <w:rPr>
          <w:lang w:eastAsia="en-US"/>
        </w:rPr>
        <w:t xml:space="preserve"> may be a need to provide further larger homes to deal with this specific issue. Alternatively (or as well as) </w:t>
      </w:r>
      <w:r w:rsidR="00855CA6">
        <w:rPr>
          <w:lang w:eastAsia="en-US"/>
        </w:rPr>
        <w:t>additional</w:t>
      </w:r>
      <w:r w:rsidR="00855CA6" w:rsidRPr="00CA47B9">
        <w:rPr>
          <w:lang w:eastAsia="en-US"/>
        </w:rPr>
        <w:t xml:space="preserve"> </w:t>
      </w:r>
      <w:r w:rsidRPr="00CA47B9">
        <w:rPr>
          <w:lang w:eastAsia="en-US"/>
        </w:rPr>
        <w:t>smaller homes to allow for the ag</w:t>
      </w:r>
      <w:r w:rsidR="00855CA6">
        <w:rPr>
          <w:lang w:eastAsia="en-US"/>
        </w:rPr>
        <w:t>e</w:t>
      </w:r>
      <w:r w:rsidRPr="00CA47B9">
        <w:rPr>
          <w:lang w:eastAsia="en-US"/>
        </w:rPr>
        <w:t xml:space="preserve">ing and under-occupying households to downsize into thus releasing their larger homes. </w:t>
      </w:r>
    </w:p>
    <w:p w:rsidR="00F63FBB" w:rsidRPr="00CA47B9" w:rsidRDefault="00F63FBB" w:rsidP="0028171E">
      <w:pPr>
        <w:pStyle w:val="11Bodytext"/>
        <w:tabs>
          <w:tab w:val="clear" w:pos="2212"/>
        </w:tabs>
        <w:ind w:left="567" w:hanging="567"/>
        <w:rPr>
          <w:lang w:eastAsia="en-US"/>
        </w:rPr>
      </w:pPr>
      <w:r w:rsidRPr="00CA47B9">
        <w:rPr>
          <w:lang w:eastAsia="en-US"/>
        </w:rPr>
        <w:t xml:space="preserve">As noted </w:t>
      </w:r>
      <w:r w:rsidRPr="00CA47B9">
        <w:t>later</w:t>
      </w:r>
      <w:r w:rsidRPr="00CA47B9">
        <w:rPr>
          <w:lang w:eastAsia="en-US"/>
        </w:rPr>
        <w:t xml:space="preserve"> in this report the horticultural industry is reliant on a significant proportion of eastern European workers. </w:t>
      </w:r>
      <w:r w:rsidR="00382A54">
        <w:rPr>
          <w:lang w:eastAsia="en-US"/>
        </w:rPr>
        <w:t>This group have a diverse range of needs including temporary accommodation which is used in picking season only.</w:t>
      </w:r>
      <w:r w:rsidR="00855CA6">
        <w:rPr>
          <w:lang w:eastAsia="en-US"/>
        </w:rPr>
        <w:t xml:space="preserve"> </w:t>
      </w:r>
      <w:r w:rsidR="00382A54">
        <w:rPr>
          <w:lang w:eastAsia="en-US"/>
        </w:rPr>
        <w:t>This could support growth in purpose</w:t>
      </w:r>
      <w:r w:rsidR="00855CA6">
        <w:rPr>
          <w:lang w:eastAsia="en-US"/>
        </w:rPr>
        <w:t>-</w:t>
      </w:r>
      <w:r w:rsidR="00382A54">
        <w:rPr>
          <w:lang w:eastAsia="en-US"/>
        </w:rPr>
        <w:t xml:space="preserve">built build to rent accommodation in areas </w:t>
      </w:r>
      <w:r w:rsidR="00855CA6">
        <w:rPr>
          <w:lang w:eastAsia="en-US"/>
        </w:rPr>
        <w:t>close</w:t>
      </w:r>
      <w:r w:rsidR="00382A54">
        <w:rPr>
          <w:lang w:eastAsia="en-US"/>
        </w:rPr>
        <w:t xml:space="preserve"> to the HDA.</w:t>
      </w:r>
    </w:p>
    <w:p w:rsidR="00F63FBB" w:rsidRPr="00CA47B9" w:rsidRDefault="00F63FBB" w:rsidP="006765B7">
      <w:pPr>
        <w:pStyle w:val="SubheadBlue12"/>
        <w:ind w:left="567" w:firstLine="0"/>
      </w:pPr>
      <w:r w:rsidRPr="00CA47B9">
        <w:lastRenderedPageBreak/>
        <w:t>Homeless Households and Temporary Housing</w:t>
      </w:r>
    </w:p>
    <w:p w:rsidR="00F63FBB" w:rsidRPr="00CA47B9" w:rsidRDefault="00F63FBB" w:rsidP="0028171E">
      <w:pPr>
        <w:pStyle w:val="11Bodytext"/>
        <w:tabs>
          <w:tab w:val="clear" w:pos="2212"/>
        </w:tabs>
        <w:ind w:left="567" w:hanging="567"/>
      </w:pPr>
      <w:r w:rsidRPr="00CA47B9">
        <w:t xml:space="preserve">The lack of delivery of affordable housing may also impact on the demand for temporary homes. </w:t>
      </w:r>
      <w:r w:rsidR="00B163A3">
        <w:t>Yet,</w:t>
      </w:r>
      <w:r w:rsidRPr="00CA47B9">
        <w:t xml:space="preserve"> Chichester has bucked the national trends by having a reduction in the number of people being accepted as homeless.</w:t>
      </w:r>
    </w:p>
    <w:p w:rsidR="00F63FBB" w:rsidRPr="00CA47B9" w:rsidRDefault="00F63FBB" w:rsidP="0028171E">
      <w:pPr>
        <w:pStyle w:val="11Bodytext"/>
        <w:tabs>
          <w:tab w:val="clear" w:pos="2212"/>
        </w:tabs>
        <w:ind w:left="567" w:hanging="567"/>
      </w:pPr>
      <w:r w:rsidRPr="00CA47B9">
        <w:t>As shown in Figure 4</w:t>
      </w:r>
      <w:r w:rsidR="00442CA7">
        <w:t>8</w:t>
      </w:r>
      <w:r w:rsidRPr="00CA47B9">
        <w:t xml:space="preserve"> in 2009-10 approximately 0.9 households/persons were accepted as being homeless for every 1,000 households. By 2016-17 this figure had fallen to 0.7. In contrast</w:t>
      </w:r>
      <w:r w:rsidR="00855CA6">
        <w:t>,</w:t>
      </w:r>
      <w:r w:rsidRPr="00CA47B9">
        <w:t xml:space="preserve"> the national figure for England saw an increase from 1.9 to 2.5 per thousand households. </w:t>
      </w:r>
    </w:p>
    <w:p w:rsidR="00F63FBB" w:rsidRPr="00CA47B9" w:rsidRDefault="00F63FBB" w:rsidP="0028171E">
      <w:pPr>
        <w:pStyle w:val="11Bodytext"/>
        <w:tabs>
          <w:tab w:val="clear" w:pos="2212"/>
        </w:tabs>
        <w:ind w:left="567" w:hanging="567"/>
      </w:pPr>
      <w:r w:rsidRPr="00CA47B9">
        <w:t>In numerical terms</w:t>
      </w:r>
      <w:r w:rsidR="00855CA6">
        <w:t>,</w:t>
      </w:r>
      <w:r w:rsidRPr="00CA47B9">
        <w:t xml:space="preserve"> the fall in Chichester District was from 47 to 38 with the latter remaining consistent over the last four years. This equates to around 0.07% of homeless acceptances nationally compared to 0.2% of the country’s population. </w:t>
      </w:r>
    </w:p>
    <w:p w:rsidR="00F63FBB" w:rsidRPr="00CA47B9" w:rsidRDefault="00F63FBB" w:rsidP="00BD0EDE">
      <w:pPr>
        <w:pStyle w:val="FigureHeading"/>
        <w:tabs>
          <w:tab w:val="clear" w:pos="794"/>
          <w:tab w:val="clear" w:pos="1843"/>
          <w:tab w:val="left" w:pos="0"/>
        </w:tabs>
        <w:ind w:left="0" w:firstLine="0"/>
      </w:pPr>
      <w:r w:rsidRPr="00CA47B9">
        <w:t>Numbers accepted as being homeless and in priority need per 1,000 Households</w:t>
      </w:r>
    </w:p>
    <w:p w:rsidR="00F63FBB" w:rsidRPr="00CA47B9" w:rsidRDefault="00F63FBB" w:rsidP="00031E60">
      <w:pPr>
        <w:rPr>
          <w:color w:val="FF0000"/>
        </w:rPr>
      </w:pPr>
      <w:r w:rsidRPr="00CA47B9">
        <w:rPr>
          <w:noProof/>
          <w:lang w:eastAsia="en-GB"/>
        </w:rPr>
        <w:drawing>
          <wp:inline distT="0" distB="0" distL="0" distR="0" wp14:anchorId="503BA54E" wp14:editId="1B4181D9">
            <wp:extent cx="6120000" cy="2880000"/>
            <wp:effectExtent l="0" t="0" r="14605" b="15875"/>
            <wp:docPr id="101" name="Chart 101" descr="Line graph showing the percent of homeless people out of the total population from 2010 to 2018" title="Figure 48: Numbers accepted as being homeless and in priority need per 1,000 Households">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11E56D-F603-4DCD-9825-867843D74F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F63FBB" w:rsidRPr="001A351F" w:rsidRDefault="00F63FBB" w:rsidP="00BD0EDE">
      <w:pPr>
        <w:spacing w:after="120" w:line="360" w:lineRule="auto"/>
        <w:rPr>
          <w:color w:val="auto"/>
          <w:sz w:val="22"/>
          <w:szCs w:val="22"/>
        </w:rPr>
      </w:pPr>
      <w:r w:rsidRPr="001A351F">
        <w:rPr>
          <w:color w:val="auto"/>
          <w:sz w:val="22"/>
          <w:szCs w:val="22"/>
        </w:rPr>
        <w:t>Source: DCLG 2018, Live Table 784</w:t>
      </w:r>
    </w:p>
    <w:p w:rsidR="00F63FBB" w:rsidRPr="00CA47B9" w:rsidRDefault="00F63FBB" w:rsidP="0028171E">
      <w:pPr>
        <w:pStyle w:val="11Bodytext"/>
        <w:tabs>
          <w:tab w:val="clear" w:pos="2212"/>
        </w:tabs>
        <w:ind w:left="567" w:hanging="567"/>
      </w:pPr>
      <w:r w:rsidRPr="00CA47B9">
        <w:t xml:space="preserve">Of those being accepted as homeless 97% were white </w:t>
      </w:r>
      <w:r w:rsidR="00382A54">
        <w:t>identical to the</w:t>
      </w:r>
      <w:r w:rsidRPr="00CA47B9">
        <w:t xml:space="preserve"> district’s </w:t>
      </w:r>
      <w:r w:rsidR="00382A54">
        <w:t xml:space="preserve">overall </w:t>
      </w:r>
      <w:r w:rsidRPr="00CA47B9">
        <w:t>population</w:t>
      </w:r>
      <w:r w:rsidR="00382A54">
        <w:t xml:space="preserve"> (as of 2011) although this is likely to have reduced</w:t>
      </w:r>
      <w:r w:rsidRPr="00CA47B9">
        <w:t>. The ethnicity of the other acceptances was not disclosed due to their small number. By comparison</w:t>
      </w:r>
      <w:r w:rsidR="00855CA6">
        <w:t>,</w:t>
      </w:r>
      <w:r w:rsidRPr="00CA47B9">
        <w:t xml:space="preserve"> the white population accounted for 60% of homelessness acceptances nationally.</w:t>
      </w:r>
    </w:p>
    <w:p w:rsidR="00F63FBB" w:rsidRDefault="00F63FBB" w:rsidP="0028171E">
      <w:pPr>
        <w:pStyle w:val="11Bodytext"/>
        <w:tabs>
          <w:tab w:val="clear" w:pos="2212"/>
        </w:tabs>
        <w:ind w:left="567" w:hanging="567"/>
      </w:pPr>
      <w:r w:rsidRPr="00CA47B9">
        <w:t xml:space="preserve">A range of accommodation types have been utilised by the Council to temporarily accommodate homeless households. As set out in Table </w:t>
      </w:r>
      <w:r w:rsidR="00855CA6">
        <w:t>45</w:t>
      </w:r>
      <w:r w:rsidRPr="00CA47B9">
        <w:t xml:space="preserve">, since 2010/11, the vast </w:t>
      </w:r>
      <w:r w:rsidRPr="00CA47B9">
        <w:lastRenderedPageBreak/>
        <w:t xml:space="preserve">majority of homeless households have been placed in vacant local authority </w:t>
      </w:r>
      <w:r w:rsidR="00FC775E">
        <w:t>temporary accommodation</w:t>
      </w:r>
      <w:r w:rsidR="00855CA6">
        <w:t xml:space="preserve"> </w:t>
      </w:r>
      <w:r w:rsidRPr="00CA47B9">
        <w:t>with any shortfall taken up by bed &amp; breakfast accommodation</w:t>
      </w:r>
      <w:r w:rsidR="00FC775E">
        <w:t xml:space="preserve"> and </w:t>
      </w:r>
      <w:r w:rsidR="001235E0">
        <w:t>self-contained</w:t>
      </w:r>
      <w:r w:rsidR="00FC775E">
        <w:t xml:space="preserve"> temporary private accommodation</w:t>
      </w:r>
      <w:r w:rsidRPr="00CA47B9">
        <w:t>.</w:t>
      </w:r>
    </w:p>
    <w:p w:rsidR="00D53082" w:rsidRPr="00873DCC" w:rsidRDefault="002C25A2" w:rsidP="0028171E">
      <w:pPr>
        <w:pStyle w:val="11Bodytext"/>
        <w:tabs>
          <w:tab w:val="clear" w:pos="2212"/>
        </w:tabs>
        <w:ind w:left="567" w:hanging="567"/>
        <w:rPr>
          <w:b/>
          <w:color w:val="auto"/>
        </w:rPr>
      </w:pPr>
      <w:r>
        <w:t>We also recognise that th</w:t>
      </w:r>
      <w:r w:rsidR="003E3F87">
        <w:t>ere</w:t>
      </w:r>
      <w:r>
        <w:t xml:space="preserve"> is limited capacity within the temporary accommodation stock within Chichester District and as a result</w:t>
      </w:r>
      <w:r w:rsidR="00855CA6">
        <w:t>,</w:t>
      </w:r>
      <w:r>
        <w:t xml:space="preserve"> some homeless households are often placed outside of the district.</w:t>
      </w:r>
      <w:r w:rsidR="00855CA6">
        <w:t xml:space="preserve"> </w:t>
      </w:r>
      <w:r>
        <w:t xml:space="preserve">Therefore the Council should </w:t>
      </w:r>
      <w:r w:rsidR="00855CA6">
        <w:t>consider</w:t>
      </w:r>
      <w:r>
        <w:t xml:space="preserve"> additional temporary accommodation to allow people to live locally.</w:t>
      </w:r>
    </w:p>
    <w:p w:rsidR="00F63FBB" w:rsidRPr="00CA47B9" w:rsidRDefault="00F63FBB" w:rsidP="00BD0EDE">
      <w:pPr>
        <w:pStyle w:val="Tableheading"/>
        <w:tabs>
          <w:tab w:val="clear" w:pos="794"/>
          <w:tab w:val="clear" w:pos="1843"/>
          <w:tab w:val="left" w:pos="0"/>
        </w:tabs>
        <w:ind w:left="0" w:firstLine="0"/>
      </w:pPr>
      <w:r w:rsidRPr="00CA47B9">
        <w:t xml:space="preserve">Type of Temporary Accommodation </w:t>
      </w:r>
      <w:r w:rsidRPr="00CA47B9">
        <w:rPr>
          <w:szCs w:val="20"/>
        </w:rPr>
        <w:t>– Chichester District</w:t>
      </w:r>
    </w:p>
    <w:tbl>
      <w:tblPr>
        <w:tblW w:w="4909" w:type="pct"/>
        <w:tblInd w:w="108" w:type="dxa"/>
        <w:tblLayout w:type="fixed"/>
        <w:tblLook w:val="04A0" w:firstRow="1" w:lastRow="0" w:firstColumn="1" w:lastColumn="0" w:noHBand="0" w:noVBand="1"/>
        <w:tblCaption w:val="Table 45: Type of Temporary Accommodation – Chichester District"/>
      </w:tblPr>
      <w:tblGrid>
        <w:gridCol w:w="2414"/>
        <w:gridCol w:w="913"/>
        <w:gridCol w:w="913"/>
        <w:gridCol w:w="905"/>
        <w:gridCol w:w="907"/>
        <w:gridCol w:w="907"/>
        <w:gridCol w:w="907"/>
        <w:gridCol w:w="905"/>
        <w:gridCol w:w="897"/>
      </w:tblGrid>
      <w:tr w:rsidR="00BD0EDE" w:rsidRPr="00AF5AB4" w:rsidTr="00BD0EDE">
        <w:trPr>
          <w:tblHeader/>
        </w:trPr>
        <w:tc>
          <w:tcPr>
            <w:tcW w:w="1249" w:type="pct"/>
            <w:tcBorders>
              <w:top w:val="single" w:sz="4" w:space="0" w:color="auto"/>
              <w:left w:val="single" w:sz="4" w:space="0" w:color="auto"/>
              <w:bottom w:val="single" w:sz="4" w:space="0" w:color="auto"/>
              <w:right w:val="single" w:sz="4" w:space="0" w:color="auto"/>
            </w:tcBorders>
            <w:shd w:val="clear" w:color="000000" w:fill="009DDF"/>
            <w:noWrap/>
            <w:vAlign w:val="bottom"/>
            <w:hideMark/>
          </w:tcPr>
          <w:p w:rsidR="00F63FBB" w:rsidRPr="00AF5AB4" w:rsidRDefault="00F63FBB" w:rsidP="00F63FBB">
            <w:pPr>
              <w:spacing w:line="300" w:lineRule="auto"/>
              <w:rPr>
                <w:rFonts w:ascii="Arial Narrow" w:eastAsia="Times New Roman" w:hAnsi="Arial Narrow"/>
                <w:color w:val="FFFFFF"/>
                <w:sz w:val="24"/>
                <w:szCs w:val="24"/>
                <w:lang w:eastAsia="en-GB"/>
              </w:rPr>
            </w:pPr>
          </w:p>
        </w:tc>
        <w:tc>
          <w:tcPr>
            <w:tcW w:w="472" w:type="pct"/>
            <w:tcBorders>
              <w:top w:val="single" w:sz="4" w:space="0" w:color="auto"/>
              <w:left w:val="nil"/>
              <w:bottom w:val="single" w:sz="4" w:space="0" w:color="auto"/>
              <w:right w:val="single" w:sz="4" w:space="0" w:color="auto"/>
            </w:tcBorders>
            <w:shd w:val="clear" w:color="000000" w:fill="009DDF"/>
            <w:noWrap/>
            <w:vAlign w:val="center"/>
            <w:hideMark/>
          </w:tcPr>
          <w:p w:rsidR="00F63FBB" w:rsidRPr="00AF5AB4" w:rsidRDefault="00F63FBB" w:rsidP="00F63FBB">
            <w:pPr>
              <w:spacing w:line="300" w:lineRule="auto"/>
              <w:jc w:val="center"/>
              <w:rPr>
                <w:rFonts w:ascii="Arial Narrow" w:eastAsia="Times New Roman" w:hAnsi="Arial Narrow"/>
                <w:color w:val="FFFFFF"/>
                <w:sz w:val="24"/>
                <w:szCs w:val="24"/>
                <w:lang w:eastAsia="en-GB"/>
              </w:rPr>
            </w:pPr>
            <w:r w:rsidRPr="00AF5AB4">
              <w:rPr>
                <w:rFonts w:ascii="Arial Narrow" w:eastAsia="Times New Roman" w:hAnsi="Arial Narrow"/>
                <w:color w:val="FFFFFF"/>
                <w:sz w:val="24"/>
                <w:szCs w:val="24"/>
                <w:lang w:eastAsia="en-GB"/>
              </w:rPr>
              <w:t>2010-11</w:t>
            </w:r>
          </w:p>
        </w:tc>
        <w:tc>
          <w:tcPr>
            <w:tcW w:w="472" w:type="pct"/>
            <w:tcBorders>
              <w:top w:val="single" w:sz="4" w:space="0" w:color="auto"/>
              <w:left w:val="nil"/>
              <w:bottom w:val="single" w:sz="4" w:space="0" w:color="auto"/>
              <w:right w:val="single" w:sz="4" w:space="0" w:color="auto"/>
            </w:tcBorders>
            <w:shd w:val="clear" w:color="000000" w:fill="009DDF"/>
            <w:noWrap/>
            <w:vAlign w:val="center"/>
            <w:hideMark/>
          </w:tcPr>
          <w:p w:rsidR="00F63FBB" w:rsidRPr="00AF5AB4" w:rsidRDefault="00F63FBB" w:rsidP="00F63FBB">
            <w:pPr>
              <w:spacing w:line="300" w:lineRule="auto"/>
              <w:jc w:val="center"/>
              <w:rPr>
                <w:rFonts w:ascii="Arial Narrow" w:eastAsia="Times New Roman" w:hAnsi="Arial Narrow"/>
                <w:color w:val="FFFFFF"/>
                <w:sz w:val="24"/>
                <w:szCs w:val="24"/>
                <w:lang w:eastAsia="en-GB"/>
              </w:rPr>
            </w:pPr>
            <w:r w:rsidRPr="00AF5AB4">
              <w:rPr>
                <w:rFonts w:ascii="Arial Narrow" w:eastAsia="Times New Roman" w:hAnsi="Arial Narrow"/>
                <w:color w:val="FFFFFF"/>
                <w:sz w:val="24"/>
                <w:szCs w:val="24"/>
                <w:lang w:eastAsia="en-GB"/>
              </w:rPr>
              <w:t>2011-12</w:t>
            </w:r>
          </w:p>
        </w:tc>
        <w:tc>
          <w:tcPr>
            <w:tcW w:w="468" w:type="pct"/>
            <w:tcBorders>
              <w:top w:val="single" w:sz="4" w:space="0" w:color="auto"/>
              <w:left w:val="nil"/>
              <w:bottom w:val="single" w:sz="4" w:space="0" w:color="auto"/>
              <w:right w:val="single" w:sz="4" w:space="0" w:color="auto"/>
            </w:tcBorders>
            <w:shd w:val="clear" w:color="000000" w:fill="009DDF"/>
            <w:noWrap/>
            <w:vAlign w:val="center"/>
            <w:hideMark/>
          </w:tcPr>
          <w:p w:rsidR="00F63FBB" w:rsidRPr="00AF5AB4" w:rsidRDefault="00F63FBB" w:rsidP="00F63FBB">
            <w:pPr>
              <w:spacing w:line="300" w:lineRule="auto"/>
              <w:jc w:val="center"/>
              <w:rPr>
                <w:rFonts w:ascii="Arial Narrow" w:eastAsia="Times New Roman" w:hAnsi="Arial Narrow"/>
                <w:color w:val="FFFFFF"/>
                <w:sz w:val="24"/>
                <w:szCs w:val="24"/>
                <w:lang w:eastAsia="en-GB"/>
              </w:rPr>
            </w:pPr>
            <w:r w:rsidRPr="00AF5AB4">
              <w:rPr>
                <w:rFonts w:ascii="Arial Narrow" w:eastAsia="Times New Roman" w:hAnsi="Arial Narrow"/>
                <w:color w:val="FFFFFF"/>
                <w:sz w:val="24"/>
                <w:szCs w:val="24"/>
                <w:lang w:eastAsia="en-GB"/>
              </w:rPr>
              <w:t>2012-13</w:t>
            </w:r>
          </w:p>
        </w:tc>
        <w:tc>
          <w:tcPr>
            <w:tcW w:w="469" w:type="pct"/>
            <w:tcBorders>
              <w:top w:val="single" w:sz="4" w:space="0" w:color="auto"/>
              <w:left w:val="nil"/>
              <w:bottom w:val="single" w:sz="4" w:space="0" w:color="auto"/>
              <w:right w:val="single" w:sz="4" w:space="0" w:color="auto"/>
            </w:tcBorders>
            <w:shd w:val="clear" w:color="000000" w:fill="009DDF"/>
            <w:noWrap/>
            <w:vAlign w:val="center"/>
            <w:hideMark/>
          </w:tcPr>
          <w:p w:rsidR="00F63FBB" w:rsidRPr="00AF5AB4" w:rsidRDefault="00F63FBB" w:rsidP="00F63FBB">
            <w:pPr>
              <w:spacing w:line="300" w:lineRule="auto"/>
              <w:jc w:val="center"/>
              <w:rPr>
                <w:rFonts w:ascii="Arial Narrow" w:eastAsia="Times New Roman" w:hAnsi="Arial Narrow"/>
                <w:color w:val="FFFFFF"/>
                <w:sz w:val="24"/>
                <w:szCs w:val="24"/>
                <w:lang w:eastAsia="en-GB"/>
              </w:rPr>
            </w:pPr>
            <w:r w:rsidRPr="00AF5AB4">
              <w:rPr>
                <w:rFonts w:ascii="Arial Narrow" w:eastAsia="Times New Roman" w:hAnsi="Arial Narrow"/>
                <w:color w:val="FFFFFF"/>
                <w:sz w:val="24"/>
                <w:szCs w:val="24"/>
                <w:lang w:eastAsia="en-GB"/>
              </w:rPr>
              <w:t>2013-14</w:t>
            </w:r>
          </w:p>
        </w:tc>
        <w:tc>
          <w:tcPr>
            <w:tcW w:w="469" w:type="pct"/>
            <w:tcBorders>
              <w:top w:val="single" w:sz="4" w:space="0" w:color="auto"/>
              <w:left w:val="nil"/>
              <w:bottom w:val="single" w:sz="4" w:space="0" w:color="auto"/>
              <w:right w:val="single" w:sz="4" w:space="0" w:color="auto"/>
            </w:tcBorders>
            <w:shd w:val="clear" w:color="000000" w:fill="009DDF"/>
            <w:noWrap/>
            <w:vAlign w:val="center"/>
            <w:hideMark/>
          </w:tcPr>
          <w:p w:rsidR="00F63FBB" w:rsidRPr="00AF5AB4" w:rsidRDefault="00F63FBB" w:rsidP="00F63FBB">
            <w:pPr>
              <w:spacing w:line="300" w:lineRule="auto"/>
              <w:jc w:val="center"/>
              <w:rPr>
                <w:rFonts w:ascii="Arial Narrow" w:eastAsia="Times New Roman" w:hAnsi="Arial Narrow"/>
                <w:color w:val="FFFFFF"/>
                <w:sz w:val="24"/>
                <w:szCs w:val="24"/>
                <w:lang w:eastAsia="en-GB"/>
              </w:rPr>
            </w:pPr>
            <w:r w:rsidRPr="00AF5AB4">
              <w:rPr>
                <w:rFonts w:ascii="Arial Narrow" w:eastAsia="Times New Roman" w:hAnsi="Arial Narrow"/>
                <w:color w:val="FFFFFF"/>
                <w:sz w:val="24"/>
                <w:szCs w:val="24"/>
                <w:lang w:eastAsia="en-GB"/>
              </w:rPr>
              <w:t>2014-15</w:t>
            </w:r>
          </w:p>
        </w:tc>
        <w:tc>
          <w:tcPr>
            <w:tcW w:w="469" w:type="pct"/>
            <w:tcBorders>
              <w:top w:val="single" w:sz="4" w:space="0" w:color="auto"/>
              <w:left w:val="nil"/>
              <w:bottom w:val="single" w:sz="4" w:space="0" w:color="auto"/>
              <w:right w:val="single" w:sz="4" w:space="0" w:color="auto"/>
            </w:tcBorders>
            <w:shd w:val="clear" w:color="000000" w:fill="009DDF"/>
            <w:noWrap/>
            <w:vAlign w:val="center"/>
            <w:hideMark/>
          </w:tcPr>
          <w:p w:rsidR="00F63FBB" w:rsidRPr="00AF5AB4" w:rsidRDefault="00F63FBB" w:rsidP="00F63FBB">
            <w:pPr>
              <w:spacing w:line="300" w:lineRule="auto"/>
              <w:jc w:val="center"/>
              <w:rPr>
                <w:rFonts w:ascii="Arial Narrow" w:eastAsia="Times New Roman" w:hAnsi="Arial Narrow"/>
                <w:color w:val="FFFFFF"/>
                <w:sz w:val="24"/>
                <w:szCs w:val="24"/>
                <w:lang w:eastAsia="en-GB"/>
              </w:rPr>
            </w:pPr>
            <w:r w:rsidRPr="00AF5AB4">
              <w:rPr>
                <w:rFonts w:ascii="Arial Narrow" w:eastAsia="Times New Roman" w:hAnsi="Arial Narrow"/>
                <w:color w:val="FFFFFF"/>
                <w:sz w:val="24"/>
                <w:szCs w:val="24"/>
                <w:lang w:eastAsia="en-GB"/>
              </w:rPr>
              <w:t>2015-16</w:t>
            </w:r>
          </w:p>
        </w:tc>
        <w:tc>
          <w:tcPr>
            <w:tcW w:w="468" w:type="pct"/>
            <w:tcBorders>
              <w:top w:val="single" w:sz="4" w:space="0" w:color="auto"/>
              <w:left w:val="nil"/>
              <w:bottom w:val="single" w:sz="4" w:space="0" w:color="auto"/>
              <w:right w:val="single" w:sz="4" w:space="0" w:color="auto"/>
            </w:tcBorders>
            <w:shd w:val="clear" w:color="000000" w:fill="009DDF"/>
            <w:noWrap/>
            <w:vAlign w:val="center"/>
            <w:hideMark/>
          </w:tcPr>
          <w:p w:rsidR="00F63FBB" w:rsidRPr="00AF5AB4" w:rsidRDefault="00F63FBB" w:rsidP="00F63FBB">
            <w:pPr>
              <w:spacing w:line="300" w:lineRule="auto"/>
              <w:jc w:val="center"/>
              <w:rPr>
                <w:rFonts w:ascii="Arial Narrow" w:eastAsia="Times New Roman" w:hAnsi="Arial Narrow"/>
                <w:color w:val="FFFFFF"/>
                <w:sz w:val="24"/>
                <w:szCs w:val="24"/>
                <w:lang w:eastAsia="en-GB"/>
              </w:rPr>
            </w:pPr>
            <w:r w:rsidRPr="00AF5AB4">
              <w:rPr>
                <w:rFonts w:ascii="Arial Narrow" w:eastAsia="Times New Roman" w:hAnsi="Arial Narrow"/>
                <w:color w:val="FFFFFF"/>
                <w:sz w:val="24"/>
                <w:szCs w:val="24"/>
                <w:lang w:eastAsia="en-GB"/>
              </w:rPr>
              <w:t>2016-17</w:t>
            </w:r>
          </w:p>
        </w:tc>
        <w:tc>
          <w:tcPr>
            <w:tcW w:w="464" w:type="pct"/>
            <w:tcBorders>
              <w:top w:val="single" w:sz="4" w:space="0" w:color="auto"/>
              <w:left w:val="nil"/>
              <w:bottom w:val="single" w:sz="4" w:space="0" w:color="auto"/>
              <w:right w:val="single" w:sz="4" w:space="0" w:color="auto"/>
            </w:tcBorders>
            <w:shd w:val="clear" w:color="000000" w:fill="009DDF"/>
          </w:tcPr>
          <w:p w:rsidR="00F63FBB" w:rsidRPr="00AF5AB4" w:rsidRDefault="00F63FBB" w:rsidP="00F63FBB">
            <w:pPr>
              <w:spacing w:line="300" w:lineRule="auto"/>
              <w:jc w:val="center"/>
              <w:rPr>
                <w:rFonts w:ascii="Arial Narrow" w:eastAsia="Times New Roman" w:hAnsi="Arial Narrow"/>
                <w:color w:val="FFFFFF"/>
                <w:sz w:val="24"/>
                <w:szCs w:val="24"/>
                <w:lang w:eastAsia="en-GB"/>
              </w:rPr>
            </w:pPr>
            <w:r w:rsidRPr="00AF5AB4">
              <w:rPr>
                <w:rFonts w:ascii="Arial Narrow" w:eastAsia="Times New Roman" w:hAnsi="Arial Narrow"/>
                <w:color w:val="FFFFFF"/>
                <w:sz w:val="24"/>
                <w:szCs w:val="24"/>
                <w:lang w:eastAsia="en-GB"/>
              </w:rPr>
              <w:t>2017-18</w:t>
            </w:r>
          </w:p>
        </w:tc>
      </w:tr>
      <w:tr w:rsidR="00BD0EDE" w:rsidRPr="00AF5AB4" w:rsidTr="00BD0EDE">
        <w:tc>
          <w:tcPr>
            <w:tcW w:w="1249" w:type="pct"/>
            <w:tcBorders>
              <w:top w:val="nil"/>
              <w:left w:val="single" w:sz="4" w:space="0" w:color="auto"/>
              <w:bottom w:val="single" w:sz="4" w:space="0" w:color="auto"/>
              <w:right w:val="single" w:sz="4" w:space="0" w:color="auto"/>
            </w:tcBorders>
            <w:shd w:val="clear" w:color="000000" w:fill="FFFFFF"/>
            <w:noWrap/>
            <w:vAlign w:val="bottom"/>
            <w:hideMark/>
          </w:tcPr>
          <w:p w:rsidR="00F63FBB" w:rsidRPr="00AF5AB4" w:rsidRDefault="00F63FBB" w:rsidP="00BD0EDE">
            <w:pPr>
              <w:rPr>
                <w:rFonts w:ascii="Arial Narrow" w:eastAsia="Times New Roman" w:hAnsi="Arial Narrow"/>
                <w:color w:val="000000"/>
                <w:sz w:val="24"/>
                <w:szCs w:val="24"/>
                <w:lang w:eastAsia="en-GB"/>
              </w:rPr>
            </w:pPr>
            <w:r w:rsidRPr="00AF5AB4">
              <w:rPr>
                <w:rFonts w:ascii="Arial Narrow" w:eastAsia="Times New Roman" w:hAnsi="Arial Narrow"/>
                <w:color w:val="000000"/>
                <w:sz w:val="24"/>
                <w:szCs w:val="24"/>
                <w:lang w:eastAsia="en-GB"/>
              </w:rPr>
              <w:t>Bed and breakfast (inc. shared annexe)</w:t>
            </w:r>
          </w:p>
        </w:tc>
        <w:tc>
          <w:tcPr>
            <w:tcW w:w="472" w:type="pct"/>
            <w:tcBorders>
              <w:top w:val="nil"/>
              <w:left w:val="nil"/>
              <w:bottom w:val="single" w:sz="4" w:space="0" w:color="auto"/>
              <w:right w:val="single" w:sz="4" w:space="0" w:color="auto"/>
            </w:tcBorders>
            <w:shd w:val="clear" w:color="000000" w:fill="FFFFFF"/>
            <w:noWrap/>
            <w:vAlign w:val="center"/>
            <w:hideMark/>
          </w:tcPr>
          <w:p w:rsidR="00F63FBB" w:rsidRPr="00AF5AB4" w:rsidRDefault="00F63FBB" w:rsidP="00BD0EDE">
            <w:pPr>
              <w:jc w:val="center"/>
              <w:rPr>
                <w:rFonts w:ascii="Arial Narrow" w:eastAsia="Times New Roman" w:hAnsi="Arial Narrow"/>
                <w:color w:val="000000"/>
                <w:sz w:val="24"/>
                <w:szCs w:val="24"/>
                <w:lang w:eastAsia="en-GB"/>
              </w:rPr>
            </w:pPr>
            <w:r w:rsidRPr="00AF5AB4">
              <w:rPr>
                <w:rFonts w:ascii="Arial Narrow" w:eastAsia="Times New Roman" w:hAnsi="Arial Narrow"/>
                <w:color w:val="000000"/>
                <w:sz w:val="24"/>
                <w:szCs w:val="24"/>
                <w:lang w:eastAsia="en-GB"/>
              </w:rPr>
              <w:t>3%</w:t>
            </w:r>
          </w:p>
        </w:tc>
        <w:tc>
          <w:tcPr>
            <w:tcW w:w="472" w:type="pct"/>
            <w:tcBorders>
              <w:top w:val="nil"/>
              <w:left w:val="nil"/>
              <w:bottom w:val="single" w:sz="4" w:space="0" w:color="auto"/>
              <w:right w:val="single" w:sz="4" w:space="0" w:color="auto"/>
            </w:tcBorders>
            <w:shd w:val="clear" w:color="000000" w:fill="FFFFFF"/>
            <w:noWrap/>
            <w:vAlign w:val="center"/>
            <w:hideMark/>
          </w:tcPr>
          <w:p w:rsidR="00F63FBB" w:rsidRPr="00AF5AB4" w:rsidRDefault="00F63FBB" w:rsidP="00BD0EDE">
            <w:pPr>
              <w:jc w:val="center"/>
              <w:rPr>
                <w:rFonts w:ascii="Arial Narrow" w:eastAsia="Times New Roman" w:hAnsi="Arial Narrow"/>
                <w:color w:val="000000"/>
                <w:sz w:val="24"/>
                <w:szCs w:val="24"/>
                <w:lang w:eastAsia="en-GB"/>
              </w:rPr>
            </w:pPr>
            <w:r w:rsidRPr="00AF5AB4">
              <w:rPr>
                <w:rFonts w:ascii="Arial Narrow" w:eastAsia="Times New Roman" w:hAnsi="Arial Narrow"/>
                <w:color w:val="000000"/>
                <w:sz w:val="24"/>
                <w:szCs w:val="24"/>
                <w:lang w:eastAsia="en-GB"/>
              </w:rPr>
              <w:t>7%</w:t>
            </w:r>
          </w:p>
        </w:tc>
        <w:tc>
          <w:tcPr>
            <w:tcW w:w="468" w:type="pct"/>
            <w:tcBorders>
              <w:top w:val="nil"/>
              <w:left w:val="nil"/>
              <w:bottom w:val="single" w:sz="4" w:space="0" w:color="auto"/>
              <w:right w:val="single" w:sz="4" w:space="0" w:color="auto"/>
            </w:tcBorders>
            <w:shd w:val="clear" w:color="000000" w:fill="FFFFFF"/>
            <w:noWrap/>
            <w:vAlign w:val="center"/>
            <w:hideMark/>
          </w:tcPr>
          <w:p w:rsidR="00F63FBB" w:rsidRPr="00AF5AB4" w:rsidRDefault="00F63FBB" w:rsidP="00BD0EDE">
            <w:pPr>
              <w:jc w:val="center"/>
              <w:rPr>
                <w:rFonts w:ascii="Arial Narrow" w:eastAsia="Times New Roman" w:hAnsi="Arial Narrow"/>
                <w:color w:val="000000"/>
                <w:sz w:val="24"/>
                <w:szCs w:val="24"/>
                <w:lang w:eastAsia="en-GB"/>
              </w:rPr>
            </w:pPr>
            <w:r w:rsidRPr="00AF5AB4">
              <w:rPr>
                <w:rFonts w:ascii="Arial Narrow" w:eastAsia="Times New Roman" w:hAnsi="Arial Narrow"/>
                <w:color w:val="000000"/>
                <w:sz w:val="24"/>
                <w:szCs w:val="24"/>
                <w:lang w:eastAsia="en-GB"/>
              </w:rPr>
              <w:t>20%</w:t>
            </w:r>
          </w:p>
        </w:tc>
        <w:tc>
          <w:tcPr>
            <w:tcW w:w="469" w:type="pct"/>
            <w:tcBorders>
              <w:top w:val="nil"/>
              <w:left w:val="nil"/>
              <w:bottom w:val="single" w:sz="4" w:space="0" w:color="auto"/>
              <w:right w:val="single" w:sz="4" w:space="0" w:color="auto"/>
            </w:tcBorders>
            <w:shd w:val="clear" w:color="000000" w:fill="FFFFFF"/>
            <w:noWrap/>
            <w:vAlign w:val="center"/>
            <w:hideMark/>
          </w:tcPr>
          <w:p w:rsidR="00F63FBB" w:rsidRPr="00AF5AB4" w:rsidRDefault="00F63FBB" w:rsidP="00BD0EDE">
            <w:pPr>
              <w:jc w:val="center"/>
              <w:rPr>
                <w:rFonts w:ascii="Arial Narrow" w:eastAsia="Times New Roman" w:hAnsi="Arial Narrow"/>
                <w:color w:val="000000"/>
                <w:sz w:val="24"/>
                <w:szCs w:val="24"/>
                <w:lang w:eastAsia="en-GB"/>
              </w:rPr>
            </w:pPr>
            <w:r w:rsidRPr="00AF5AB4">
              <w:rPr>
                <w:rFonts w:ascii="Arial Narrow" w:eastAsia="Times New Roman" w:hAnsi="Arial Narrow"/>
                <w:color w:val="000000"/>
                <w:sz w:val="24"/>
                <w:szCs w:val="24"/>
                <w:lang w:eastAsia="en-GB"/>
              </w:rPr>
              <w:t>0%</w:t>
            </w:r>
          </w:p>
        </w:tc>
        <w:tc>
          <w:tcPr>
            <w:tcW w:w="469" w:type="pct"/>
            <w:tcBorders>
              <w:top w:val="nil"/>
              <w:left w:val="nil"/>
              <w:bottom w:val="single" w:sz="4" w:space="0" w:color="auto"/>
              <w:right w:val="single" w:sz="4" w:space="0" w:color="auto"/>
            </w:tcBorders>
            <w:shd w:val="clear" w:color="000000" w:fill="FFFFFF"/>
            <w:noWrap/>
            <w:vAlign w:val="center"/>
            <w:hideMark/>
          </w:tcPr>
          <w:p w:rsidR="00F63FBB" w:rsidRPr="00AF5AB4" w:rsidRDefault="00F63FBB" w:rsidP="00BD0EDE">
            <w:pPr>
              <w:jc w:val="center"/>
              <w:rPr>
                <w:rFonts w:ascii="Arial Narrow" w:eastAsia="Times New Roman" w:hAnsi="Arial Narrow"/>
                <w:color w:val="000000"/>
                <w:sz w:val="24"/>
                <w:szCs w:val="24"/>
                <w:lang w:eastAsia="en-GB"/>
              </w:rPr>
            </w:pPr>
            <w:r w:rsidRPr="00AF5AB4">
              <w:rPr>
                <w:rFonts w:ascii="Arial Narrow" w:eastAsia="Times New Roman" w:hAnsi="Arial Narrow"/>
                <w:color w:val="000000"/>
                <w:sz w:val="24"/>
                <w:szCs w:val="24"/>
                <w:lang w:eastAsia="en-GB"/>
              </w:rPr>
              <w:t>0%</w:t>
            </w:r>
          </w:p>
        </w:tc>
        <w:tc>
          <w:tcPr>
            <w:tcW w:w="469" w:type="pct"/>
            <w:tcBorders>
              <w:top w:val="nil"/>
              <w:left w:val="nil"/>
              <w:bottom w:val="single" w:sz="4" w:space="0" w:color="auto"/>
              <w:right w:val="single" w:sz="4" w:space="0" w:color="auto"/>
            </w:tcBorders>
            <w:shd w:val="clear" w:color="000000" w:fill="FFFFFF"/>
            <w:noWrap/>
            <w:vAlign w:val="center"/>
            <w:hideMark/>
          </w:tcPr>
          <w:p w:rsidR="00F63FBB" w:rsidRPr="00AF5AB4" w:rsidRDefault="00F63FBB" w:rsidP="00BD0EDE">
            <w:pPr>
              <w:jc w:val="center"/>
              <w:rPr>
                <w:rFonts w:ascii="Arial Narrow" w:eastAsia="Times New Roman" w:hAnsi="Arial Narrow"/>
                <w:color w:val="000000"/>
                <w:sz w:val="24"/>
                <w:szCs w:val="24"/>
                <w:lang w:eastAsia="en-GB"/>
              </w:rPr>
            </w:pPr>
            <w:r w:rsidRPr="00AF5AB4">
              <w:rPr>
                <w:rFonts w:ascii="Arial Narrow" w:eastAsia="Times New Roman" w:hAnsi="Arial Narrow"/>
                <w:color w:val="000000"/>
                <w:sz w:val="24"/>
                <w:szCs w:val="24"/>
                <w:lang w:eastAsia="en-GB"/>
              </w:rPr>
              <w:t>14%</w:t>
            </w:r>
          </w:p>
        </w:tc>
        <w:tc>
          <w:tcPr>
            <w:tcW w:w="468" w:type="pct"/>
            <w:tcBorders>
              <w:top w:val="nil"/>
              <w:left w:val="nil"/>
              <w:bottom w:val="single" w:sz="4" w:space="0" w:color="auto"/>
              <w:right w:val="single" w:sz="4" w:space="0" w:color="auto"/>
            </w:tcBorders>
            <w:shd w:val="clear" w:color="000000" w:fill="FFFFFF"/>
            <w:noWrap/>
            <w:vAlign w:val="center"/>
            <w:hideMark/>
          </w:tcPr>
          <w:p w:rsidR="00F63FBB" w:rsidRPr="00AF5AB4" w:rsidRDefault="00F63FBB" w:rsidP="00BD0EDE">
            <w:pPr>
              <w:jc w:val="center"/>
              <w:rPr>
                <w:rFonts w:ascii="Arial Narrow" w:eastAsia="Times New Roman" w:hAnsi="Arial Narrow"/>
                <w:color w:val="000000"/>
                <w:sz w:val="24"/>
                <w:szCs w:val="24"/>
                <w:lang w:eastAsia="en-GB"/>
              </w:rPr>
            </w:pPr>
            <w:r w:rsidRPr="00AF5AB4">
              <w:rPr>
                <w:rFonts w:ascii="Arial Narrow" w:eastAsia="Times New Roman" w:hAnsi="Arial Narrow"/>
                <w:color w:val="000000"/>
                <w:sz w:val="24"/>
                <w:szCs w:val="24"/>
                <w:lang w:eastAsia="en-GB"/>
              </w:rPr>
              <w:t>0%</w:t>
            </w:r>
          </w:p>
        </w:tc>
        <w:tc>
          <w:tcPr>
            <w:tcW w:w="464" w:type="pct"/>
            <w:tcBorders>
              <w:top w:val="nil"/>
              <w:left w:val="nil"/>
              <w:bottom w:val="single" w:sz="4" w:space="0" w:color="auto"/>
              <w:right w:val="single" w:sz="4" w:space="0" w:color="auto"/>
            </w:tcBorders>
            <w:shd w:val="clear" w:color="000000" w:fill="FFFFFF"/>
            <w:vAlign w:val="center"/>
          </w:tcPr>
          <w:p w:rsidR="00F63FBB" w:rsidRPr="00AF5AB4" w:rsidRDefault="00F63FBB" w:rsidP="00BD0EDE">
            <w:pPr>
              <w:jc w:val="center"/>
              <w:rPr>
                <w:rFonts w:ascii="Arial Narrow" w:eastAsia="Times New Roman" w:hAnsi="Arial Narrow"/>
                <w:color w:val="000000"/>
                <w:sz w:val="24"/>
                <w:szCs w:val="24"/>
                <w:lang w:eastAsia="en-GB"/>
              </w:rPr>
            </w:pPr>
            <w:r w:rsidRPr="00AF5AB4">
              <w:rPr>
                <w:rFonts w:ascii="Arial Narrow" w:eastAsia="Times New Roman" w:hAnsi="Arial Narrow"/>
                <w:color w:val="000000"/>
                <w:sz w:val="24"/>
                <w:szCs w:val="24"/>
                <w:lang w:eastAsia="en-GB"/>
              </w:rPr>
              <w:t>21%</w:t>
            </w:r>
          </w:p>
        </w:tc>
      </w:tr>
      <w:tr w:rsidR="00BD0EDE" w:rsidRPr="00AF5AB4" w:rsidTr="00BD0EDE">
        <w:tc>
          <w:tcPr>
            <w:tcW w:w="1249" w:type="pct"/>
            <w:tcBorders>
              <w:top w:val="nil"/>
              <w:left w:val="single" w:sz="4" w:space="0" w:color="auto"/>
              <w:bottom w:val="single" w:sz="4" w:space="0" w:color="auto"/>
              <w:right w:val="single" w:sz="4" w:space="0" w:color="auto"/>
            </w:tcBorders>
            <w:shd w:val="clear" w:color="000000" w:fill="FFFFFF"/>
            <w:noWrap/>
            <w:vAlign w:val="bottom"/>
            <w:hideMark/>
          </w:tcPr>
          <w:p w:rsidR="00F63FBB" w:rsidRPr="00AF5AB4" w:rsidRDefault="00F63FBB" w:rsidP="00BD0EDE">
            <w:pPr>
              <w:rPr>
                <w:rFonts w:ascii="Arial Narrow" w:eastAsia="Times New Roman" w:hAnsi="Arial Narrow"/>
                <w:color w:val="000000"/>
                <w:sz w:val="24"/>
                <w:szCs w:val="24"/>
                <w:lang w:eastAsia="en-GB"/>
              </w:rPr>
            </w:pPr>
            <w:r w:rsidRPr="00AF5AB4">
              <w:rPr>
                <w:rFonts w:ascii="Arial Narrow" w:eastAsia="Times New Roman" w:hAnsi="Arial Narrow"/>
                <w:color w:val="000000"/>
                <w:sz w:val="24"/>
                <w:szCs w:val="24"/>
                <w:lang w:eastAsia="en-GB"/>
              </w:rPr>
              <w:t>Hostels</w:t>
            </w:r>
          </w:p>
        </w:tc>
        <w:tc>
          <w:tcPr>
            <w:tcW w:w="472" w:type="pct"/>
            <w:tcBorders>
              <w:top w:val="nil"/>
              <w:left w:val="nil"/>
              <w:bottom w:val="single" w:sz="4" w:space="0" w:color="auto"/>
              <w:right w:val="single" w:sz="4" w:space="0" w:color="auto"/>
            </w:tcBorders>
            <w:shd w:val="clear" w:color="000000" w:fill="FFFFFF"/>
            <w:noWrap/>
            <w:vAlign w:val="center"/>
            <w:hideMark/>
          </w:tcPr>
          <w:p w:rsidR="00F63FBB" w:rsidRPr="00AF5AB4" w:rsidRDefault="00F63FBB" w:rsidP="00BD0EDE">
            <w:pPr>
              <w:jc w:val="center"/>
              <w:rPr>
                <w:rFonts w:ascii="Arial Narrow" w:eastAsia="Times New Roman" w:hAnsi="Arial Narrow"/>
                <w:color w:val="000000"/>
                <w:sz w:val="24"/>
                <w:szCs w:val="24"/>
                <w:lang w:eastAsia="en-GB"/>
              </w:rPr>
            </w:pPr>
            <w:r w:rsidRPr="00AF5AB4">
              <w:rPr>
                <w:rFonts w:ascii="Arial Narrow" w:eastAsia="Times New Roman" w:hAnsi="Arial Narrow"/>
                <w:color w:val="000000"/>
                <w:sz w:val="24"/>
                <w:szCs w:val="24"/>
                <w:lang w:eastAsia="en-GB"/>
              </w:rPr>
              <w:t>0%</w:t>
            </w:r>
          </w:p>
        </w:tc>
        <w:tc>
          <w:tcPr>
            <w:tcW w:w="472" w:type="pct"/>
            <w:tcBorders>
              <w:top w:val="nil"/>
              <w:left w:val="nil"/>
              <w:bottom w:val="single" w:sz="4" w:space="0" w:color="auto"/>
              <w:right w:val="single" w:sz="4" w:space="0" w:color="auto"/>
            </w:tcBorders>
            <w:shd w:val="clear" w:color="000000" w:fill="FFFFFF"/>
            <w:noWrap/>
            <w:vAlign w:val="center"/>
            <w:hideMark/>
          </w:tcPr>
          <w:p w:rsidR="00F63FBB" w:rsidRPr="00AF5AB4" w:rsidRDefault="00F63FBB" w:rsidP="00BD0EDE">
            <w:pPr>
              <w:jc w:val="center"/>
              <w:rPr>
                <w:rFonts w:ascii="Arial Narrow" w:eastAsia="Times New Roman" w:hAnsi="Arial Narrow"/>
                <w:color w:val="000000"/>
                <w:sz w:val="24"/>
                <w:szCs w:val="24"/>
                <w:lang w:eastAsia="en-GB"/>
              </w:rPr>
            </w:pPr>
            <w:r w:rsidRPr="00AF5AB4">
              <w:rPr>
                <w:rFonts w:ascii="Arial Narrow" w:eastAsia="Times New Roman" w:hAnsi="Arial Narrow"/>
                <w:color w:val="000000"/>
                <w:sz w:val="24"/>
                <w:szCs w:val="24"/>
                <w:lang w:eastAsia="en-GB"/>
              </w:rPr>
              <w:t>0%</w:t>
            </w:r>
          </w:p>
        </w:tc>
        <w:tc>
          <w:tcPr>
            <w:tcW w:w="468" w:type="pct"/>
            <w:tcBorders>
              <w:top w:val="nil"/>
              <w:left w:val="nil"/>
              <w:bottom w:val="single" w:sz="4" w:space="0" w:color="auto"/>
              <w:right w:val="single" w:sz="4" w:space="0" w:color="auto"/>
            </w:tcBorders>
            <w:shd w:val="clear" w:color="000000" w:fill="FFFFFF"/>
            <w:noWrap/>
            <w:vAlign w:val="center"/>
            <w:hideMark/>
          </w:tcPr>
          <w:p w:rsidR="00F63FBB" w:rsidRPr="00AF5AB4" w:rsidRDefault="00F63FBB" w:rsidP="00BD0EDE">
            <w:pPr>
              <w:jc w:val="center"/>
              <w:rPr>
                <w:rFonts w:ascii="Arial Narrow" w:eastAsia="Times New Roman" w:hAnsi="Arial Narrow"/>
                <w:color w:val="000000"/>
                <w:sz w:val="24"/>
                <w:szCs w:val="24"/>
                <w:lang w:eastAsia="en-GB"/>
              </w:rPr>
            </w:pPr>
            <w:r w:rsidRPr="00AF5AB4">
              <w:rPr>
                <w:rFonts w:ascii="Arial Narrow" w:eastAsia="Times New Roman" w:hAnsi="Arial Narrow"/>
                <w:color w:val="000000"/>
                <w:sz w:val="24"/>
                <w:szCs w:val="24"/>
                <w:lang w:eastAsia="en-GB"/>
              </w:rPr>
              <w:t>0%</w:t>
            </w:r>
          </w:p>
        </w:tc>
        <w:tc>
          <w:tcPr>
            <w:tcW w:w="469" w:type="pct"/>
            <w:tcBorders>
              <w:top w:val="nil"/>
              <w:left w:val="nil"/>
              <w:bottom w:val="single" w:sz="4" w:space="0" w:color="auto"/>
              <w:right w:val="single" w:sz="4" w:space="0" w:color="auto"/>
            </w:tcBorders>
            <w:shd w:val="clear" w:color="000000" w:fill="FFFFFF"/>
            <w:noWrap/>
            <w:vAlign w:val="center"/>
            <w:hideMark/>
          </w:tcPr>
          <w:p w:rsidR="00F63FBB" w:rsidRPr="00AF5AB4" w:rsidRDefault="00F63FBB" w:rsidP="00BD0EDE">
            <w:pPr>
              <w:jc w:val="center"/>
              <w:rPr>
                <w:rFonts w:ascii="Arial Narrow" w:eastAsia="Times New Roman" w:hAnsi="Arial Narrow"/>
                <w:color w:val="000000"/>
                <w:sz w:val="24"/>
                <w:szCs w:val="24"/>
                <w:lang w:eastAsia="en-GB"/>
              </w:rPr>
            </w:pPr>
            <w:r w:rsidRPr="00AF5AB4">
              <w:rPr>
                <w:rFonts w:ascii="Arial Narrow" w:eastAsia="Times New Roman" w:hAnsi="Arial Narrow"/>
                <w:color w:val="000000"/>
                <w:sz w:val="24"/>
                <w:szCs w:val="24"/>
                <w:lang w:eastAsia="en-GB"/>
              </w:rPr>
              <w:t>0%</w:t>
            </w:r>
          </w:p>
        </w:tc>
        <w:tc>
          <w:tcPr>
            <w:tcW w:w="469" w:type="pct"/>
            <w:tcBorders>
              <w:top w:val="nil"/>
              <w:left w:val="nil"/>
              <w:bottom w:val="single" w:sz="4" w:space="0" w:color="auto"/>
              <w:right w:val="single" w:sz="4" w:space="0" w:color="auto"/>
            </w:tcBorders>
            <w:shd w:val="clear" w:color="000000" w:fill="FFFFFF"/>
            <w:noWrap/>
            <w:vAlign w:val="center"/>
            <w:hideMark/>
          </w:tcPr>
          <w:p w:rsidR="00F63FBB" w:rsidRPr="00AF5AB4" w:rsidRDefault="00F63FBB" w:rsidP="00BD0EDE">
            <w:pPr>
              <w:jc w:val="center"/>
              <w:rPr>
                <w:rFonts w:ascii="Arial Narrow" w:eastAsia="Times New Roman" w:hAnsi="Arial Narrow"/>
                <w:color w:val="000000"/>
                <w:sz w:val="24"/>
                <w:szCs w:val="24"/>
                <w:lang w:eastAsia="en-GB"/>
              </w:rPr>
            </w:pPr>
            <w:r w:rsidRPr="00AF5AB4">
              <w:rPr>
                <w:rFonts w:ascii="Arial Narrow" w:eastAsia="Times New Roman" w:hAnsi="Arial Narrow"/>
                <w:color w:val="000000"/>
                <w:sz w:val="24"/>
                <w:szCs w:val="24"/>
                <w:lang w:eastAsia="en-GB"/>
              </w:rPr>
              <w:t>0%</w:t>
            </w:r>
          </w:p>
        </w:tc>
        <w:tc>
          <w:tcPr>
            <w:tcW w:w="469" w:type="pct"/>
            <w:tcBorders>
              <w:top w:val="nil"/>
              <w:left w:val="nil"/>
              <w:bottom w:val="single" w:sz="4" w:space="0" w:color="auto"/>
              <w:right w:val="single" w:sz="4" w:space="0" w:color="auto"/>
            </w:tcBorders>
            <w:shd w:val="clear" w:color="000000" w:fill="FFFFFF"/>
            <w:noWrap/>
            <w:vAlign w:val="center"/>
            <w:hideMark/>
          </w:tcPr>
          <w:p w:rsidR="00F63FBB" w:rsidRPr="00AF5AB4" w:rsidRDefault="00F63FBB" w:rsidP="00BD0EDE">
            <w:pPr>
              <w:jc w:val="center"/>
              <w:rPr>
                <w:rFonts w:ascii="Arial Narrow" w:eastAsia="Times New Roman" w:hAnsi="Arial Narrow"/>
                <w:color w:val="000000"/>
                <w:sz w:val="24"/>
                <w:szCs w:val="24"/>
                <w:lang w:eastAsia="en-GB"/>
              </w:rPr>
            </w:pPr>
            <w:r w:rsidRPr="00AF5AB4">
              <w:rPr>
                <w:rFonts w:ascii="Arial Narrow" w:eastAsia="Times New Roman" w:hAnsi="Arial Narrow"/>
                <w:color w:val="000000"/>
                <w:sz w:val="24"/>
                <w:szCs w:val="24"/>
                <w:lang w:eastAsia="en-GB"/>
              </w:rPr>
              <w:t>0%</w:t>
            </w:r>
          </w:p>
        </w:tc>
        <w:tc>
          <w:tcPr>
            <w:tcW w:w="468" w:type="pct"/>
            <w:tcBorders>
              <w:top w:val="nil"/>
              <w:left w:val="nil"/>
              <w:bottom w:val="single" w:sz="4" w:space="0" w:color="auto"/>
              <w:right w:val="single" w:sz="4" w:space="0" w:color="auto"/>
            </w:tcBorders>
            <w:shd w:val="clear" w:color="000000" w:fill="FFFFFF"/>
            <w:noWrap/>
            <w:vAlign w:val="center"/>
            <w:hideMark/>
          </w:tcPr>
          <w:p w:rsidR="00F63FBB" w:rsidRPr="00AF5AB4" w:rsidRDefault="00F63FBB" w:rsidP="00BD0EDE">
            <w:pPr>
              <w:jc w:val="center"/>
              <w:rPr>
                <w:rFonts w:ascii="Arial Narrow" w:eastAsia="Times New Roman" w:hAnsi="Arial Narrow"/>
                <w:color w:val="000000"/>
                <w:sz w:val="24"/>
                <w:szCs w:val="24"/>
                <w:lang w:eastAsia="en-GB"/>
              </w:rPr>
            </w:pPr>
            <w:r w:rsidRPr="00AF5AB4">
              <w:rPr>
                <w:rFonts w:ascii="Arial Narrow" w:eastAsia="Times New Roman" w:hAnsi="Arial Narrow"/>
                <w:color w:val="000000"/>
                <w:sz w:val="24"/>
                <w:szCs w:val="24"/>
                <w:lang w:eastAsia="en-GB"/>
              </w:rPr>
              <w:t>0%</w:t>
            </w:r>
          </w:p>
        </w:tc>
        <w:tc>
          <w:tcPr>
            <w:tcW w:w="464" w:type="pct"/>
            <w:tcBorders>
              <w:top w:val="nil"/>
              <w:left w:val="nil"/>
              <w:bottom w:val="single" w:sz="4" w:space="0" w:color="auto"/>
              <w:right w:val="single" w:sz="4" w:space="0" w:color="auto"/>
            </w:tcBorders>
            <w:shd w:val="clear" w:color="000000" w:fill="FFFFFF"/>
            <w:vAlign w:val="center"/>
          </w:tcPr>
          <w:p w:rsidR="00F63FBB" w:rsidRPr="00AF5AB4" w:rsidRDefault="00F63FBB" w:rsidP="00BD0EDE">
            <w:pPr>
              <w:jc w:val="center"/>
              <w:rPr>
                <w:rFonts w:ascii="Arial Narrow" w:eastAsia="Times New Roman" w:hAnsi="Arial Narrow"/>
                <w:color w:val="000000"/>
                <w:sz w:val="24"/>
                <w:szCs w:val="24"/>
                <w:lang w:eastAsia="en-GB"/>
              </w:rPr>
            </w:pPr>
            <w:r w:rsidRPr="00AF5AB4">
              <w:rPr>
                <w:rFonts w:ascii="Arial Narrow" w:eastAsia="Times New Roman" w:hAnsi="Arial Narrow"/>
                <w:color w:val="000000"/>
                <w:sz w:val="24"/>
                <w:szCs w:val="24"/>
                <w:lang w:eastAsia="en-GB"/>
              </w:rPr>
              <w:t>0%</w:t>
            </w:r>
          </w:p>
        </w:tc>
      </w:tr>
      <w:tr w:rsidR="00BD0EDE" w:rsidRPr="00AF5AB4" w:rsidTr="00BD0EDE">
        <w:tc>
          <w:tcPr>
            <w:tcW w:w="1249" w:type="pct"/>
            <w:tcBorders>
              <w:top w:val="nil"/>
              <w:left w:val="single" w:sz="4" w:space="0" w:color="auto"/>
              <w:bottom w:val="single" w:sz="4" w:space="0" w:color="auto"/>
              <w:right w:val="single" w:sz="4" w:space="0" w:color="auto"/>
            </w:tcBorders>
            <w:shd w:val="clear" w:color="000000" w:fill="FFFFFF"/>
            <w:noWrap/>
            <w:vAlign w:val="bottom"/>
            <w:hideMark/>
          </w:tcPr>
          <w:p w:rsidR="00F63FBB" w:rsidRPr="00AF5AB4" w:rsidRDefault="00F63FBB" w:rsidP="00BD0EDE">
            <w:pPr>
              <w:rPr>
                <w:rFonts w:ascii="Arial Narrow" w:eastAsia="Times New Roman" w:hAnsi="Arial Narrow"/>
                <w:color w:val="000000"/>
                <w:sz w:val="24"/>
                <w:szCs w:val="24"/>
                <w:lang w:eastAsia="en-GB"/>
              </w:rPr>
            </w:pPr>
            <w:r w:rsidRPr="00AF5AB4">
              <w:rPr>
                <w:rFonts w:ascii="Arial Narrow" w:eastAsia="Times New Roman" w:hAnsi="Arial Narrow"/>
                <w:color w:val="000000"/>
                <w:sz w:val="24"/>
                <w:szCs w:val="24"/>
                <w:lang w:eastAsia="en-GB"/>
              </w:rPr>
              <w:t xml:space="preserve">LA </w:t>
            </w:r>
            <w:r w:rsidR="001235E0" w:rsidRPr="00AF5AB4">
              <w:rPr>
                <w:rFonts w:ascii="Arial Narrow" w:eastAsia="Times New Roman" w:hAnsi="Arial Narrow"/>
                <w:color w:val="000000"/>
                <w:sz w:val="24"/>
                <w:szCs w:val="24"/>
                <w:lang w:eastAsia="en-GB"/>
              </w:rPr>
              <w:t>temporary accommodation</w:t>
            </w:r>
          </w:p>
        </w:tc>
        <w:tc>
          <w:tcPr>
            <w:tcW w:w="472" w:type="pct"/>
            <w:tcBorders>
              <w:top w:val="nil"/>
              <w:left w:val="nil"/>
              <w:bottom w:val="single" w:sz="4" w:space="0" w:color="auto"/>
              <w:right w:val="single" w:sz="4" w:space="0" w:color="auto"/>
            </w:tcBorders>
            <w:shd w:val="clear" w:color="000000" w:fill="FFFFFF"/>
            <w:noWrap/>
            <w:vAlign w:val="center"/>
            <w:hideMark/>
          </w:tcPr>
          <w:p w:rsidR="00F63FBB" w:rsidRPr="00AF5AB4" w:rsidRDefault="00F63FBB" w:rsidP="00BD0EDE">
            <w:pPr>
              <w:jc w:val="center"/>
              <w:rPr>
                <w:rFonts w:ascii="Arial Narrow" w:eastAsia="Times New Roman" w:hAnsi="Arial Narrow"/>
                <w:color w:val="000000"/>
                <w:sz w:val="24"/>
                <w:szCs w:val="24"/>
                <w:lang w:eastAsia="en-GB"/>
              </w:rPr>
            </w:pPr>
            <w:r w:rsidRPr="00AF5AB4">
              <w:rPr>
                <w:rFonts w:ascii="Arial Narrow" w:eastAsia="Times New Roman" w:hAnsi="Arial Narrow"/>
                <w:color w:val="000000"/>
                <w:sz w:val="24"/>
                <w:szCs w:val="24"/>
                <w:lang w:eastAsia="en-GB"/>
              </w:rPr>
              <w:t>97%</w:t>
            </w:r>
          </w:p>
        </w:tc>
        <w:tc>
          <w:tcPr>
            <w:tcW w:w="472" w:type="pct"/>
            <w:tcBorders>
              <w:top w:val="nil"/>
              <w:left w:val="nil"/>
              <w:bottom w:val="single" w:sz="4" w:space="0" w:color="auto"/>
              <w:right w:val="single" w:sz="4" w:space="0" w:color="auto"/>
            </w:tcBorders>
            <w:shd w:val="clear" w:color="000000" w:fill="FFFFFF"/>
            <w:noWrap/>
            <w:vAlign w:val="center"/>
            <w:hideMark/>
          </w:tcPr>
          <w:p w:rsidR="00F63FBB" w:rsidRPr="00AF5AB4" w:rsidRDefault="00F63FBB" w:rsidP="00BD0EDE">
            <w:pPr>
              <w:jc w:val="center"/>
              <w:rPr>
                <w:rFonts w:ascii="Arial Narrow" w:eastAsia="Times New Roman" w:hAnsi="Arial Narrow"/>
                <w:color w:val="000000"/>
                <w:sz w:val="24"/>
                <w:szCs w:val="24"/>
                <w:lang w:eastAsia="en-GB"/>
              </w:rPr>
            </w:pPr>
            <w:r w:rsidRPr="00AF5AB4">
              <w:rPr>
                <w:rFonts w:ascii="Arial Narrow" w:eastAsia="Times New Roman" w:hAnsi="Arial Narrow"/>
                <w:color w:val="000000"/>
                <w:sz w:val="24"/>
                <w:szCs w:val="24"/>
                <w:lang w:eastAsia="en-GB"/>
              </w:rPr>
              <w:t>93%</w:t>
            </w:r>
          </w:p>
        </w:tc>
        <w:tc>
          <w:tcPr>
            <w:tcW w:w="468" w:type="pct"/>
            <w:tcBorders>
              <w:top w:val="nil"/>
              <w:left w:val="nil"/>
              <w:bottom w:val="single" w:sz="4" w:space="0" w:color="auto"/>
              <w:right w:val="single" w:sz="4" w:space="0" w:color="auto"/>
            </w:tcBorders>
            <w:shd w:val="clear" w:color="000000" w:fill="FFFFFF"/>
            <w:noWrap/>
            <w:vAlign w:val="center"/>
            <w:hideMark/>
          </w:tcPr>
          <w:p w:rsidR="00F63FBB" w:rsidRPr="00AF5AB4" w:rsidRDefault="00F63FBB" w:rsidP="00BD0EDE">
            <w:pPr>
              <w:jc w:val="center"/>
              <w:rPr>
                <w:rFonts w:ascii="Arial Narrow" w:eastAsia="Times New Roman" w:hAnsi="Arial Narrow"/>
                <w:color w:val="000000"/>
                <w:sz w:val="24"/>
                <w:szCs w:val="24"/>
                <w:lang w:eastAsia="en-GB"/>
              </w:rPr>
            </w:pPr>
            <w:r w:rsidRPr="00AF5AB4">
              <w:rPr>
                <w:rFonts w:ascii="Arial Narrow" w:eastAsia="Times New Roman" w:hAnsi="Arial Narrow"/>
                <w:color w:val="000000"/>
                <w:sz w:val="24"/>
                <w:szCs w:val="24"/>
                <w:lang w:eastAsia="en-GB"/>
              </w:rPr>
              <w:t>80%</w:t>
            </w:r>
          </w:p>
        </w:tc>
        <w:tc>
          <w:tcPr>
            <w:tcW w:w="469" w:type="pct"/>
            <w:tcBorders>
              <w:top w:val="nil"/>
              <w:left w:val="nil"/>
              <w:bottom w:val="single" w:sz="4" w:space="0" w:color="auto"/>
              <w:right w:val="single" w:sz="4" w:space="0" w:color="auto"/>
            </w:tcBorders>
            <w:shd w:val="clear" w:color="000000" w:fill="FFFFFF"/>
            <w:noWrap/>
            <w:vAlign w:val="center"/>
            <w:hideMark/>
          </w:tcPr>
          <w:p w:rsidR="00F63FBB" w:rsidRPr="00AF5AB4" w:rsidRDefault="00F63FBB" w:rsidP="00BD0EDE">
            <w:pPr>
              <w:jc w:val="center"/>
              <w:rPr>
                <w:rFonts w:ascii="Arial Narrow" w:eastAsia="Times New Roman" w:hAnsi="Arial Narrow"/>
                <w:color w:val="000000"/>
                <w:sz w:val="24"/>
                <w:szCs w:val="24"/>
                <w:lang w:eastAsia="en-GB"/>
              </w:rPr>
            </w:pPr>
            <w:r w:rsidRPr="00AF5AB4">
              <w:rPr>
                <w:rFonts w:ascii="Arial Narrow" w:eastAsia="Times New Roman" w:hAnsi="Arial Narrow"/>
                <w:color w:val="000000"/>
                <w:sz w:val="24"/>
                <w:szCs w:val="24"/>
                <w:lang w:eastAsia="en-GB"/>
              </w:rPr>
              <w:t>90%</w:t>
            </w:r>
          </w:p>
        </w:tc>
        <w:tc>
          <w:tcPr>
            <w:tcW w:w="469" w:type="pct"/>
            <w:tcBorders>
              <w:top w:val="nil"/>
              <w:left w:val="nil"/>
              <w:bottom w:val="single" w:sz="4" w:space="0" w:color="auto"/>
              <w:right w:val="single" w:sz="4" w:space="0" w:color="auto"/>
            </w:tcBorders>
            <w:shd w:val="clear" w:color="000000" w:fill="FFFFFF"/>
            <w:noWrap/>
            <w:vAlign w:val="center"/>
            <w:hideMark/>
          </w:tcPr>
          <w:p w:rsidR="00F63FBB" w:rsidRPr="00AF5AB4" w:rsidRDefault="00F63FBB" w:rsidP="00BD0EDE">
            <w:pPr>
              <w:jc w:val="center"/>
              <w:rPr>
                <w:rFonts w:ascii="Arial Narrow" w:eastAsia="Times New Roman" w:hAnsi="Arial Narrow"/>
                <w:color w:val="000000"/>
                <w:sz w:val="24"/>
                <w:szCs w:val="24"/>
                <w:lang w:eastAsia="en-GB"/>
              </w:rPr>
            </w:pPr>
            <w:r w:rsidRPr="00AF5AB4">
              <w:rPr>
                <w:rFonts w:ascii="Arial Narrow" w:eastAsia="Times New Roman" w:hAnsi="Arial Narrow"/>
                <w:color w:val="000000"/>
                <w:sz w:val="24"/>
                <w:szCs w:val="24"/>
                <w:lang w:eastAsia="en-GB"/>
              </w:rPr>
              <w:t>80%</w:t>
            </w:r>
          </w:p>
        </w:tc>
        <w:tc>
          <w:tcPr>
            <w:tcW w:w="469" w:type="pct"/>
            <w:tcBorders>
              <w:top w:val="nil"/>
              <w:left w:val="nil"/>
              <w:bottom w:val="single" w:sz="4" w:space="0" w:color="auto"/>
              <w:right w:val="single" w:sz="4" w:space="0" w:color="auto"/>
            </w:tcBorders>
            <w:shd w:val="clear" w:color="000000" w:fill="FFFFFF"/>
            <w:noWrap/>
            <w:vAlign w:val="center"/>
            <w:hideMark/>
          </w:tcPr>
          <w:p w:rsidR="00F63FBB" w:rsidRPr="00AF5AB4" w:rsidRDefault="00F63FBB" w:rsidP="00BD0EDE">
            <w:pPr>
              <w:jc w:val="center"/>
              <w:rPr>
                <w:rFonts w:ascii="Arial Narrow" w:eastAsia="Times New Roman" w:hAnsi="Arial Narrow"/>
                <w:color w:val="000000"/>
                <w:sz w:val="24"/>
                <w:szCs w:val="24"/>
                <w:lang w:eastAsia="en-GB"/>
              </w:rPr>
            </w:pPr>
            <w:r w:rsidRPr="00AF5AB4">
              <w:rPr>
                <w:rFonts w:ascii="Arial Narrow" w:eastAsia="Times New Roman" w:hAnsi="Arial Narrow"/>
                <w:color w:val="000000"/>
                <w:sz w:val="24"/>
                <w:szCs w:val="24"/>
                <w:lang w:eastAsia="en-GB"/>
              </w:rPr>
              <w:t>80%</w:t>
            </w:r>
          </w:p>
        </w:tc>
        <w:tc>
          <w:tcPr>
            <w:tcW w:w="468" w:type="pct"/>
            <w:tcBorders>
              <w:top w:val="nil"/>
              <w:left w:val="nil"/>
              <w:bottom w:val="single" w:sz="4" w:space="0" w:color="auto"/>
              <w:right w:val="single" w:sz="4" w:space="0" w:color="auto"/>
            </w:tcBorders>
            <w:shd w:val="clear" w:color="000000" w:fill="FFFFFF"/>
            <w:noWrap/>
            <w:vAlign w:val="center"/>
            <w:hideMark/>
          </w:tcPr>
          <w:p w:rsidR="00F63FBB" w:rsidRPr="00AF5AB4" w:rsidRDefault="00F63FBB" w:rsidP="00BD0EDE">
            <w:pPr>
              <w:jc w:val="center"/>
              <w:rPr>
                <w:rFonts w:ascii="Arial Narrow" w:eastAsia="Times New Roman" w:hAnsi="Arial Narrow"/>
                <w:color w:val="000000"/>
                <w:sz w:val="24"/>
                <w:szCs w:val="24"/>
                <w:lang w:eastAsia="en-GB"/>
              </w:rPr>
            </w:pPr>
            <w:r w:rsidRPr="00AF5AB4">
              <w:rPr>
                <w:rFonts w:ascii="Arial Narrow" w:eastAsia="Times New Roman" w:hAnsi="Arial Narrow"/>
                <w:color w:val="000000"/>
                <w:sz w:val="24"/>
                <w:szCs w:val="24"/>
                <w:lang w:eastAsia="en-GB"/>
              </w:rPr>
              <w:t>93%</w:t>
            </w:r>
          </w:p>
        </w:tc>
        <w:tc>
          <w:tcPr>
            <w:tcW w:w="464" w:type="pct"/>
            <w:tcBorders>
              <w:top w:val="nil"/>
              <w:left w:val="nil"/>
              <w:bottom w:val="single" w:sz="4" w:space="0" w:color="auto"/>
              <w:right w:val="single" w:sz="4" w:space="0" w:color="auto"/>
            </w:tcBorders>
            <w:shd w:val="clear" w:color="000000" w:fill="FFFFFF"/>
            <w:vAlign w:val="center"/>
          </w:tcPr>
          <w:p w:rsidR="00F63FBB" w:rsidRPr="00AF5AB4" w:rsidRDefault="00F63FBB" w:rsidP="00BD0EDE">
            <w:pPr>
              <w:jc w:val="center"/>
              <w:rPr>
                <w:rFonts w:ascii="Arial Narrow" w:eastAsia="Times New Roman" w:hAnsi="Arial Narrow"/>
                <w:color w:val="000000"/>
                <w:sz w:val="24"/>
                <w:szCs w:val="24"/>
                <w:lang w:eastAsia="en-GB"/>
              </w:rPr>
            </w:pPr>
            <w:r w:rsidRPr="00AF5AB4">
              <w:rPr>
                <w:rFonts w:ascii="Arial Narrow" w:eastAsia="Times New Roman" w:hAnsi="Arial Narrow"/>
                <w:color w:val="000000"/>
                <w:sz w:val="24"/>
                <w:szCs w:val="24"/>
                <w:lang w:eastAsia="en-GB"/>
              </w:rPr>
              <w:t>74%</w:t>
            </w:r>
          </w:p>
        </w:tc>
      </w:tr>
      <w:tr w:rsidR="00BD0EDE" w:rsidRPr="00AF5AB4" w:rsidTr="00BD0EDE">
        <w:tc>
          <w:tcPr>
            <w:tcW w:w="1249" w:type="pct"/>
            <w:tcBorders>
              <w:top w:val="nil"/>
              <w:left w:val="single" w:sz="4" w:space="0" w:color="auto"/>
              <w:bottom w:val="single" w:sz="4" w:space="0" w:color="auto"/>
              <w:right w:val="single" w:sz="4" w:space="0" w:color="auto"/>
            </w:tcBorders>
            <w:shd w:val="clear" w:color="000000" w:fill="FFFFFF"/>
            <w:noWrap/>
            <w:vAlign w:val="bottom"/>
            <w:hideMark/>
          </w:tcPr>
          <w:p w:rsidR="00F63FBB" w:rsidRPr="00AF5AB4" w:rsidRDefault="00F63FBB" w:rsidP="00BD0EDE">
            <w:pPr>
              <w:rPr>
                <w:rFonts w:ascii="Arial Narrow" w:eastAsia="Times New Roman" w:hAnsi="Arial Narrow"/>
                <w:color w:val="000000"/>
                <w:sz w:val="24"/>
                <w:szCs w:val="24"/>
                <w:lang w:eastAsia="en-GB"/>
              </w:rPr>
            </w:pPr>
            <w:r w:rsidRPr="00AF5AB4">
              <w:rPr>
                <w:rFonts w:ascii="Arial Narrow" w:eastAsia="Times New Roman" w:hAnsi="Arial Narrow"/>
                <w:color w:val="000000"/>
                <w:sz w:val="24"/>
                <w:szCs w:val="24"/>
                <w:lang w:eastAsia="en-GB"/>
              </w:rPr>
              <w:t>Private sector leased (by LA)</w:t>
            </w:r>
          </w:p>
        </w:tc>
        <w:tc>
          <w:tcPr>
            <w:tcW w:w="472" w:type="pct"/>
            <w:tcBorders>
              <w:top w:val="nil"/>
              <w:left w:val="nil"/>
              <w:bottom w:val="single" w:sz="4" w:space="0" w:color="auto"/>
              <w:right w:val="single" w:sz="4" w:space="0" w:color="auto"/>
            </w:tcBorders>
            <w:shd w:val="clear" w:color="000000" w:fill="FFFFFF"/>
            <w:noWrap/>
            <w:vAlign w:val="center"/>
            <w:hideMark/>
          </w:tcPr>
          <w:p w:rsidR="00F63FBB" w:rsidRPr="00AF5AB4" w:rsidRDefault="00F63FBB" w:rsidP="00BD0EDE">
            <w:pPr>
              <w:jc w:val="center"/>
              <w:rPr>
                <w:rFonts w:ascii="Arial Narrow" w:eastAsia="Times New Roman" w:hAnsi="Arial Narrow"/>
                <w:color w:val="000000"/>
                <w:sz w:val="24"/>
                <w:szCs w:val="24"/>
                <w:lang w:eastAsia="en-GB"/>
              </w:rPr>
            </w:pPr>
            <w:r w:rsidRPr="00AF5AB4">
              <w:rPr>
                <w:rFonts w:ascii="Arial Narrow" w:eastAsia="Times New Roman" w:hAnsi="Arial Narrow"/>
                <w:color w:val="000000"/>
                <w:sz w:val="24"/>
                <w:szCs w:val="24"/>
                <w:lang w:eastAsia="en-GB"/>
              </w:rPr>
              <w:t>0%</w:t>
            </w:r>
          </w:p>
        </w:tc>
        <w:tc>
          <w:tcPr>
            <w:tcW w:w="472" w:type="pct"/>
            <w:tcBorders>
              <w:top w:val="nil"/>
              <w:left w:val="nil"/>
              <w:bottom w:val="single" w:sz="4" w:space="0" w:color="auto"/>
              <w:right w:val="single" w:sz="4" w:space="0" w:color="auto"/>
            </w:tcBorders>
            <w:shd w:val="clear" w:color="000000" w:fill="FFFFFF"/>
            <w:noWrap/>
            <w:vAlign w:val="center"/>
            <w:hideMark/>
          </w:tcPr>
          <w:p w:rsidR="00F63FBB" w:rsidRPr="00AF5AB4" w:rsidRDefault="00F63FBB" w:rsidP="00BD0EDE">
            <w:pPr>
              <w:jc w:val="center"/>
              <w:rPr>
                <w:rFonts w:ascii="Arial Narrow" w:eastAsia="Times New Roman" w:hAnsi="Arial Narrow"/>
                <w:color w:val="000000"/>
                <w:sz w:val="24"/>
                <w:szCs w:val="24"/>
                <w:lang w:eastAsia="en-GB"/>
              </w:rPr>
            </w:pPr>
            <w:r w:rsidRPr="00AF5AB4">
              <w:rPr>
                <w:rFonts w:ascii="Arial Narrow" w:eastAsia="Times New Roman" w:hAnsi="Arial Narrow"/>
                <w:color w:val="000000"/>
                <w:sz w:val="24"/>
                <w:szCs w:val="24"/>
                <w:lang w:eastAsia="en-GB"/>
              </w:rPr>
              <w:t>0%</w:t>
            </w:r>
          </w:p>
        </w:tc>
        <w:tc>
          <w:tcPr>
            <w:tcW w:w="468" w:type="pct"/>
            <w:tcBorders>
              <w:top w:val="nil"/>
              <w:left w:val="nil"/>
              <w:bottom w:val="single" w:sz="4" w:space="0" w:color="auto"/>
              <w:right w:val="single" w:sz="4" w:space="0" w:color="auto"/>
            </w:tcBorders>
            <w:shd w:val="clear" w:color="000000" w:fill="FFFFFF"/>
            <w:noWrap/>
            <w:vAlign w:val="center"/>
            <w:hideMark/>
          </w:tcPr>
          <w:p w:rsidR="00F63FBB" w:rsidRPr="00AF5AB4" w:rsidRDefault="00F63FBB" w:rsidP="00BD0EDE">
            <w:pPr>
              <w:jc w:val="center"/>
              <w:rPr>
                <w:rFonts w:ascii="Arial Narrow" w:eastAsia="Times New Roman" w:hAnsi="Arial Narrow"/>
                <w:color w:val="000000"/>
                <w:sz w:val="24"/>
                <w:szCs w:val="24"/>
                <w:lang w:eastAsia="en-GB"/>
              </w:rPr>
            </w:pPr>
            <w:r w:rsidRPr="00AF5AB4">
              <w:rPr>
                <w:rFonts w:ascii="Arial Narrow" w:eastAsia="Times New Roman" w:hAnsi="Arial Narrow"/>
                <w:color w:val="000000"/>
                <w:sz w:val="24"/>
                <w:szCs w:val="24"/>
                <w:lang w:eastAsia="en-GB"/>
              </w:rPr>
              <w:t>0%</w:t>
            </w:r>
          </w:p>
        </w:tc>
        <w:tc>
          <w:tcPr>
            <w:tcW w:w="469" w:type="pct"/>
            <w:tcBorders>
              <w:top w:val="nil"/>
              <w:left w:val="nil"/>
              <w:bottom w:val="single" w:sz="4" w:space="0" w:color="auto"/>
              <w:right w:val="single" w:sz="4" w:space="0" w:color="auto"/>
            </w:tcBorders>
            <w:shd w:val="clear" w:color="000000" w:fill="FFFFFF"/>
            <w:noWrap/>
            <w:vAlign w:val="center"/>
            <w:hideMark/>
          </w:tcPr>
          <w:p w:rsidR="00F63FBB" w:rsidRPr="00AF5AB4" w:rsidRDefault="00F63FBB" w:rsidP="00BD0EDE">
            <w:pPr>
              <w:jc w:val="center"/>
              <w:rPr>
                <w:rFonts w:ascii="Arial Narrow" w:eastAsia="Times New Roman" w:hAnsi="Arial Narrow"/>
                <w:color w:val="000000"/>
                <w:sz w:val="24"/>
                <w:szCs w:val="24"/>
                <w:lang w:eastAsia="en-GB"/>
              </w:rPr>
            </w:pPr>
            <w:r w:rsidRPr="00AF5AB4">
              <w:rPr>
                <w:rFonts w:ascii="Arial Narrow" w:eastAsia="Times New Roman" w:hAnsi="Arial Narrow"/>
                <w:color w:val="000000"/>
                <w:sz w:val="24"/>
                <w:szCs w:val="24"/>
                <w:lang w:eastAsia="en-GB"/>
              </w:rPr>
              <w:t>0%</w:t>
            </w:r>
          </w:p>
        </w:tc>
        <w:tc>
          <w:tcPr>
            <w:tcW w:w="469" w:type="pct"/>
            <w:tcBorders>
              <w:top w:val="nil"/>
              <w:left w:val="nil"/>
              <w:bottom w:val="single" w:sz="4" w:space="0" w:color="auto"/>
              <w:right w:val="single" w:sz="4" w:space="0" w:color="auto"/>
            </w:tcBorders>
            <w:shd w:val="clear" w:color="000000" w:fill="FFFFFF"/>
            <w:noWrap/>
            <w:vAlign w:val="center"/>
            <w:hideMark/>
          </w:tcPr>
          <w:p w:rsidR="00F63FBB" w:rsidRPr="00AF5AB4" w:rsidRDefault="00F63FBB" w:rsidP="00BD0EDE">
            <w:pPr>
              <w:jc w:val="center"/>
              <w:rPr>
                <w:rFonts w:ascii="Arial Narrow" w:eastAsia="Times New Roman" w:hAnsi="Arial Narrow"/>
                <w:color w:val="000000"/>
                <w:sz w:val="24"/>
                <w:szCs w:val="24"/>
                <w:lang w:eastAsia="en-GB"/>
              </w:rPr>
            </w:pPr>
            <w:r w:rsidRPr="00AF5AB4">
              <w:rPr>
                <w:rFonts w:ascii="Arial Narrow" w:eastAsia="Times New Roman" w:hAnsi="Arial Narrow"/>
                <w:color w:val="000000"/>
                <w:sz w:val="24"/>
                <w:szCs w:val="24"/>
                <w:lang w:eastAsia="en-GB"/>
              </w:rPr>
              <w:t>0%</w:t>
            </w:r>
          </w:p>
        </w:tc>
        <w:tc>
          <w:tcPr>
            <w:tcW w:w="469" w:type="pct"/>
            <w:tcBorders>
              <w:top w:val="nil"/>
              <w:left w:val="nil"/>
              <w:bottom w:val="single" w:sz="4" w:space="0" w:color="auto"/>
              <w:right w:val="single" w:sz="4" w:space="0" w:color="auto"/>
            </w:tcBorders>
            <w:shd w:val="clear" w:color="000000" w:fill="FFFFFF"/>
            <w:noWrap/>
            <w:vAlign w:val="center"/>
            <w:hideMark/>
          </w:tcPr>
          <w:p w:rsidR="00F63FBB" w:rsidRPr="00AF5AB4" w:rsidRDefault="00F63FBB" w:rsidP="00BD0EDE">
            <w:pPr>
              <w:jc w:val="center"/>
              <w:rPr>
                <w:rFonts w:ascii="Arial Narrow" w:eastAsia="Times New Roman" w:hAnsi="Arial Narrow"/>
                <w:color w:val="000000"/>
                <w:sz w:val="24"/>
                <w:szCs w:val="24"/>
                <w:lang w:eastAsia="en-GB"/>
              </w:rPr>
            </w:pPr>
            <w:r w:rsidRPr="00AF5AB4">
              <w:rPr>
                <w:rFonts w:ascii="Arial Narrow" w:eastAsia="Times New Roman" w:hAnsi="Arial Narrow"/>
                <w:color w:val="000000"/>
                <w:sz w:val="24"/>
                <w:szCs w:val="24"/>
                <w:lang w:eastAsia="en-GB"/>
              </w:rPr>
              <w:t>0%</w:t>
            </w:r>
          </w:p>
        </w:tc>
        <w:tc>
          <w:tcPr>
            <w:tcW w:w="468" w:type="pct"/>
            <w:tcBorders>
              <w:top w:val="nil"/>
              <w:left w:val="nil"/>
              <w:bottom w:val="single" w:sz="4" w:space="0" w:color="auto"/>
              <w:right w:val="single" w:sz="4" w:space="0" w:color="auto"/>
            </w:tcBorders>
            <w:shd w:val="clear" w:color="000000" w:fill="FFFFFF"/>
            <w:noWrap/>
            <w:vAlign w:val="center"/>
            <w:hideMark/>
          </w:tcPr>
          <w:p w:rsidR="00F63FBB" w:rsidRPr="00AF5AB4" w:rsidRDefault="00F63FBB" w:rsidP="00BD0EDE">
            <w:pPr>
              <w:jc w:val="center"/>
              <w:rPr>
                <w:rFonts w:ascii="Arial Narrow" w:eastAsia="Times New Roman" w:hAnsi="Arial Narrow"/>
                <w:color w:val="000000"/>
                <w:sz w:val="24"/>
                <w:szCs w:val="24"/>
                <w:lang w:eastAsia="en-GB"/>
              </w:rPr>
            </w:pPr>
            <w:r w:rsidRPr="00AF5AB4">
              <w:rPr>
                <w:rFonts w:ascii="Arial Narrow" w:eastAsia="Times New Roman" w:hAnsi="Arial Narrow"/>
                <w:color w:val="000000"/>
                <w:sz w:val="24"/>
                <w:szCs w:val="24"/>
                <w:lang w:eastAsia="en-GB"/>
              </w:rPr>
              <w:t>0%</w:t>
            </w:r>
          </w:p>
        </w:tc>
        <w:tc>
          <w:tcPr>
            <w:tcW w:w="464" w:type="pct"/>
            <w:tcBorders>
              <w:top w:val="nil"/>
              <w:left w:val="nil"/>
              <w:bottom w:val="single" w:sz="4" w:space="0" w:color="auto"/>
              <w:right w:val="single" w:sz="4" w:space="0" w:color="auto"/>
            </w:tcBorders>
            <w:shd w:val="clear" w:color="000000" w:fill="FFFFFF"/>
            <w:vAlign w:val="center"/>
          </w:tcPr>
          <w:p w:rsidR="00F63FBB" w:rsidRPr="00AF5AB4" w:rsidRDefault="00F63FBB" w:rsidP="00BD0EDE">
            <w:pPr>
              <w:jc w:val="center"/>
              <w:rPr>
                <w:rFonts w:ascii="Arial Narrow" w:eastAsia="Times New Roman" w:hAnsi="Arial Narrow"/>
                <w:color w:val="000000"/>
                <w:sz w:val="24"/>
                <w:szCs w:val="24"/>
                <w:lang w:eastAsia="en-GB"/>
              </w:rPr>
            </w:pPr>
            <w:r w:rsidRPr="00AF5AB4">
              <w:rPr>
                <w:rFonts w:ascii="Arial Narrow" w:eastAsia="Times New Roman" w:hAnsi="Arial Narrow"/>
                <w:color w:val="000000"/>
                <w:sz w:val="24"/>
                <w:szCs w:val="24"/>
                <w:lang w:eastAsia="en-GB"/>
              </w:rPr>
              <w:t>0%</w:t>
            </w:r>
          </w:p>
        </w:tc>
      </w:tr>
      <w:tr w:rsidR="00BD0EDE" w:rsidRPr="00AF5AB4" w:rsidTr="00BD0EDE">
        <w:tc>
          <w:tcPr>
            <w:tcW w:w="1249" w:type="pct"/>
            <w:tcBorders>
              <w:top w:val="nil"/>
              <w:left w:val="single" w:sz="4" w:space="0" w:color="auto"/>
              <w:bottom w:val="single" w:sz="4" w:space="0" w:color="auto"/>
              <w:right w:val="single" w:sz="4" w:space="0" w:color="auto"/>
            </w:tcBorders>
            <w:shd w:val="clear" w:color="000000" w:fill="FFFFFF"/>
            <w:noWrap/>
            <w:vAlign w:val="bottom"/>
            <w:hideMark/>
          </w:tcPr>
          <w:p w:rsidR="00F63FBB" w:rsidRPr="00AF5AB4" w:rsidRDefault="00F63FBB" w:rsidP="00BD0EDE">
            <w:pPr>
              <w:rPr>
                <w:rFonts w:ascii="Arial Narrow" w:eastAsia="Times New Roman" w:hAnsi="Arial Narrow"/>
                <w:color w:val="000000"/>
                <w:sz w:val="24"/>
                <w:szCs w:val="24"/>
                <w:lang w:eastAsia="en-GB"/>
              </w:rPr>
            </w:pPr>
            <w:r w:rsidRPr="00AF5AB4">
              <w:rPr>
                <w:rFonts w:ascii="Arial Narrow" w:eastAsia="Times New Roman" w:hAnsi="Arial Narrow"/>
                <w:color w:val="000000"/>
                <w:sz w:val="24"/>
                <w:szCs w:val="24"/>
                <w:lang w:eastAsia="en-GB"/>
              </w:rPr>
              <w:t>Other types (including private landlord)</w:t>
            </w:r>
          </w:p>
        </w:tc>
        <w:tc>
          <w:tcPr>
            <w:tcW w:w="472" w:type="pct"/>
            <w:tcBorders>
              <w:top w:val="nil"/>
              <w:left w:val="nil"/>
              <w:bottom w:val="single" w:sz="4" w:space="0" w:color="auto"/>
              <w:right w:val="single" w:sz="4" w:space="0" w:color="auto"/>
            </w:tcBorders>
            <w:shd w:val="clear" w:color="000000" w:fill="FFFFFF"/>
            <w:noWrap/>
            <w:vAlign w:val="center"/>
            <w:hideMark/>
          </w:tcPr>
          <w:p w:rsidR="00F63FBB" w:rsidRPr="00AF5AB4" w:rsidRDefault="00F63FBB" w:rsidP="00BD0EDE">
            <w:pPr>
              <w:jc w:val="center"/>
              <w:rPr>
                <w:rFonts w:ascii="Arial Narrow" w:eastAsia="Times New Roman" w:hAnsi="Arial Narrow"/>
                <w:color w:val="000000"/>
                <w:sz w:val="24"/>
                <w:szCs w:val="24"/>
                <w:lang w:eastAsia="en-GB"/>
              </w:rPr>
            </w:pPr>
            <w:r w:rsidRPr="00AF5AB4">
              <w:rPr>
                <w:rFonts w:ascii="Arial Narrow" w:eastAsia="Times New Roman" w:hAnsi="Arial Narrow"/>
                <w:color w:val="000000"/>
                <w:sz w:val="24"/>
                <w:szCs w:val="24"/>
                <w:lang w:eastAsia="en-GB"/>
              </w:rPr>
              <w:t>0%</w:t>
            </w:r>
          </w:p>
        </w:tc>
        <w:tc>
          <w:tcPr>
            <w:tcW w:w="472" w:type="pct"/>
            <w:tcBorders>
              <w:top w:val="nil"/>
              <w:left w:val="nil"/>
              <w:bottom w:val="single" w:sz="4" w:space="0" w:color="auto"/>
              <w:right w:val="single" w:sz="4" w:space="0" w:color="auto"/>
            </w:tcBorders>
            <w:shd w:val="clear" w:color="000000" w:fill="FFFFFF"/>
            <w:noWrap/>
            <w:vAlign w:val="center"/>
            <w:hideMark/>
          </w:tcPr>
          <w:p w:rsidR="00F63FBB" w:rsidRPr="00AF5AB4" w:rsidRDefault="00F63FBB" w:rsidP="00BD0EDE">
            <w:pPr>
              <w:jc w:val="center"/>
              <w:rPr>
                <w:rFonts w:ascii="Arial Narrow" w:eastAsia="Times New Roman" w:hAnsi="Arial Narrow"/>
                <w:color w:val="000000"/>
                <w:sz w:val="24"/>
                <w:szCs w:val="24"/>
                <w:lang w:eastAsia="en-GB"/>
              </w:rPr>
            </w:pPr>
            <w:r w:rsidRPr="00AF5AB4">
              <w:rPr>
                <w:rFonts w:ascii="Arial Narrow" w:eastAsia="Times New Roman" w:hAnsi="Arial Narrow"/>
                <w:color w:val="000000"/>
                <w:sz w:val="24"/>
                <w:szCs w:val="24"/>
                <w:lang w:eastAsia="en-GB"/>
              </w:rPr>
              <w:t>0%</w:t>
            </w:r>
          </w:p>
        </w:tc>
        <w:tc>
          <w:tcPr>
            <w:tcW w:w="468" w:type="pct"/>
            <w:tcBorders>
              <w:top w:val="nil"/>
              <w:left w:val="nil"/>
              <w:bottom w:val="single" w:sz="4" w:space="0" w:color="auto"/>
              <w:right w:val="single" w:sz="4" w:space="0" w:color="auto"/>
            </w:tcBorders>
            <w:shd w:val="clear" w:color="000000" w:fill="FFFFFF"/>
            <w:noWrap/>
            <w:vAlign w:val="center"/>
            <w:hideMark/>
          </w:tcPr>
          <w:p w:rsidR="00F63FBB" w:rsidRPr="00AF5AB4" w:rsidRDefault="00F63FBB" w:rsidP="00BD0EDE">
            <w:pPr>
              <w:jc w:val="center"/>
              <w:rPr>
                <w:rFonts w:ascii="Arial Narrow" w:eastAsia="Times New Roman" w:hAnsi="Arial Narrow"/>
                <w:color w:val="000000"/>
                <w:sz w:val="24"/>
                <w:szCs w:val="24"/>
                <w:lang w:eastAsia="en-GB"/>
              </w:rPr>
            </w:pPr>
            <w:r w:rsidRPr="00AF5AB4">
              <w:rPr>
                <w:rFonts w:ascii="Arial Narrow" w:eastAsia="Times New Roman" w:hAnsi="Arial Narrow"/>
                <w:color w:val="000000"/>
                <w:sz w:val="24"/>
                <w:szCs w:val="24"/>
                <w:lang w:eastAsia="en-GB"/>
              </w:rPr>
              <w:t>0%</w:t>
            </w:r>
          </w:p>
        </w:tc>
        <w:tc>
          <w:tcPr>
            <w:tcW w:w="469" w:type="pct"/>
            <w:tcBorders>
              <w:top w:val="nil"/>
              <w:left w:val="nil"/>
              <w:bottom w:val="single" w:sz="4" w:space="0" w:color="auto"/>
              <w:right w:val="single" w:sz="4" w:space="0" w:color="auto"/>
            </w:tcBorders>
            <w:shd w:val="clear" w:color="000000" w:fill="FFFFFF"/>
            <w:noWrap/>
            <w:vAlign w:val="center"/>
            <w:hideMark/>
          </w:tcPr>
          <w:p w:rsidR="00F63FBB" w:rsidRPr="00AF5AB4" w:rsidRDefault="00F63FBB" w:rsidP="00BD0EDE">
            <w:pPr>
              <w:jc w:val="center"/>
              <w:rPr>
                <w:rFonts w:ascii="Arial Narrow" w:eastAsia="Times New Roman" w:hAnsi="Arial Narrow"/>
                <w:color w:val="000000"/>
                <w:sz w:val="24"/>
                <w:szCs w:val="24"/>
                <w:lang w:eastAsia="en-GB"/>
              </w:rPr>
            </w:pPr>
            <w:r w:rsidRPr="00AF5AB4">
              <w:rPr>
                <w:rFonts w:ascii="Arial Narrow" w:eastAsia="Times New Roman" w:hAnsi="Arial Narrow"/>
                <w:color w:val="000000"/>
                <w:sz w:val="24"/>
                <w:szCs w:val="24"/>
                <w:lang w:eastAsia="en-GB"/>
              </w:rPr>
              <w:t>0%</w:t>
            </w:r>
          </w:p>
        </w:tc>
        <w:tc>
          <w:tcPr>
            <w:tcW w:w="469" w:type="pct"/>
            <w:tcBorders>
              <w:top w:val="nil"/>
              <w:left w:val="nil"/>
              <w:bottom w:val="single" w:sz="4" w:space="0" w:color="auto"/>
              <w:right w:val="single" w:sz="4" w:space="0" w:color="auto"/>
            </w:tcBorders>
            <w:shd w:val="clear" w:color="000000" w:fill="FFFFFF"/>
            <w:noWrap/>
            <w:vAlign w:val="center"/>
            <w:hideMark/>
          </w:tcPr>
          <w:p w:rsidR="00F63FBB" w:rsidRPr="00AF5AB4" w:rsidRDefault="00F63FBB" w:rsidP="00BD0EDE">
            <w:pPr>
              <w:jc w:val="center"/>
              <w:rPr>
                <w:rFonts w:ascii="Arial Narrow" w:eastAsia="Times New Roman" w:hAnsi="Arial Narrow"/>
                <w:color w:val="000000"/>
                <w:sz w:val="24"/>
                <w:szCs w:val="24"/>
                <w:lang w:eastAsia="en-GB"/>
              </w:rPr>
            </w:pPr>
            <w:r w:rsidRPr="00AF5AB4">
              <w:rPr>
                <w:rFonts w:ascii="Arial Narrow" w:eastAsia="Times New Roman" w:hAnsi="Arial Narrow"/>
                <w:color w:val="000000"/>
                <w:sz w:val="24"/>
                <w:szCs w:val="24"/>
                <w:lang w:eastAsia="en-GB"/>
              </w:rPr>
              <w:t>0%</w:t>
            </w:r>
          </w:p>
        </w:tc>
        <w:tc>
          <w:tcPr>
            <w:tcW w:w="469" w:type="pct"/>
            <w:tcBorders>
              <w:top w:val="nil"/>
              <w:left w:val="nil"/>
              <w:bottom w:val="single" w:sz="4" w:space="0" w:color="auto"/>
              <w:right w:val="single" w:sz="4" w:space="0" w:color="auto"/>
            </w:tcBorders>
            <w:shd w:val="clear" w:color="000000" w:fill="FFFFFF"/>
            <w:noWrap/>
            <w:vAlign w:val="center"/>
            <w:hideMark/>
          </w:tcPr>
          <w:p w:rsidR="00F63FBB" w:rsidRPr="00AF5AB4" w:rsidRDefault="00F63FBB" w:rsidP="00BD0EDE">
            <w:pPr>
              <w:jc w:val="center"/>
              <w:rPr>
                <w:rFonts w:ascii="Arial Narrow" w:eastAsia="Times New Roman" w:hAnsi="Arial Narrow"/>
                <w:color w:val="000000"/>
                <w:sz w:val="24"/>
                <w:szCs w:val="24"/>
                <w:lang w:eastAsia="en-GB"/>
              </w:rPr>
            </w:pPr>
            <w:r w:rsidRPr="00AF5AB4">
              <w:rPr>
                <w:rFonts w:ascii="Arial Narrow" w:eastAsia="Times New Roman" w:hAnsi="Arial Narrow"/>
                <w:color w:val="000000"/>
                <w:sz w:val="24"/>
                <w:szCs w:val="24"/>
                <w:lang w:eastAsia="en-GB"/>
              </w:rPr>
              <w:t>0%</w:t>
            </w:r>
          </w:p>
        </w:tc>
        <w:tc>
          <w:tcPr>
            <w:tcW w:w="468" w:type="pct"/>
            <w:tcBorders>
              <w:top w:val="nil"/>
              <w:left w:val="nil"/>
              <w:bottom w:val="single" w:sz="4" w:space="0" w:color="auto"/>
              <w:right w:val="single" w:sz="4" w:space="0" w:color="auto"/>
            </w:tcBorders>
            <w:shd w:val="clear" w:color="000000" w:fill="FFFFFF"/>
            <w:noWrap/>
            <w:vAlign w:val="center"/>
            <w:hideMark/>
          </w:tcPr>
          <w:p w:rsidR="00F63FBB" w:rsidRPr="00AF5AB4" w:rsidRDefault="00F63FBB" w:rsidP="00BD0EDE">
            <w:pPr>
              <w:jc w:val="center"/>
              <w:rPr>
                <w:rFonts w:ascii="Arial Narrow" w:eastAsia="Times New Roman" w:hAnsi="Arial Narrow"/>
                <w:color w:val="000000"/>
                <w:sz w:val="24"/>
                <w:szCs w:val="24"/>
                <w:lang w:eastAsia="en-GB"/>
              </w:rPr>
            </w:pPr>
            <w:r w:rsidRPr="00AF5AB4">
              <w:rPr>
                <w:rFonts w:ascii="Arial Narrow" w:eastAsia="Times New Roman" w:hAnsi="Arial Narrow"/>
                <w:color w:val="000000"/>
                <w:sz w:val="24"/>
                <w:szCs w:val="24"/>
                <w:lang w:eastAsia="en-GB"/>
              </w:rPr>
              <w:t>0%</w:t>
            </w:r>
          </w:p>
        </w:tc>
        <w:tc>
          <w:tcPr>
            <w:tcW w:w="464" w:type="pct"/>
            <w:tcBorders>
              <w:top w:val="nil"/>
              <w:left w:val="nil"/>
              <w:bottom w:val="single" w:sz="4" w:space="0" w:color="auto"/>
              <w:right w:val="single" w:sz="4" w:space="0" w:color="auto"/>
            </w:tcBorders>
            <w:shd w:val="clear" w:color="000000" w:fill="FFFFFF"/>
            <w:vAlign w:val="center"/>
          </w:tcPr>
          <w:p w:rsidR="00F63FBB" w:rsidRPr="00AF5AB4" w:rsidRDefault="00F63FBB" w:rsidP="00BD0EDE">
            <w:pPr>
              <w:jc w:val="center"/>
              <w:rPr>
                <w:rFonts w:ascii="Arial Narrow" w:eastAsia="Times New Roman" w:hAnsi="Arial Narrow"/>
                <w:color w:val="000000"/>
                <w:sz w:val="24"/>
                <w:szCs w:val="24"/>
                <w:lang w:eastAsia="en-GB"/>
              </w:rPr>
            </w:pPr>
            <w:r w:rsidRPr="00AF5AB4">
              <w:rPr>
                <w:rFonts w:ascii="Arial Narrow" w:eastAsia="Times New Roman" w:hAnsi="Arial Narrow"/>
                <w:color w:val="000000"/>
                <w:sz w:val="24"/>
                <w:szCs w:val="24"/>
                <w:lang w:eastAsia="en-GB"/>
              </w:rPr>
              <w:t>0%</w:t>
            </w:r>
          </w:p>
        </w:tc>
      </w:tr>
    </w:tbl>
    <w:p w:rsidR="00F63FBB" w:rsidRPr="00AF5AB4" w:rsidRDefault="00F63FBB" w:rsidP="00BD0EDE">
      <w:pPr>
        <w:spacing w:after="120" w:line="360" w:lineRule="auto"/>
        <w:rPr>
          <w:color w:val="auto"/>
          <w:sz w:val="24"/>
          <w:szCs w:val="24"/>
        </w:rPr>
      </w:pPr>
      <w:r w:rsidRPr="00AF5AB4">
        <w:rPr>
          <w:color w:val="auto"/>
          <w:sz w:val="24"/>
          <w:szCs w:val="24"/>
        </w:rPr>
        <w:t>Source: DCLG 2017, Live Table 784 (Note numbers may not add to 100% as some figures are suppressed due to being less than 5 or to prevent calculation),</w:t>
      </w:r>
    </w:p>
    <w:p w:rsidR="00F63FBB" w:rsidRPr="00CA47B9" w:rsidRDefault="00F63FBB" w:rsidP="0028171E">
      <w:pPr>
        <w:pStyle w:val="11Bodytext"/>
        <w:tabs>
          <w:tab w:val="clear" w:pos="2212"/>
        </w:tabs>
        <w:ind w:left="567" w:hanging="567"/>
      </w:pPr>
      <w:r w:rsidRPr="00CA47B9">
        <w:t>The Council has set up its own letting agency whereby it guarantees private sector landlords their rent; to manage their property at a low rate. These properties are then used to secure accommodation for potentially homeless households. This has increased the available private rented sector accommodation available to vulnerable people in the City.</w:t>
      </w:r>
    </w:p>
    <w:p w:rsidR="00F63FBB" w:rsidRPr="00CA47B9" w:rsidRDefault="00F63FBB" w:rsidP="0028171E">
      <w:pPr>
        <w:pStyle w:val="11Bodytext"/>
        <w:tabs>
          <w:tab w:val="clear" w:pos="2212"/>
        </w:tabs>
        <w:ind w:left="567" w:hanging="567"/>
      </w:pPr>
      <w:r w:rsidRPr="00CA47B9">
        <w:t>The Council’s Housing Options Team is actively implementing a range of measures to reduce homelessness. This includes providing eligible households with the required deposit on a rental property and paying up to six weeks rent in advance. This is then repaid at £10 per week.</w:t>
      </w:r>
    </w:p>
    <w:p w:rsidR="00F63FBB" w:rsidRPr="00CA47B9" w:rsidRDefault="00F63FBB" w:rsidP="0028171E">
      <w:pPr>
        <w:pStyle w:val="11Bodytext"/>
        <w:tabs>
          <w:tab w:val="clear" w:pos="2212"/>
        </w:tabs>
        <w:ind w:left="567" w:hanging="567"/>
      </w:pPr>
      <w:r w:rsidRPr="00CA47B9">
        <w:t>The Housing Options team also provide emergency assistance including providing access to homeless accommodation. Alternatively</w:t>
      </w:r>
      <w:r w:rsidR="004D6E97" w:rsidRPr="00CA47B9">
        <w:t>,</w:t>
      </w:r>
      <w:r w:rsidRPr="00CA47B9">
        <w:t xml:space="preserve"> they assist with placing these households in a local bed and breakfast or provide better access to </w:t>
      </w:r>
      <w:r w:rsidR="00855CA6" w:rsidRPr="00CA47B9">
        <w:t>private</w:t>
      </w:r>
      <w:r w:rsidR="00855CA6">
        <w:t>-</w:t>
      </w:r>
      <w:r w:rsidRPr="00CA47B9">
        <w:t>sector temporary accommodation.</w:t>
      </w:r>
    </w:p>
    <w:p w:rsidR="00F63FBB" w:rsidRPr="00CA47B9" w:rsidRDefault="00F63FBB" w:rsidP="00AF0118">
      <w:pPr>
        <w:pStyle w:val="11Bodytext"/>
        <w:tabs>
          <w:tab w:val="clear" w:pos="2212"/>
        </w:tabs>
        <w:ind w:left="567" w:hanging="567"/>
      </w:pPr>
      <w:r w:rsidRPr="00CA47B9">
        <w:lastRenderedPageBreak/>
        <w:t>As part of the Homelessness Reduction Act</w:t>
      </w:r>
      <w:r w:rsidR="00855CA6">
        <w:t>,</w:t>
      </w:r>
      <w:r w:rsidRPr="00CA47B9">
        <w:t xml:space="preserve"> the Council also work</w:t>
      </w:r>
      <w:r w:rsidR="00AC6424">
        <w:t>s</w:t>
      </w:r>
      <w:r w:rsidRPr="00CA47B9">
        <w:t xml:space="preserve"> across their different agencies to ensure earlier intervention in potentially homeless cases. This includes working to prevent parental evictions.</w:t>
      </w:r>
    </w:p>
    <w:p w:rsidR="00F63FBB" w:rsidRPr="00CA47B9" w:rsidRDefault="00F63FBB" w:rsidP="00AF0118">
      <w:pPr>
        <w:pStyle w:val="11Bodytext"/>
        <w:tabs>
          <w:tab w:val="clear" w:pos="2212"/>
        </w:tabs>
        <w:ind w:left="567" w:hanging="567"/>
      </w:pPr>
      <w:r w:rsidRPr="00CA47B9">
        <w:t xml:space="preserve">In December 2018, it was announced that Chichester District Council will invest £1 million with an additional sum funded by Homes England to deliver </w:t>
      </w:r>
      <w:r w:rsidR="005F03AB">
        <w:t xml:space="preserve">21 units of short-term accommodation at </w:t>
      </w:r>
      <w:r w:rsidRPr="00CA47B9">
        <w:t xml:space="preserve">a Council owned property at Freeland Close. </w:t>
      </w:r>
      <w:r w:rsidR="005F03AB">
        <w:t xml:space="preserve">Since the announcement, the project has </w:t>
      </w:r>
      <w:r w:rsidR="00855CA6">
        <w:t xml:space="preserve">been </w:t>
      </w:r>
      <w:r w:rsidR="005F03AB">
        <w:t>redesign</w:t>
      </w:r>
      <w:r w:rsidR="00855CA6">
        <w:t>ed</w:t>
      </w:r>
      <w:r w:rsidR="005F03AB">
        <w:t xml:space="preserve"> and the property is now expected to </w:t>
      </w:r>
      <w:r w:rsidRPr="00CA47B9">
        <w:t xml:space="preserve">provide </w:t>
      </w:r>
      <w:r w:rsidR="005F03AB">
        <w:t>17</w:t>
      </w:r>
      <w:r w:rsidR="005F03AB" w:rsidRPr="00CA47B9">
        <w:t xml:space="preserve"> </w:t>
      </w:r>
      <w:r w:rsidRPr="00CA47B9">
        <w:t xml:space="preserve">units of additional short-term accommodation for homeless families and single people in the District. </w:t>
      </w:r>
    </w:p>
    <w:p w:rsidR="00F63FBB" w:rsidRDefault="00F63FBB" w:rsidP="00AF0118">
      <w:pPr>
        <w:pStyle w:val="11Bodytext"/>
        <w:tabs>
          <w:tab w:val="clear" w:pos="2212"/>
        </w:tabs>
        <w:ind w:left="567" w:hanging="567"/>
      </w:pPr>
      <w:r w:rsidRPr="00CA47B9">
        <w:t>In 2016, the Government launched a Rough Sleeping Grant Funding Programme. The East and West Sussex bid was successful in granting a Homeless Outreach Worker employed to take responsibility of the districts of Arun and Chichester. At January 2018, the role of the Outreach Worker in Chichester ended, however neighbouring Arun District secured funding to extend the post, however</w:t>
      </w:r>
      <w:r w:rsidR="00855CA6">
        <w:t>,</w:t>
      </w:r>
      <w:r w:rsidRPr="00CA47B9">
        <w:t xml:space="preserve"> </w:t>
      </w:r>
      <w:r w:rsidR="00C32C48">
        <w:t xml:space="preserve">the </w:t>
      </w:r>
      <w:r w:rsidRPr="00CA47B9">
        <w:t xml:space="preserve">Council </w:t>
      </w:r>
      <w:r w:rsidR="00C32C48">
        <w:t>has</w:t>
      </w:r>
      <w:r w:rsidRPr="00CA47B9">
        <w:t xml:space="preserve"> identified the prevalence of rough sleepers across Arun and Chichester, demonstrating the need for an Outreach Worker to continue the role in Chichester. </w:t>
      </w:r>
    </w:p>
    <w:p w:rsidR="005512F8" w:rsidRPr="00CA47B9" w:rsidRDefault="005512F8" w:rsidP="00AF0118">
      <w:pPr>
        <w:pStyle w:val="11Bodytext"/>
        <w:tabs>
          <w:tab w:val="clear" w:pos="2212"/>
        </w:tabs>
        <w:ind w:left="567" w:hanging="567"/>
      </w:pPr>
      <w:r w:rsidRPr="00BB43CF">
        <w:t xml:space="preserve">In January 2018 the Council’s Cabinet approved the employment of a full-time </w:t>
      </w:r>
      <w:r>
        <w:t xml:space="preserve">Rough Sleeper </w:t>
      </w:r>
      <w:r w:rsidRPr="00BB43CF">
        <w:t>outreach worker to engage with rough sleepers and assist them into settled accommodation working with</w:t>
      </w:r>
      <w:r w:rsidR="00855CA6">
        <w:t xml:space="preserve"> </w:t>
      </w:r>
      <w:r w:rsidRPr="00BB43CF">
        <w:t>Council’s Community Safety team</w:t>
      </w:r>
      <w:r>
        <w:t xml:space="preserve"> and local charities/ voluntary organisations</w:t>
      </w:r>
      <w:r w:rsidRPr="00BB43CF">
        <w:t>.</w:t>
      </w:r>
      <w:r w:rsidR="00855CA6">
        <w:t xml:space="preserve"> </w:t>
      </w:r>
    </w:p>
    <w:p w:rsidR="00F63FBB" w:rsidRPr="00CA47B9" w:rsidRDefault="00F63FBB" w:rsidP="00AF0118">
      <w:pPr>
        <w:pStyle w:val="11Bodytext"/>
        <w:tabs>
          <w:tab w:val="clear" w:pos="2212"/>
        </w:tabs>
        <w:ind w:left="567" w:hanging="567"/>
      </w:pPr>
      <w:r w:rsidRPr="00CA47B9">
        <w:t xml:space="preserve">The </w:t>
      </w:r>
      <w:r w:rsidR="005512F8">
        <w:t xml:space="preserve">Rough Sleeper </w:t>
      </w:r>
      <w:r w:rsidRPr="00CA47B9">
        <w:t>Outreach Worker</w:t>
      </w:r>
      <w:r w:rsidR="005512F8">
        <w:t xml:space="preserve"> delivers a </w:t>
      </w:r>
      <w:r w:rsidR="00855CA6">
        <w:t>street-</w:t>
      </w:r>
      <w:r w:rsidR="005512F8">
        <w:t>based service engaging with rough sleepers to support them into moving off the street</w:t>
      </w:r>
      <w:r w:rsidRPr="00CA47B9">
        <w:t xml:space="preserve">. This role is in addition to existing tenancy sustainment officers and welfare officers who ensure households threatened with homelessness are receiving the support in terms of claiming benefits, sorting out issues with landlords, help with budgeting etc. </w:t>
      </w:r>
    </w:p>
    <w:p w:rsidR="00F63FBB" w:rsidRPr="00CA47B9" w:rsidRDefault="00F63FBB" w:rsidP="00AF0118">
      <w:pPr>
        <w:pStyle w:val="11Bodytext"/>
        <w:tabs>
          <w:tab w:val="clear" w:pos="2212"/>
        </w:tabs>
        <w:ind w:left="567" w:hanging="567"/>
      </w:pPr>
      <w:r w:rsidRPr="00CA47B9">
        <w:t xml:space="preserve">The Council Rough Sleepers Panel works with </w:t>
      </w:r>
      <w:r w:rsidR="00855CA6">
        <w:t>several</w:t>
      </w:r>
      <w:r w:rsidRPr="00CA47B9">
        <w:t xml:space="preserve"> agencies and entities to ensure homelessness is minimised. This includes working with:</w:t>
      </w:r>
    </w:p>
    <w:p w:rsidR="00F63FBB" w:rsidRPr="00CA47B9" w:rsidRDefault="00F63FBB" w:rsidP="00ED1C06">
      <w:pPr>
        <w:pStyle w:val="10BulletBodytext"/>
      </w:pPr>
      <w:r w:rsidRPr="00CA47B9">
        <w:t xml:space="preserve">Community safety wardens; </w:t>
      </w:r>
    </w:p>
    <w:p w:rsidR="00F63FBB" w:rsidRPr="00CA47B9" w:rsidRDefault="00F63FBB" w:rsidP="00ED1C06">
      <w:pPr>
        <w:pStyle w:val="10BulletBodytext"/>
      </w:pPr>
      <w:r w:rsidRPr="00CA47B9">
        <w:t xml:space="preserve">Sussex Police; </w:t>
      </w:r>
    </w:p>
    <w:p w:rsidR="00F63FBB" w:rsidRPr="00CA47B9" w:rsidRDefault="00F63FBB" w:rsidP="00ED1C06">
      <w:pPr>
        <w:pStyle w:val="10BulletBodytext"/>
      </w:pPr>
      <w:r w:rsidRPr="00CA47B9">
        <w:t xml:space="preserve">City Angels – a pastoral care project working in the </w:t>
      </w:r>
      <w:r w:rsidR="009E4D60" w:rsidRPr="00CA47B9">
        <w:t>night-time</w:t>
      </w:r>
      <w:r w:rsidRPr="00CA47B9">
        <w:t xml:space="preserve"> economy of </w:t>
      </w:r>
      <w:r w:rsidR="00CA47B9" w:rsidRPr="00CA47B9">
        <w:t>Chichester</w:t>
      </w:r>
    </w:p>
    <w:p w:rsidR="00F63FBB" w:rsidRPr="00CA47B9" w:rsidRDefault="00F63FBB" w:rsidP="00ED1C06">
      <w:pPr>
        <w:pStyle w:val="10BulletBodytext"/>
      </w:pPr>
      <w:r w:rsidRPr="00CA47B9">
        <w:t>Stonepillow – a provider of a local homeless hostel and day centre;</w:t>
      </w:r>
    </w:p>
    <w:p w:rsidR="00F63FBB" w:rsidRPr="00CA47B9" w:rsidRDefault="00B30AE0" w:rsidP="00ED1C06">
      <w:pPr>
        <w:pStyle w:val="10BulletBodytext"/>
      </w:pPr>
      <w:r>
        <w:lastRenderedPageBreak/>
        <w:t>Southdown</w:t>
      </w:r>
      <w:r w:rsidRPr="00CA47B9">
        <w:t xml:space="preserve"> </w:t>
      </w:r>
      <w:r w:rsidR="00F63FBB" w:rsidRPr="00CA47B9">
        <w:t xml:space="preserve">Housing Association. </w:t>
      </w:r>
    </w:p>
    <w:p w:rsidR="00F63FBB" w:rsidRPr="00CA47B9" w:rsidRDefault="00F63FBB" w:rsidP="00AF0118">
      <w:pPr>
        <w:pStyle w:val="11Bodytext"/>
        <w:tabs>
          <w:tab w:val="clear" w:pos="2212"/>
        </w:tabs>
        <w:ind w:left="567" w:hanging="567"/>
      </w:pPr>
      <w:r w:rsidRPr="00CA47B9">
        <w:t xml:space="preserve">The work with </w:t>
      </w:r>
      <w:r w:rsidR="00B30AE0">
        <w:t>Southdown</w:t>
      </w:r>
      <w:r w:rsidRPr="00CA47B9">
        <w:t xml:space="preserve"> Housing Association includes </w:t>
      </w:r>
      <w:r w:rsidR="00855CA6">
        <w:t xml:space="preserve">the </w:t>
      </w:r>
      <w:r w:rsidRPr="00CA47B9">
        <w:t>provision of an independent living scheme, tenancy support for vulnerable people</w:t>
      </w:r>
      <w:r w:rsidR="001235E0">
        <w:t>.</w:t>
      </w:r>
      <w:r w:rsidR="00855CA6">
        <w:t xml:space="preserve"> </w:t>
      </w:r>
      <w:r w:rsidR="001235E0">
        <w:t xml:space="preserve">The work with Stonepillow includes </w:t>
      </w:r>
      <w:r w:rsidR="00855CA6">
        <w:t xml:space="preserve">the </w:t>
      </w:r>
      <w:r w:rsidR="001235E0">
        <w:t>provision of an additional outreach worker (shared with Arun DC) working with a caseload o</w:t>
      </w:r>
      <w:r w:rsidR="001E0877">
        <w:t>f</w:t>
      </w:r>
      <w:r w:rsidR="001235E0">
        <w:t xml:space="preserve"> the most entrenched rough sleepers, as well as a lettings</w:t>
      </w:r>
      <w:r w:rsidR="00855CA6">
        <w:t>,</w:t>
      </w:r>
      <w:r w:rsidR="001235E0">
        <w:t xml:space="preserve"> support worker helping those with a history of rough sleeping to access and sustain accommodation funded from the Government’s Rapid Rehousing Pathway. </w:t>
      </w:r>
    </w:p>
    <w:p w:rsidR="00F63FBB" w:rsidRPr="00CA47B9" w:rsidRDefault="00F63FBB" w:rsidP="006765B7">
      <w:pPr>
        <w:pStyle w:val="SubheadBlue12"/>
        <w:ind w:left="567" w:firstLine="0"/>
      </w:pPr>
      <w:r w:rsidRPr="00CA47B9">
        <w:t>Self and Custom Build</w:t>
      </w:r>
    </w:p>
    <w:p w:rsidR="00F63FBB" w:rsidRPr="00CA47B9" w:rsidRDefault="00327608" w:rsidP="00AF0118">
      <w:pPr>
        <w:pStyle w:val="11Bodytext"/>
        <w:tabs>
          <w:tab w:val="clear" w:pos="2212"/>
        </w:tabs>
        <w:ind w:left="567" w:hanging="567"/>
      </w:pPr>
      <w:r w:rsidRPr="00D53082">
        <w:t>This data remains unchanged from the 2018 HEDNA.</w:t>
      </w:r>
      <w:r w:rsidR="00855CA6">
        <w:t xml:space="preserve"> </w:t>
      </w:r>
      <w:r w:rsidR="00D53082">
        <w:t xml:space="preserve"> </w:t>
      </w:r>
      <w:r w:rsidR="00F63FBB" w:rsidRPr="00CA47B9">
        <w:t xml:space="preserve">The Council defines Custom </w:t>
      </w:r>
      <w:r w:rsidR="00855CA6">
        <w:t>b</w:t>
      </w:r>
      <w:r w:rsidR="00855CA6" w:rsidRPr="00CA47B9">
        <w:t xml:space="preserve">uild </w:t>
      </w:r>
      <w:r w:rsidR="00F63FBB" w:rsidRPr="00CA47B9">
        <w:t>housing as housing commissioned and built by individuals or groups for their own use, either by building it themselves or working with builders. "Custom build" is used to include self-build, which is a particular type of custom build where a person organises all the works themselves. Custom build may be undertaken by an individual, a group, or a builder.</w:t>
      </w:r>
    </w:p>
    <w:p w:rsidR="00F63FBB" w:rsidRPr="00CA47B9" w:rsidRDefault="00F63FBB" w:rsidP="00AF0118">
      <w:pPr>
        <w:pStyle w:val="11Bodytext"/>
        <w:tabs>
          <w:tab w:val="clear" w:pos="2212"/>
        </w:tabs>
        <w:ind w:left="567" w:hanging="567"/>
      </w:pPr>
      <w:r w:rsidRPr="00CA47B9">
        <w:t>According to local agents</w:t>
      </w:r>
      <w:r w:rsidR="00855CA6">
        <w:t>,</w:t>
      </w:r>
      <w:r w:rsidRPr="00CA47B9">
        <w:t xml:space="preserve"> Self and Custom Build (SCB) occurs across the District on infill sites and ‘garden grabs’. This particularly occurs in Chichester City and the </w:t>
      </w:r>
      <w:r w:rsidR="00855CA6" w:rsidRPr="00CA47B9">
        <w:t>East</w:t>
      </w:r>
      <w:r w:rsidR="00855CA6">
        <w:t>-</w:t>
      </w:r>
      <w:r w:rsidRPr="00CA47B9">
        <w:t xml:space="preserve">West Corridor. We have also seen evidence of this in the Manhood Peninsula where a small number of dwellings have been replaced on existing plots. </w:t>
      </w:r>
    </w:p>
    <w:p w:rsidR="00382A54" w:rsidRPr="00CA47B9" w:rsidRDefault="00F63FBB" w:rsidP="00AF0118">
      <w:pPr>
        <w:pStyle w:val="11Bodytext"/>
        <w:tabs>
          <w:tab w:val="clear" w:pos="2212"/>
        </w:tabs>
        <w:ind w:left="567" w:hanging="567"/>
      </w:pPr>
      <w:r w:rsidRPr="00CA47B9">
        <w:t xml:space="preserve">In July 2018, Council introduced a new 2-part register. This now requires applicants to provide evidence that they have a local connection to the local plan area for 5 years and have adequate financial resources to buy land to be eligible for part 1. Applicants who applied before July 2018 will still be counted towards the </w:t>
      </w:r>
      <w:r w:rsidR="00CA47B9" w:rsidRPr="00CA47B9">
        <w:t>permissions;</w:t>
      </w:r>
      <w:r w:rsidRPr="00CA47B9">
        <w:t xml:space="preserve"> </w:t>
      </w:r>
      <w:r w:rsidR="009E4D60" w:rsidRPr="00CA47B9">
        <w:t>however,</w:t>
      </w:r>
      <w:r w:rsidRPr="00CA47B9">
        <w:t xml:space="preserve"> they have not been carried forward onto the new 2-part register.</w:t>
      </w:r>
      <w:r w:rsidR="00855CA6">
        <w:t xml:space="preserve"> </w:t>
      </w:r>
      <w:r w:rsidR="00382A54">
        <w:t>Since the introduction of the 2-part register demand to be on the register has reduced to around 2 applications per month.</w:t>
      </w:r>
    </w:p>
    <w:p w:rsidR="00F63FBB" w:rsidRPr="00CA47B9" w:rsidRDefault="00F63FBB" w:rsidP="00AF0118">
      <w:pPr>
        <w:pStyle w:val="11Bodytext"/>
        <w:tabs>
          <w:tab w:val="clear" w:pos="2212"/>
        </w:tabs>
        <w:ind w:left="567" w:hanging="567"/>
      </w:pPr>
      <w:r w:rsidRPr="00CA47B9">
        <w:t xml:space="preserve">For this update, </w:t>
      </w:r>
      <w:r w:rsidR="00855CA6">
        <w:t xml:space="preserve">the </w:t>
      </w:r>
      <w:r w:rsidRPr="00CA47B9">
        <w:t>Council ha</w:t>
      </w:r>
      <w:r w:rsidR="00AC6424">
        <w:t>s</w:t>
      </w:r>
      <w:r w:rsidRPr="00CA47B9">
        <w:t xml:space="preserve"> provided data on the updated registration and there are currently no individuals on the Part 1 registration and only two registered on the Part 2 list. Both identified the intent to build a detached 4-bedroom home under the </w:t>
      </w:r>
      <w:r w:rsidR="00855CA6" w:rsidRPr="00CA47B9">
        <w:t>owner</w:t>
      </w:r>
      <w:r w:rsidR="00855CA6">
        <w:t>-</w:t>
      </w:r>
      <w:r w:rsidRPr="00CA47B9">
        <w:t xml:space="preserve">occupier scheme. One applicant noted the maximum they could afford is £500,000 and the second identified £700,000 as the maximum. </w:t>
      </w:r>
    </w:p>
    <w:p w:rsidR="00F63FBB" w:rsidRDefault="00F63FBB" w:rsidP="00AF0118">
      <w:pPr>
        <w:pStyle w:val="11Bodytext"/>
        <w:tabs>
          <w:tab w:val="clear" w:pos="2212"/>
        </w:tabs>
        <w:ind w:left="567" w:hanging="567"/>
      </w:pPr>
      <w:r w:rsidRPr="00CA47B9">
        <w:lastRenderedPageBreak/>
        <w:t xml:space="preserve">The table below identifies the position of the self-build and custom-build register </w:t>
      </w:r>
      <w:r w:rsidR="00855CA6">
        <w:t>in</w:t>
      </w:r>
      <w:r w:rsidR="00855CA6" w:rsidRPr="00CA47B9">
        <w:t xml:space="preserve"> </w:t>
      </w:r>
      <w:r w:rsidRPr="00CA47B9">
        <w:t xml:space="preserve">2017, </w:t>
      </w:r>
      <w:r w:rsidR="00855CA6">
        <w:t>before</w:t>
      </w:r>
      <w:r w:rsidRPr="00CA47B9">
        <w:t xml:space="preserve"> the 2018 change. </w:t>
      </w:r>
      <w:r w:rsidR="002D1463">
        <w:t xml:space="preserve">The table identifies 66 individuals registered, 27 of which are local and 39 non-locals. </w:t>
      </w:r>
      <w:r w:rsidRPr="00CA47B9">
        <w:t xml:space="preserve">Just over </w:t>
      </w:r>
      <w:r w:rsidR="00855CA6" w:rsidRPr="00CA47B9">
        <w:t>one</w:t>
      </w:r>
      <w:r w:rsidR="00855CA6">
        <w:t>-</w:t>
      </w:r>
      <w:r w:rsidRPr="00CA47B9">
        <w:t>quarter of respondents were aged 60 and over and a similar number were aged 41 -50 years. Around 68% of applicants were aged 41 or over. Most respondents were also currently living outside of the district.</w:t>
      </w:r>
    </w:p>
    <w:p w:rsidR="00F63FBB" w:rsidRPr="00CA47B9" w:rsidRDefault="00F63FBB" w:rsidP="005D5606">
      <w:pPr>
        <w:pStyle w:val="Tableheading"/>
        <w:tabs>
          <w:tab w:val="clear" w:pos="794"/>
          <w:tab w:val="clear" w:pos="1843"/>
          <w:tab w:val="left" w:pos="0"/>
        </w:tabs>
        <w:spacing w:line="240" w:lineRule="auto"/>
        <w:ind w:left="0" w:firstLine="0"/>
      </w:pPr>
      <w:r w:rsidRPr="00CA47B9">
        <w:t>Self and Custom Build by Age (2017) – Chichester District</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46: Self and Custom Build by Age (2017) – Chichester District"/>
      </w:tblPr>
      <w:tblGrid>
        <w:gridCol w:w="3659"/>
        <w:gridCol w:w="1522"/>
        <w:gridCol w:w="1520"/>
        <w:gridCol w:w="1519"/>
        <w:gridCol w:w="1519"/>
      </w:tblGrid>
      <w:tr w:rsidR="00F63FBB" w:rsidRPr="00AF5AB4" w:rsidTr="00FE6AF9">
        <w:trPr>
          <w:tblHeader/>
        </w:trPr>
        <w:tc>
          <w:tcPr>
            <w:tcW w:w="1878" w:type="pct"/>
            <w:shd w:val="clear" w:color="auto" w:fill="0093D5" w:themeFill="accent2"/>
            <w:vAlign w:val="bottom"/>
            <w:hideMark/>
          </w:tcPr>
          <w:p w:rsidR="00F63FBB" w:rsidRPr="00AF5AB4" w:rsidRDefault="00F63FBB" w:rsidP="00AF5AB4">
            <w:pPr>
              <w:keepNext/>
              <w:rPr>
                <w:rFonts w:asciiTheme="minorHAnsi" w:hAnsiTheme="minorHAnsi" w:cstheme="minorHAnsi"/>
                <w:color w:val="FFFFFF" w:themeColor="background1"/>
                <w:sz w:val="24"/>
                <w:szCs w:val="24"/>
              </w:rPr>
            </w:pPr>
            <w:r w:rsidRPr="00AF5AB4">
              <w:rPr>
                <w:rFonts w:asciiTheme="minorHAnsi" w:hAnsiTheme="minorHAnsi" w:cstheme="minorHAnsi"/>
                <w:color w:val="FFFFFF" w:themeColor="background1"/>
                <w:sz w:val="24"/>
                <w:szCs w:val="24"/>
              </w:rPr>
              <w:t>Ages</w:t>
            </w:r>
          </w:p>
        </w:tc>
        <w:tc>
          <w:tcPr>
            <w:tcW w:w="781" w:type="pct"/>
            <w:shd w:val="clear" w:color="auto" w:fill="0093D5" w:themeFill="accent2"/>
            <w:noWrap/>
            <w:vAlign w:val="bottom"/>
            <w:hideMark/>
          </w:tcPr>
          <w:p w:rsidR="00F63FBB" w:rsidRPr="00AF5AB4" w:rsidRDefault="00F63FBB" w:rsidP="00AF5AB4">
            <w:pPr>
              <w:keepNext/>
              <w:jc w:val="center"/>
              <w:rPr>
                <w:rFonts w:asciiTheme="minorHAnsi" w:hAnsiTheme="minorHAnsi" w:cstheme="minorHAnsi"/>
                <w:color w:val="FFFFFF" w:themeColor="background1"/>
                <w:sz w:val="24"/>
                <w:szCs w:val="24"/>
              </w:rPr>
            </w:pPr>
            <w:r w:rsidRPr="00AF5AB4">
              <w:rPr>
                <w:rFonts w:asciiTheme="minorHAnsi" w:hAnsiTheme="minorHAnsi" w:cstheme="minorHAnsi"/>
                <w:color w:val="FFFFFF" w:themeColor="background1"/>
                <w:sz w:val="24"/>
                <w:szCs w:val="24"/>
              </w:rPr>
              <w:t>Local</w:t>
            </w:r>
          </w:p>
        </w:tc>
        <w:tc>
          <w:tcPr>
            <w:tcW w:w="780" w:type="pct"/>
            <w:shd w:val="clear" w:color="auto" w:fill="0093D5" w:themeFill="accent2"/>
            <w:noWrap/>
            <w:vAlign w:val="bottom"/>
            <w:hideMark/>
          </w:tcPr>
          <w:p w:rsidR="00F63FBB" w:rsidRPr="00AF5AB4" w:rsidRDefault="00F63FBB" w:rsidP="00AF5AB4">
            <w:pPr>
              <w:keepNext/>
              <w:jc w:val="center"/>
              <w:rPr>
                <w:rFonts w:asciiTheme="minorHAnsi" w:hAnsiTheme="minorHAnsi" w:cstheme="minorHAnsi"/>
                <w:color w:val="FFFFFF" w:themeColor="background1"/>
                <w:sz w:val="24"/>
                <w:szCs w:val="24"/>
              </w:rPr>
            </w:pPr>
            <w:r w:rsidRPr="00AF5AB4">
              <w:rPr>
                <w:rFonts w:asciiTheme="minorHAnsi" w:hAnsiTheme="minorHAnsi" w:cstheme="minorHAnsi"/>
                <w:color w:val="FFFFFF" w:themeColor="background1"/>
                <w:sz w:val="24"/>
                <w:szCs w:val="24"/>
              </w:rPr>
              <w:t>Non-local</w:t>
            </w:r>
          </w:p>
        </w:tc>
        <w:tc>
          <w:tcPr>
            <w:tcW w:w="780" w:type="pct"/>
            <w:shd w:val="clear" w:color="auto" w:fill="0093D5" w:themeFill="accent2"/>
            <w:noWrap/>
            <w:vAlign w:val="bottom"/>
            <w:hideMark/>
          </w:tcPr>
          <w:p w:rsidR="00F63FBB" w:rsidRPr="00AF5AB4" w:rsidRDefault="00F63FBB" w:rsidP="00AF5AB4">
            <w:pPr>
              <w:keepNext/>
              <w:jc w:val="center"/>
              <w:rPr>
                <w:rFonts w:asciiTheme="minorHAnsi" w:hAnsiTheme="minorHAnsi" w:cstheme="minorHAnsi"/>
                <w:color w:val="FFFFFF" w:themeColor="background1"/>
                <w:sz w:val="24"/>
                <w:szCs w:val="24"/>
              </w:rPr>
            </w:pPr>
            <w:r w:rsidRPr="00AF5AB4">
              <w:rPr>
                <w:rFonts w:asciiTheme="minorHAnsi" w:hAnsiTheme="minorHAnsi" w:cstheme="minorHAnsi"/>
                <w:color w:val="FFFFFF" w:themeColor="background1"/>
                <w:sz w:val="24"/>
                <w:szCs w:val="24"/>
              </w:rPr>
              <w:t>Total no.</w:t>
            </w:r>
          </w:p>
        </w:tc>
        <w:tc>
          <w:tcPr>
            <w:tcW w:w="780" w:type="pct"/>
            <w:shd w:val="clear" w:color="auto" w:fill="0093D5" w:themeFill="accent2"/>
            <w:noWrap/>
            <w:vAlign w:val="bottom"/>
            <w:hideMark/>
          </w:tcPr>
          <w:p w:rsidR="00F63FBB" w:rsidRPr="00AF5AB4" w:rsidRDefault="00F63FBB" w:rsidP="00AF5AB4">
            <w:pPr>
              <w:keepNext/>
              <w:jc w:val="center"/>
              <w:rPr>
                <w:rFonts w:asciiTheme="minorHAnsi" w:hAnsiTheme="minorHAnsi" w:cstheme="minorHAnsi"/>
                <w:color w:val="FFFFFF" w:themeColor="background1"/>
                <w:sz w:val="24"/>
                <w:szCs w:val="24"/>
              </w:rPr>
            </w:pPr>
            <w:r w:rsidRPr="00AF5AB4">
              <w:rPr>
                <w:rFonts w:asciiTheme="minorHAnsi" w:hAnsiTheme="minorHAnsi" w:cstheme="minorHAnsi"/>
                <w:color w:val="FFFFFF" w:themeColor="background1"/>
                <w:sz w:val="24"/>
                <w:szCs w:val="24"/>
              </w:rPr>
              <w:t>Total %</w:t>
            </w:r>
          </w:p>
        </w:tc>
      </w:tr>
      <w:tr w:rsidR="00F63FBB" w:rsidRPr="00AF5AB4" w:rsidTr="00FE6AF9">
        <w:tc>
          <w:tcPr>
            <w:tcW w:w="1878" w:type="pct"/>
            <w:vAlign w:val="bottom"/>
            <w:hideMark/>
          </w:tcPr>
          <w:p w:rsidR="00F63FBB" w:rsidRPr="00AF5AB4" w:rsidRDefault="00F63FBB" w:rsidP="00AF5AB4">
            <w:pPr>
              <w:keepNext/>
              <w:rPr>
                <w:rFonts w:asciiTheme="minorHAnsi" w:hAnsiTheme="minorHAnsi" w:cstheme="minorHAnsi"/>
                <w:color w:val="auto"/>
                <w:sz w:val="24"/>
                <w:szCs w:val="24"/>
              </w:rPr>
            </w:pPr>
            <w:r w:rsidRPr="00AF5AB4">
              <w:rPr>
                <w:rFonts w:asciiTheme="minorHAnsi" w:hAnsiTheme="minorHAnsi" w:cstheme="minorHAnsi"/>
                <w:color w:val="auto"/>
                <w:sz w:val="24"/>
                <w:szCs w:val="24"/>
              </w:rPr>
              <w:t>60+ (1956 &amp; earlier)</w:t>
            </w:r>
          </w:p>
        </w:tc>
        <w:tc>
          <w:tcPr>
            <w:tcW w:w="781" w:type="pct"/>
            <w:noWrap/>
            <w:vAlign w:val="bottom"/>
            <w:hideMark/>
          </w:tcPr>
          <w:p w:rsidR="00F63FBB" w:rsidRPr="00AF5AB4" w:rsidRDefault="00F63FBB" w:rsidP="00AF5AB4">
            <w:pPr>
              <w:keepNext/>
              <w:contextualSpacing/>
              <w:jc w:val="center"/>
              <w:rPr>
                <w:rFonts w:asciiTheme="minorHAnsi" w:hAnsiTheme="minorHAnsi" w:cstheme="minorHAnsi"/>
                <w:color w:val="auto"/>
                <w:sz w:val="24"/>
                <w:szCs w:val="24"/>
              </w:rPr>
            </w:pPr>
            <w:r w:rsidRPr="00AF5AB4">
              <w:rPr>
                <w:rFonts w:asciiTheme="minorHAnsi" w:hAnsiTheme="minorHAnsi" w:cstheme="minorHAnsi"/>
                <w:color w:val="auto"/>
                <w:sz w:val="24"/>
                <w:szCs w:val="24"/>
              </w:rPr>
              <w:t>6</w:t>
            </w:r>
          </w:p>
        </w:tc>
        <w:tc>
          <w:tcPr>
            <w:tcW w:w="780" w:type="pct"/>
            <w:noWrap/>
            <w:vAlign w:val="bottom"/>
            <w:hideMark/>
          </w:tcPr>
          <w:p w:rsidR="00F63FBB" w:rsidRPr="00AF5AB4" w:rsidRDefault="00F63FBB" w:rsidP="00AF5AB4">
            <w:pPr>
              <w:keepNext/>
              <w:contextualSpacing/>
              <w:jc w:val="center"/>
              <w:rPr>
                <w:rFonts w:asciiTheme="minorHAnsi" w:hAnsiTheme="minorHAnsi" w:cstheme="minorHAnsi"/>
                <w:color w:val="auto"/>
                <w:sz w:val="24"/>
                <w:szCs w:val="24"/>
              </w:rPr>
            </w:pPr>
            <w:r w:rsidRPr="00AF5AB4">
              <w:rPr>
                <w:rFonts w:asciiTheme="minorHAnsi" w:hAnsiTheme="minorHAnsi" w:cstheme="minorHAnsi"/>
                <w:color w:val="auto"/>
                <w:sz w:val="24"/>
                <w:szCs w:val="24"/>
              </w:rPr>
              <w:t>12</w:t>
            </w:r>
          </w:p>
        </w:tc>
        <w:tc>
          <w:tcPr>
            <w:tcW w:w="780" w:type="pct"/>
            <w:noWrap/>
            <w:vAlign w:val="bottom"/>
            <w:hideMark/>
          </w:tcPr>
          <w:p w:rsidR="00F63FBB" w:rsidRPr="00AF5AB4" w:rsidRDefault="00F63FBB" w:rsidP="00AF5AB4">
            <w:pPr>
              <w:keepNext/>
              <w:contextualSpacing/>
              <w:jc w:val="center"/>
              <w:rPr>
                <w:rFonts w:asciiTheme="minorHAnsi" w:hAnsiTheme="minorHAnsi" w:cstheme="minorHAnsi"/>
                <w:b/>
                <w:color w:val="auto"/>
                <w:sz w:val="24"/>
                <w:szCs w:val="24"/>
              </w:rPr>
            </w:pPr>
            <w:r w:rsidRPr="00AF5AB4">
              <w:rPr>
                <w:rFonts w:asciiTheme="minorHAnsi" w:hAnsiTheme="minorHAnsi" w:cstheme="minorHAnsi"/>
                <w:b/>
                <w:color w:val="auto"/>
                <w:sz w:val="24"/>
                <w:szCs w:val="24"/>
              </w:rPr>
              <w:t>18</w:t>
            </w:r>
          </w:p>
        </w:tc>
        <w:tc>
          <w:tcPr>
            <w:tcW w:w="780" w:type="pct"/>
            <w:noWrap/>
            <w:vAlign w:val="bottom"/>
            <w:hideMark/>
          </w:tcPr>
          <w:p w:rsidR="00F63FBB" w:rsidRPr="00AF5AB4" w:rsidRDefault="00F63FBB" w:rsidP="00AF5AB4">
            <w:pPr>
              <w:keepNext/>
              <w:contextualSpacing/>
              <w:jc w:val="center"/>
              <w:rPr>
                <w:rFonts w:asciiTheme="minorHAnsi" w:hAnsiTheme="minorHAnsi" w:cstheme="minorHAnsi"/>
                <w:color w:val="auto"/>
                <w:sz w:val="24"/>
                <w:szCs w:val="24"/>
              </w:rPr>
            </w:pPr>
            <w:r w:rsidRPr="00AF5AB4">
              <w:rPr>
                <w:rFonts w:asciiTheme="minorHAnsi" w:hAnsiTheme="minorHAnsi" w:cstheme="minorHAnsi"/>
                <w:color w:val="auto"/>
                <w:sz w:val="24"/>
                <w:szCs w:val="24"/>
              </w:rPr>
              <w:t>27.3%</w:t>
            </w:r>
          </w:p>
        </w:tc>
      </w:tr>
      <w:tr w:rsidR="00F63FBB" w:rsidRPr="00AF5AB4" w:rsidTr="00FE6AF9">
        <w:tc>
          <w:tcPr>
            <w:tcW w:w="1878" w:type="pct"/>
            <w:vAlign w:val="bottom"/>
            <w:hideMark/>
          </w:tcPr>
          <w:p w:rsidR="00F63FBB" w:rsidRPr="00AF5AB4" w:rsidRDefault="00F63FBB" w:rsidP="00AF5AB4">
            <w:pPr>
              <w:keepNext/>
              <w:rPr>
                <w:rFonts w:asciiTheme="minorHAnsi" w:hAnsiTheme="minorHAnsi" w:cstheme="minorHAnsi"/>
                <w:color w:val="auto"/>
                <w:sz w:val="24"/>
                <w:szCs w:val="24"/>
              </w:rPr>
            </w:pPr>
            <w:r w:rsidRPr="00AF5AB4">
              <w:rPr>
                <w:rFonts w:asciiTheme="minorHAnsi" w:hAnsiTheme="minorHAnsi" w:cstheme="minorHAnsi"/>
                <w:color w:val="auto"/>
                <w:sz w:val="24"/>
                <w:szCs w:val="24"/>
              </w:rPr>
              <w:t>51-60 (1957-1966)</w:t>
            </w:r>
          </w:p>
        </w:tc>
        <w:tc>
          <w:tcPr>
            <w:tcW w:w="781" w:type="pct"/>
            <w:noWrap/>
            <w:vAlign w:val="bottom"/>
            <w:hideMark/>
          </w:tcPr>
          <w:p w:rsidR="00F63FBB" w:rsidRPr="00AF5AB4" w:rsidRDefault="00F63FBB" w:rsidP="00AF5AB4">
            <w:pPr>
              <w:keepNext/>
              <w:contextualSpacing/>
              <w:jc w:val="center"/>
              <w:rPr>
                <w:rFonts w:asciiTheme="minorHAnsi" w:hAnsiTheme="minorHAnsi" w:cstheme="minorHAnsi"/>
                <w:color w:val="auto"/>
                <w:sz w:val="24"/>
                <w:szCs w:val="24"/>
              </w:rPr>
            </w:pPr>
            <w:r w:rsidRPr="00AF5AB4">
              <w:rPr>
                <w:rFonts w:asciiTheme="minorHAnsi" w:hAnsiTheme="minorHAnsi" w:cstheme="minorHAnsi"/>
                <w:color w:val="auto"/>
                <w:sz w:val="24"/>
                <w:szCs w:val="24"/>
              </w:rPr>
              <w:t>6</w:t>
            </w:r>
          </w:p>
        </w:tc>
        <w:tc>
          <w:tcPr>
            <w:tcW w:w="780" w:type="pct"/>
            <w:noWrap/>
            <w:vAlign w:val="bottom"/>
            <w:hideMark/>
          </w:tcPr>
          <w:p w:rsidR="00F63FBB" w:rsidRPr="00AF5AB4" w:rsidRDefault="00F63FBB" w:rsidP="00AF5AB4">
            <w:pPr>
              <w:keepNext/>
              <w:contextualSpacing/>
              <w:jc w:val="center"/>
              <w:rPr>
                <w:rFonts w:asciiTheme="minorHAnsi" w:hAnsiTheme="minorHAnsi" w:cstheme="minorHAnsi"/>
                <w:color w:val="auto"/>
                <w:sz w:val="24"/>
                <w:szCs w:val="24"/>
              </w:rPr>
            </w:pPr>
            <w:r w:rsidRPr="00AF5AB4">
              <w:rPr>
                <w:rFonts w:asciiTheme="minorHAnsi" w:hAnsiTheme="minorHAnsi" w:cstheme="minorHAnsi"/>
                <w:color w:val="auto"/>
                <w:sz w:val="24"/>
                <w:szCs w:val="24"/>
              </w:rPr>
              <w:t>5</w:t>
            </w:r>
          </w:p>
        </w:tc>
        <w:tc>
          <w:tcPr>
            <w:tcW w:w="780" w:type="pct"/>
            <w:noWrap/>
            <w:vAlign w:val="bottom"/>
            <w:hideMark/>
          </w:tcPr>
          <w:p w:rsidR="00F63FBB" w:rsidRPr="00AF5AB4" w:rsidRDefault="00F63FBB" w:rsidP="00AF5AB4">
            <w:pPr>
              <w:keepNext/>
              <w:contextualSpacing/>
              <w:jc w:val="center"/>
              <w:rPr>
                <w:rFonts w:asciiTheme="minorHAnsi" w:hAnsiTheme="minorHAnsi" w:cstheme="minorHAnsi"/>
                <w:b/>
                <w:color w:val="auto"/>
                <w:sz w:val="24"/>
                <w:szCs w:val="24"/>
              </w:rPr>
            </w:pPr>
            <w:r w:rsidRPr="00AF5AB4">
              <w:rPr>
                <w:rFonts w:asciiTheme="minorHAnsi" w:hAnsiTheme="minorHAnsi" w:cstheme="minorHAnsi"/>
                <w:b/>
                <w:color w:val="auto"/>
                <w:sz w:val="24"/>
                <w:szCs w:val="24"/>
              </w:rPr>
              <w:t>11</w:t>
            </w:r>
          </w:p>
        </w:tc>
        <w:tc>
          <w:tcPr>
            <w:tcW w:w="780" w:type="pct"/>
            <w:noWrap/>
            <w:vAlign w:val="bottom"/>
            <w:hideMark/>
          </w:tcPr>
          <w:p w:rsidR="00F63FBB" w:rsidRPr="00AF5AB4" w:rsidRDefault="00F63FBB" w:rsidP="00AF5AB4">
            <w:pPr>
              <w:keepNext/>
              <w:contextualSpacing/>
              <w:jc w:val="center"/>
              <w:rPr>
                <w:rFonts w:asciiTheme="minorHAnsi" w:hAnsiTheme="minorHAnsi" w:cstheme="minorHAnsi"/>
                <w:color w:val="auto"/>
                <w:sz w:val="24"/>
                <w:szCs w:val="24"/>
              </w:rPr>
            </w:pPr>
            <w:r w:rsidRPr="00AF5AB4">
              <w:rPr>
                <w:rFonts w:asciiTheme="minorHAnsi" w:hAnsiTheme="minorHAnsi" w:cstheme="minorHAnsi"/>
                <w:color w:val="auto"/>
                <w:sz w:val="24"/>
                <w:szCs w:val="24"/>
              </w:rPr>
              <w:t>16.7%</w:t>
            </w:r>
          </w:p>
        </w:tc>
      </w:tr>
      <w:tr w:rsidR="00F63FBB" w:rsidRPr="00AF5AB4" w:rsidTr="00FE6AF9">
        <w:tc>
          <w:tcPr>
            <w:tcW w:w="1878" w:type="pct"/>
            <w:vAlign w:val="bottom"/>
            <w:hideMark/>
          </w:tcPr>
          <w:p w:rsidR="00F63FBB" w:rsidRPr="00AF5AB4" w:rsidRDefault="00F63FBB" w:rsidP="00AF5AB4">
            <w:pPr>
              <w:keepNext/>
              <w:rPr>
                <w:rFonts w:asciiTheme="minorHAnsi" w:hAnsiTheme="minorHAnsi" w:cstheme="minorHAnsi"/>
                <w:color w:val="auto"/>
                <w:sz w:val="24"/>
                <w:szCs w:val="24"/>
              </w:rPr>
            </w:pPr>
            <w:r w:rsidRPr="00AF5AB4">
              <w:rPr>
                <w:rFonts w:asciiTheme="minorHAnsi" w:hAnsiTheme="minorHAnsi" w:cstheme="minorHAnsi"/>
                <w:color w:val="auto"/>
                <w:sz w:val="24"/>
                <w:szCs w:val="24"/>
              </w:rPr>
              <w:t>41-50 (1967-76)</w:t>
            </w:r>
          </w:p>
        </w:tc>
        <w:tc>
          <w:tcPr>
            <w:tcW w:w="781" w:type="pct"/>
            <w:noWrap/>
            <w:vAlign w:val="bottom"/>
            <w:hideMark/>
          </w:tcPr>
          <w:p w:rsidR="00F63FBB" w:rsidRPr="00AF5AB4" w:rsidRDefault="00F63FBB" w:rsidP="00AF5AB4">
            <w:pPr>
              <w:keepNext/>
              <w:contextualSpacing/>
              <w:jc w:val="center"/>
              <w:rPr>
                <w:rFonts w:asciiTheme="minorHAnsi" w:hAnsiTheme="minorHAnsi" w:cstheme="minorHAnsi"/>
                <w:color w:val="auto"/>
                <w:sz w:val="24"/>
                <w:szCs w:val="24"/>
              </w:rPr>
            </w:pPr>
            <w:r w:rsidRPr="00AF5AB4">
              <w:rPr>
                <w:rFonts w:asciiTheme="minorHAnsi" w:hAnsiTheme="minorHAnsi" w:cstheme="minorHAnsi"/>
                <w:color w:val="auto"/>
                <w:sz w:val="24"/>
                <w:szCs w:val="24"/>
              </w:rPr>
              <w:t>6</w:t>
            </w:r>
          </w:p>
        </w:tc>
        <w:tc>
          <w:tcPr>
            <w:tcW w:w="780" w:type="pct"/>
            <w:noWrap/>
            <w:vAlign w:val="bottom"/>
            <w:hideMark/>
          </w:tcPr>
          <w:p w:rsidR="00F63FBB" w:rsidRPr="00AF5AB4" w:rsidRDefault="00F63FBB" w:rsidP="00AF5AB4">
            <w:pPr>
              <w:keepNext/>
              <w:contextualSpacing/>
              <w:jc w:val="center"/>
              <w:rPr>
                <w:rFonts w:asciiTheme="minorHAnsi" w:hAnsiTheme="minorHAnsi" w:cstheme="minorHAnsi"/>
                <w:color w:val="auto"/>
                <w:sz w:val="24"/>
                <w:szCs w:val="24"/>
              </w:rPr>
            </w:pPr>
            <w:r w:rsidRPr="00AF5AB4">
              <w:rPr>
                <w:rFonts w:asciiTheme="minorHAnsi" w:hAnsiTheme="minorHAnsi" w:cstheme="minorHAnsi"/>
                <w:color w:val="auto"/>
                <w:sz w:val="24"/>
                <w:szCs w:val="24"/>
              </w:rPr>
              <w:t>10</w:t>
            </w:r>
          </w:p>
        </w:tc>
        <w:tc>
          <w:tcPr>
            <w:tcW w:w="780" w:type="pct"/>
            <w:noWrap/>
            <w:vAlign w:val="bottom"/>
            <w:hideMark/>
          </w:tcPr>
          <w:p w:rsidR="00F63FBB" w:rsidRPr="00AF5AB4" w:rsidRDefault="00F63FBB" w:rsidP="00AF5AB4">
            <w:pPr>
              <w:keepNext/>
              <w:contextualSpacing/>
              <w:jc w:val="center"/>
              <w:rPr>
                <w:rFonts w:asciiTheme="minorHAnsi" w:hAnsiTheme="minorHAnsi" w:cstheme="minorHAnsi"/>
                <w:b/>
                <w:color w:val="auto"/>
                <w:sz w:val="24"/>
                <w:szCs w:val="24"/>
              </w:rPr>
            </w:pPr>
            <w:r w:rsidRPr="00AF5AB4">
              <w:rPr>
                <w:rFonts w:asciiTheme="minorHAnsi" w:hAnsiTheme="minorHAnsi" w:cstheme="minorHAnsi"/>
                <w:b/>
                <w:color w:val="auto"/>
                <w:sz w:val="24"/>
                <w:szCs w:val="24"/>
              </w:rPr>
              <w:t>16</w:t>
            </w:r>
          </w:p>
        </w:tc>
        <w:tc>
          <w:tcPr>
            <w:tcW w:w="780" w:type="pct"/>
            <w:noWrap/>
            <w:vAlign w:val="bottom"/>
            <w:hideMark/>
          </w:tcPr>
          <w:p w:rsidR="00F63FBB" w:rsidRPr="00AF5AB4" w:rsidRDefault="00F63FBB" w:rsidP="00AF5AB4">
            <w:pPr>
              <w:keepNext/>
              <w:contextualSpacing/>
              <w:jc w:val="center"/>
              <w:rPr>
                <w:rFonts w:asciiTheme="minorHAnsi" w:hAnsiTheme="minorHAnsi" w:cstheme="minorHAnsi"/>
                <w:color w:val="auto"/>
                <w:sz w:val="24"/>
                <w:szCs w:val="24"/>
              </w:rPr>
            </w:pPr>
            <w:r w:rsidRPr="00AF5AB4">
              <w:rPr>
                <w:rFonts w:asciiTheme="minorHAnsi" w:hAnsiTheme="minorHAnsi" w:cstheme="minorHAnsi"/>
                <w:color w:val="auto"/>
                <w:sz w:val="24"/>
                <w:szCs w:val="24"/>
              </w:rPr>
              <w:t>24.2%</w:t>
            </w:r>
          </w:p>
        </w:tc>
      </w:tr>
      <w:tr w:rsidR="00F63FBB" w:rsidRPr="00AF5AB4" w:rsidTr="00FE6AF9">
        <w:tc>
          <w:tcPr>
            <w:tcW w:w="1878" w:type="pct"/>
            <w:vAlign w:val="bottom"/>
            <w:hideMark/>
          </w:tcPr>
          <w:p w:rsidR="00F63FBB" w:rsidRPr="00AF5AB4" w:rsidRDefault="00F63FBB" w:rsidP="00AF5AB4">
            <w:pPr>
              <w:keepNext/>
              <w:rPr>
                <w:rFonts w:asciiTheme="minorHAnsi" w:hAnsiTheme="minorHAnsi" w:cstheme="minorHAnsi"/>
                <w:color w:val="auto"/>
                <w:sz w:val="24"/>
                <w:szCs w:val="24"/>
              </w:rPr>
            </w:pPr>
            <w:r w:rsidRPr="00AF5AB4">
              <w:rPr>
                <w:rFonts w:asciiTheme="minorHAnsi" w:hAnsiTheme="minorHAnsi" w:cstheme="minorHAnsi"/>
                <w:color w:val="auto"/>
                <w:sz w:val="24"/>
                <w:szCs w:val="24"/>
              </w:rPr>
              <w:t>31-40 (1977-86)</w:t>
            </w:r>
          </w:p>
        </w:tc>
        <w:tc>
          <w:tcPr>
            <w:tcW w:w="781" w:type="pct"/>
            <w:noWrap/>
            <w:vAlign w:val="bottom"/>
            <w:hideMark/>
          </w:tcPr>
          <w:p w:rsidR="00F63FBB" w:rsidRPr="00AF5AB4" w:rsidRDefault="00F63FBB" w:rsidP="00AF5AB4">
            <w:pPr>
              <w:keepNext/>
              <w:contextualSpacing/>
              <w:jc w:val="center"/>
              <w:rPr>
                <w:rFonts w:asciiTheme="minorHAnsi" w:hAnsiTheme="minorHAnsi" w:cstheme="minorHAnsi"/>
                <w:color w:val="auto"/>
                <w:sz w:val="24"/>
                <w:szCs w:val="24"/>
              </w:rPr>
            </w:pPr>
            <w:r w:rsidRPr="00AF5AB4">
              <w:rPr>
                <w:rFonts w:asciiTheme="minorHAnsi" w:hAnsiTheme="minorHAnsi" w:cstheme="minorHAnsi"/>
                <w:color w:val="auto"/>
                <w:sz w:val="24"/>
                <w:szCs w:val="24"/>
              </w:rPr>
              <w:t>7</w:t>
            </w:r>
          </w:p>
        </w:tc>
        <w:tc>
          <w:tcPr>
            <w:tcW w:w="780" w:type="pct"/>
            <w:noWrap/>
            <w:vAlign w:val="bottom"/>
            <w:hideMark/>
          </w:tcPr>
          <w:p w:rsidR="00F63FBB" w:rsidRPr="00AF5AB4" w:rsidRDefault="00F63FBB" w:rsidP="00AF5AB4">
            <w:pPr>
              <w:keepNext/>
              <w:contextualSpacing/>
              <w:jc w:val="center"/>
              <w:rPr>
                <w:rFonts w:asciiTheme="minorHAnsi" w:hAnsiTheme="minorHAnsi" w:cstheme="minorHAnsi"/>
                <w:color w:val="auto"/>
                <w:sz w:val="24"/>
                <w:szCs w:val="24"/>
              </w:rPr>
            </w:pPr>
            <w:r w:rsidRPr="00AF5AB4">
              <w:rPr>
                <w:rFonts w:asciiTheme="minorHAnsi" w:hAnsiTheme="minorHAnsi" w:cstheme="minorHAnsi"/>
                <w:color w:val="auto"/>
                <w:sz w:val="24"/>
                <w:szCs w:val="24"/>
              </w:rPr>
              <w:t>6</w:t>
            </w:r>
          </w:p>
        </w:tc>
        <w:tc>
          <w:tcPr>
            <w:tcW w:w="780" w:type="pct"/>
            <w:noWrap/>
            <w:vAlign w:val="bottom"/>
            <w:hideMark/>
          </w:tcPr>
          <w:p w:rsidR="00F63FBB" w:rsidRPr="00AF5AB4" w:rsidRDefault="00F63FBB" w:rsidP="00AF5AB4">
            <w:pPr>
              <w:keepNext/>
              <w:contextualSpacing/>
              <w:jc w:val="center"/>
              <w:rPr>
                <w:rFonts w:asciiTheme="minorHAnsi" w:hAnsiTheme="minorHAnsi" w:cstheme="minorHAnsi"/>
                <w:b/>
                <w:color w:val="auto"/>
                <w:sz w:val="24"/>
                <w:szCs w:val="24"/>
              </w:rPr>
            </w:pPr>
            <w:r w:rsidRPr="00AF5AB4">
              <w:rPr>
                <w:rFonts w:asciiTheme="minorHAnsi" w:hAnsiTheme="minorHAnsi" w:cstheme="minorHAnsi"/>
                <w:b/>
                <w:color w:val="auto"/>
                <w:sz w:val="24"/>
                <w:szCs w:val="24"/>
              </w:rPr>
              <w:t>13</w:t>
            </w:r>
          </w:p>
        </w:tc>
        <w:tc>
          <w:tcPr>
            <w:tcW w:w="780" w:type="pct"/>
            <w:noWrap/>
            <w:vAlign w:val="bottom"/>
            <w:hideMark/>
          </w:tcPr>
          <w:p w:rsidR="00F63FBB" w:rsidRPr="00AF5AB4" w:rsidRDefault="00F63FBB" w:rsidP="00AF5AB4">
            <w:pPr>
              <w:keepNext/>
              <w:contextualSpacing/>
              <w:jc w:val="center"/>
              <w:rPr>
                <w:rFonts w:asciiTheme="minorHAnsi" w:hAnsiTheme="minorHAnsi" w:cstheme="minorHAnsi"/>
                <w:color w:val="auto"/>
                <w:sz w:val="24"/>
                <w:szCs w:val="24"/>
              </w:rPr>
            </w:pPr>
            <w:r w:rsidRPr="00AF5AB4">
              <w:rPr>
                <w:rFonts w:asciiTheme="minorHAnsi" w:hAnsiTheme="minorHAnsi" w:cstheme="minorHAnsi"/>
                <w:color w:val="auto"/>
                <w:sz w:val="24"/>
                <w:szCs w:val="24"/>
              </w:rPr>
              <w:t>19.7%</w:t>
            </w:r>
          </w:p>
        </w:tc>
      </w:tr>
      <w:tr w:rsidR="00F63FBB" w:rsidRPr="00AF5AB4" w:rsidTr="00FE6AF9">
        <w:tc>
          <w:tcPr>
            <w:tcW w:w="1878" w:type="pct"/>
            <w:vAlign w:val="bottom"/>
            <w:hideMark/>
          </w:tcPr>
          <w:p w:rsidR="00F63FBB" w:rsidRPr="00AF5AB4" w:rsidRDefault="00F63FBB" w:rsidP="00AF5AB4">
            <w:pPr>
              <w:keepNext/>
              <w:rPr>
                <w:rFonts w:asciiTheme="minorHAnsi" w:hAnsiTheme="minorHAnsi" w:cstheme="minorHAnsi"/>
                <w:color w:val="auto"/>
                <w:sz w:val="24"/>
                <w:szCs w:val="24"/>
              </w:rPr>
            </w:pPr>
            <w:r w:rsidRPr="00AF5AB4">
              <w:rPr>
                <w:rFonts w:asciiTheme="minorHAnsi" w:hAnsiTheme="minorHAnsi" w:cstheme="minorHAnsi"/>
                <w:color w:val="auto"/>
                <w:sz w:val="24"/>
                <w:szCs w:val="24"/>
              </w:rPr>
              <w:t>Under 30 (1987 &amp; later)</w:t>
            </w:r>
          </w:p>
        </w:tc>
        <w:tc>
          <w:tcPr>
            <w:tcW w:w="781" w:type="pct"/>
            <w:noWrap/>
            <w:vAlign w:val="bottom"/>
            <w:hideMark/>
          </w:tcPr>
          <w:p w:rsidR="00F63FBB" w:rsidRPr="00AF5AB4" w:rsidRDefault="00F63FBB" w:rsidP="00AF5AB4">
            <w:pPr>
              <w:keepNext/>
              <w:contextualSpacing/>
              <w:jc w:val="center"/>
              <w:rPr>
                <w:rFonts w:asciiTheme="minorHAnsi" w:hAnsiTheme="minorHAnsi" w:cstheme="minorHAnsi"/>
                <w:color w:val="auto"/>
                <w:sz w:val="24"/>
                <w:szCs w:val="24"/>
              </w:rPr>
            </w:pPr>
            <w:r w:rsidRPr="00AF5AB4">
              <w:rPr>
                <w:rFonts w:asciiTheme="minorHAnsi" w:hAnsiTheme="minorHAnsi" w:cstheme="minorHAnsi"/>
                <w:color w:val="auto"/>
                <w:sz w:val="24"/>
                <w:szCs w:val="24"/>
              </w:rPr>
              <w:t>2</w:t>
            </w:r>
          </w:p>
        </w:tc>
        <w:tc>
          <w:tcPr>
            <w:tcW w:w="780" w:type="pct"/>
            <w:noWrap/>
            <w:vAlign w:val="bottom"/>
            <w:hideMark/>
          </w:tcPr>
          <w:p w:rsidR="00F63FBB" w:rsidRPr="00AF5AB4" w:rsidRDefault="00F63FBB" w:rsidP="00AF5AB4">
            <w:pPr>
              <w:keepNext/>
              <w:contextualSpacing/>
              <w:jc w:val="center"/>
              <w:rPr>
                <w:rFonts w:asciiTheme="minorHAnsi" w:hAnsiTheme="minorHAnsi" w:cstheme="minorHAnsi"/>
                <w:color w:val="auto"/>
                <w:sz w:val="24"/>
                <w:szCs w:val="24"/>
              </w:rPr>
            </w:pPr>
            <w:r w:rsidRPr="00AF5AB4">
              <w:rPr>
                <w:rFonts w:asciiTheme="minorHAnsi" w:hAnsiTheme="minorHAnsi" w:cstheme="minorHAnsi"/>
                <w:color w:val="auto"/>
                <w:sz w:val="24"/>
                <w:szCs w:val="24"/>
              </w:rPr>
              <w:t>5</w:t>
            </w:r>
          </w:p>
        </w:tc>
        <w:tc>
          <w:tcPr>
            <w:tcW w:w="780" w:type="pct"/>
            <w:noWrap/>
            <w:vAlign w:val="bottom"/>
            <w:hideMark/>
          </w:tcPr>
          <w:p w:rsidR="00F63FBB" w:rsidRPr="00AF5AB4" w:rsidRDefault="00F63FBB" w:rsidP="00AF5AB4">
            <w:pPr>
              <w:keepNext/>
              <w:contextualSpacing/>
              <w:jc w:val="center"/>
              <w:rPr>
                <w:rFonts w:asciiTheme="minorHAnsi" w:hAnsiTheme="minorHAnsi" w:cstheme="minorHAnsi"/>
                <w:b/>
                <w:color w:val="auto"/>
                <w:sz w:val="24"/>
                <w:szCs w:val="24"/>
              </w:rPr>
            </w:pPr>
            <w:r w:rsidRPr="00AF5AB4">
              <w:rPr>
                <w:rFonts w:asciiTheme="minorHAnsi" w:hAnsiTheme="minorHAnsi" w:cstheme="minorHAnsi"/>
                <w:b/>
                <w:color w:val="auto"/>
                <w:sz w:val="24"/>
                <w:szCs w:val="24"/>
              </w:rPr>
              <w:t>7</w:t>
            </w:r>
          </w:p>
        </w:tc>
        <w:tc>
          <w:tcPr>
            <w:tcW w:w="780" w:type="pct"/>
            <w:noWrap/>
            <w:vAlign w:val="bottom"/>
            <w:hideMark/>
          </w:tcPr>
          <w:p w:rsidR="00F63FBB" w:rsidRPr="00AF5AB4" w:rsidRDefault="00F63FBB" w:rsidP="00AF5AB4">
            <w:pPr>
              <w:keepNext/>
              <w:contextualSpacing/>
              <w:jc w:val="center"/>
              <w:rPr>
                <w:rFonts w:asciiTheme="minorHAnsi" w:hAnsiTheme="minorHAnsi" w:cstheme="minorHAnsi"/>
                <w:color w:val="auto"/>
                <w:sz w:val="24"/>
                <w:szCs w:val="24"/>
              </w:rPr>
            </w:pPr>
            <w:r w:rsidRPr="00AF5AB4">
              <w:rPr>
                <w:rFonts w:asciiTheme="minorHAnsi" w:hAnsiTheme="minorHAnsi" w:cstheme="minorHAnsi"/>
                <w:color w:val="auto"/>
                <w:sz w:val="24"/>
                <w:szCs w:val="24"/>
              </w:rPr>
              <w:t>10.6%</w:t>
            </w:r>
          </w:p>
        </w:tc>
      </w:tr>
      <w:tr w:rsidR="00F63FBB" w:rsidRPr="00AF5AB4" w:rsidTr="00FE6AF9">
        <w:tc>
          <w:tcPr>
            <w:tcW w:w="1878" w:type="pct"/>
            <w:vAlign w:val="bottom"/>
            <w:hideMark/>
          </w:tcPr>
          <w:p w:rsidR="00F63FBB" w:rsidRPr="00AF5AB4" w:rsidRDefault="00F63FBB" w:rsidP="00AF5AB4">
            <w:pPr>
              <w:keepNext/>
              <w:rPr>
                <w:rFonts w:asciiTheme="minorHAnsi" w:hAnsiTheme="minorHAnsi" w:cstheme="minorHAnsi"/>
                <w:color w:val="auto"/>
                <w:sz w:val="24"/>
                <w:szCs w:val="24"/>
              </w:rPr>
            </w:pPr>
            <w:r w:rsidRPr="00AF5AB4">
              <w:rPr>
                <w:rFonts w:asciiTheme="minorHAnsi" w:hAnsiTheme="minorHAnsi" w:cstheme="minorHAnsi"/>
                <w:color w:val="auto"/>
                <w:sz w:val="24"/>
                <w:szCs w:val="24"/>
              </w:rPr>
              <w:t>Error</w:t>
            </w:r>
          </w:p>
        </w:tc>
        <w:tc>
          <w:tcPr>
            <w:tcW w:w="781" w:type="pct"/>
            <w:noWrap/>
            <w:vAlign w:val="bottom"/>
            <w:hideMark/>
          </w:tcPr>
          <w:p w:rsidR="00F63FBB" w:rsidRPr="00AF5AB4" w:rsidRDefault="00F63FBB" w:rsidP="00AF5AB4">
            <w:pPr>
              <w:keepNext/>
              <w:jc w:val="center"/>
              <w:rPr>
                <w:rFonts w:asciiTheme="minorHAnsi" w:hAnsiTheme="minorHAnsi" w:cstheme="minorHAnsi"/>
                <w:color w:val="auto"/>
                <w:sz w:val="24"/>
                <w:szCs w:val="24"/>
                <w:lang w:eastAsia="en-US"/>
              </w:rPr>
            </w:pPr>
          </w:p>
        </w:tc>
        <w:tc>
          <w:tcPr>
            <w:tcW w:w="780" w:type="pct"/>
            <w:noWrap/>
            <w:vAlign w:val="bottom"/>
            <w:hideMark/>
          </w:tcPr>
          <w:p w:rsidR="00F63FBB" w:rsidRPr="00AF5AB4" w:rsidRDefault="00F63FBB" w:rsidP="00AF5AB4">
            <w:pPr>
              <w:keepNext/>
              <w:contextualSpacing/>
              <w:jc w:val="center"/>
              <w:rPr>
                <w:rFonts w:asciiTheme="minorHAnsi" w:hAnsiTheme="minorHAnsi" w:cstheme="minorHAnsi"/>
                <w:color w:val="auto"/>
                <w:sz w:val="24"/>
                <w:szCs w:val="24"/>
              </w:rPr>
            </w:pPr>
            <w:r w:rsidRPr="00AF5AB4">
              <w:rPr>
                <w:rFonts w:asciiTheme="minorHAnsi" w:hAnsiTheme="minorHAnsi" w:cstheme="minorHAnsi"/>
                <w:color w:val="auto"/>
                <w:sz w:val="24"/>
                <w:szCs w:val="24"/>
              </w:rPr>
              <w:t>1</w:t>
            </w:r>
          </w:p>
        </w:tc>
        <w:tc>
          <w:tcPr>
            <w:tcW w:w="780" w:type="pct"/>
            <w:noWrap/>
            <w:vAlign w:val="bottom"/>
            <w:hideMark/>
          </w:tcPr>
          <w:p w:rsidR="00F63FBB" w:rsidRPr="00AF5AB4" w:rsidRDefault="00F63FBB" w:rsidP="00AF5AB4">
            <w:pPr>
              <w:keepNext/>
              <w:contextualSpacing/>
              <w:jc w:val="center"/>
              <w:rPr>
                <w:rFonts w:asciiTheme="minorHAnsi" w:hAnsiTheme="minorHAnsi" w:cstheme="minorHAnsi"/>
                <w:b/>
                <w:color w:val="auto"/>
                <w:sz w:val="24"/>
                <w:szCs w:val="24"/>
              </w:rPr>
            </w:pPr>
            <w:r w:rsidRPr="00AF5AB4">
              <w:rPr>
                <w:rFonts w:asciiTheme="minorHAnsi" w:hAnsiTheme="minorHAnsi" w:cstheme="minorHAnsi"/>
                <w:b/>
                <w:color w:val="auto"/>
                <w:sz w:val="24"/>
                <w:szCs w:val="24"/>
              </w:rPr>
              <w:t>1</w:t>
            </w:r>
          </w:p>
        </w:tc>
        <w:tc>
          <w:tcPr>
            <w:tcW w:w="780" w:type="pct"/>
            <w:noWrap/>
            <w:vAlign w:val="bottom"/>
            <w:hideMark/>
          </w:tcPr>
          <w:p w:rsidR="00F63FBB" w:rsidRPr="00AF5AB4" w:rsidRDefault="00F63FBB" w:rsidP="00AF5AB4">
            <w:pPr>
              <w:keepNext/>
              <w:contextualSpacing/>
              <w:jc w:val="center"/>
              <w:rPr>
                <w:rFonts w:asciiTheme="minorHAnsi" w:hAnsiTheme="minorHAnsi" w:cstheme="minorHAnsi"/>
                <w:color w:val="auto"/>
                <w:sz w:val="24"/>
                <w:szCs w:val="24"/>
              </w:rPr>
            </w:pPr>
            <w:r w:rsidRPr="00AF5AB4">
              <w:rPr>
                <w:rFonts w:asciiTheme="minorHAnsi" w:hAnsiTheme="minorHAnsi" w:cstheme="minorHAnsi"/>
                <w:color w:val="auto"/>
                <w:sz w:val="24"/>
                <w:szCs w:val="24"/>
              </w:rPr>
              <w:t>1.5%</w:t>
            </w:r>
          </w:p>
        </w:tc>
      </w:tr>
      <w:tr w:rsidR="00F63FBB" w:rsidRPr="00AF5AB4" w:rsidTr="00FE6AF9">
        <w:tc>
          <w:tcPr>
            <w:tcW w:w="1878" w:type="pct"/>
            <w:vAlign w:val="bottom"/>
            <w:hideMark/>
          </w:tcPr>
          <w:p w:rsidR="00F63FBB" w:rsidRPr="00AF5AB4" w:rsidRDefault="00F63FBB" w:rsidP="00AF5AB4">
            <w:pPr>
              <w:keepNext/>
              <w:rPr>
                <w:rFonts w:asciiTheme="minorHAnsi" w:hAnsiTheme="minorHAnsi" w:cstheme="minorHAnsi"/>
                <w:b/>
                <w:color w:val="auto"/>
                <w:sz w:val="24"/>
                <w:szCs w:val="24"/>
                <w:lang w:eastAsia="en-US"/>
              </w:rPr>
            </w:pPr>
            <w:r w:rsidRPr="00AF5AB4">
              <w:rPr>
                <w:rFonts w:asciiTheme="minorHAnsi" w:hAnsiTheme="minorHAnsi" w:cstheme="minorHAnsi"/>
                <w:b/>
                <w:color w:val="auto"/>
                <w:sz w:val="24"/>
                <w:szCs w:val="24"/>
                <w:lang w:eastAsia="en-US"/>
              </w:rPr>
              <w:t>Total</w:t>
            </w:r>
          </w:p>
        </w:tc>
        <w:tc>
          <w:tcPr>
            <w:tcW w:w="781" w:type="pct"/>
            <w:noWrap/>
            <w:vAlign w:val="bottom"/>
            <w:hideMark/>
          </w:tcPr>
          <w:p w:rsidR="00F63FBB" w:rsidRPr="00AF5AB4" w:rsidRDefault="00F63FBB" w:rsidP="00AF5AB4">
            <w:pPr>
              <w:keepNext/>
              <w:contextualSpacing/>
              <w:jc w:val="center"/>
              <w:rPr>
                <w:rFonts w:asciiTheme="minorHAnsi" w:hAnsiTheme="minorHAnsi" w:cstheme="minorHAnsi"/>
                <w:b/>
                <w:color w:val="auto"/>
                <w:sz w:val="24"/>
                <w:szCs w:val="24"/>
              </w:rPr>
            </w:pPr>
            <w:r w:rsidRPr="00AF5AB4">
              <w:rPr>
                <w:rFonts w:asciiTheme="minorHAnsi" w:hAnsiTheme="minorHAnsi" w:cstheme="minorHAnsi"/>
                <w:b/>
                <w:color w:val="auto"/>
                <w:sz w:val="24"/>
                <w:szCs w:val="24"/>
              </w:rPr>
              <w:t>27</w:t>
            </w:r>
          </w:p>
        </w:tc>
        <w:tc>
          <w:tcPr>
            <w:tcW w:w="780" w:type="pct"/>
            <w:noWrap/>
            <w:vAlign w:val="bottom"/>
            <w:hideMark/>
          </w:tcPr>
          <w:p w:rsidR="00F63FBB" w:rsidRPr="00AF5AB4" w:rsidRDefault="00F63FBB" w:rsidP="00AF5AB4">
            <w:pPr>
              <w:keepNext/>
              <w:contextualSpacing/>
              <w:jc w:val="center"/>
              <w:rPr>
                <w:rFonts w:asciiTheme="minorHAnsi" w:hAnsiTheme="minorHAnsi" w:cstheme="minorHAnsi"/>
                <w:b/>
                <w:color w:val="auto"/>
                <w:sz w:val="24"/>
                <w:szCs w:val="24"/>
              </w:rPr>
            </w:pPr>
            <w:r w:rsidRPr="00AF5AB4">
              <w:rPr>
                <w:rFonts w:asciiTheme="minorHAnsi" w:hAnsiTheme="minorHAnsi" w:cstheme="minorHAnsi"/>
                <w:b/>
                <w:color w:val="auto"/>
                <w:sz w:val="24"/>
                <w:szCs w:val="24"/>
              </w:rPr>
              <w:t>39</w:t>
            </w:r>
          </w:p>
        </w:tc>
        <w:tc>
          <w:tcPr>
            <w:tcW w:w="780" w:type="pct"/>
            <w:noWrap/>
            <w:vAlign w:val="bottom"/>
            <w:hideMark/>
          </w:tcPr>
          <w:p w:rsidR="00F63FBB" w:rsidRPr="00AF5AB4" w:rsidRDefault="00F63FBB" w:rsidP="00AF5AB4">
            <w:pPr>
              <w:keepNext/>
              <w:contextualSpacing/>
              <w:jc w:val="center"/>
              <w:rPr>
                <w:rFonts w:asciiTheme="minorHAnsi" w:hAnsiTheme="minorHAnsi" w:cstheme="minorHAnsi"/>
                <w:b/>
                <w:color w:val="auto"/>
                <w:sz w:val="24"/>
                <w:szCs w:val="24"/>
              </w:rPr>
            </w:pPr>
            <w:r w:rsidRPr="00AF5AB4">
              <w:rPr>
                <w:rFonts w:asciiTheme="minorHAnsi" w:hAnsiTheme="minorHAnsi" w:cstheme="minorHAnsi"/>
                <w:b/>
                <w:color w:val="auto"/>
                <w:sz w:val="24"/>
                <w:szCs w:val="24"/>
              </w:rPr>
              <w:t>66</w:t>
            </w:r>
          </w:p>
        </w:tc>
        <w:tc>
          <w:tcPr>
            <w:tcW w:w="780" w:type="pct"/>
            <w:noWrap/>
            <w:vAlign w:val="bottom"/>
            <w:hideMark/>
          </w:tcPr>
          <w:p w:rsidR="00F63FBB" w:rsidRPr="00AF5AB4" w:rsidRDefault="00F63FBB" w:rsidP="00AF5AB4">
            <w:pPr>
              <w:keepNext/>
              <w:contextualSpacing/>
              <w:jc w:val="center"/>
              <w:rPr>
                <w:rFonts w:asciiTheme="minorHAnsi" w:hAnsiTheme="minorHAnsi" w:cstheme="minorHAnsi"/>
                <w:b/>
                <w:color w:val="auto"/>
                <w:sz w:val="24"/>
                <w:szCs w:val="24"/>
              </w:rPr>
            </w:pPr>
            <w:r w:rsidRPr="00AF5AB4">
              <w:rPr>
                <w:rFonts w:asciiTheme="minorHAnsi" w:hAnsiTheme="minorHAnsi" w:cstheme="minorHAnsi"/>
                <w:b/>
                <w:color w:val="auto"/>
                <w:sz w:val="24"/>
                <w:szCs w:val="24"/>
              </w:rPr>
              <w:t>100%</w:t>
            </w:r>
          </w:p>
        </w:tc>
      </w:tr>
    </w:tbl>
    <w:p w:rsidR="00F63FBB" w:rsidRPr="00CA47B9" w:rsidRDefault="00F63FBB" w:rsidP="005D5606">
      <w:pPr>
        <w:pStyle w:val="11Bodytext"/>
        <w:numPr>
          <w:ilvl w:val="0"/>
          <w:numId w:val="0"/>
        </w:numPr>
        <w:spacing w:before="0" w:after="0" w:line="240" w:lineRule="auto"/>
      </w:pPr>
      <w:r w:rsidRPr="00CA47B9">
        <w:t>Source: Chichester District Council, 2017</w:t>
      </w:r>
    </w:p>
    <w:p w:rsidR="00DC3151" w:rsidRDefault="00DC3151" w:rsidP="00AF0118">
      <w:pPr>
        <w:pStyle w:val="11Bodytext"/>
        <w:tabs>
          <w:tab w:val="clear" w:pos="2212"/>
        </w:tabs>
        <w:ind w:left="567" w:hanging="567"/>
      </w:pPr>
      <w:r>
        <w:t xml:space="preserve">In terms of estimating demand for self-build plots over the plan period, while presenting a snapshot of current demand, the self-build register does not provide enough data to forecast demand figure for plots over the plan period. </w:t>
      </w:r>
    </w:p>
    <w:p w:rsidR="00DC3151" w:rsidRDefault="00DC3151" w:rsidP="00AF0118">
      <w:pPr>
        <w:pStyle w:val="11Bodytext"/>
        <w:tabs>
          <w:tab w:val="clear" w:pos="2212"/>
        </w:tabs>
        <w:ind w:left="567" w:hanging="567"/>
      </w:pPr>
      <w:r>
        <w:t>Whilst</w:t>
      </w:r>
      <w:r w:rsidR="00855CA6">
        <w:t>,</w:t>
      </w:r>
      <w:r>
        <w:t xml:space="preserve"> in theory, it would be possible to apply the annual growth rate from past registers to the remaining plan period, this would result in a very substantial estimate of demand, one that is unlikely to be </w:t>
      </w:r>
      <w:r w:rsidR="00855CA6">
        <w:t xml:space="preserve">the </w:t>
      </w:r>
      <w:r>
        <w:t xml:space="preserve">reality. </w:t>
      </w:r>
    </w:p>
    <w:p w:rsidR="00DC3151" w:rsidRDefault="00DC3151" w:rsidP="00AF0118">
      <w:pPr>
        <w:pStyle w:val="11Bodytext"/>
        <w:tabs>
          <w:tab w:val="clear" w:pos="2212"/>
        </w:tabs>
        <w:ind w:left="567" w:hanging="567"/>
      </w:pPr>
      <w:r>
        <w:t xml:space="preserve">By law, the Council must address </w:t>
      </w:r>
      <w:r w:rsidR="00855CA6">
        <w:t xml:space="preserve">the </w:t>
      </w:r>
      <w:r>
        <w:t>demand for self-build and custom-build as per the 66 individuals on the registry. Therefore, the Council should support this level of provision. However, this is likely to be an under-estimate given that it satisfies current need only and does not allow for any additional need emerging over the plan period.</w:t>
      </w:r>
      <w:r w:rsidR="00855CA6">
        <w:t xml:space="preserve"> </w:t>
      </w:r>
      <w:r w:rsidR="00382A54">
        <w:t xml:space="preserve"> That said it is possible that it over-estimates need as many on the register maybe on the register of multiple local authorities to maximise their opportunity.</w:t>
      </w:r>
    </w:p>
    <w:p w:rsidR="00DC3151" w:rsidRDefault="00DC3151" w:rsidP="00AF0118">
      <w:pPr>
        <w:pStyle w:val="11Bodytext"/>
        <w:tabs>
          <w:tab w:val="clear" w:pos="2212"/>
        </w:tabs>
        <w:ind w:left="567" w:hanging="567"/>
      </w:pPr>
      <w:r>
        <w:t xml:space="preserve">In developing policy, the need should take into account the nature of the settlement landscape and availability of plots for self-build and custom-build development. </w:t>
      </w:r>
    </w:p>
    <w:p w:rsidR="00F63FBB" w:rsidRPr="00CA47B9" w:rsidRDefault="00C32957" w:rsidP="00AF0118">
      <w:pPr>
        <w:pStyle w:val="11Bodytext"/>
        <w:tabs>
          <w:tab w:val="clear" w:pos="2212"/>
        </w:tabs>
        <w:ind w:left="567" w:hanging="567"/>
      </w:pPr>
      <w:r>
        <w:t>With reference to Table 4</w:t>
      </w:r>
      <w:r w:rsidR="00AC6424">
        <w:t>7</w:t>
      </w:r>
      <w:r>
        <w:t>, a</w:t>
      </w:r>
      <w:r w:rsidR="00F63FBB" w:rsidRPr="00CA47B9">
        <w:t xml:space="preserve"> small proportion of local respondents were seeking to self-build (22%). The majority, 78%, envisaged a custom build project.</w:t>
      </w:r>
    </w:p>
    <w:p w:rsidR="00F63FBB" w:rsidRPr="00CA47B9" w:rsidRDefault="00F63FBB" w:rsidP="005D5606">
      <w:pPr>
        <w:pStyle w:val="Tableheading"/>
        <w:tabs>
          <w:tab w:val="clear" w:pos="794"/>
          <w:tab w:val="clear" w:pos="1843"/>
          <w:tab w:val="left" w:pos="0"/>
        </w:tabs>
        <w:spacing w:line="240" w:lineRule="auto"/>
        <w:ind w:left="0" w:firstLine="0"/>
      </w:pPr>
      <w:r w:rsidRPr="00CA47B9">
        <w:lastRenderedPageBreak/>
        <w:t xml:space="preserve">Self </w:t>
      </w:r>
      <w:r w:rsidR="00AF5AB4">
        <w:t>&amp;</w:t>
      </w:r>
      <w:r w:rsidRPr="00CA47B9">
        <w:t xml:space="preserve"> Custom Build by Build Type (2017) – Chichester District</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47: Self &amp; Custom Build by Build Type (2017) – Chichester District"/>
      </w:tblPr>
      <w:tblGrid>
        <w:gridCol w:w="5308"/>
        <w:gridCol w:w="2215"/>
        <w:gridCol w:w="2115"/>
      </w:tblGrid>
      <w:tr w:rsidR="00F63FBB" w:rsidRPr="00AF5AB4" w:rsidTr="005D5606">
        <w:trPr>
          <w:tblHeader/>
        </w:trPr>
        <w:tc>
          <w:tcPr>
            <w:tcW w:w="2754" w:type="pct"/>
            <w:shd w:val="clear" w:color="auto" w:fill="0093D5" w:themeFill="accent2"/>
            <w:vAlign w:val="bottom"/>
            <w:hideMark/>
          </w:tcPr>
          <w:p w:rsidR="00F63FBB" w:rsidRPr="00AF5AB4" w:rsidRDefault="00F63FBB" w:rsidP="00AF5AB4">
            <w:pPr>
              <w:keepNext/>
              <w:rPr>
                <w:rFonts w:asciiTheme="minorHAnsi" w:hAnsiTheme="minorHAnsi" w:cstheme="minorHAnsi"/>
                <w:color w:val="FFFFFF" w:themeColor="background1"/>
                <w:sz w:val="24"/>
                <w:szCs w:val="28"/>
                <w:lang w:eastAsia="en-US"/>
              </w:rPr>
            </w:pPr>
          </w:p>
        </w:tc>
        <w:tc>
          <w:tcPr>
            <w:tcW w:w="1149" w:type="pct"/>
            <w:shd w:val="clear" w:color="auto" w:fill="0093D5" w:themeFill="accent2"/>
            <w:noWrap/>
            <w:vAlign w:val="bottom"/>
            <w:hideMark/>
          </w:tcPr>
          <w:p w:rsidR="00F63FBB" w:rsidRPr="00AF5AB4" w:rsidRDefault="00F63FBB" w:rsidP="00AF5AB4">
            <w:pPr>
              <w:keepNext/>
              <w:jc w:val="center"/>
              <w:rPr>
                <w:rFonts w:asciiTheme="minorHAnsi" w:hAnsiTheme="minorHAnsi" w:cstheme="minorHAnsi"/>
                <w:color w:val="FFFFFF" w:themeColor="background1"/>
                <w:sz w:val="24"/>
                <w:szCs w:val="28"/>
              </w:rPr>
            </w:pPr>
            <w:r w:rsidRPr="00AF5AB4">
              <w:rPr>
                <w:rFonts w:asciiTheme="minorHAnsi" w:hAnsiTheme="minorHAnsi" w:cstheme="minorHAnsi"/>
                <w:color w:val="FFFFFF" w:themeColor="background1"/>
                <w:sz w:val="24"/>
                <w:szCs w:val="28"/>
              </w:rPr>
              <w:t>Local</w:t>
            </w:r>
          </w:p>
        </w:tc>
        <w:tc>
          <w:tcPr>
            <w:tcW w:w="1097" w:type="pct"/>
            <w:shd w:val="clear" w:color="auto" w:fill="0093D5" w:themeFill="accent2"/>
            <w:noWrap/>
            <w:vAlign w:val="bottom"/>
            <w:hideMark/>
          </w:tcPr>
          <w:p w:rsidR="00F63FBB" w:rsidRPr="00AF5AB4" w:rsidRDefault="00F63FBB" w:rsidP="00AF5AB4">
            <w:pPr>
              <w:keepNext/>
              <w:jc w:val="center"/>
              <w:rPr>
                <w:rFonts w:asciiTheme="minorHAnsi" w:hAnsiTheme="minorHAnsi" w:cstheme="minorHAnsi"/>
                <w:color w:val="FFFFFF" w:themeColor="background1"/>
                <w:sz w:val="24"/>
                <w:szCs w:val="28"/>
              </w:rPr>
            </w:pPr>
            <w:r w:rsidRPr="00AF5AB4">
              <w:rPr>
                <w:rFonts w:asciiTheme="minorHAnsi" w:hAnsiTheme="minorHAnsi" w:cstheme="minorHAnsi"/>
                <w:color w:val="FFFFFF" w:themeColor="background1"/>
                <w:sz w:val="24"/>
                <w:szCs w:val="28"/>
              </w:rPr>
              <w:t>Total %</w:t>
            </w:r>
          </w:p>
        </w:tc>
      </w:tr>
      <w:tr w:rsidR="00F63FBB" w:rsidRPr="00AF5AB4" w:rsidTr="005D5606">
        <w:tc>
          <w:tcPr>
            <w:tcW w:w="2754" w:type="pct"/>
            <w:vAlign w:val="center"/>
            <w:hideMark/>
          </w:tcPr>
          <w:p w:rsidR="00F63FBB" w:rsidRPr="00AF5AB4" w:rsidRDefault="00F63FBB" w:rsidP="00AF5AB4">
            <w:pPr>
              <w:keepNext/>
              <w:rPr>
                <w:rFonts w:asciiTheme="minorHAnsi" w:hAnsiTheme="minorHAnsi" w:cstheme="minorHAnsi"/>
                <w:color w:val="auto"/>
                <w:sz w:val="24"/>
                <w:szCs w:val="28"/>
              </w:rPr>
            </w:pPr>
            <w:r w:rsidRPr="00AF5AB4">
              <w:rPr>
                <w:rFonts w:asciiTheme="minorHAnsi" w:hAnsiTheme="minorHAnsi" w:cstheme="minorHAnsi"/>
                <w:color w:val="auto"/>
                <w:sz w:val="24"/>
                <w:szCs w:val="28"/>
              </w:rPr>
              <w:t>Do work themselves</w:t>
            </w:r>
          </w:p>
        </w:tc>
        <w:tc>
          <w:tcPr>
            <w:tcW w:w="1149" w:type="pct"/>
            <w:noWrap/>
            <w:vAlign w:val="bottom"/>
            <w:hideMark/>
          </w:tcPr>
          <w:p w:rsidR="00F63FBB" w:rsidRPr="00AF5AB4" w:rsidRDefault="00F63FBB" w:rsidP="00AF5AB4">
            <w:pPr>
              <w:keepNext/>
              <w:jc w:val="center"/>
              <w:rPr>
                <w:rFonts w:asciiTheme="minorHAnsi" w:hAnsiTheme="minorHAnsi" w:cstheme="minorHAnsi"/>
                <w:color w:val="auto"/>
                <w:sz w:val="24"/>
                <w:szCs w:val="28"/>
              </w:rPr>
            </w:pPr>
            <w:r w:rsidRPr="00AF5AB4">
              <w:rPr>
                <w:rFonts w:asciiTheme="minorHAnsi" w:hAnsiTheme="minorHAnsi" w:cstheme="minorHAnsi"/>
                <w:color w:val="auto"/>
                <w:sz w:val="24"/>
                <w:szCs w:val="28"/>
              </w:rPr>
              <w:t>6</w:t>
            </w:r>
          </w:p>
        </w:tc>
        <w:tc>
          <w:tcPr>
            <w:tcW w:w="1097" w:type="pct"/>
            <w:noWrap/>
            <w:vAlign w:val="center"/>
            <w:hideMark/>
          </w:tcPr>
          <w:p w:rsidR="00F63FBB" w:rsidRPr="00AF5AB4" w:rsidRDefault="00F63FBB" w:rsidP="00AF5AB4">
            <w:pPr>
              <w:keepNext/>
              <w:jc w:val="center"/>
              <w:rPr>
                <w:color w:val="auto"/>
                <w:sz w:val="24"/>
                <w:szCs w:val="28"/>
              </w:rPr>
            </w:pPr>
            <w:r w:rsidRPr="00AF5AB4">
              <w:rPr>
                <w:color w:val="auto"/>
                <w:sz w:val="24"/>
                <w:szCs w:val="28"/>
              </w:rPr>
              <w:t>22%</w:t>
            </w:r>
          </w:p>
        </w:tc>
      </w:tr>
      <w:tr w:rsidR="00F63FBB" w:rsidRPr="00AF5AB4" w:rsidTr="005D5606">
        <w:tc>
          <w:tcPr>
            <w:tcW w:w="2754" w:type="pct"/>
            <w:vAlign w:val="center"/>
            <w:hideMark/>
          </w:tcPr>
          <w:p w:rsidR="00F63FBB" w:rsidRPr="00AF5AB4" w:rsidRDefault="00F63FBB" w:rsidP="00AF5AB4">
            <w:pPr>
              <w:keepNext/>
              <w:rPr>
                <w:rFonts w:asciiTheme="minorHAnsi" w:hAnsiTheme="minorHAnsi" w:cstheme="minorHAnsi"/>
                <w:color w:val="auto"/>
                <w:sz w:val="24"/>
                <w:szCs w:val="28"/>
              </w:rPr>
            </w:pPr>
            <w:r w:rsidRPr="00AF5AB4">
              <w:rPr>
                <w:rFonts w:asciiTheme="minorHAnsi" w:hAnsiTheme="minorHAnsi" w:cstheme="minorHAnsi"/>
                <w:color w:val="auto"/>
                <w:sz w:val="24"/>
                <w:szCs w:val="28"/>
              </w:rPr>
              <w:t>Employ someone else</w:t>
            </w:r>
          </w:p>
        </w:tc>
        <w:tc>
          <w:tcPr>
            <w:tcW w:w="1149" w:type="pct"/>
            <w:noWrap/>
            <w:vAlign w:val="center"/>
            <w:hideMark/>
          </w:tcPr>
          <w:p w:rsidR="00F63FBB" w:rsidRPr="00AF5AB4" w:rsidRDefault="00F63FBB" w:rsidP="00AF5AB4">
            <w:pPr>
              <w:keepNext/>
              <w:jc w:val="center"/>
              <w:rPr>
                <w:rFonts w:asciiTheme="minorHAnsi" w:hAnsiTheme="minorHAnsi" w:cstheme="minorHAnsi"/>
                <w:color w:val="auto"/>
                <w:sz w:val="24"/>
                <w:szCs w:val="28"/>
              </w:rPr>
            </w:pPr>
            <w:r w:rsidRPr="00AF5AB4">
              <w:rPr>
                <w:rFonts w:asciiTheme="minorHAnsi" w:hAnsiTheme="minorHAnsi" w:cstheme="minorHAnsi"/>
                <w:color w:val="auto"/>
                <w:sz w:val="24"/>
                <w:szCs w:val="28"/>
              </w:rPr>
              <w:t>21</w:t>
            </w:r>
          </w:p>
        </w:tc>
        <w:tc>
          <w:tcPr>
            <w:tcW w:w="1097" w:type="pct"/>
            <w:noWrap/>
            <w:vAlign w:val="center"/>
            <w:hideMark/>
          </w:tcPr>
          <w:p w:rsidR="00F63FBB" w:rsidRPr="00AF5AB4" w:rsidRDefault="00F63FBB" w:rsidP="00AF5AB4">
            <w:pPr>
              <w:keepNext/>
              <w:jc w:val="center"/>
              <w:rPr>
                <w:color w:val="auto"/>
                <w:sz w:val="24"/>
                <w:szCs w:val="28"/>
              </w:rPr>
            </w:pPr>
            <w:r w:rsidRPr="00AF5AB4">
              <w:rPr>
                <w:color w:val="auto"/>
                <w:sz w:val="24"/>
                <w:szCs w:val="28"/>
              </w:rPr>
              <w:t>78%</w:t>
            </w:r>
          </w:p>
        </w:tc>
      </w:tr>
      <w:tr w:rsidR="00F63FBB" w:rsidRPr="00AF5AB4" w:rsidTr="005D5606">
        <w:tc>
          <w:tcPr>
            <w:tcW w:w="2754" w:type="pct"/>
            <w:vAlign w:val="center"/>
            <w:hideMark/>
          </w:tcPr>
          <w:p w:rsidR="00F63FBB" w:rsidRPr="00AF5AB4" w:rsidRDefault="00F63FBB" w:rsidP="00AF5AB4">
            <w:pPr>
              <w:keepNext/>
              <w:rPr>
                <w:rFonts w:asciiTheme="minorHAnsi" w:hAnsiTheme="minorHAnsi" w:cstheme="minorHAnsi"/>
                <w:color w:val="auto"/>
                <w:sz w:val="24"/>
                <w:szCs w:val="28"/>
              </w:rPr>
            </w:pPr>
            <w:r w:rsidRPr="00AF5AB4">
              <w:rPr>
                <w:rFonts w:asciiTheme="minorHAnsi" w:hAnsiTheme="minorHAnsi" w:cstheme="minorHAnsi"/>
                <w:color w:val="auto"/>
                <w:sz w:val="24"/>
                <w:szCs w:val="28"/>
              </w:rPr>
              <w:t>Want individual (not group) build</w:t>
            </w:r>
          </w:p>
        </w:tc>
        <w:tc>
          <w:tcPr>
            <w:tcW w:w="1149" w:type="pct"/>
            <w:noWrap/>
            <w:vAlign w:val="center"/>
            <w:hideMark/>
          </w:tcPr>
          <w:p w:rsidR="00F63FBB" w:rsidRPr="00AF5AB4" w:rsidRDefault="00F63FBB" w:rsidP="00AF5AB4">
            <w:pPr>
              <w:keepNext/>
              <w:jc w:val="center"/>
              <w:rPr>
                <w:rFonts w:asciiTheme="minorHAnsi" w:hAnsiTheme="minorHAnsi" w:cstheme="minorHAnsi"/>
                <w:color w:val="auto"/>
                <w:sz w:val="24"/>
                <w:szCs w:val="28"/>
              </w:rPr>
            </w:pPr>
            <w:r w:rsidRPr="00AF5AB4">
              <w:rPr>
                <w:rFonts w:asciiTheme="minorHAnsi" w:hAnsiTheme="minorHAnsi" w:cstheme="minorHAnsi"/>
                <w:color w:val="auto"/>
                <w:sz w:val="24"/>
                <w:szCs w:val="28"/>
              </w:rPr>
              <w:t>27</w:t>
            </w:r>
          </w:p>
        </w:tc>
        <w:tc>
          <w:tcPr>
            <w:tcW w:w="1097" w:type="pct"/>
            <w:noWrap/>
            <w:vAlign w:val="center"/>
            <w:hideMark/>
          </w:tcPr>
          <w:p w:rsidR="00F63FBB" w:rsidRPr="00AF5AB4" w:rsidRDefault="00F63FBB" w:rsidP="00AF5AB4">
            <w:pPr>
              <w:keepNext/>
              <w:jc w:val="center"/>
              <w:rPr>
                <w:color w:val="auto"/>
                <w:sz w:val="24"/>
                <w:szCs w:val="28"/>
              </w:rPr>
            </w:pPr>
            <w:r w:rsidRPr="00AF5AB4">
              <w:rPr>
                <w:color w:val="auto"/>
                <w:sz w:val="24"/>
                <w:szCs w:val="28"/>
              </w:rPr>
              <w:t>100%</w:t>
            </w:r>
          </w:p>
        </w:tc>
      </w:tr>
    </w:tbl>
    <w:p w:rsidR="00F63FBB" w:rsidRPr="00CA47B9" w:rsidRDefault="00F63FBB" w:rsidP="005D5606">
      <w:pPr>
        <w:pStyle w:val="11Bodytext"/>
        <w:numPr>
          <w:ilvl w:val="0"/>
          <w:numId w:val="0"/>
        </w:numPr>
        <w:spacing w:before="0" w:after="0" w:line="240" w:lineRule="auto"/>
      </w:pPr>
      <w:r w:rsidRPr="00CA47B9">
        <w:t>Source: Chichester District Council, 2017</w:t>
      </w:r>
    </w:p>
    <w:p w:rsidR="00F63FBB" w:rsidRPr="00CA47B9" w:rsidRDefault="00F63FBB" w:rsidP="00AF0118">
      <w:pPr>
        <w:pStyle w:val="11Bodytext"/>
        <w:tabs>
          <w:tab w:val="clear" w:pos="2212"/>
        </w:tabs>
        <w:ind w:left="567" w:hanging="567"/>
      </w:pPr>
      <w:r w:rsidRPr="00CA47B9">
        <w:t xml:space="preserve">As shown in Table </w:t>
      </w:r>
      <w:r w:rsidR="00BE66A2">
        <w:t>4</w:t>
      </w:r>
      <w:r w:rsidR="00AC6424">
        <w:t>8</w:t>
      </w:r>
      <w:r w:rsidRPr="00CA47B9">
        <w:t xml:space="preserve"> around 48% of local respondents were seeking to build a 3-bedroom home which is the largest group. Around 20% were seeking to build a 4-bedroom home. Only around 7% were looking to build smaller homes of one or two bedrooms. All were seeking to build a detached house or bungalow. </w:t>
      </w:r>
    </w:p>
    <w:p w:rsidR="00F63FBB" w:rsidRPr="00CA47B9" w:rsidRDefault="00F63FBB" w:rsidP="005D5606">
      <w:pPr>
        <w:pStyle w:val="Tableheading"/>
        <w:tabs>
          <w:tab w:val="clear" w:pos="794"/>
          <w:tab w:val="clear" w:pos="1843"/>
          <w:tab w:val="left" w:pos="0"/>
        </w:tabs>
        <w:spacing w:line="240" w:lineRule="auto"/>
        <w:ind w:left="0" w:firstLine="0"/>
      </w:pPr>
      <w:r w:rsidRPr="00CA47B9">
        <w:t xml:space="preserve">Self </w:t>
      </w:r>
      <w:r w:rsidR="00AF5AB4">
        <w:t xml:space="preserve">+ </w:t>
      </w:r>
      <w:r w:rsidRPr="00CA47B9">
        <w:t>Custom Build by Bedrooms (2017) – Chichester District</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48: Self + Custom Build by Bedrooms (2017) – Chichester District"/>
      </w:tblPr>
      <w:tblGrid>
        <w:gridCol w:w="4190"/>
        <w:gridCol w:w="2776"/>
        <w:gridCol w:w="2672"/>
      </w:tblGrid>
      <w:tr w:rsidR="00F63FBB" w:rsidRPr="00AF5AB4" w:rsidTr="005D5606">
        <w:trPr>
          <w:tblHeader/>
        </w:trPr>
        <w:tc>
          <w:tcPr>
            <w:tcW w:w="2174" w:type="pct"/>
            <w:shd w:val="clear" w:color="auto" w:fill="0093D5" w:themeFill="accent2"/>
            <w:vAlign w:val="bottom"/>
            <w:hideMark/>
          </w:tcPr>
          <w:p w:rsidR="00F63FBB" w:rsidRPr="00AF5AB4" w:rsidRDefault="00F63FBB" w:rsidP="00AF5AB4">
            <w:pPr>
              <w:keepNext/>
              <w:rPr>
                <w:rFonts w:asciiTheme="minorHAnsi" w:hAnsiTheme="minorHAnsi" w:cstheme="minorHAnsi"/>
                <w:color w:val="FFFFFF" w:themeColor="background1"/>
                <w:sz w:val="24"/>
                <w:szCs w:val="28"/>
              </w:rPr>
            </w:pPr>
            <w:r w:rsidRPr="00AF5AB4">
              <w:rPr>
                <w:rFonts w:asciiTheme="minorHAnsi" w:hAnsiTheme="minorHAnsi" w:cstheme="minorHAnsi"/>
                <w:color w:val="FFFFFF" w:themeColor="background1"/>
                <w:sz w:val="24"/>
                <w:szCs w:val="28"/>
              </w:rPr>
              <w:t>Want:</w:t>
            </w:r>
          </w:p>
        </w:tc>
        <w:tc>
          <w:tcPr>
            <w:tcW w:w="1440" w:type="pct"/>
            <w:shd w:val="clear" w:color="auto" w:fill="0093D5" w:themeFill="accent2"/>
            <w:noWrap/>
            <w:vAlign w:val="bottom"/>
            <w:hideMark/>
          </w:tcPr>
          <w:p w:rsidR="00F63FBB" w:rsidRPr="00AF5AB4" w:rsidRDefault="00F63FBB" w:rsidP="00AF5AB4">
            <w:pPr>
              <w:keepNext/>
              <w:contextualSpacing/>
              <w:jc w:val="center"/>
              <w:rPr>
                <w:rFonts w:asciiTheme="minorHAnsi" w:hAnsiTheme="minorHAnsi" w:cstheme="minorHAnsi"/>
                <w:color w:val="FFFFFF" w:themeColor="background1"/>
                <w:sz w:val="24"/>
                <w:szCs w:val="28"/>
              </w:rPr>
            </w:pPr>
            <w:r w:rsidRPr="00AF5AB4">
              <w:rPr>
                <w:rFonts w:asciiTheme="minorHAnsi" w:hAnsiTheme="minorHAnsi" w:cstheme="minorHAnsi"/>
                <w:color w:val="FFFFFF" w:themeColor="background1"/>
                <w:sz w:val="24"/>
                <w:szCs w:val="28"/>
              </w:rPr>
              <w:t>Local</w:t>
            </w:r>
          </w:p>
        </w:tc>
        <w:tc>
          <w:tcPr>
            <w:tcW w:w="1386" w:type="pct"/>
            <w:shd w:val="clear" w:color="auto" w:fill="0093D5" w:themeFill="accent2"/>
            <w:noWrap/>
            <w:vAlign w:val="bottom"/>
            <w:hideMark/>
          </w:tcPr>
          <w:p w:rsidR="00F63FBB" w:rsidRPr="00AF5AB4" w:rsidRDefault="00F63FBB" w:rsidP="00AF5AB4">
            <w:pPr>
              <w:keepNext/>
              <w:contextualSpacing/>
              <w:jc w:val="center"/>
              <w:rPr>
                <w:rFonts w:asciiTheme="minorHAnsi" w:hAnsiTheme="minorHAnsi" w:cstheme="minorHAnsi"/>
                <w:color w:val="FFFFFF" w:themeColor="background1"/>
                <w:sz w:val="24"/>
                <w:szCs w:val="28"/>
              </w:rPr>
            </w:pPr>
            <w:r w:rsidRPr="00AF5AB4">
              <w:rPr>
                <w:rFonts w:asciiTheme="minorHAnsi" w:hAnsiTheme="minorHAnsi" w:cstheme="minorHAnsi"/>
                <w:color w:val="FFFFFF" w:themeColor="background1"/>
                <w:sz w:val="24"/>
                <w:szCs w:val="28"/>
              </w:rPr>
              <w:t>Total %</w:t>
            </w:r>
          </w:p>
        </w:tc>
      </w:tr>
      <w:tr w:rsidR="00F63FBB" w:rsidRPr="00AF5AB4" w:rsidTr="005D5606">
        <w:tc>
          <w:tcPr>
            <w:tcW w:w="2174" w:type="pct"/>
            <w:vAlign w:val="bottom"/>
            <w:hideMark/>
          </w:tcPr>
          <w:p w:rsidR="00F63FBB" w:rsidRPr="00AF5AB4" w:rsidRDefault="00F63FBB" w:rsidP="00AF5AB4">
            <w:pPr>
              <w:keepNext/>
              <w:rPr>
                <w:rFonts w:asciiTheme="minorHAnsi" w:hAnsiTheme="minorHAnsi" w:cstheme="minorHAnsi"/>
                <w:bCs/>
                <w:color w:val="auto"/>
                <w:sz w:val="24"/>
                <w:szCs w:val="28"/>
              </w:rPr>
            </w:pPr>
            <w:r w:rsidRPr="00AF5AB4">
              <w:rPr>
                <w:rFonts w:asciiTheme="minorHAnsi" w:hAnsiTheme="minorHAnsi" w:cstheme="minorHAnsi"/>
                <w:bCs/>
                <w:color w:val="auto"/>
                <w:sz w:val="24"/>
                <w:szCs w:val="28"/>
              </w:rPr>
              <w:t>1 bedroom</w:t>
            </w:r>
          </w:p>
        </w:tc>
        <w:tc>
          <w:tcPr>
            <w:tcW w:w="1440" w:type="pct"/>
            <w:noWrap/>
            <w:vAlign w:val="bottom"/>
            <w:hideMark/>
          </w:tcPr>
          <w:p w:rsidR="00F63FBB" w:rsidRPr="00AF5AB4" w:rsidRDefault="00F63FBB" w:rsidP="00AF5AB4">
            <w:pPr>
              <w:keepNext/>
              <w:jc w:val="center"/>
              <w:rPr>
                <w:rFonts w:asciiTheme="minorHAnsi" w:hAnsiTheme="minorHAnsi" w:cstheme="minorHAnsi"/>
                <w:bCs/>
                <w:color w:val="auto"/>
                <w:sz w:val="24"/>
                <w:szCs w:val="28"/>
              </w:rPr>
            </w:pPr>
            <w:r w:rsidRPr="00AF5AB4">
              <w:rPr>
                <w:rFonts w:asciiTheme="minorHAnsi" w:hAnsiTheme="minorHAnsi" w:cstheme="minorHAnsi"/>
                <w:bCs/>
                <w:color w:val="auto"/>
                <w:sz w:val="24"/>
                <w:szCs w:val="28"/>
              </w:rPr>
              <w:t>0</w:t>
            </w:r>
          </w:p>
        </w:tc>
        <w:tc>
          <w:tcPr>
            <w:tcW w:w="1386" w:type="pct"/>
            <w:noWrap/>
            <w:vAlign w:val="center"/>
            <w:hideMark/>
          </w:tcPr>
          <w:p w:rsidR="00F63FBB" w:rsidRPr="00AF5AB4" w:rsidRDefault="00F63FBB" w:rsidP="00AF5AB4">
            <w:pPr>
              <w:keepNext/>
              <w:jc w:val="center"/>
              <w:rPr>
                <w:color w:val="auto"/>
                <w:sz w:val="24"/>
                <w:szCs w:val="28"/>
              </w:rPr>
            </w:pPr>
            <w:r w:rsidRPr="00AF5AB4">
              <w:rPr>
                <w:color w:val="auto"/>
                <w:sz w:val="24"/>
                <w:szCs w:val="28"/>
              </w:rPr>
              <w:t>0%</w:t>
            </w:r>
          </w:p>
        </w:tc>
      </w:tr>
      <w:tr w:rsidR="00F63FBB" w:rsidRPr="00AF5AB4" w:rsidTr="005D5606">
        <w:tc>
          <w:tcPr>
            <w:tcW w:w="2174" w:type="pct"/>
            <w:vAlign w:val="bottom"/>
            <w:hideMark/>
          </w:tcPr>
          <w:p w:rsidR="00F63FBB" w:rsidRPr="00AF5AB4" w:rsidRDefault="00F63FBB" w:rsidP="00AF5AB4">
            <w:pPr>
              <w:keepNext/>
              <w:contextualSpacing/>
              <w:rPr>
                <w:rFonts w:asciiTheme="minorHAnsi" w:hAnsiTheme="minorHAnsi" w:cstheme="minorHAnsi"/>
                <w:bCs/>
                <w:color w:val="auto"/>
                <w:sz w:val="24"/>
                <w:szCs w:val="28"/>
              </w:rPr>
            </w:pPr>
            <w:r w:rsidRPr="00AF5AB4">
              <w:rPr>
                <w:rFonts w:asciiTheme="minorHAnsi" w:hAnsiTheme="minorHAnsi" w:cstheme="minorHAnsi"/>
                <w:bCs/>
                <w:color w:val="auto"/>
                <w:sz w:val="24"/>
                <w:szCs w:val="28"/>
              </w:rPr>
              <w:t>2 bedrooms</w:t>
            </w:r>
          </w:p>
        </w:tc>
        <w:tc>
          <w:tcPr>
            <w:tcW w:w="1440" w:type="pct"/>
            <w:noWrap/>
            <w:vAlign w:val="bottom"/>
            <w:hideMark/>
          </w:tcPr>
          <w:p w:rsidR="00F63FBB" w:rsidRPr="00AF5AB4" w:rsidRDefault="00F63FBB" w:rsidP="00AF5AB4">
            <w:pPr>
              <w:jc w:val="center"/>
              <w:rPr>
                <w:rFonts w:asciiTheme="minorHAnsi" w:hAnsiTheme="minorHAnsi" w:cstheme="minorHAnsi"/>
                <w:bCs/>
                <w:color w:val="auto"/>
                <w:sz w:val="24"/>
                <w:szCs w:val="28"/>
              </w:rPr>
            </w:pPr>
            <w:r w:rsidRPr="00AF5AB4">
              <w:rPr>
                <w:rFonts w:asciiTheme="minorHAnsi" w:hAnsiTheme="minorHAnsi" w:cstheme="minorHAnsi"/>
                <w:bCs/>
                <w:color w:val="auto"/>
                <w:sz w:val="24"/>
                <w:szCs w:val="28"/>
              </w:rPr>
              <w:t>2</w:t>
            </w:r>
          </w:p>
        </w:tc>
        <w:tc>
          <w:tcPr>
            <w:tcW w:w="1386" w:type="pct"/>
            <w:noWrap/>
            <w:vAlign w:val="center"/>
            <w:hideMark/>
          </w:tcPr>
          <w:p w:rsidR="00F63FBB" w:rsidRPr="00AF5AB4" w:rsidRDefault="00F63FBB" w:rsidP="00AF5AB4">
            <w:pPr>
              <w:jc w:val="center"/>
              <w:rPr>
                <w:color w:val="auto"/>
                <w:sz w:val="24"/>
                <w:szCs w:val="28"/>
              </w:rPr>
            </w:pPr>
            <w:r w:rsidRPr="00AF5AB4">
              <w:rPr>
                <w:color w:val="auto"/>
                <w:sz w:val="24"/>
                <w:szCs w:val="28"/>
              </w:rPr>
              <w:t>7%</w:t>
            </w:r>
          </w:p>
        </w:tc>
      </w:tr>
      <w:tr w:rsidR="00F63FBB" w:rsidRPr="00AF5AB4" w:rsidTr="005D5606">
        <w:tc>
          <w:tcPr>
            <w:tcW w:w="2174" w:type="pct"/>
            <w:vAlign w:val="bottom"/>
            <w:hideMark/>
          </w:tcPr>
          <w:p w:rsidR="00F63FBB" w:rsidRPr="00AF5AB4" w:rsidRDefault="00F63FBB" w:rsidP="00AF5AB4">
            <w:pPr>
              <w:keepNext/>
              <w:contextualSpacing/>
              <w:rPr>
                <w:rFonts w:asciiTheme="minorHAnsi" w:hAnsiTheme="minorHAnsi" w:cstheme="minorHAnsi"/>
                <w:bCs/>
                <w:color w:val="auto"/>
                <w:sz w:val="24"/>
                <w:szCs w:val="28"/>
              </w:rPr>
            </w:pPr>
            <w:r w:rsidRPr="00AF5AB4">
              <w:rPr>
                <w:rFonts w:asciiTheme="minorHAnsi" w:hAnsiTheme="minorHAnsi" w:cstheme="minorHAnsi"/>
                <w:bCs/>
                <w:color w:val="auto"/>
                <w:sz w:val="24"/>
                <w:szCs w:val="28"/>
              </w:rPr>
              <w:t xml:space="preserve">3 bedrooms </w:t>
            </w:r>
          </w:p>
        </w:tc>
        <w:tc>
          <w:tcPr>
            <w:tcW w:w="1440" w:type="pct"/>
            <w:noWrap/>
            <w:vAlign w:val="bottom"/>
            <w:hideMark/>
          </w:tcPr>
          <w:p w:rsidR="00F63FBB" w:rsidRPr="00AF5AB4" w:rsidRDefault="00F63FBB" w:rsidP="00AF5AB4">
            <w:pPr>
              <w:jc w:val="center"/>
              <w:rPr>
                <w:rFonts w:asciiTheme="minorHAnsi" w:hAnsiTheme="minorHAnsi" w:cstheme="minorHAnsi"/>
                <w:bCs/>
                <w:color w:val="auto"/>
                <w:sz w:val="24"/>
                <w:szCs w:val="28"/>
              </w:rPr>
            </w:pPr>
            <w:r w:rsidRPr="00AF5AB4">
              <w:rPr>
                <w:rFonts w:asciiTheme="minorHAnsi" w:hAnsiTheme="minorHAnsi" w:cstheme="minorHAnsi"/>
                <w:bCs/>
                <w:color w:val="auto"/>
                <w:sz w:val="24"/>
                <w:szCs w:val="28"/>
              </w:rPr>
              <w:t>13</w:t>
            </w:r>
          </w:p>
        </w:tc>
        <w:tc>
          <w:tcPr>
            <w:tcW w:w="1386" w:type="pct"/>
            <w:noWrap/>
            <w:vAlign w:val="center"/>
            <w:hideMark/>
          </w:tcPr>
          <w:p w:rsidR="00F63FBB" w:rsidRPr="00AF5AB4" w:rsidRDefault="00F63FBB" w:rsidP="00AF5AB4">
            <w:pPr>
              <w:jc w:val="center"/>
              <w:rPr>
                <w:color w:val="auto"/>
                <w:sz w:val="24"/>
                <w:szCs w:val="28"/>
              </w:rPr>
            </w:pPr>
            <w:r w:rsidRPr="00AF5AB4">
              <w:rPr>
                <w:color w:val="auto"/>
                <w:sz w:val="24"/>
                <w:szCs w:val="28"/>
              </w:rPr>
              <w:t>48%</w:t>
            </w:r>
          </w:p>
        </w:tc>
      </w:tr>
      <w:tr w:rsidR="00F63FBB" w:rsidRPr="00AF5AB4" w:rsidTr="005D5606">
        <w:tc>
          <w:tcPr>
            <w:tcW w:w="2174" w:type="pct"/>
            <w:vAlign w:val="bottom"/>
            <w:hideMark/>
          </w:tcPr>
          <w:p w:rsidR="00F63FBB" w:rsidRPr="00AF5AB4" w:rsidRDefault="00F63FBB" w:rsidP="00AF5AB4">
            <w:pPr>
              <w:keepNext/>
              <w:contextualSpacing/>
              <w:rPr>
                <w:rFonts w:asciiTheme="minorHAnsi" w:hAnsiTheme="minorHAnsi" w:cstheme="minorHAnsi"/>
                <w:bCs/>
                <w:color w:val="auto"/>
                <w:sz w:val="24"/>
                <w:szCs w:val="28"/>
              </w:rPr>
            </w:pPr>
            <w:r w:rsidRPr="00AF5AB4">
              <w:rPr>
                <w:rFonts w:asciiTheme="minorHAnsi" w:hAnsiTheme="minorHAnsi" w:cstheme="minorHAnsi"/>
                <w:bCs/>
                <w:color w:val="auto"/>
                <w:sz w:val="24"/>
                <w:szCs w:val="28"/>
              </w:rPr>
              <w:t>4 bedrooms</w:t>
            </w:r>
          </w:p>
        </w:tc>
        <w:tc>
          <w:tcPr>
            <w:tcW w:w="1440" w:type="pct"/>
            <w:noWrap/>
            <w:vAlign w:val="bottom"/>
            <w:hideMark/>
          </w:tcPr>
          <w:p w:rsidR="00F63FBB" w:rsidRPr="00AF5AB4" w:rsidRDefault="00F63FBB" w:rsidP="00AF5AB4">
            <w:pPr>
              <w:jc w:val="center"/>
              <w:rPr>
                <w:rFonts w:asciiTheme="minorHAnsi" w:hAnsiTheme="minorHAnsi" w:cstheme="minorHAnsi"/>
                <w:bCs/>
                <w:color w:val="auto"/>
                <w:sz w:val="24"/>
                <w:szCs w:val="28"/>
              </w:rPr>
            </w:pPr>
            <w:r w:rsidRPr="00AF5AB4">
              <w:rPr>
                <w:rFonts w:asciiTheme="minorHAnsi" w:hAnsiTheme="minorHAnsi" w:cstheme="minorHAnsi"/>
                <w:bCs/>
                <w:color w:val="auto"/>
                <w:sz w:val="24"/>
                <w:szCs w:val="28"/>
              </w:rPr>
              <w:t>6</w:t>
            </w:r>
          </w:p>
        </w:tc>
        <w:tc>
          <w:tcPr>
            <w:tcW w:w="1386" w:type="pct"/>
            <w:noWrap/>
            <w:vAlign w:val="center"/>
            <w:hideMark/>
          </w:tcPr>
          <w:p w:rsidR="00F63FBB" w:rsidRPr="00AF5AB4" w:rsidRDefault="00F63FBB" w:rsidP="00AF5AB4">
            <w:pPr>
              <w:jc w:val="center"/>
              <w:rPr>
                <w:color w:val="auto"/>
                <w:sz w:val="24"/>
                <w:szCs w:val="28"/>
              </w:rPr>
            </w:pPr>
            <w:r w:rsidRPr="00AF5AB4">
              <w:rPr>
                <w:color w:val="auto"/>
                <w:sz w:val="24"/>
                <w:szCs w:val="28"/>
              </w:rPr>
              <w:t>22%</w:t>
            </w:r>
          </w:p>
        </w:tc>
      </w:tr>
      <w:tr w:rsidR="00F63FBB" w:rsidRPr="00AF5AB4" w:rsidTr="005D5606">
        <w:tc>
          <w:tcPr>
            <w:tcW w:w="2174" w:type="pct"/>
            <w:vAlign w:val="bottom"/>
            <w:hideMark/>
          </w:tcPr>
          <w:p w:rsidR="00F63FBB" w:rsidRPr="00AF5AB4" w:rsidRDefault="00F63FBB" w:rsidP="00AF5AB4">
            <w:pPr>
              <w:keepNext/>
              <w:contextualSpacing/>
              <w:rPr>
                <w:rFonts w:asciiTheme="minorHAnsi" w:hAnsiTheme="minorHAnsi" w:cstheme="minorHAnsi"/>
                <w:bCs/>
                <w:color w:val="auto"/>
                <w:sz w:val="24"/>
                <w:szCs w:val="28"/>
              </w:rPr>
            </w:pPr>
            <w:r w:rsidRPr="00AF5AB4">
              <w:rPr>
                <w:rFonts w:asciiTheme="minorHAnsi" w:hAnsiTheme="minorHAnsi" w:cstheme="minorHAnsi"/>
                <w:bCs/>
                <w:color w:val="auto"/>
                <w:sz w:val="24"/>
                <w:szCs w:val="28"/>
              </w:rPr>
              <w:t>5 bedrooms</w:t>
            </w:r>
          </w:p>
        </w:tc>
        <w:tc>
          <w:tcPr>
            <w:tcW w:w="1440" w:type="pct"/>
            <w:noWrap/>
            <w:vAlign w:val="bottom"/>
            <w:hideMark/>
          </w:tcPr>
          <w:p w:rsidR="00F63FBB" w:rsidRPr="00AF5AB4" w:rsidRDefault="00F63FBB" w:rsidP="00AF5AB4">
            <w:pPr>
              <w:jc w:val="center"/>
              <w:rPr>
                <w:rFonts w:asciiTheme="minorHAnsi" w:hAnsiTheme="minorHAnsi" w:cstheme="minorHAnsi"/>
                <w:bCs/>
                <w:color w:val="auto"/>
                <w:sz w:val="24"/>
                <w:szCs w:val="28"/>
              </w:rPr>
            </w:pPr>
            <w:r w:rsidRPr="00AF5AB4">
              <w:rPr>
                <w:rFonts w:asciiTheme="minorHAnsi" w:hAnsiTheme="minorHAnsi" w:cstheme="minorHAnsi"/>
                <w:bCs/>
                <w:color w:val="auto"/>
                <w:sz w:val="24"/>
                <w:szCs w:val="28"/>
              </w:rPr>
              <w:t>5</w:t>
            </w:r>
          </w:p>
        </w:tc>
        <w:tc>
          <w:tcPr>
            <w:tcW w:w="1386" w:type="pct"/>
            <w:noWrap/>
            <w:vAlign w:val="center"/>
            <w:hideMark/>
          </w:tcPr>
          <w:p w:rsidR="00F63FBB" w:rsidRPr="00AF5AB4" w:rsidRDefault="00F63FBB" w:rsidP="00AF5AB4">
            <w:pPr>
              <w:jc w:val="center"/>
              <w:rPr>
                <w:color w:val="auto"/>
                <w:sz w:val="24"/>
                <w:szCs w:val="28"/>
              </w:rPr>
            </w:pPr>
            <w:r w:rsidRPr="00AF5AB4">
              <w:rPr>
                <w:color w:val="auto"/>
                <w:sz w:val="24"/>
                <w:szCs w:val="28"/>
              </w:rPr>
              <w:t>19%</w:t>
            </w:r>
          </w:p>
        </w:tc>
      </w:tr>
      <w:tr w:rsidR="00F63FBB" w:rsidRPr="00AF5AB4" w:rsidTr="005D5606">
        <w:tc>
          <w:tcPr>
            <w:tcW w:w="2174" w:type="pct"/>
            <w:vAlign w:val="bottom"/>
            <w:hideMark/>
          </w:tcPr>
          <w:p w:rsidR="00F63FBB" w:rsidRPr="00AF5AB4" w:rsidRDefault="00F63FBB" w:rsidP="00AF5AB4">
            <w:pPr>
              <w:keepNext/>
              <w:contextualSpacing/>
              <w:rPr>
                <w:rFonts w:asciiTheme="minorHAnsi" w:hAnsiTheme="minorHAnsi" w:cstheme="minorHAnsi"/>
                <w:bCs/>
                <w:color w:val="auto"/>
                <w:sz w:val="24"/>
                <w:szCs w:val="28"/>
              </w:rPr>
            </w:pPr>
            <w:r w:rsidRPr="00AF5AB4">
              <w:rPr>
                <w:rFonts w:asciiTheme="minorHAnsi" w:hAnsiTheme="minorHAnsi" w:cstheme="minorHAnsi"/>
                <w:bCs/>
                <w:color w:val="auto"/>
                <w:sz w:val="24"/>
                <w:szCs w:val="28"/>
              </w:rPr>
              <w:t>6 bedrooms</w:t>
            </w:r>
          </w:p>
        </w:tc>
        <w:tc>
          <w:tcPr>
            <w:tcW w:w="1440" w:type="pct"/>
            <w:noWrap/>
            <w:vAlign w:val="bottom"/>
            <w:hideMark/>
          </w:tcPr>
          <w:p w:rsidR="00F63FBB" w:rsidRPr="00AF5AB4" w:rsidRDefault="00F63FBB" w:rsidP="00AF5AB4">
            <w:pPr>
              <w:jc w:val="center"/>
              <w:rPr>
                <w:rFonts w:asciiTheme="minorHAnsi" w:hAnsiTheme="minorHAnsi" w:cstheme="minorHAnsi"/>
                <w:bCs/>
                <w:color w:val="auto"/>
                <w:sz w:val="24"/>
                <w:szCs w:val="28"/>
              </w:rPr>
            </w:pPr>
            <w:r w:rsidRPr="00AF5AB4">
              <w:rPr>
                <w:rFonts w:asciiTheme="minorHAnsi" w:hAnsiTheme="minorHAnsi" w:cstheme="minorHAnsi"/>
                <w:bCs/>
                <w:color w:val="auto"/>
                <w:sz w:val="24"/>
                <w:szCs w:val="28"/>
              </w:rPr>
              <w:t>0</w:t>
            </w:r>
          </w:p>
        </w:tc>
        <w:tc>
          <w:tcPr>
            <w:tcW w:w="1386" w:type="pct"/>
            <w:noWrap/>
            <w:vAlign w:val="center"/>
            <w:hideMark/>
          </w:tcPr>
          <w:p w:rsidR="00F63FBB" w:rsidRPr="00AF5AB4" w:rsidRDefault="00F63FBB" w:rsidP="00AF5AB4">
            <w:pPr>
              <w:jc w:val="center"/>
              <w:rPr>
                <w:color w:val="auto"/>
                <w:sz w:val="24"/>
                <w:szCs w:val="28"/>
              </w:rPr>
            </w:pPr>
            <w:r w:rsidRPr="00AF5AB4">
              <w:rPr>
                <w:color w:val="auto"/>
                <w:sz w:val="24"/>
                <w:szCs w:val="28"/>
              </w:rPr>
              <w:t>0%</w:t>
            </w:r>
          </w:p>
        </w:tc>
      </w:tr>
      <w:tr w:rsidR="00F63FBB" w:rsidRPr="00AF5AB4" w:rsidTr="005D5606">
        <w:tc>
          <w:tcPr>
            <w:tcW w:w="2174" w:type="pct"/>
            <w:vAlign w:val="bottom"/>
            <w:hideMark/>
          </w:tcPr>
          <w:p w:rsidR="00F63FBB" w:rsidRPr="00AF5AB4" w:rsidRDefault="00F63FBB" w:rsidP="00AF5AB4">
            <w:pPr>
              <w:keepNext/>
              <w:contextualSpacing/>
              <w:rPr>
                <w:rFonts w:asciiTheme="minorHAnsi" w:hAnsiTheme="minorHAnsi" w:cstheme="minorHAnsi"/>
                <w:bCs/>
                <w:color w:val="auto"/>
                <w:sz w:val="24"/>
                <w:szCs w:val="28"/>
              </w:rPr>
            </w:pPr>
            <w:r w:rsidRPr="00AF5AB4">
              <w:rPr>
                <w:rFonts w:asciiTheme="minorHAnsi" w:hAnsiTheme="minorHAnsi" w:cstheme="minorHAnsi"/>
                <w:bCs/>
                <w:color w:val="auto"/>
                <w:sz w:val="24"/>
                <w:szCs w:val="28"/>
              </w:rPr>
              <w:t>Unstated</w:t>
            </w:r>
          </w:p>
        </w:tc>
        <w:tc>
          <w:tcPr>
            <w:tcW w:w="1440" w:type="pct"/>
            <w:noWrap/>
            <w:vAlign w:val="bottom"/>
            <w:hideMark/>
          </w:tcPr>
          <w:p w:rsidR="00F63FBB" w:rsidRPr="00AF5AB4" w:rsidRDefault="00F63FBB" w:rsidP="00AF5AB4">
            <w:pPr>
              <w:jc w:val="center"/>
              <w:rPr>
                <w:rFonts w:asciiTheme="minorHAnsi" w:hAnsiTheme="minorHAnsi" w:cstheme="minorHAnsi"/>
                <w:bCs/>
                <w:color w:val="auto"/>
                <w:sz w:val="24"/>
                <w:szCs w:val="28"/>
              </w:rPr>
            </w:pPr>
            <w:r w:rsidRPr="00AF5AB4">
              <w:rPr>
                <w:rFonts w:asciiTheme="minorHAnsi" w:hAnsiTheme="minorHAnsi" w:cstheme="minorHAnsi"/>
                <w:bCs/>
                <w:color w:val="auto"/>
                <w:sz w:val="24"/>
                <w:szCs w:val="28"/>
              </w:rPr>
              <w:t>1</w:t>
            </w:r>
          </w:p>
        </w:tc>
        <w:tc>
          <w:tcPr>
            <w:tcW w:w="1386" w:type="pct"/>
            <w:noWrap/>
            <w:vAlign w:val="center"/>
            <w:hideMark/>
          </w:tcPr>
          <w:p w:rsidR="00F63FBB" w:rsidRPr="00AF5AB4" w:rsidRDefault="00F63FBB" w:rsidP="00AF5AB4">
            <w:pPr>
              <w:jc w:val="center"/>
              <w:rPr>
                <w:color w:val="auto"/>
                <w:sz w:val="24"/>
                <w:szCs w:val="28"/>
              </w:rPr>
            </w:pPr>
            <w:r w:rsidRPr="00AF5AB4">
              <w:rPr>
                <w:color w:val="auto"/>
                <w:sz w:val="24"/>
                <w:szCs w:val="28"/>
              </w:rPr>
              <w:t>4%</w:t>
            </w:r>
          </w:p>
        </w:tc>
      </w:tr>
      <w:tr w:rsidR="00F63FBB" w:rsidRPr="00AF5AB4" w:rsidTr="005D5606">
        <w:tc>
          <w:tcPr>
            <w:tcW w:w="2174" w:type="pct"/>
            <w:noWrap/>
            <w:vAlign w:val="bottom"/>
            <w:hideMark/>
          </w:tcPr>
          <w:p w:rsidR="00F63FBB" w:rsidRPr="00AF5AB4" w:rsidRDefault="00F63FBB" w:rsidP="00AF5AB4">
            <w:pPr>
              <w:keepNext/>
              <w:contextualSpacing/>
              <w:rPr>
                <w:rFonts w:asciiTheme="minorHAnsi" w:hAnsiTheme="minorHAnsi" w:cstheme="minorHAnsi"/>
                <w:b/>
                <w:bCs/>
                <w:color w:val="auto"/>
                <w:sz w:val="24"/>
                <w:szCs w:val="28"/>
              </w:rPr>
            </w:pPr>
            <w:r w:rsidRPr="00AF5AB4">
              <w:rPr>
                <w:rFonts w:asciiTheme="minorHAnsi" w:hAnsiTheme="minorHAnsi" w:cstheme="minorHAnsi"/>
                <w:b/>
                <w:bCs/>
                <w:color w:val="auto"/>
                <w:sz w:val="24"/>
                <w:szCs w:val="28"/>
              </w:rPr>
              <w:t>Total</w:t>
            </w:r>
          </w:p>
        </w:tc>
        <w:tc>
          <w:tcPr>
            <w:tcW w:w="1440" w:type="pct"/>
            <w:noWrap/>
            <w:vAlign w:val="bottom"/>
            <w:hideMark/>
          </w:tcPr>
          <w:p w:rsidR="00F63FBB" w:rsidRPr="00AF5AB4" w:rsidRDefault="00F63FBB" w:rsidP="00AF5AB4">
            <w:pPr>
              <w:jc w:val="center"/>
              <w:rPr>
                <w:rFonts w:asciiTheme="minorHAnsi" w:hAnsiTheme="minorHAnsi" w:cstheme="minorHAnsi"/>
                <w:b/>
                <w:bCs/>
                <w:color w:val="auto"/>
                <w:sz w:val="24"/>
                <w:szCs w:val="28"/>
              </w:rPr>
            </w:pPr>
            <w:r w:rsidRPr="00AF5AB4">
              <w:rPr>
                <w:rFonts w:asciiTheme="minorHAnsi" w:hAnsiTheme="minorHAnsi" w:cstheme="minorHAnsi"/>
                <w:b/>
                <w:bCs/>
                <w:color w:val="auto"/>
                <w:sz w:val="24"/>
                <w:szCs w:val="28"/>
              </w:rPr>
              <w:t>27</w:t>
            </w:r>
          </w:p>
        </w:tc>
        <w:tc>
          <w:tcPr>
            <w:tcW w:w="1386" w:type="pct"/>
            <w:noWrap/>
            <w:vAlign w:val="center"/>
            <w:hideMark/>
          </w:tcPr>
          <w:p w:rsidR="00F63FBB" w:rsidRPr="00AF5AB4" w:rsidRDefault="00F63FBB" w:rsidP="00AF5AB4">
            <w:pPr>
              <w:jc w:val="center"/>
              <w:rPr>
                <w:b/>
                <w:color w:val="auto"/>
                <w:sz w:val="24"/>
                <w:szCs w:val="28"/>
              </w:rPr>
            </w:pPr>
            <w:r w:rsidRPr="00AF5AB4">
              <w:rPr>
                <w:b/>
                <w:color w:val="auto"/>
                <w:sz w:val="24"/>
                <w:szCs w:val="28"/>
              </w:rPr>
              <w:t>100%</w:t>
            </w:r>
          </w:p>
        </w:tc>
      </w:tr>
    </w:tbl>
    <w:p w:rsidR="00F63FBB" w:rsidRPr="00CA47B9" w:rsidRDefault="00F63FBB" w:rsidP="005D5606">
      <w:pPr>
        <w:pStyle w:val="11Bodytext"/>
        <w:numPr>
          <w:ilvl w:val="0"/>
          <w:numId w:val="0"/>
        </w:numPr>
        <w:spacing w:before="0" w:after="0" w:line="240" w:lineRule="auto"/>
      </w:pPr>
      <w:r w:rsidRPr="00CA47B9">
        <w:t>Source: Chichester District Council, 2017</w:t>
      </w:r>
    </w:p>
    <w:p w:rsidR="00F63FBB" w:rsidRPr="00CA47B9" w:rsidRDefault="00F63FBB" w:rsidP="00AF0118">
      <w:pPr>
        <w:pStyle w:val="11Bodytext"/>
        <w:tabs>
          <w:tab w:val="clear" w:pos="2212"/>
        </w:tabs>
        <w:ind w:left="567" w:hanging="567"/>
      </w:pPr>
      <w:r w:rsidRPr="00CA47B9">
        <w:t>The 2017 Council data provides information on the finance available for self-build and custom-builds.</w:t>
      </w:r>
      <w:r w:rsidR="00BA7744" w:rsidRPr="00CA47B9">
        <w:t xml:space="preserve"> </w:t>
      </w:r>
      <w:r w:rsidRPr="00CA47B9">
        <w:t xml:space="preserve">Only around 10% of the applicants have finance of £100,000 or less. The majority (63%) had finance in the range of £100,000 to £500,000. Around 19% of local respondents had finance of over £500,000 with 7% failing to state their </w:t>
      </w:r>
      <w:r w:rsidR="00855CA6" w:rsidRPr="00CA47B9">
        <w:t>financ</w:t>
      </w:r>
      <w:r w:rsidR="00855CA6">
        <w:t>ial</w:t>
      </w:r>
      <w:r w:rsidR="00855CA6" w:rsidRPr="00CA47B9">
        <w:t xml:space="preserve"> </w:t>
      </w:r>
      <w:r w:rsidRPr="00CA47B9">
        <w:t xml:space="preserve">position. </w:t>
      </w:r>
    </w:p>
    <w:p w:rsidR="00F63FBB" w:rsidRPr="00CA47B9" w:rsidRDefault="00F63FBB" w:rsidP="005D5606">
      <w:pPr>
        <w:pStyle w:val="Tableheading"/>
        <w:tabs>
          <w:tab w:val="clear" w:pos="794"/>
          <w:tab w:val="clear" w:pos="1843"/>
          <w:tab w:val="left" w:pos="0"/>
        </w:tabs>
        <w:ind w:left="0" w:firstLine="0"/>
      </w:pPr>
      <w:r w:rsidRPr="00CA47B9">
        <w:t xml:space="preserve">Self </w:t>
      </w:r>
      <w:r w:rsidR="00AF5AB4">
        <w:t>+</w:t>
      </w:r>
      <w:r w:rsidRPr="00CA47B9">
        <w:t xml:space="preserve"> Custom Build</w:t>
      </w:r>
      <w:r w:rsidR="00AF5AB4">
        <w:t>,</w:t>
      </w:r>
      <w:r w:rsidRPr="00CA47B9">
        <w:t xml:space="preserve"> Scale of Finance (2017) – Chichester District</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49: Self + Custom Build, Scale of Finance (2017) – Chichester District"/>
      </w:tblPr>
      <w:tblGrid>
        <w:gridCol w:w="4045"/>
        <w:gridCol w:w="2846"/>
        <w:gridCol w:w="2747"/>
      </w:tblGrid>
      <w:tr w:rsidR="00F63FBB" w:rsidRPr="00AF5AB4" w:rsidTr="005D5606">
        <w:trPr>
          <w:tblHeader/>
        </w:trPr>
        <w:tc>
          <w:tcPr>
            <w:tcW w:w="2098" w:type="pct"/>
            <w:shd w:val="clear" w:color="auto" w:fill="0093D5" w:themeFill="accent2"/>
            <w:vAlign w:val="bottom"/>
            <w:hideMark/>
          </w:tcPr>
          <w:p w:rsidR="00F63FBB" w:rsidRPr="00AF5AB4" w:rsidRDefault="00F63FBB" w:rsidP="004D6E97">
            <w:pPr>
              <w:keepNext/>
              <w:spacing w:line="300" w:lineRule="auto"/>
              <w:rPr>
                <w:rFonts w:asciiTheme="minorHAnsi" w:hAnsiTheme="minorHAnsi" w:cstheme="minorHAnsi"/>
                <w:color w:val="FFFFFF" w:themeColor="background1"/>
                <w:sz w:val="24"/>
                <w:szCs w:val="28"/>
              </w:rPr>
            </w:pPr>
            <w:r w:rsidRPr="00AF5AB4">
              <w:rPr>
                <w:rFonts w:asciiTheme="minorHAnsi" w:hAnsiTheme="minorHAnsi" w:cstheme="minorHAnsi"/>
                <w:color w:val="FFFFFF" w:themeColor="background1"/>
                <w:sz w:val="24"/>
                <w:szCs w:val="28"/>
              </w:rPr>
              <w:t>Finance available</w:t>
            </w:r>
          </w:p>
        </w:tc>
        <w:tc>
          <w:tcPr>
            <w:tcW w:w="1476" w:type="pct"/>
            <w:shd w:val="clear" w:color="auto" w:fill="0093D5" w:themeFill="accent2"/>
            <w:noWrap/>
            <w:vAlign w:val="bottom"/>
            <w:hideMark/>
          </w:tcPr>
          <w:p w:rsidR="00F63FBB" w:rsidRPr="00AF5AB4" w:rsidRDefault="00F63FBB" w:rsidP="004D6E97">
            <w:pPr>
              <w:keepNext/>
              <w:spacing w:line="300" w:lineRule="auto"/>
              <w:jc w:val="center"/>
              <w:rPr>
                <w:rFonts w:asciiTheme="minorHAnsi" w:hAnsiTheme="minorHAnsi" w:cstheme="minorHAnsi"/>
                <w:color w:val="FFFFFF" w:themeColor="background1"/>
                <w:sz w:val="24"/>
                <w:szCs w:val="28"/>
              </w:rPr>
            </w:pPr>
            <w:r w:rsidRPr="00AF5AB4">
              <w:rPr>
                <w:rFonts w:asciiTheme="minorHAnsi" w:hAnsiTheme="minorHAnsi" w:cstheme="minorHAnsi"/>
                <w:color w:val="FFFFFF" w:themeColor="background1"/>
                <w:sz w:val="24"/>
                <w:szCs w:val="28"/>
              </w:rPr>
              <w:t>Local</w:t>
            </w:r>
          </w:p>
        </w:tc>
        <w:tc>
          <w:tcPr>
            <w:tcW w:w="1425" w:type="pct"/>
            <w:shd w:val="clear" w:color="auto" w:fill="0093D5" w:themeFill="accent2"/>
            <w:noWrap/>
            <w:vAlign w:val="bottom"/>
            <w:hideMark/>
          </w:tcPr>
          <w:p w:rsidR="00F63FBB" w:rsidRPr="00AF5AB4" w:rsidRDefault="00F63FBB" w:rsidP="004D6E97">
            <w:pPr>
              <w:keepNext/>
              <w:spacing w:line="300" w:lineRule="auto"/>
              <w:jc w:val="center"/>
              <w:rPr>
                <w:rFonts w:asciiTheme="minorHAnsi" w:hAnsiTheme="minorHAnsi" w:cstheme="minorHAnsi"/>
                <w:color w:val="FFFFFF" w:themeColor="background1"/>
                <w:sz w:val="24"/>
                <w:szCs w:val="28"/>
              </w:rPr>
            </w:pPr>
            <w:r w:rsidRPr="00AF5AB4">
              <w:rPr>
                <w:rFonts w:asciiTheme="minorHAnsi" w:hAnsiTheme="minorHAnsi" w:cstheme="minorHAnsi"/>
                <w:color w:val="FFFFFF" w:themeColor="background1"/>
                <w:sz w:val="24"/>
                <w:szCs w:val="28"/>
              </w:rPr>
              <w:t>Total %</w:t>
            </w:r>
          </w:p>
        </w:tc>
      </w:tr>
      <w:tr w:rsidR="00F63FBB" w:rsidRPr="00AF5AB4" w:rsidTr="005D5606">
        <w:tc>
          <w:tcPr>
            <w:tcW w:w="2098" w:type="pct"/>
            <w:vAlign w:val="center"/>
            <w:hideMark/>
          </w:tcPr>
          <w:p w:rsidR="00F63FBB" w:rsidRPr="00AF5AB4" w:rsidRDefault="00F63FBB" w:rsidP="005D5606">
            <w:pPr>
              <w:keepNext/>
              <w:spacing w:line="300" w:lineRule="auto"/>
              <w:rPr>
                <w:rFonts w:asciiTheme="minorHAnsi" w:hAnsiTheme="minorHAnsi" w:cstheme="minorHAnsi"/>
                <w:color w:val="auto"/>
                <w:sz w:val="24"/>
                <w:szCs w:val="28"/>
              </w:rPr>
            </w:pPr>
            <w:r w:rsidRPr="00AF5AB4">
              <w:rPr>
                <w:rFonts w:asciiTheme="minorHAnsi" w:hAnsiTheme="minorHAnsi" w:cstheme="minorHAnsi"/>
                <w:color w:val="auto"/>
                <w:sz w:val="24"/>
                <w:szCs w:val="28"/>
              </w:rPr>
              <w:t>up to £50k</w:t>
            </w:r>
          </w:p>
        </w:tc>
        <w:tc>
          <w:tcPr>
            <w:tcW w:w="1476" w:type="pct"/>
            <w:noWrap/>
            <w:vAlign w:val="center"/>
            <w:hideMark/>
          </w:tcPr>
          <w:p w:rsidR="00F63FBB" w:rsidRPr="00AF5AB4" w:rsidRDefault="00F63FBB" w:rsidP="005D5606">
            <w:pPr>
              <w:keepNext/>
              <w:spacing w:line="300" w:lineRule="auto"/>
              <w:jc w:val="center"/>
              <w:rPr>
                <w:rFonts w:asciiTheme="minorHAnsi" w:hAnsiTheme="minorHAnsi" w:cstheme="minorHAnsi"/>
                <w:color w:val="auto"/>
                <w:sz w:val="24"/>
                <w:szCs w:val="28"/>
              </w:rPr>
            </w:pPr>
            <w:r w:rsidRPr="00AF5AB4">
              <w:rPr>
                <w:rFonts w:asciiTheme="minorHAnsi" w:hAnsiTheme="minorHAnsi" w:cstheme="minorHAnsi"/>
                <w:color w:val="auto"/>
                <w:sz w:val="24"/>
                <w:szCs w:val="28"/>
              </w:rPr>
              <w:t>2</w:t>
            </w:r>
          </w:p>
        </w:tc>
        <w:tc>
          <w:tcPr>
            <w:tcW w:w="1425" w:type="pct"/>
            <w:noWrap/>
            <w:vAlign w:val="center"/>
            <w:hideMark/>
          </w:tcPr>
          <w:p w:rsidR="00F63FBB" w:rsidRPr="00AF5AB4" w:rsidRDefault="00F63FBB" w:rsidP="005D5606">
            <w:pPr>
              <w:keepNext/>
              <w:spacing w:line="300" w:lineRule="auto"/>
              <w:jc w:val="center"/>
              <w:rPr>
                <w:color w:val="auto"/>
                <w:sz w:val="24"/>
                <w:szCs w:val="28"/>
              </w:rPr>
            </w:pPr>
            <w:r w:rsidRPr="00AF5AB4">
              <w:rPr>
                <w:color w:val="auto"/>
                <w:sz w:val="24"/>
                <w:szCs w:val="28"/>
              </w:rPr>
              <w:t>7%</w:t>
            </w:r>
          </w:p>
        </w:tc>
      </w:tr>
      <w:tr w:rsidR="00F63FBB" w:rsidRPr="00AF5AB4" w:rsidTr="005D5606">
        <w:tc>
          <w:tcPr>
            <w:tcW w:w="2098" w:type="pct"/>
            <w:vAlign w:val="center"/>
            <w:hideMark/>
          </w:tcPr>
          <w:p w:rsidR="00F63FBB" w:rsidRPr="00AF5AB4" w:rsidRDefault="00F63FBB" w:rsidP="005D5606">
            <w:pPr>
              <w:keepNext/>
              <w:spacing w:line="300" w:lineRule="auto"/>
              <w:rPr>
                <w:rFonts w:asciiTheme="minorHAnsi" w:hAnsiTheme="minorHAnsi" w:cstheme="minorHAnsi"/>
                <w:color w:val="auto"/>
                <w:sz w:val="24"/>
                <w:szCs w:val="28"/>
              </w:rPr>
            </w:pPr>
            <w:r w:rsidRPr="00AF5AB4">
              <w:rPr>
                <w:rFonts w:asciiTheme="minorHAnsi" w:hAnsiTheme="minorHAnsi" w:cstheme="minorHAnsi"/>
                <w:color w:val="auto"/>
                <w:sz w:val="24"/>
                <w:szCs w:val="28"/>
              </w:rPr>
              <w:t>£51k-100k</w:t>
            </w:r>
          </w:p>
        </w:tc>
        <w:tc>
          <w:tcPr>
            <w:tcW w:w="1476" w:type="pct"/>
            <w:noWrap/>
            <w:vAlign w:val="center"/>
            <w:hideMark/>
          </w:tcPr>
          <w:p w:rsidR="00F63FBB" w:rsidRPr="00AF5AB4" w:rsidRDefault="00F63FBB" w:rsidP="005D5606">
            <w:pPr>
              <w:keepNext/>
              <w:spacing w:line="300" w:lineRule="auto"/>
              <w:jc w:val="center"/>
              <w:rPr>
                <w:rFonts w:asciiTheme="minorHAnsi" w:hAnsiTheme="minorHAnsi" w:cstheme="minorHAnsi"/>
                <w:color w:val="auto"/>
                <w:sz w:val="24"/>
                <w:szCs w:val="28"/>
              </w:rPr>
            </w:pPr>
            <w:r w:rsidRPr="00AF5AB4">
              <w:rPr>
                <w:rFonts w:asciiTheme="minorHAnsi" w:hAnsiTheme="minorHAnsi" w:cstheme="minorHAnsi"/>
                <w:color w:val="auto"/>
                <w:sz w:val="24"/>
                <w:szCs w:val="28"/>
              </w:rPr>
              <w:t>1</w:t>
            </w:r>
          </w:p>
        </w:tc>
        <w:tc>
          <w:tcPr>
            <w:tcW w:w="1425" w:type="pct"/>
            <w:noWrap/>
            <w:vAlign w:val="center"/>
            <w:hideMark/>
          </w:tcPr>
          <w:p w:rsidR="00F63FBB" w:rsidRPr="00AF5AB4" w:rsidRDefault="00F63FBB" w:rsidP="005D5606">
            <w:pPr>
              <w:keepNext/>
              <w:spacing w:line="300" w:lineRule="auto"/>
              <w:jc w:val="center"/>
              <w:rPr>
                <w:color w:val="auto"/>
                <w:sz w:val="24"/>
                <w:szCs w:val="28"/>
              </w:rPr>
            </w:pPr>
            <w:r w:rsidRPr="00AF5AB4">
              <w:rPr>
                <w:color w:val="auto"/>
                <w:sz w:val="24"/>
                <w:szCs w:val="28"/>
              </w:rPr>
              <w:t>4%</w:t>
            </w:r>
          </w:p>
        </w:tc>
      </w:tr>
      <w:tr w:rsidR="00F63FBB" w:rsidRPr="00AF5AB4" w:rsidTr="005D5606">
        <w:tc>
          <w:tcPr>
            <w:tcW w:w="2098" w:type="pct"/>
            <w:vAlign w:val="center"/>
            <w:hideMark/>
          </w:tcPr>
          <w:p w:rsidR="00F63FBB" w:rsidRPr="00AF5AB4" w:rsidRDefault="00F63FBB" w:rsidP="005D5606">
            <w:pPr>
              <w:keepNext/>
              <w:spacing w:line="300" w:lineRule="auto"/>
              <w:rPr>
                <w:rFonts w:asciiTheme="minorHAnsi" w:hAnsiTheme="minorHAnsi" w:cstheme="minorHAnsi"/>
                <w:color w:val="auto"/>
                <w:sz w:val="24"/>
                <w:szCs w:val="28"/>
              </w:rPr>
            </w:pPr>
            <w:r w:rsidRPr="00AF5AB4">
              <w:rPr>
                <w:rFonts w:asciiTheme="minorHAnsi" w:hAnsiTheme="minorHAnsi" w:cstheme="minorHAnsi"/>
                <w:color w:val="auto"/>
                <w:sz w:val="24"/>
                <w:szCs w:val="28"/>
              </w:rPr>
              <w:t>101k-£250k</w:t>
            </w:r>
          </w:p>
        </w:tc>
        <w:tc>
          <w:tcPr>
            <w:tcW w:w="1476" w:type="pct"/>
            <w:noWrap/>
            <w:vAlign w:val="center"/>
            <w:hideMark/>
          </w:tcPr>
          <w:p w:rsidR="00F63FBB" w:rsidRPr="00AF5AB4" w:rsidRDefault="00F63FBB" w:rsidP="005D5606">
            <w:pPr>
              <w:keepNext/>
              <w:spacing w:line="300" w:lineRule="auto"/>
              <w:jc w:val="center"/>
              <w:rPr>
                <w:rFonts w:asciiTheme="minorHAnsi" w:hAnsiTheme="minorHAnsi" w:cstheme="minorHAnsi"/>
                <w:color w:val="auto"/>
                <w:sz w:val="24"/>
                <w:szCs w:val="28"/>
              </w:rPr>
            </w:pPr>
            <w:r w:rsidRPr="00AF5AB4">
              <w:rPr>
                <w:rFonts w:asciiTheme="minorHAnsi" w:hAnsiTheme="minorHAnsi" w:cstheme="minorHAnsi"/>
                <w:color w:val="auto"/>
                <w:sz w:val="24"/>
                <w:szCs w:val="28"/>
              </w:rPr>
              <w:t>6</w:t>
            </w:r>
          </w:p>
        </w:tc>
        <w:tc>
          <w:tcPr>
            <w:tcW w:w="1425" w:type="pct"/>
            <w:noWrap/>
            <w:vAlign w:val="center"/>
            <w:hideMark/>
          </w:tcPr>
          <w:p w:rsidR="00F63FBB" w:rsidRPr="00AF5AB4" w:rsidRDefault="00F63FBB" w:rsidP="005D5606">
            <w:pPr>
              <w:keepNext/>
              <w:spacing w:line="300" w:lineRule="auto"/>
              <w:jc w:val="center"/>
              <w:rPr>
                <w:color w:val="auto"/>
                <w:sz w:val="24"/>
                <w:szCs w:val="28"/>
              </w:rPr>
            </w:pPr>
            <w:r w:rsidRPr="00AF5AB4">
              <w:rPr>
                <w:color w:val="auto"/>
                <w:sz w:val="24"/>
                <w:szCs w:val="28"/>
              </w:rPr>
              <w:t>22%</w:t>
            </w:r>
          </w:p>
        </w:tc>
      </w:tr>
      <w:tr w:rsidR="00F63FBB" w:rsidRPr="00AF5AB4" w:rsidTr="005D5606">
        <w:tc>
          <w:tcPr>
            <w:tcW w:w="2098" w:type="pct"/>
            <w:vAlign w:val="center"/>
            <w:hideMark/>
          </w:tcPr>
          <w:p w:rsidR="00F63FBB" w:rsidRPr="00AF5AB4" w:rsidRDefault="00F63FBB" w:rsidP="005D5606">
            <w:pPr>
              <w:keepNext/>
              <w:spacing w:line="300" w:lineRule="auto"/>
              <w:rPr>
                <w:rFonts w:asciiTheme="minorHAnsi" w:hAnsiTheme="minorHAnsi" w:cstheme="minorHAnsi"/>
                <w:color w:val="auto"/>
                <w:sz w:val="24"/>
                <w:szCs w:val="28"/>
              </w:rPr>
            </w:pPr>
            <w:r w:rsidRPr="00AF5AB4">
              <w:rPr>
                <w:rFonts w:asciiTheme="minorHAnsi" w:hAnsiTheme="minorHAnsi" w:cstheme="minorHAnsi"/>
                <w:color w:val="auto"/>
                <w:sz w:val="24"/>
                <w:szCs w:val="28"/>
              </w:rPr>
              <w:t>£251k-500k</w:t>
            </w:r>
          </w:p>
        </w:tc>
        <w:tc>
          <w:tcPr>
            <w:tcW w:w="1476" w:type="pct"/>
            <w:noWrap/>
            <w:vAlign w:val="center"/>
            <w:hideMark/>
          </w:tcPr>
          <w:p w:rsidR="00F63FBB" w:rsidRPr="00AF5AB4" w:rsidRDefault="00F63FBB" w:rsidP="005D5606">
            <w:pPr>
              <w:keepNext/>
              <w:spacing w:line="300" w:lineRule="auto"/>
              <w:jc w:val="center"/>
              <w:rPr>
                <w:rFonts w:asciiTheme="minorHAnsi" w:hAnsiTheme="minorHAnsi" w:cstheme="minorHAnsi"/>
                <w:color w:val="auto"/>
                <w:sz w:val="24"/>
                <w:szCs w:val="28"/>
              </w:rPr>
            </w:pPr>
            <w:r w:rsidRPr="00AF5AB4">
              <w:rPr>
                <w:rFonts w:asciiTheme="minorHAnsi" w:hAnsiTheme="minorHAnsi" w:cstheme="minorHAnsi"/>
                <w:color w:val="auto"/>
                <w:sz w:val="24"/>
                <w:szCs w:val="28"/>
              </w:rPr>
              <w:t>11</w:t>
            </w:r>
          </w:p>
        </w:tc>
        <w:tc>
          <w:tcPr>
            <w:tcW w:w="1425" w:type="pct"/>
            <w:noWrap/>
            <w:vAlign w:val="center"/>
            <w:hideMark/>
          </w:tcPr>
          <w:p w:rsidR="00F63FBB" w:rsidRPr="00AF5AB4" w:rsidRDefault="00F63FBB" w:rsidP="005D5606">
            <w:pPr>
              <w:keepNext/>
              <w:spacing w:line="300" w:lineRule="auto"/>
              <w:jc w:val="center"/>
              <w:rPr>
                <w:color w:val="auto"/>
                <w:sz w:val="24"/>
                <w:szCs w:val="28"/>
              </w:rPr>
            </w:pPr>
            <w:r w:rsidRPr="00AF5AB4">
              <w:rPr>
                <w:color w:val="auto"/>
                <w:sz w:val="24"/>
                <w:szCs w:val="28"/>
              </w:rPr>
              <w:t>41%</w:t>
            </w:r>
          </w:p>
        </w:tc>
      </w:tr>
      <w:tr w:rsidR="00F63FBB" w:rsidRPr="00AF5AB4" w:rsidTr="005D5606">
        <w:tc>
          <w:tcPr>
            <w:tcW w:w="2098" w:type="pct"/>
            <w:vAlign w:val="center"/>
            <w:hideMark/>
          </w:tcPr>
          <w:p w:rsidR="00F63FBB" w:rsidRPr="00AF5AB4" w:rsidRDefault="00F63FBB" w:rsidP="005D5606">
            <w:pPr>
              <w:keepNext/>
              <w:spacing w:line="300" w:lineRule="auto"/>
              <w:rPr>
                <w:rFonts w:asciiTheme="minorHAnsi" w:hAnsiTheme="minorHAnsi" w:cstheme="minorHAnsi"/>
                <w:color w:val="auto"/>
                <w:sz w:val="24"/>
                <w:szCs w:val="28"/>
              </w:rPr>
            </w:pPr>
            <w:r w:rsidRPr="00AF5AB4">
              <w:rPr>
                <w:rFonts w:asciiTheme="minorHAnsi" w:hAnsiTheme="minorHAnsi" w:cstheme="minorHAnsi"/>
                <w:color w:val="auto"/>
                <w:sz w:val="24"/>
                <w:szCs w:val="28"/>
              </w:rPr>
              <w:t>£501k-£1million</w:t>
            </w:r>
          </w:p>
        </w:tc>
        <w:tc>
          <w:tcPr>
            <w:tcW w:w="1476" w:type="pct"/>
            <w:noWrap/>
            <w:vAlign w:val="center"/>
            <w:hideMark/>
          </w:tcPr>
          <w:p w:rsidR="00F63FBB" w:rsidRPr="00AF5AB4" w:rsidRDefault="00F63FBB" w:rsidP="005D5606">
            <w:pPr>
              <w:keepNext/>
              <w:spacing w:line="300" w:lineRule="auto"/>
              <w:jc w:val="center"/>
              <w:rPr>
                <w:rFonts w:asciiTheme="minorHAnsi" w:hAnsiTheme="minorHAnsi" w:cstheme="minorHAnsi"/>
                <w:color w:val="auto"/>
                <w:sz w:val="24"/>
                <w:szCs w:val="28"/>
              </w:rPr>
            </w:pPr>
            <w:r w:rsidRPr="00AF5AB4">
              <w:rPr>
                <w:rFonts w:asciiTheme="minorHAnsi" w:hAnsiTheme="minorHAnsi" w:cstheme="minorHAnsi"/>
                <w:color w:val="auto"/>
                <w:sz w:val="24"/>
                <w:szCs w:val="28"/>
              </w:rPr>
              <w:t>4</w:t>
            </w:r>
          </w:p>
        </w:tc>
        <w:tc>
          <w:tcPr>
            <w:tcW w:w="1425" w:type="pct"/>
            <w:noWrap/>
            <w:vAlign w:val="center"/>
            <w:hideMark/>
          </w:tcPr>
          <w:p w:rsidR="00F63FBB" w:rsidRPr="00AF5AB4" w:rsidRDefault="00F63FBB" w:rsidP="005D5606">
            <w:pPr>
              <w:keepNext/>
              <w:spacing w:line="300" w:lineRule="auto"/>
              <w:jc w:val="center"/>
              <w:rPr>
                <w:color w:val="auto"/>
                <w:sz w:val="24"/>
                <w:szCs w:val="28"/>
              </w:rPr>
            </w:pPr>
            <w:r w:rsidRPr="00AF5AB4">
              <w:rPr>
                <w:color w:val="auto"/>
                <w:sz w:val="24"/>
                <w:szCs w:val="28"/>
              </w:rPr>
              <w:t>15%</w:t>
            </w:r>
          </w:p>
        </w:tc>
      </w:tr>
      <w:tr w:rsidR="00F63FBB" w:rsidRPr="00AF5AB4" w:rsidTr="005D5606">
        <w:tc>
          <w:tcPr>
            <w:tcW w:w="2098" w:type="pct"/>
            <w:vAlign w:val="center"/>
            <w:hideMark/>
          </w:tcPr>
          <w:p w:rsidR="00F63FBB" w:rsidRPr="00AF5AB4" w:rsidRDefault="00F63FBB" w:rsidP="005D5606">
            <w:pPr>
              <w:keepNext/>
              <w:spacing w:line="300" w:lineRule="auto"/>
              <w:rPr>
                <w:rFonts w:asciiTheme="minorHAnsi" w:hAnsiTheme="minorHAnsi" w:cstheme="minorHAnsi"/>
                <w:color w:val="auto"/>
                <w:sz w:val="24"/>
                <w:szCs w:val="28"/>
              </w:rPr>
            </w:pPr>
            <w:r w:rsidRPr="00AF5AB4">
              <w:rPr>
                <w:rFonts w:asciiTheme="minorHAnsi" w:hAnsiTheme="minorHAnsi" w:cstheme="minorHAnsi"/>
                <w:color w:val="auto"/>
                <w:sz w:val="24"/>
                <w:szCs w:val="28"/>
              </w:rPr>
              <w:t>£1million+</w:t>
            </w:r>
          </w:p>
        </w:tc>
        <w:tc>
          <w:tcPr>
            <w:tcW w:w="1476" w:type="pct"/>
            <w:noWrap/>
            <w:vAlign w:val="center"/>
            <w:hideMark/>
          </w:tcPr>
          <w:p w:rsidR="00F63FBB" w:rsidRPr="00AF5AB4" w:rsidRDefault="00F63FBB" w:rsidP="005D5606">
            <w:pPr>
              <w:keepNext/>
              <w:spacing w:line="300" w:lineRule="auto"/>
              <w:jc w:val="center"/>
              <w:rPr>
                <w:rFonts w:asciiTheme="minorHAnsi" w:hAnsiTheme="minorHAnsi" w:cstheme="minorHAnsi"/>
                <w:color w:val="auto"/>
                <w:sz w:val="24"/>
                <w:szCs w:val="28"/>
              </w:rPr>
            </w:pPr>
            <w:r w:rsidRPr="00AF5AB4">
              <w:rPr>
                <w:rFonts w:asciiTheme="minorHAnsi" w:hAnsiTheme="minorHAnsi" w:cstheme="minorHAnsi"/>
                <w:color w:val="auto"/>
                <w:sz w:val="24"/>
                <w:szCs w:val="28"/>
              </w:rPr>
              <w:t>1</w:t>
            </w:r>
          </w:p>
        </w:tc>
        <w:tc>
          <w:tcPr>
            <w:tcW w:w="1425" w:type="pct"/>
            <w:noWrap/>
            <w:vAlign w:val="center"/>
            <w:hideMark/>
          </w:tcPr>
          <w:p w:rsidR="00F63FBB" w:rsidRPr="00AF5AB4" w:rsidRDefault="00F63FBB" w:rsidP="005D5606">
            <w:pPr>
              <w:keepNext/>
              <w:spacing w:line="300" w:lineRule="auto"/>
              <w:jc w:val="center"/>
              <w:rPr>
                <w:color w:val="auto"/>
                <w:sz w:val="24"/>
                <w:szCs w:val="28"/>
              </w:rPr>
            </w:pPr>
            <w:r w:rsidRPr="00AF5AB4">
              <w:rPr>
                <w:color w:val="auto"/>
                <w:sz w:val="24"/>
                <w:szCs w:val="28"/>
              </w:rPr>
              <w:t>4%</w:t>
            </w:r>
          </w:p>
        </w:tc>
      </w:tr>
      <w:tr w:rsidR="00F63FBB" w:rsidRPr="00AF5AB4" w:rsidTr="005D5606">
        <w:tc>
          <w:tcPr>
            <w:tcW w:w="2098" w:type="pct"/>
            <w:vAlign w:val="center"/>
            <w:hideMark/>
          </w:tcPr>
          <w:p w:rsidR="00F63FBB" w:rsidRPr="00AF5AB4" w:rsidRDefault="0017625E" w:rsidP="005D5606">
            <w:pPr>
              <w:keepNext/>
              <w:spacing w:line="300" w:lineRule="auto"/>
              <w:rPr>
                <w:rFonts w:asciiTheme="minorHAnsi" w:hAnsiTheme="minorHAnsi" w:cstheme="minorHAnsi"/>
                <w:color w:val="auto"/>
                <w:sz w:val="24"/>
                <w:szCs w:val="28"/>
              </w:rPr>
            </w:pPr>
            <w:r w:rsidRPr="00AF5AB4">
              <w:rPr>
                <w:rFonts w:asciiTheme="minorHAnsi" w:hAnsiTheme="minorHAnsi" w:cstheme="minorHAnsi"/>
                <w:color w:val="auto"/>
                <w:sz w:val="24"/>
                <w:szCs w:val="28"/>
              </w:rPr>
              <w:t>U</w:t>
            </w:r>
            <w:r w:rsidR="00F63FBB" w:rsidRPr="00AF5AB4">
              <w:rPr>
                <w:rFonts w:asciiTheme="minorHAnsi" w:hAnsiTheme="minorHAnsi" w:cstheme="minorHAnsi"/>
                <w:color w:val="auto"/>
                <w:sz w:val="24"/>
                <w:szCs w:val="28"/>
              </w:rPr>
              <w:t>nstated</w:t>
            </w:r>
          </w:p>
        </w:tc>
        <w:tc>
          <w:tcPr>
            <w:tcW w:w="1476" w:type="pct"/>
            <w:noWrap/>
            <w:vAlign w:val="center"/>
            <w:hideMark/>
          </w:tcPr>
          <w:p w:rsidR="00F63FBB" w:rsidRPr="00AF5AB4" w:rsidRDefault="00F63FBB" w:rsidP="005D5606">
            <w:pPr>
              <w:keepNext/>
              <w:spacing w:line="300" w:lineRule="auto"/>
              <w:jc w:val="center"/>
              <w:rPr>
                <w:rFonts w:asciiTheme="minorHAnsi" w:hAnsiTheme="minorHAnsi" w:cstheme="minorHAnsi"/>
                <w:color w:val="auto"/>
                <w:sz w:val="24"/>
                <w:szCs w:val="28"/>
              </w:rPr>
            </w:pPr>
            <w:r w:rsidRPr="00AF5AB4">
              <w:rPr>
                <w:rFonts w:asciiTheme="minorHAnsi" w:hAnsiTheme="minorHAnsi" w:cstheme="minorHAnsi"/>
                <w:color w:val="auto"/>
                <w:sz w:val="24"/>
                <w:szCs w:val="28"/>
              </w:rPr>
              <w:t>2</w:t>
            </w:r>
          </w:p>
        </w:tc>
        <w:tc>
          <w:tcPr>
            <w:tcW w:w="1425" w:type="pct"/>
            <w:noWrap/>
            <w:vAlign w:val="center"/>
            <w:hideMark/>
          </w:tcPr>
          <w:p w:rsidR="00F63FBB" w:rsidRPr="00AF5AB4" w:rsidRDefault="00F63FBB" w:rsidP="005D5606">
            <w:pPr>
              <w:keepNext/>
              <w:spacing w:line="300" w:lineRule="auto"/>
              <w:jc w:val="center"/>
              <w:rPr>
                <w:color w:val="auto"/>
                <w:sz w:val="24"/>
                <w:szCs w:val="28"/>
              </w:rPr>
            </w:pPr>
            <w:r w:rsidRPr="00AF5AB4">
              <w:rPr>
                <w:color w:val="auto"/>
                <w:sz w:val="24"/>
                <w:szCs w:val="28"/>
              </w:rPr>
              <w:t>7%</w:t>
            </w:r>
          </w:p>
        </w:tc>
      </w:tr>
      <w:tr w:rsidR="00F63FBB" w:rsidRPr="00AF5AB4" w:rsidTr="005D5606">
        <w:tc>
          <w:tcPr>
            <w:tcW w:w="2098" w:type="pct"/>
            <w:vAlign w:val="center"/>
            <w:hideMark/>
          </w:tcPr>
          <w:p w:rsidR="00F63FBB" w:rsidRPr="00AF5AB4" w:rsidRDefault="00F63FBB" w:rsidP="005D5606">
            <w:pPr>
              <w:keepNext/>
              <w:spacing w:line="300" w:lineRule="auto"/>
              <w:rPr>
                <w:rFonts w:asciiTheme="minorHAnsi" w:hAnsiTheme="minorHAnsi" w:cstheme="minorHAnsi"/>
                <w:b/>
                <w:color w:val="auto"/>
                <w:sz w:val="24"/>
                <w:szCs w:val="28"/>
              </w:rPr>
            </w:pPr>
            <w:r w:rsidRPr="00AF5AB4">
              <w:rPr>
                <w:rFonts w:asciiTheme="minorHAnsi" w:hAnsiTheme="minorHAnsi" w:cstheme="minorHAnsi"/>
                <w:b/>
                <w:color w:val="auto"/>
                <w:sz w:val="24"/>
                <w:szCs w:val="28"/>
              </w:rPr>
              <w:t>Total</w:t>
            </w:r>
          </w:p>
        </w:tc>
        <w:tc>
          <w:tcPr>
            <w:tcW w:w="1476" w:type="pct"/>
            <w:noWrap/>
            <w:vAlign w:val="center"/>
            <w:hideMark/>
          </w:tcPr>
          <w:p w:rsidR="00F63FBB" w:rsidRPr="00AF5AB4" w:rsidRDefault="00F63FBB" w:rsidP="005D5606">
            <w:pPr>
              <w:keepNext/>
              <w:spacing w:line="300" w:lineRule="auto"/>
              <w:jc w:val="center"/>
              <w:rPr>
                <w:rFonts w:asciiTheme="minorHAnsi" w:hAnsiTheme="minorHAnsi" w:cstheme="minorHAnsi"/>
                <w:b/>
                <w:color w:val="auto"/>
                <w:sz w:val="24"/>
                <w:szCs w:val="28"/>
              </w:rPr>
            </w:pPr>
            <w:r w:rsidRPr="00AF5AB4">
              <w:rPr>
                <w:rFonts w:asciiTheme="minorHAnsi" w:hAnsiTheme="minorHAnsi" w:cstheme="minorHAnsi"/>
                <w:b/>
                <w:color w:val="auto"/>
                <w:sz w:val="24"/>
                <w:szCs w:val="28"/>
              </w:rPr>
              <w:t>27</w:t>
            </w:r>
          </w:p>
        </w:tc>
        <w:tc>
          <w:tcPr>
            <w:tcW w:w="1425" w:type="pct"/>
            <w:noWrap/>
            <w:vAlign w:val="center"/>
            <w:hideMark/>
          </w:tcPr>
          <w:p w:rsidR="00F63FBB" w:rsidRPr="00AF5AB4" w:rsidRDefault="00F63FBB" w:rsidP="005D5606">
            <w:pPr>
              <w:keepNext/>
              <w:spacing w:line="300" w:lineRule="auto"/>
              <w:jc w:val="center"/>
              <w:rPr>
                <w:b/>
                <w:color w:val="auto"/>
                <w:sz w:val="24"/>
                <w:szCs w:val="28"/>
              </w:rPr>
            </w:pPr>
            <w:r w:rsidRPr="00AF5AB4">
              <w:rPr>
                <w:b/>
                <w:color w:val="auto"/>
                <w:sz w:val="24"/>
                <w:szCs w:val="28"/>
              </w:rPr>
              <w:t>100%</w:t>
            </w:r>
          </w:p>
        </w:tc>
      </w:tr>
    </w:tbl>
    <w:p w:rsidR="00F63FBB" w:rsidRPr="00CA47B9" w:rsidRDefault="00F63FBB" w:rsidP="005D5606">
      <w:pPr>
        <w:pStyle w:val="11Bodytext"/>
        <w:numPr>
          <w:ilvl w:val="0"/>
          <w:numId w:val="0"/>
        </w:numPr>
        <w:spacing w:before="0" w:line="240" w:lineRule="auto"/>
      </w:pPr>
      <w:r w:rsidRPr="00CA47B9">
        <w:t>Source: Chichester District Council, 2017</w:t>
      </w:r>
    </w:p>
    <w:p w:rsidR="00F63FBB" w:rsidRPr="00CA47B9" w:rsidRDefault="00F63FBB" w:rsidP="006765B7">
      <w:pPr>
        <w:pStyle w:val="SubheadBlue12"/>
        <w:ind w:left="567" w:firstLine="0"/>
      </w:pPr>
      <w:bookmarkStart w:id="194" w:name="_Hlk20927574"/>
      <w:r w:rsidRPr="00CA47B9">
        <w:lastRenderedPageBreak/>
        <w:t>Students</w:t>
      </w:r>
    </w:p>
    <w:p w:rsidR="00F63FBB" w:rsidRPr="00CA47B9" w:rsidRDefault="00F63FBB" w:rsidP="00AF0118">
      <w:pPr>
        <w:pStyle w:val="11Bodytext"/>
        <w:tabs>
          <w:tab w:val="clear" w:pos="2212"/>
        </w:tabs>
        <w:ind w:left="567" w:hanging="567"/>
        <w:rPr>
          <w:color w:val="auto"/>
        </w:rPr>
      </w:pPr>
      <w:r w:rsidRPr="00CA47B9">
        <w:t xml:space="preserve">According to the Higher Education Statistics Agency (HESA), in 2017/18 the University of Chichester had 5,520 </w:t>
      </w:r>
      <w:r w:rsidR="00855CA6" w:rsidRPr="00CA47B9">
        <w:t>full</w:t>
      </w:r>
      <w:r w:rsidR="00855CA6">
        <w:t>-</w:t>
      </w:r>
      <w:r w:rsidRPr="00CA47B9">
        <w:t xml:space="preserve">time graduate and postgraduate students. Of the 168 institutions listed on the HESA website, </w:t>
      </w:r>
      <w:r w:rsidRPr="00CA47B9">
        <w:rPr>
          <w:color w:val="auto"/>
        </w:rPr>
        <w:t xml:space="preserve">Chichester is the 52nd smallest </w:t>
      </w:r>
      <w:r w:rsidRPr="00AF0118">
        <w:t>university</w:t>
      </w:r>
      <w:r w:rsidRPr="00CA47B9">
        <w:rPr>
          <w:color w:val="auto"/>
        </w:rPr>
        <w:t xml:space="preserve"> with the median institution size having more than double the number of Chichester’s students.</w:t>
      </w:r>
    </w:p>
    <w:p w:rsidR="00F63FBB" w:rsidRPr="00CA47B9" w:rsidRDefault="00F63FBB" w:rsidP="00AF0118">
      <w:pPr>
        <w:pStyle w:val="11Bodytext"/>
        <w:tabs>
          <w:tab w:val="clear" w:pos="2212"/>
        </w:tabs>
        <w:ind w:left="567" w:hanging="567"/>
        <w:rPr>
          <w:sz w:val="22"/>
          <w:szCs w:val="22"/>
          <w:lang w:eastAsia="en-US"/>
        </w:rPr>
      </w:pPr>
      <w:r w:rsidRPr="00CA47B9">
        <w:t xml:space="preserve">The University of Chichester has two campuses, located in Chichester </w:t>
      </w:r>
      <w:r w:rsidR="00BE5DAA">
        <w:t>C</w:t>
      </w:r>
      <w:r w:rsidR="00BE5DAA" w:rsidRPr="00CA47B9">
        <w:t xml:space="preserve">ity </w:t>
      </w:r>
      <w:r w:rsidR="00BE5DAA">
        <w:t>C</w:t>
      </w:r>
      <w:r w:rsidR="00BE5DAA" w:rsidRPr="00CA47B9">
        <w:t xml:space="preserve">entre </w:t>
      </w:r>
      <w:r w:rsidRPr="00CA47B9">
        <w:t>and a smaller campus located</w:t>
      </w:r>
      <w:r w:rsidR="002C2BF8">
        <w:t xml:space="preserve"> at</w:t>
      </w:r>
      <w:r w:rsidRPr="00CA47B9">
        <w:t xml:space="preserve"> Bognor Regis. At present, the university own</w:t>
      </w:r>
      <w:r w:rsidR="00855CA6">
        <w:t>s</w:t>
      </w:r>
      <w:r w:rsidRPr="00CA47B9">
        <w:t xml:space="preserve"> and directly manage university halls accommodation </w:t>
      </w:r>
      <w:r w:rsidR="00670656">
        <w:t>at</w:t>
      </w:r>
      <w:r w:rsidR="00670656" w:rsidRPr="00CA47B9">
        <w:t xml:space="preserve"> </w:t>
      </w:r>
      <w:r w:rsidRPr="00CA47B9">
        <w:t>1,110 rooms.</w:t>
      </w:r>
    </w:p>
    <w:p w:rsidR="00F63FBB" w:rsidRPr="00CA47B9" w:rsidRDefault="00F63FBB" w:rsidP="00AF0118">
      <w:pPr>
        <w:pStyle w:val="11Bodytext"/>
        <w:tabs>
          <w:tab w:val="clear" w:pos="2212"/>
        </w:tabs>
        <w:ind w:left="567" w:hanging="567"/>
      </w:pPr>
      <w:r w:rsidRPr="00CA47B9">
        <w:t xml:space="preserve">There are 2 </w:t>
      </w:r>
      <w:r w:rsidR="00855CA6" w:rsidRPr="00CA47B9">
        <w:t>off</w:t>
      </w:r>
      <w:r w:rsidR="00855CA6">
        <w:t>-</w:t>
      </w:r>
      <w:r w:rsidRPr="00CA47B9">
        <w:t>campus accommodation sites (approximately 20-minute walk from the campus) which are self-catered en</w:t>
      </w:r>
      <w:r w:rsidR="00867E68">
        <w:t>-</w:t>
      </w:r>
      <w:r w:rsidRPr="00CA47B9">
        <w:t xml:space="preserve">suite rooms, costing £136.99 per week. </w:t>
      </w:r>
    </w:p>
    <w:p w:rsidR="00F63FBB" w:rsidRPr="00CA47B9" w:rsidRDefault="00F63FBB" w:rsidP="00AF0118">
      <w:pPr>
        <w:pStyle w:val="11Bodytext"/>
        <w:tabs>
          <w:tab w:val="clear" w:pos="2212"/>
        </w:tabs>
        <w:ind w:left="567" w:hanging="567"/>
      </w:pPr>
      <w:r w:rsidRPr="00CA47B9">
        <w:t>In Chichester</w:t>
      </w:r>
      <w:r w:rsidR="00855CA6">
        <w:t>,</w:t>
      </w:r>
      <w:r w:rsidRPr="00CA47B9">
        <w:t xml:space="preserve"> there are 15 student hall accommodation buildings with prices ranging from £118.23 per week to £177.17 per week. On the Bognor Campus</w:t>
      </w:r>
      <w:r w:rsidR="00855CA6">
        <w:t>,</w:t>
      </w:r>
      <w:r w:rsidRPr="00CA47B9">
        <w:t xml:space="preserve"> there are 3 halls, ranging from £161.35 per week to £177.17 per week. Some of the university rooms have adapted rooms which provide wheelchair access</w:t>
      </w:r>
      <w:r w:rsidR="00AC6424">
        <w:t>.</w:t>
      </w:r>
      <w:r w:rsidRPr="00CA47B9">
        <w:t xml:space="preserve"> </w:t>
      </w:r>
    </w:p>
    <w:p w:rsidR="00F63FBB" w:rsidRPr="00CA47B9" w:rsidRDefault="00F63FBB" w:rsidP="00AF0118">
      <w:pPr>
        <w:pStyle w:val="11Bodytext"/>
        <w:tabs>
          <w:tab w:val="clear" w:pos="2212"/>
        </w:tabs>
        <w:ind w:left="567" w:hanging="567"/>
      </w:pPr>
      <w:r w:rsidRPr="007A451B">
        <w:t xml:space="preserve">It is understood that within Chichester District the University is only </w:t>
      </w:r>
      <w:r w:rsidRPr="00CA47B9">
        <w:t>anticipating a modest growth in student numbers o</w:t>
      </w:r>
      <w:r w:rsidR="00867E68">
        <w:t>ver</w:t>
      </w:r>
      <w:r w:rsidRPr="00CA47B9">
        <w:t xml:space="preserve"> the medium term. However, the creation of the Engineering and Digital Technology Park at their Bognor Regis Campus (Arun District) will see significant growth in student numbers but outside of the District.</w:t>
      </w:r>
    </w:p>
    <w:p w:rsidR="00F63FBB" w:rsidRPr="00CA47B9" w:rsidRDefault="00F63FBB" w:rsidP="00AF0118">
      <w:pPr>
        <w:pStyle w:val="11Bodytext"/>
        <w:tabs>
          <w:tab w:val="clear" w:pos="2212"/>
        </w:tabs>
        <w:ind w:left="567" w:hanging="567"/>
      </w:pPr>
      <w:r w:rsidRPr="00CA47B9">
        <w:t xml:space="preserve">As well as the University this District is also home to Chichester College although as a further education college it is not included in the HESA statistics. </w:t>
      </w:r>
      <w:r w:rsidRPr="007A451B">
        <w:t>The College does</w:t>
      </w:r>
      <w:r w:rsidR="00855CA6">
        <w:t>, however,</w:t>
      </w:r>
      <w:r w:rsidRPr="007A451B">
        <w:t xml:space="preserve"> teach </w:t>
      </w:r>
      <w:r w:rsidR="00855CA6" w:rsidRPr="007A451B">
        <w:t>university</w:t>
      </w:r>
      <w:r w:rsidR="00855CA6">
        <w:t>-</w:t>
      </w:r>
      <w:r w:rsidRPr="007A451B">
        <w:t>level courses.</w:t>
      </w:r>
      <w:r w:rsidRPr="00CA47B9">
        <w:t xml:space="preserve"> </w:t>
      </w:r>
    </w:p>
    <w:p w:rsidR="00F63FBB" w:rsidRPr="00CA47B9" w:rsidRDefault="00F63FBB" w:rsidP="00AF0118">
      <w:pPr>
        <w:pStyle w:val="11Bodytext"/>
        <w:tabs>
          <w:tab w:val="clear" w:pos="2212"/>
        </w:tabs>
        <w:ind w:left="567" w:hanging="567"/>
      </w:pPr>
      <w:r w:rsidRPr="00CA47B9">
        <w:t>Chichester College</w:t>
      </w:r>
      <w:r w:rsidRPr="007A451B">
        <w:t xml:space="preserve"> has over 15,000 students, of whom 5,000 are full-time students. It is not anticipated that part-time students will require any additional housing as they will already be living in the area. </w:t>
      </w:r>
    </w:p>
    <w:p w:rsidR="00F63FBB" w:rsidRPr="007A451B" w:rsidRDefault="00F63FBB" w:rsidP="00AF0118">
      <w:pPr>
        <w:pStyle w:val="11Bodytext"/>
        <w:tabs>
          <w:tab w:val="clear" w:pos="2212"/>
        </w:tabs>
        <w:ind w:left="567" w:hanging="567"/>
      </w:pPr>
      <w:r w:rsidRPr="007A451B">
        <w:t xml:space="preserve">The College has entered into a sub-lease and separate head-lease agreement with the University on some accommodation at Stockbridge Student Village. Between </w:t>
      </w:r>
      <w:r w:rsidRPr="007A451B">
        <w:lastRenderedPageBreak/>
        <w:t>them</w:t>
      </w:r>
      <w:r w:rsidR="00855CA6">
        <w:t>,</w:t>
      </w:r>
      <w:r w:rsidRPr="007A451B">
        <w:t xml:space="preserve"> they share facilities management services with the University providing housing management and Pastoral Care Service.</w:t>
      </w:r>
    </w:p>
    <w:p w:rsidR="00095EC9" w:rsidRDefault="00EC32DA" w:rsidP="00AF0118">
      <w:pPr>
        <w:pStyle w:val="11Bodytext"/>
        <w:tabs>
          <w:tab w:val="clear" w:pos="2212"/>
        </w:tabs>
        <w:ind w:left="567" w:hanging="567"/>
      </w:pPr>
      <w:r w:rsidRPr="007A451B">
        <w:rPr>
          <w:color w:val="auto"/>
        </w:rPr>
        <w:t>T</w:t>
      </w:r>
      <w:r w:rsidR="00095EC9" w:rsidRPr="007A451B">
        <w:rPr>
          <w:color w:val="auto"/>
        </w:rPr>
        <w:t>he Housing Delivery T</w:t>
      </w:r>
      <w:r w:rsidR="00095EC9">
        <w:t>est</w:t>
      </w:r>
      <w:r w:rsidR="00576D7A">
        <w:rPr>
          <w:rStyle w:val="FootnoteReference"/>
        </w:rPr>
        <w:footnoteReference w:id="14"/>
      </w:r>
      <w:r>
        <w:t xml:space="preserve"> now allows for purpose-built student accommodation to be included within the housing supply.</w:t>
      </w:r>
      <w:r w:rsidR="00855CA6">
        <w:t xml:space="preserve"> </w:t>
      </w:r>
      <w:r>
        <w:t>However, this is not a one for one calculation. For every 2.5 bedspaces built, the Council can count this as one dwelling.</w:t>
      </w:r>
      <w:r w:rsidR="00095EC9" w:rsidRPr="00FA22A3">
        <w:t xml:space="preserve"> </w:t>
      </w:r>
    </w:p>
    <w:p w:rsidR="00855CA6" w:rsidRDefault="00BE5DAA" w:rsidP="00AF0118">
      <w:pPr>
        <w:pStyle w:val="11Bodytext"/>
        <w:tabs>
          <w:tab w:val="clear" w:pos="2212"/>
        </w:tabs>
        <w:ind w:left="567" w:hanging="567"/>
      </w:pPr>
      <w:r>
        <w:t>At present</w:t>
      </w:r>
      <w:r w:rsidR="00855CA6">
        <w:t>,</w:t>
      </w:r>
      <w:r>
        <w:t xml:space="preserve"> there is no need to plan for additional purpose</w:t>
      </w:r>
      <w:r w:rsidR="00855CA6">
        <w:t>-</w:t>
      </w:r>
      <w:r>
        <w:t>built student accommodation as the University is only planning modest growth.</w:t>
      </w:r>
      <w:r w:rsidR="00855CA6">
        <w:t xml:space="preserve"> </w:t>
      </w:r>
      <w:r>
        <w:t>However, supporting such accommodation would also support movement out of the general housing stock for others to use.</w:t>
      </w:r>
      <w:r w:rsidR="00855CA6">
        <w:t xml:space="preserve"> </w:t>
      </w:r>
      <w:r>
        <w:t>As such the Council should consider applications for such accommodation on its merits.</w:t>
      </w:r>
      <w:r w:rsidR="00855CA6">
        <w:t xml:space="preserve"> </w:t>
      </w:r>
      <w:r>
        <w:t>Any application should be support</w:t>
      </w:r>
      <w:r w:rsidR="00855CA6">
        <w:t>ed</w:t>
      </w:r>
      <w:r>
        <w:t xml:space="preserve"> with evidence of demand and support from the University.</w:t>
      </w:r>
    </w:p>
    <w:p w:rsidR="00855CA6" w:rsidRDefault="00855CA6">
      <w:pPr>
        <w:spacing w:after="200"/>
        <w:rPr>
          <w:bCs/>
          <w:color w:val="auto"/>
        </w:rPr>
      </w:pPr>
      <w:r>
        <w:rPr>
          <w:color w:val="auto"/>
        </w:rPr>
        <w:br w:type="page"/>
      </w:r>
    </w:p>
    <w:bookmarkEnd w:id="194"/>
    <w:tbl>
      <w:tblPr>
        <w:tblStyle w:val="TableGrid"/>
        <w:tblW w:w="5000" w:type="pct"/>
        <w:tblBorders>
          <w:top w:val="single" w:sz="18" w:space="0" w:color="0093D5" w:themeColor="accent2"/>
          <w:left w:val="single" w:sz="18" w:space="0" w:color="0093D5" w:themeColor="accent2"/>
          <w:bottom w:val="single" w:sz="18" w:space="0" w:color="0093D5" w:themeColor="accent2"/>
          <w:right w:val="single" w:sz="18" w:space="0" w:color="0093D5" w:themeColor="accent2"/>
          <w:insideH w:val="single" w:sz="18" w:space="0" w:color="0093D5" w:themeColor="accent2"/>
          <w:insideV w:val="single" w:sz="18" w:space="0" w:color="0093D5" w:themeColor="accent2"/>
        </w:tblBorders>
        <w:tblLook w:val="04A0" w:firstRow="1" w:lastRow="0" w:firstColumn="1" w:lastColumn="0" w:noHBand="0" w:noVBand="1"/>
        <w:tblCaption w:val="Specific Groups: Key Points "/>
      </w:tblPr>
      <w:tblGrid>
        <w:gridCol w:w="9847"/>
      </w:tblGrid>
      <w:tr w:rsidR="00F63FBB" w:rsidRPr="00CA47B9" w:rsidTr="00D30252">
        <w:trPr>
          <w:cantSplit/>
          <w:tblHeader/>
        </w:trPr>
        <w:tc>
          <w:tcPr>
            <w:tcW w:w="5000" w:type="pct"/>
          </w:tcPr>
          <w:p w:rsidR="00F63FBB" w:rsidRPr="00CA47B9" w:rsidRDefault="00F63FBB" w:rsidP="00F63FBB">
            <w:pPr>
              <w:rPr>
                <w:b/>
              </w:rPr>
            </w:pPr>
          </w:p>
          <w:p w:rsidR="00F63FBB" w:rsidRPr="00AF5AB4" w:rsidRDefault="000E3721" w:rsidP="00F63FBB">
            <w:pPr>
              <w:rPr>
                <w:b/>
                <w:sz w:val="24"/>
                <w:szCs w:val="24"/>
              </w:rPr>
            </w:pPr>
            <w:r w:rsidRPr="00AF5AB4">
              <w:rPr>
                <w:b/>
                <w:sz w:val="24"/>
                <w:szCs w:val="24"/>
              </w:rPr>
              <w:t>Specific</w:t>
            </w:r>
            <w:r w:rsidR="007C28FD" w:rsidRPr="00AF5AB4">
              <w:rPr>
                <w:b/>
                <w:sz w:val="24"/>
                <w:szCs w:val="24"/>
              </w:rPr>
              <w:t xml:space="preserve"> Groups: </w:t>
            </w:r>
            <w:r w:rsidR="00F63FBB" w:rsidRPr="00AF5AB4">
              <w:rPr>
                <w:b/>
                <w:sz w:val="24"/>
                <w:szCs w:val="24"/>
              </w:rPr>
              <w:t xml:space="preserve">Key Points </w:t>
            </w:r>
          </w:p>
          <w:p w:rsidR="00F63FBB" w:rsidRPr="00CA47B9" w:rsidRDefault="00F63FBB" w:rsidP="00F63FBB"/>
          <w:p w:rsidR="00F63FBB" w:rsidRPr="00CA47B9" w:rsidRDefault="00F63FBB" w:rsidP="00A54ECA">
            <w:pPr>
              <w:pStyle w:val="ListParagraph"/>
            </w:pPr>
            <w:r w:rsidRPr="00CA47B9">
              <w:t>The District has a higher proportion of older persons than nationally or regionally and is expected to see an increase in the older person population (over 75) of almost 56% between 2019 and 2036.</w:t>
            </w:r>
          </w:p>
          <w:p w:rsidR="00F63FBB" w:rsidRPr="00CA47B9" w:rsidRDefault="00F63FBB" w:rsidP="004D6E97"/>
          <w:p w:rsidR="00F63FBB" w:rsidRPr="00CA47B9" w:rsidRDefault="00F63FBB" w:rsidP="00A54ECA">
            <w:pPr>
              <w:pStyle w:val="ListParagraph"/>
            </w:pPr>
            <w:r w:rsidRPr="00CA47B9">
              <w:t>Given the ageing population and higher levels of disability and health problems amongst older people</w:t>
            </w:r>
            <w:r w:rsidR="00855CA6">
              <w:t>,</w:t>
            </w:r>
            <w:r w:rsidRPr="00CA47B9">
              <w:t xml:space="preserve"> there is likely to be an increased requirement for specialist housing options moving forward. </w:t>
            </w:r>
          </w:p>
          <w:p w:rsidR="00F63FBB" w:rsidRPr="00CA47B9" w:rsidRDefault="00F63FBB" w:rsidP="004D6E97"/>
          <w:p w:rsidR="00F63FBB" w:rsidRDefault="00F63FBB" w:rsidP="00A54ECA">
            <w:pPr>
              <w:pStyle w:val="ListParagraph"/>
            </w:pPr>
            <w:r w:rsidRPr="00CA47B9">
              <w:t>The analysis shows a deficit for housing with support (rented and leasehold) of 1,3</w:t>
            </w:r>
            <w:r w:rsidR="002A213E">
              <w:t>19</w:t>
            </w:r>
            <w:r w:rsidRPr="00CA47B9">
              <w:t xml:space="preserve"> by 2036. There is</w:t>
            </w:r>
            <w:r w:rsidR="007A451B">
              <w:t xml:space="preserve"> also predicted to be a</w:t>
            </w:r>
            <w:r w:rsidRPr="00CA47B9">
              <w:t xml:space="preserve"> deficit of 82</w:t>
            </w:r>
            <w:r w:rsidR="007A451B">
              <w:t>5</w:t>
            </w:r>
            <w:r w:rsidRPr="00CA47B9">
              <w:t xml:space="preserve"> dwellings for housing with care with a higher volume required for leasehold. There</w:t>
            </w:r>
            <w:r w:rsidR="007A451B">
              <w:t xml:space="preserve"> will</w:t>
            </w:r>
            <w:r w:rsidRPr="00CA47B9">
              <w:t xml:space="preserve"> also a </w:t>
            </w:r>
            <w:r w:rsidR="007A451B">
              <w:t xml:space="preserve">predicted </w:t>
            </w:r>
            <w:r w:rsidRPr="00CA47B9">
              <w:t>shortfall of 8</w:t>
            </w:r>
            <w:r w:rsidR="007A451B">
              <w:t>39</w:t>
            </w:r>
            <w:r w:rsidRPr="00CA47B9">
              <w:t xml:space="preserve"> for care bedspaces.</w:t>
            </w:r>
          </w:p>
          <w:p w:rsidR="007A451B" w:rsidRDefault="007A451B" w:rsidP="00AF5AB4">
            <w:pPr>
              <w:pStyle w:val="ListParagraph"/>
              <w:numPr>
                <w:ilvl w:val="0"/>
                <w:numId w:val="0"/>
              </w:numPr>
              <w:ind w:left="360"/>
            </w:pPr>
          </w:p>
          <w:tbl>
            <w:tblPr>
              <w:tblStyle w:val="ListTable3-Accent21"/>
              <w:tblW w:w="8033"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Housing with support/care shortfall by 2036"/>
            </w:tblPr>
            <w:tblGrid>
              <w:gridCol w:w="3198"/>
              <w:gridCol w:w="1985"/>
              <w:gridCol w:w="2850"/>
            </w:tblGrid>
            <w:tr w:rsidR="007A451B" w:rsidRPr="00AF5AB4" w:rsidTr="005D5606">
              <w:trPr>
                <w:cnfStyle w:val="100000000000" w:firstRow="1" w:lastRow="0" w:firstColumn="0" w:lastColumn="0" w:oddVBand="0" w:evenVBand="0" w:oddHBand="0" w:evenHBand="0" w:firstRowFirstColumn="0" w:firstRowLastColumn="0" w:lastRowFirstColumn="0" w:lastRowLastColumn="0"/>
                <w:trHeight w:val="259"/>
                <w:tblHeader/>
              </w:trPr>
              <w:tc>
                <w:tcPr>
                  <w:cnfStyle w:val="001000000100" w:firstRow="0" w:lastRow="0" w:firstColumn="1" w:lastColumn="0" w:oddVBand="0" w:evenVBand="0" w:oddHBand="0" w:evenHBand="0" w:firstRowFirstColumn="1" w:firstRowLastColumn="0" w:lastRowFirstColumn="0" w:lastRowLastColumn="0"/>
                  <w:tcW w:w="3198" w:type="dxa"/>
                </w:tcPr>
                <w:p w:rsidR="007A451B" w:rsidRPr="00AF5AB4" w:rsidRDefault="007A451B" w:rsidP="00AF5AB4">
                  <w:pPr>
                    <w:keepNext/>
                    <w:rPr>
                      <w:rFonts w:ascii="Arial Narrow" w:hAnsi="Arial Narrow"/>
                      <w:b w:val="0"/>
                      <w:bCs w:val="0"/>
                      <w:sz w:val="24"/>
                      <w:szCs w:val="24"/>
                    </w:rPr>
                  </w:pPr>
                </w:p>
              </w:tc>
              <w:tc>
                <w:tcPr>
                  <w:tcW w:w="1985" w:type="dxa"/>
                </w:tcPr>
                <w:p w:rsidR="007A451B" w:rsidRPr="00AF5AB4" w:rsidRDefault="007A451B" w:rsidP="00AF5AB4">
                  <w:pPr>
                    <w:pStyle w:val="11Bodytext"/>
                    <w:numPr>
                      <w:ilvl w:val="0"/>
                      <w:numId w:val="0"/>
                    </w:num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rPr>
                  </w:pPr>
                </w:p>
              </w:tc>
              <w:tc>
                <w:tcPr>
                  <w:tcW w:w="2850" w:type="dxa"/>
                  <w:tcBorders>
                    <w:bottom w:val="single" w:sz="4" w:space="0" w:color="auto"/>
                  </w:tcBorders>
                  <w:vAlign w:val="center"/>
                  <w:hideMark/>
                </w:tcPr>
                <w:p w:rsidR="007A451B" w:rsidRPr="00AF5AB4" w:rsidRDefault="007A451B" w:rsidP="00AF5AB4">
                  <w:pPr>
                    <w:pStyle w:val="11Bodytext"/>
                    <w:numPr>
                      <w:ilvl w:val="0"/>
                      <w:numId w:val="0"/>
                    </w:num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AF5AB4">
                    <w:rPr>
                      <w:rFonts w:ascii="Arial Narrow" w:hAnsi="Arial Narrow"/>
                    </w:rPr>
                    <w:t>Shortfall by 2036</w:t>
                  </w:r>
                </w:p>
              </w:tc>
            </w:tr>
            <w:tr w:rsidR="007A451B" w:rsidRPr="00AF5AB4" w:rsidTr="005D560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98" w:type="dxa"/>
                  <w:vMerge w:val="restart"/>
                  <w:vAlign w:val="center"/>
                  <w:hideMark/>
                </w:tcPr>
                <w:p w:rsidR="007A451B" w:rsidRPr="00AF5AB4" w:rsidRDefault="007A451B" w:rsidP="00AF5AB4">
                  <w:pPr>
                    <w:pStyle w:val="11Bodytext"/>
                    <w:numPr>
                      <w:ilvl w:val="0"/>
                      <w:numId w:val="0"/>
                    </w:numPr>
                    <w:spacing w:before="0" w:after="0" w:line="240" w:lineRule="auto"/>
                    <w:rPr>
                      <w:rFonts w:ascii="Arial Narrow" w:hAnsi="Arial Narrow"/>
                    </w:rPr>
                  </w:pPr>
                  <w:r w:rsidRPr="00AF5AB4">
                    <w:rPr>
                      <w:rFonts w:ascii="Arial Narrow" w:hAnsi="Arial Narrow"/>
                    </w:rPr>
                    <w:t xml:space="preserve">Housing with support </w:t>
                  </w:r>
                </w:p>
              </w:tc>
              <w:tc>
                <w:tcPr>
                  <w:tcW w:w="1985" w:type="dxa"/>
                  <w:tcBorders>
                    <w:right w:val="single" w:sz="4" w:space="0" w:color="auto"/>
                  </w:tcBorders>
                  <w:hideMark/>
                </w:tcPr>
                <w:p w:rsidR="007A451B" w:rsidRPr="00AF5AB4" w:rsidRDefault="007A451B" w:rsidP="00AF5AB4">
                  <w:pPr>
                    <w:pStyle w:val="11Bodytext"/>
                    <w:numPr>
                      <w:ilvl w:val="0"/>
                      <w:numId w:val="0"/>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5AB4">
                    <w:rPr>
                      <w:rFonts w:ascii="Arial Narrow" w:hAnsi="Arial Narrow"/>
                    </w:rPr>
                    <w:t>Rented</w:t>
                  </w:r>
                </w:p>
              </w:tc>
              <w:tc>
                <w:tcPr>
                  <w:tcW w:w="28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A451B" w:rsidRPr="00AF5AB4" w:rsidRDefault="007A451B" w:rsidP="00AF5AB4">
                  <w:pPr>
                    <w:keepN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AF5AB4">
                    <w:rPr>
                      <w:rFonts w:ascii="Arial Narrow" w:eastAsia="Times New Roman" w:hAnsi="Arial Narrow"/>
                      <w:color w:val="000000"/>
                      <w:sz w:val="24"/>
                      <w:szCs w:val="24"/>
                      <w:lang w:eastAsia="en-GB"/>
                    </w:rPr>
                    <w:t>411</w:t>
                  </w:r>
                </w:p>
              </w:tc>
            </w:tr>
            <w:tr w:rsidR="007A451B" w:rsidRPr="00AF5AB4" w:rsidTr="005D5606">
              <w:trPr>
                <w:trHeight w:val="264"/>
              </w:trPr>
              <w:tc>
                <w:tcPr>
                  <w:cnfStyle w:val="001000000000" w:firstRow="0" w:lastRow="0" w:firstColumn="1" w:lastColumn="0" w:oddVBand="0" w:evenVBand="0" w:oddHBand="0" w:evenHBand="0" w:firstRowFirstColumn="0" w:firstRowLastColumn="0" w:lastRowFirstColumn="0" w:lastRowLastColumn="0"/>
                  <w:tcW w:w="3198" w:type="dxa"/>
                  <w:vMerge/>
                  <w:vAlign w:val="center"/>
                  <w:hideMark/>
                </w:tcPr>
                <w:p w:rsidR="007A451B" w:rsidRPr="00AF5AB4" w:rsidRDefault="007A451B" w:rsidP="00AF5AB4">
                  <w:pPr>
                    <w:keepNext/>
                    <w:rPr>
                      <w:rFonts w:ascii="Arial Narrow" w:hAnsi="Arial Narrow"/>
                      <w:b w:val="0"/>
                      <w:bCs w:val="0"/>
                      <w:sz w:val="24"/>
                      <w:szCs w:val="24"/>
                    </w:rPr>
                  </w:pPr>
                </w:p>
              </w:tc>
              <w:tc>
                <w:tcPr>
                  <w:tcW w:w="1985" w:type="dxa"/>
                  <w:tcBorders>
                    <w:right w:val="single" w:sz="4" w:space="0" w:color="auto"/>
                  </w:tcBorders>
                  <w:hideMark/>
                </w:tcPr>
                <w:p w:rsidR="007A451B" w:rsidRPr="00AF5AB4" w:rsidRDefault="007A451B" w:rsidP="00AF5AB4">
                  <w:pPr>
                    <w:pStyle w:val="11Bodytext"/>
                    <w:numPr>
                      <w:ilvl w:val="0"/>
                      <w:numId w:val="0"/>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AF5AB4">
                    <w:rPr>
                      <w:rFonts w:ascii="Arial Narrow" w:hAnsi="Arial Narrow"/>
                    </w:rPr>
                    <w:t>Leasehold</w:t>
                  </w:r>
                </w:p>
              </w:tc>
              <w:tc>
                <w:tcPr>
                  <w:tcW w:w="28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A451B" w:rsidRPr="00AF5AB4" w:rsidRDefault="007A451B" w:rsidP="00AF5AB4">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AF5AB4">
                    <w:rPr>
                      <w:rFonts w:ascii="Arial Narrow" w:eastAsia="Times New Roman" w:hAnsi="Arial Narrow"/>
                      <w:color w:val="000000"/>
                      <w:sz w:val="24"/>
                      <w:szCs w:val="24"/>
                      <w:lang w:eastAsia="en-GB"/>
                    </w:rPr>
                    <w:t>908</w:t>
                  </w:r>
                </w:p>
              </w:tc>
            </w:tr>
            <w:tr w:rsidR="007A451B" w:rsidRPr="00AF5AB4" w:rsidTr="005D5606">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198" w:type="dxa"/>
                  <w:vMerge w:val="restart"/>
                  <w:vAlign w:val="center"/>
                  <w:hideMark/>
                </w:tcPr>
                <w:p w:rsidR="007A451B" w:rsidRPr="00AF5AB4" w:rsidRDefault="007A451B" w:rsidP="00AF5AB4">
                  <w:pPr>
                    <w:pStyle w:val="11Bodytext"/>
                    <w:numPr>
                      <w:ilvl w:val="0"/>
                      <w:numId w:val="0"/>
                    </w:numPr>
                    <w:spacing w:before="0" w:after="0" w:line="240" w:lineRule="auto"/>
                    <w:rPr>
                      <w:rFonts w:ascii="Arial Narrow" w:hAnsi="Arial Narrow"/>
                    </w:rPr>
                  </w:pPr>
                  <w:r w:rsidRPr="00AF5AB4">
                    <w:rPr>
                      <w:rFonts w:ascii="Arial Narrow" w:hAnsi="Arial Narrow"/>
                    </w:rPr>
                    <w:t>Housing with care</w:t>
                  </w:r>
                </w:p>
              </w:tc>
              <w:tc>
                <w:tcPr>
                  <w:tcW w:w="1985" w:type="dxa"/>
                  <w:tcBorders>
                    <w:right w:val="single" w:sz="4" w:space="0" w:color="auto"/>
                  </w:tcBorders>
                  <w:hideMark/>
                </w:tcPr>
                <w:p w:rsidR="007A451B" w:rsidRPr="00AF5AB4" w:rsidRDefault="007A451B" w:rsidP="00AF5AB4">
                  <w:pPr>
                    <w:pStyle w:val="11Bodytext"/>
                    <w:numPr>
                      <w:ilvl w:val="0"/>
                      <w:numId w:val="0"/>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AF5AB4">
                    <w:rPr>
                      <w:rFonts w:ascii="Arial Narrow" w:hAnsi="Arial Narrow"/>
                    </w:rPr>
                    <w:t>Rented</w:t>
                  </w:r>
                </w:p>
              </w:tc>
              <w:tc>
                <w:tcPr>
                  <w:tcW w:w="28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A451B" w:rsidRPr="00AF5AB4" w:rsidRDefault="007A451B" w:rsidP="00AF5AB4">
                  <w:pPr>
                    <w:keepN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AF5AB4">
                    <w:rPr>
                      <w:rFonts w:ascii="Arial Narrow" w:eastAsia="Times New Roman" w:hAnsi="Arial Narrow"/>
                      <w:color w:val="000000"/>
                      <w:sz w:val="24"/>
                      <w:szCs w:val="24"/>
                      <w:lang w:eastAsia="en-GB"/>
                    </w:rPr>
                    <w:t>337</w:t>
                  </w:r>
                </w:p>
              </w:tc>
            </w:tr>
            <w:tr w:rsidR="007A451B" w:rsidRPr="00AF5AB4" w:rsidTr="005D5606">
              <w:trPr>
                <w:trHeight w:val="264"/>
              </w:trPr>
              <w:tc>
                <w:tcPr>
                  <w:cnfStyle w:val="001000000000" w:firstRow="0" w:lastRow="0" w:firstColumn="1" w:lastColumn="0" w:oddVBand="0" w:evenVBand="0" w:oddHBand="0" w:evenHBand="0" w:firstRowFirstColumn="0" w:firstRowLastColumn="0" w:lastRowFirstColumn="0" w:lastRowLastColumn="0"/>
                  <w:tcW w:w="3198" w:type="dxa"/>
                  <w:vMerge/>
                  <w:tcBorders>
                    <w:bottom w:val="single" w:sz="4" w:space="0" w:color="auto"/>
                  </w:tcBorders>
                  <w:hideMark/>
                </w:tcPr>
                <w:p w:rsidR="007A451B" w:rsidRPr="00AF5AB4" w:rsidRDefault="007A451B" w:rsidP="00AF5AB4">
                  <w:pPr>
                    <w:keepNext/>
                    <w:rPr>
                      <w:rFonts w:ascii="Arial Narrow" w:hAnsi="Arial Narrow"/>
                      <w:b w:val="0"/>
                      <w:bCs w:val="0"/>
                      <w:sz w:val="24"/>
                      <w:szCs w:val="24"/>
                    </w:rPr>
                  </w:pPr>
                </w:p>
              </w:tc>
              <w:tc>
                <w:tcPr>
                  <w:tcW w:w="1985" w:type="dxa"/>
                  <w:tcBorders>
                    <w:bottom w:val="single" w:sz="4" w:space="0" w:color="auto"/>
                    <w:right w:val="single" w:sz="4" w:space="0" w:color="auto"/>
                  </w:tcBorders>
                  <w:hideMark/>
                </w:tcPr>
                <w:p w:rsidR="007A451B" w:rsidRPr="00AF5AB4" w:rsidRDefault="007A451B" w:rsidP="00AF5AB4">
                  <w:pPr>
                    <w:pStyle w:val="11Bodytext"/>
                    <w:numPr>
                      <w:ilvl w:val="0"/>
                      <w:numId w:val="0"/>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AF5AB4">
                    <w:rPr>
                      <w:rFonts w:ascii="Arial Narrow" w:hAnsi="Arial Narrow"/>
                    </w:rPr>
                    <w:t>Leasehold</w:t>
                  </w:r>
                </w:p>
              </w:tc>
              <w:tc>
                <w:tcPr>
                  <w:tcW w:w="28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A451B" w:rsidRPr="00AF5AB4" w:rsidRDefault="007A451B" w:rsidP="00AF5AB4">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AF5AB4">
                    <w:rPr>
                      <w:rFonts w:ascii="Arial Narrow" w:eastAsia="Times New Roman" w:hAnsi="Arial Narrow"/>
                      <w:color w:val="000000"/>
                      <w:sz w:val="24"/>
                      <w:szCs w:val="24"/>
                      <w:lang w:eastAsia="en-GB"/>
                    </w:rPr>
                    <w:t>488</w:t>
                  </w:r>
                </w:p>
              </w:tc>
            </w:tr>
            <w:tr w:rsidR="007A451B" w:rsidRPr="00AF5AB4" w:rsidTr="005D560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183" w:type="dxa"/>
                  <w:gridSpan w:val="2"/>
                  <w:tcBorders>
                    <w:top w:val="single" w:sz="4" w:space="0" w:color="auto"/>
                    <w:bottom w:val="single" w:sz="4" w:space="0" w:color="auto"/>
                    <w:right w:val="single" w:sz="4" w:space="0" w:color="auto"/>
                  </w:tcBorders>
                </w:tcPr>
                <w:p w:rsidR="007A451B" w:rsidRPr="00AF5AB4" w:rsidRDefault="007A451B" w:rsidP="00AF5AB4">
                  <w:pPr>
                    <w:pStyle w:val="11Bodytext"/>
                    <w:numPr>
                      <w:ilvl w:val="0"/>
                      <w:numId w:val="0"/>
                    </w:numPr>
                    <w:spacing w:before="0" w:after="0" w:line="240" w:lineRule="auto"/>
                    <w:rPr>
                      <w:rFonts w:ascii="Arial Narrow" w:hAnsi="Arial Narrow"/>
                    </w:rPr>
                  </w:pPr>
                  <w:r w:rsidRPr="00AF5AB4">
                    <w:rPr>
                      <w:rFonts w:ascii="Arial Narrow" w:hAnsi="Arial Narrow"/>
                    </w:rPr>
                    <w:t>Total (dwellings) -Typically C3</w:t>
                  </w:r>
                </w:p>
              </w:tc>
              <w:tc>
                <w:tcPr>
                  <w:tcW w:w="28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A451B" w:rsidRPr="00AF5AB4" w:rsidRDefault="007A451B" w:rsidP="00AF5AB4">
                  <w:pPr>
                    <w:keepN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AF5AB4">
                    <w:rPr>
                      <w:rFonts w:ascii="Arial Narrow" w:eastAsia="Times New Roman" w:hAnsi="Arial Narrow"/>
                      <w:color w:val="000000"/>
                      <w:sz w:val="24"/>
                      <w:szCs w:val="24"/>
                      <w:lang w:eastAsia="en-GB"/>
                    </w:rPr>
                    <w:t>2,144</w:t>
                  </w:r>
                </w:p>
              </w:tc>
            </w:tr>
            <w:tr w:rsidR="007A451B" w:rsidRPr="00AF5AB4" w:rsidTr="005D5606">
              <w:trPr>
                <w:trHeight w:val="259"/>
              </w:trPr>
              <w:tc>
                <w:tcPr>
                  <w:cnfStyle w:val="001000000000" w:firstRow="0" w:lastRow="0" w:firstColumn="1" w:lastColumn="0" w:oddVBand="0" w:evenVBand="0" w:oddHBand="0" w:evenHBand="0" w:firstRowFirstColumn="0" w:firstRowLastColumn="0" w:lastRowFirstColumn="0" w:lastRowLastColumn="0"/>
                  <w:tcW w:w="5183" w:type="dxa"/>
                  <w:gridSpan w:val="2"/>
                  <w:tcBorders>
                    <w:top w:val="single" w:sz="4" w:space="0" w:color="auto"/>
                    <w:bottom w:val="single" w:sz="4" w:space="0" w:color="auto"/>
                    <w:right w:val="single" w:sz="4" w:space="0" w:color="auto"/>
                  </w:tcBorders>
                </w:tcPr>
                <w:p w:rsidR="007A451B" w:rsidRPr="00AF5AB4" w:rsidRDefault="007A451B" w:rsidP="00AF5AB4">
                  <w:pPr>
                    <w:pStyle w:val="11Bodytext"/>
                    <w:numPr>
                      <w:ilvl w:val="0"/>
                      <w:numId w:val="0"/>
                    </w:numPr>
                    <w:spacing w:before="0" w:after="0" w:line="240" w:lineRule="auto"/>
                    <w:rPr>
                      <w:rFonts w:ascii="Arial Narrow" w:hAnsi="Arial Narrow"/>
                    </w:rPr>
                  </w:pPr>
                  <w:r w:rsidRPr="00AF5AB4">
                    <w:rPr>
                      <w:rFonts w:ascii="Arial Narrow" w:hAnsi="Arial Narrow"/>
                    </w:rPr>
                    <w:t>Care bedspaces – Typically C2</w:t>
                  </w:r>
                </w:p>
              </w:tc>
              <w:tc>
                <w:tcPr>
                  <w:tcW w:w="28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A451B" w:rsidRPr="00AF5AB4" w:rsidRDefault="007A451B" w:rsidP="00AF5AB4">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AF5AB4">
                    <w:rPr>
                      <w:rFonts w:ascii="Arial Narrow" w:eastAsia="Times New Roman" w:hAnsi="Arial Narrow"/>
                      <w:color w:val="000000"/>
                      <w:sz w:val="24"/>
                      <w:szCs w:val="24"/>
                      <w:lang w:eastAsia="en-GB"/>
                    </w:rPr>
                    <w:t>839</w:t>
                  </w:r>
                </w:p>
              </w:tc>
            </w:tr>
          </w:tbl>
          <w:p w:rsidR="00F63FBB" w:rsidRPr="00CA47B9" w:rsidRDefault="00F63FBB" w:rsidP="004D6E97"/>
          <w:p w:rsidR="00F63FBB" w:rsidRPr="00CA47B9" w:rsidRDefault="00F63FBB" w:rsidP="00A54ECA">
            <w:pPr>
              <w:pStyle w:val="ListParagraph"/>
            </w:pPr>
            <w:r w:rsidRPr="00CA47B9">
              <w:t xml:space="preserve">There is projected to be a large rise in the number of people with dementia (up </w:t>
            </w:r>
            <w:r w:rsidR="006863E5">
              <w:t>58.2</w:t>
            </w:r>
            <w:r w:rsidRPr="00CA47B9">
              <w:t xml:space="preserve">%) along with a </w:t>
            </w:r>
            <w:r w:rsidR="003E3F87">
              <w:t>51.5</w:t>
            </w:r>
            <w:r w:rsidRPr="00CA47B9">
              <w:t>% increase in the number with mobility problems.</w:t>
            </w:r>
          </w:p>
          <w:p w:rsidR="00F63FBB" w:rsidRPr="00CA47B9" w:rsidRDefault="00F63FBB" w:rsidP="004D6E97"/>
          <w:p w:rsidR="00F63FBB" w:rsidRDefault="00F63FBB" w:rsidP="00A54ECA">
            <w:pPr>
              <w:pStyle w:val="ListParagraph"/>
            </w:pPr>
            <w:r w:rsidRPr="00CA47B9">
              <w:t>Around 31% of households contain someone with a long-term health problem or disability (LTHPD), which is slightly lower than that seen nationally but above the regional average. It is estimated that this will increase by 30%.</w:t>
            </w:r>
          </w:p>
          <w:p w:rsidR="002C3B0E" w:rsidRDefault="002C3B0E" w:rsidP="00795E1F">
            <w:pPr>
              <w:pStyle w:val="ListParagraph"/>
              <w:numPr>
                <w:ilvl w:val="0"/>
                <w:numId w:val="0"/>
              </w:numPr>
              <w:ind w:left="360"/>
            </w:pPr>
          </w:p>
          <w:p w:rsidR="002C3B0E" w:rsidRPr="002C3B0E" w:rsidRDefault="002C3B0E" w:rsidP="00A54ECA">
            <w:pPr>
              <w:pStyle w:val="ListParagraph"/>
            </w:pPr>
            <w:r>
              <w:t>Given the scale of need for wheelchair accommodation</w:t>
            </w:r>
            <w:r w:rsidR="000C7F72">
              <w:t xml:space="preserve"> (22% per annum)</w:t>
            </w:r>
            <w:r w:rsidR="00855CA6">
              <w:t>,</w:t>
            </w:r>
            <w:r w:rsidR="000C7F72">
              <w:t xml:space="preserve"> The Council may wish to adopt a policy </w:t>
            </w:r>
            <w:r w:rsidRPr="00303311">
              <w:t xml:space="preserve">seeking 5% of market properties as M4(3)a standard and </w:t>
            </w:r>
            <w:r w:rsidRPr="002C3B0E">
              <w:t>5%-</w:t>
            </w:r>
            <w:r w:rsidRPr="00303311">
              <w:t>10% affordable dwellings at M4(3)b standard.</w:t>
            </w:r>
          </w:p>
          <w:p w:rsidR="00F63FBB" w:rsidRPr="00CA47B9" w:rsidRDefault="00F63FBB" w:rsidP="004D6E97"/>
          <w:p w:rsidR="00F63FBB" w:rsidRPr="00CA47B9" w:rsidRDefault="00F63FBB" w:rsidP="00A54ECA">
            <w:pPr>
              <w:pStyle w:val="ListParagraph"/>
            </w:pPr>
            <w:r w:rsidRPr="00CA47B9">
              <w:t>Self-Build accommodation registration list total</w:t>
            </w:r>
            <w:r w:rsidR="00855CA6">
              <w:t>s</w:t>
            </w:r>
            <w:r w:rsidRPr="00CA47B9">
              <w:t xml:space="preserve"> 66, including 27 local and 39 non-local. At July 2018, Council introduced a new 2-part register. Since then, none have registered on the Part 1 list and two individuals have registered on the Part 2 list. </w:t>
            </w:r>
          </w:p>
          <w:p w:rsidR="00F63FBB" w:rsidRPr="00CA47B9" w:rsidRDefault="00F63FBB" w:rsidP="004D6E97"/>
          <w:p w:rsidR="00F63FBB" w:rsidRPr="00CA47B9" w:rsidRDefault="00F63FBB" w:rsidP="00A54ECA">
            <w:pPr>
              <w:pStyle w:val="ListParagraph"/>
            </w:pPr>
            <w:r w:rsidRPr="00CA47B9">
              <w:t xml:space="preserve">The University currently provides most of the student accommodation. The University </w:t>
            </w:r>
            <w:r w:rsidR="00867E68">
              <w:t xml:space="preserve">only </w:t>
            </w:r>
            <w:r w:rsidRPr="00CA47B9">
              <w:t>expect</w:t>
            </w:r>
            <w:r w:rsidR="00867E68">
              <w:t xml:space="preserve">s </w:t>
            </w:r>
            <w:r w:rsidR="00EC32DA">
              <w:t>modest</w:t>
            </w:r>
            <w:r w:rsidRPr="00CA47B9">
              <w:t xml:space="preserve"> growth in the </w:t>
            </w:r>
            <w:r w:rsidR="00855CA6">
              <w:t>district</w:t>
            </w:r>
            <w:r w:rsidR="00855CA6" w:rsidRPr="00CA47B9">
              <w:t xml:space="preserve"> </w:t>
            </w:r>
            <w:r w:rsidR="00EC32DA">
              <w:t>and is unlikely to have any bearing on the local housing market.</w:t>
            </w:r>
            <w:r w:rsidR="00855CA6">
              <w:t xml:space="preserve"> However, t</w:t>
            </w:r>
            <w:r w:rsidR="00855CA6">
              <w:rPr>
                <w:color w:val="auto"/>
              </w:rPr>
              <w:t>he Council should consider applications for Student accommodation on its merits. Any application should be supported with evidence of demand and support from the University.</w:t>
            </w:r>
          </w:p>
          <w:p w:rsidR="00F63FBB" w:rsidRPr="00CA47B9" w:rsidRDefault="00F63FBB" w:rsidP="00F63FBB">
            <w:pPr>
              <w:rPr>
                <w:rFonts w:asciiTheme="minorHAnsi" w:hAnsiTheme="minorHAnsi" w:cstheme="minorHAnsi"/>
              </w:rPr>
            </w:pPr>
          </w:p>
        </w:tc>
      </w:tr>
    </w:tbl>
    <w:p w:rsidR="00B0298E" w:rsidRPr="00CA47B9" w:rsidRDefault="00B0298E" w:rsidP="00766669">
      <w:pPr>
        <w:pStyle w:val="1Bodytext"/>
        <w:pageBreakBefore/>
        <w:tabs>
          <w:tab w:val="clear" w:pos="794"/>
          <w:tab w:val="num" w:pos="567"/>
        </w:tabs>
        <w:spacing w:before="0" w:after="120" w:line="360" w:lineRule="auto"/>
        <w:ind w:left="567" w:hanging="567"/>
        <w:rPr>
          <w:rFonts w:asciiTheme="minorHAnsi" w:hAnsiTheme="minorHAnsi" w:cstheme="minorHAnsi"/>
        </w:rPr>
      </w:pPr>
      <w:bookmarkStart w:id="195" w:name="_Toc427689865"/>
      <w:bookmarkStart w:id="196" w:name="_Toc427695383"/>
      <w:bookmarkStart w:id="197" w:name="_Toc427696161"/>
      <w:bookmarkStart w:id="198" w:name="_Toc427696191"/>
      <w:bookmarkStart w:id="199" w:name="_Toc427689866"/>
      <w:bookmarkStart w:id="200" w:name="_Toc427695384"/>
      <w:bookmarkStart w:id="201" w:name="_Toc427696162"/>
      <w:bookmarkStart w:id="202" w:name="_Toc427696192"/>
      <w:bookmarkStart w:id="203" w:name="_Toc427689867"/>
      <w:bookmarkStart w:id="204" w:name="_Toc427695385"/>
      <w:bookmarkStart w:id="205" w:name="_Toc427696163"/>
      <w:bookmarkStart w:id="206" w:name="_Toc427696193"/>
      <w:bookmarkStart w:id="207" w:name="_Toc485718386"/>
      <w:bookmarkStart w:id="208" w:name="_Toc51600018"/>
      <w:bookmarkStart w:id="209" w:name="_Toc410409589"/>
      <w:bookmarkStart w:id="210" w:name="_Toc418615839"/>
      <w:bookmarkStart w:id="211" w:name="_Toc372093590"/>
      <w:bookmarkEnd w:id="16"/>
      <w:bookmarkEnd w:id="17"/>
      <w:bookmarkEnd w:id="195"/>
      <w:bookmarkEnd w:id="196"/>
      <w:bookmarkEnd w:id="197"/>
      <w:bookmarkEnd w:id="198"/>
      <w:bookmarkEnd w:id="199"/>
      <w:bookmarkEnd w:id="200"/>
      <w:bookmarkEnd w:id="201"/>
      <w:bookmarkEnd w:id="202"/>
      <w:bookmarkEnd w:id="203"/>
      <w:bookmarkEnd w:id="204"/>
      <w:bookmarkEnd w:id="205"/>
      <w:bookmarkEnd w:id="206"/>
      <w:r w:rsidRPr="00CA47B9">
        <w:rPr>
          <w:rFonts w:asciiTheme="minorHAnsi" w:hAnsiTheme="minorHAnsi" w:cstheme="minorHAnsi"/>
        </w:rPr>
        <w:lastRenderedPageBreak/>
        <w:t>Commercial</w:t>
      </w:r>
      <w:r w:rsidR="004B41A2" w:rsidRPr="00CA47B9">
        <w:rPr>
          <w:rFonts w:asciiTheme="minorHAnsi" w:hAnsiTheme="minorHAnsi" w:cstheme="minorHAnsi"/>
        </w:rPr>
        <w:t xml:space="preserve"> </w:t>
      </w:r>
      <w:r w:rsidRPr="00CA47B9">
        <w:rPr>
          <w:rFonts w:asciiTheme="minorHAnsi" w:hAnsiTheme="minorHAnsi" w:cstheme="minorHAnsi"/>
        </w:rPr>
        <w:t>Property</w:t>
      </w:r>
      <w:r w:rsidR="004B41A2" w:rsidRPr="00CA47B9">
        <w:rPr>
          <w:rFonts w:asciiTheme="minorHAnsi" w:hAnsiTheme="minorHAnsi" w:cstheme="minorHAnsi"/>
        </w:rPr>
        <w:t xml:space="preserve"> </w:t>
      </w:r>
      <w:r w:rsidRPr="00CA47B9">
        <w:rPr>
          <w:rFonts w:asciiTheme="minorHAnsi" w:hAnsiTheme="minorHAnsi" w:cstheme="minorHAnsi"/>
        </w:rPr>
        <w:t>Market</w:t>
      </w:r>
      <w:bookmarkEnd w:id="207"/>
      <w:bookmarkEnd w:id="208"/>
    </w:p>
    <w:p w:rsidR="00B0298E" w:rsidRDefault="00B0298E" w:rsidP="00AF0118">
      <w:pPr>
        <w:pStyle w:val="11Bodytext"/>
        <w:tabs>
          <w:tab w:val="clear" w:pos="2212"/>
          <w:tab w:val="num" w:pos="567"/>
        </w:tabs>
        <w:ind w:left="567" w:hanging="567"/>
      </w:pPr>
      <w:bookmarkStart w:id="212" w:name="_Toc459374389"/>
      <w:bookmarkEnd w:id="212"/>
      <w:r w:rsidRPr="00CA47B9">
        <w:t>This</w:t>
      </w:r>
      <w:r w:rsidR="004B41A2" w:rsidRPr="00CA47B9">
        <w:t xml:space="preserve"> </w:t>
      </w:r>
      <w:r w:rsidRPr="00CA47B9">
        <w:t>section</w:t>
      </w:r>
      <w:r w:rsidR="004B41A2" w:rsidRPr="00CA47B9">
        <w:t xml:space="preserve"> </w:t>
      </w:r>
      <w:r w:rsidRPr="00CA47B9">
        <w:t>provides</w:t>
      </w:r>
      <w:r w:rsidR="004B41A2" w:rsidRPr="00CA47B9">
        <w:t xml:space="preserve"> </w:t>
      </w:r>
      <w:r w:rsidRPr="00CA47B9">
        <w:t>an</w:t>
      </w:r>
      <w:r w:rsidR="004B41A2" w:rsidRPr="00CA47B9">
        <w:t xml:space="preserve"> </w:t>
      </w:r>
      <w:r w:rsidRPr="00CA47B9">
        <w:t>assessment</w:t>
      </w:r>
      <w:r w:rsidR="004B41A2" w:rsidRPr="00CA47B9">
        <w:t xml:space="preserve"> </w:t>
      </w:r>
      <w:r w:rsidRPr="00CA47B9">
        <w:t>of</w:t>
      </w:r>
      <w:r w:rsidR="004B41A2" w:rsidRPr="00CA47B9">
        <w:t xml:space="preserve"> </w:t>
      </w:r>
      <w:r w:rsidRPr="00CA47B9">
        <w:t>the</w:t>
      </w:r>
      <w:r w:rsidR="004B41A2" w:rsidRPr="00CA47B9">
        <w:t xml:space="preserve"> </w:t>
      </w:r>
      <w:r w:rsidRPr="00CA47B9">
        <w:t>office</w:t>
      </w:r>
      <w:r w:rsidR="004B41A2" w:rsidRPr="00CA47B9">
        <w:t xml:space="preserve"> </w:t>
      </w:r>
      <w:r w:rsidRPr="00CA47B9">
        <w:t>and</w:t>
      </w:r>
      <w:r w:rsidR="004B41A2" w:rsidRPr="00CA47B9">
        <w:t xml:space="preserve"> </w:t>
      </w:r>
      <w:r w:rsidRPr="00CA47B9">
        <w:t>industrial</w:t>
      </w:r>
      <w:r w:rsidR="004B41A2" w:rsidRPr="00CA47B9">
        <w:t xml:space="preserve"> </w:t>
      </w:r>
      <w:r w:rsidRPr="00CA47B9">
        <w:t>property</w:t>
      </w:r>
      <w:r w:rsidR="004B41A2" w:rsidRPr="00CA47B9">
        <w:t xml:space="preserve"> </w:t>
      </w:r>
      <w:r w:rsidRPr="00CA47B9">
        <w:t>market</w:t>
      </w:r>
      <w:r w:rsidR="004B41A2" w:rsidRPr="00CA47B9">
        <w:t xml:space="preserve"> </w:t>
      </w:r>
      <w:r w:rsidRPr="00CA47B9">
        <w:t>in</w:t>
      </w:r>
      <w:r w:rsidR="004B41A2" w:rsidRPr="00CA47B9">
        <w:t xml:space="preserve"> </w:t>
      </w:r>
      <w:r w:rsidRPr="00CA47B9">
        <w:t>Chichester</w:t>
      </w:r>
      <w:r w:rsidR="004B41A2" w:rsidRPr="00CA47B9">
        <w:t xml:space="preserve"> </w:t>
      </w:r>
      <w:r w:rsidRPr="00CA47B9">
        <w:t>District.</w:t>
      </w:r>
      <w:r w:rsidR="004B41A2" w:rsidRPr="00CA47B9">
        <w:t xml:space="preserve"> </w:t>
      </w:r>
      <w:r w:rsidRPr="00CA47B9">
        <w:t>This</w:t>
      </w:r>
      <w:r w:rsidR="004B41A2" w:rsidRPr="00CA47B9">
        <w:t xml:space="preserve"> </w:t>
      </w:r>
      <w:r w:rsidRPr="00CA47B9">
        <w:t>assessment</w:t>
      </w:r>
      <w:r w:rsidR="004B41A2" w:rsidRPr="00CA47B9">
        <w:t xml:space="preserve"> </w:t>
      </w:r>
      <w:r w:rsidRPr="00CA47B9">
        <w:t>has</w:t>
      </w:r>
      <w:r w:rsidR="004B41A2" w:rsidRPr="00CA47B9">
        <w:t xml:space="preserve"> </w:t>
      </w:r>
      <w:r w:rsidRPr="00CA47B9">
        <w:t>been</w:t>
      </w:r>
      <w:r w:rsidR="004B41A2" w:rsidRPr="00CA47B9">
        <w:t xml:space="preserve"> </w:t>
      </w:r>
      <w:r w:rsidRPr="00CA47B9">
        <w:t>undertaken</w:t>
      </w:r>
      <w:r w:rsidR="004B41A2" w:rsidRPr="00CA47B9">
        <w:t xml:space="preserve"> </w:t>
      </w:r>
      <w:r w:rsidRPr="00CA47B9">
        <w:t>using</w:t>
      </w:r>
      <w:r w:rsidR="004B41A2" w:rsidRPr="00CA47B9">
        <w:t xml:space="preserve"> </w:t>
      </w:r>
      <w:r w:rsidRPr="00CA47B9">
        <w:t>a</w:t>
      </w:r>
      <w:r w:rsidR="004B41A2" w:rsidRPr="00CA47B9">
        <w:t xml:space="preserve"> </w:t>
      </w:r>
      <w:r w:rsidRPr="00CA47B9">
        <w:t>variety</w:t>
      </w:r>
      <w:r w:rsidR="004B41A2" w:rsidRPr="00CA47B9">
        <w:t xml:space="preserve"> </w:t>
      </w:r>
      <w:r w:rsidRPr="00CA47B9">
        <w:t>of</w:t>
      </w:r>
      <w:r w:rsidR="004B41A2" w:rsidRPr="00CA47B9">
        <w:t xml:space="preserve"> </w:t>
      </w:r>
      <w:r w:rsidRPr="00CA47B9">
        <w:t>sources</w:t>
      </w:r>
      <w:r w:rsidR="004B41A2" w:rsidRPr="00CA47B9">
        <w:t xml:space="preserve"> </w:t>
      </w:r>
      <w:r w:rsidRPr="00CA47B9">
        <w:t>including</w:t>
      </w:r>
      <w:r w:rsidR="004B41A2" w:rsidRPr="00CA47B9">
        <w:t xml:space="preserve"> </w:t>
      </w:r>
      <w:r w:rsidRPr="00CA47B9">
        <w:t>take-up</w:t>
      </w:r>
      <w:r w:rsidR="004B41A2" w:rsidRPr="00CA47B9">
        <w:t xml:space="preserve"> </w:t>
      </w:r>
      <w:r w:rsidRPr="00CA47B9">
        <w:t>and</w:t>
      </w:r>
      <w:r w:rsidR="004B41A2" w:rsidRPr="00CA47B9">
        <w:t xml:space="preserve"> </w:t>
      </w:r>
      <w:r w:rsidRPr="00CA47B9">
        <w:t>availability</w:t>
      </w:r>
      <w:r w:rsidR="004B41A2" w:rsidRPr="00CA47B9">
        <w:t xml:space="preserve"> </w:t>
      </w:r>
      <w:r w:rsidRPr="00CA47B9">
        <w:t>data</w:t>
      </w:r>
      <w:r w:rsidR="004B41A2" w:rsidRPr="00CA47B9">
        <w:t xml:space="preserve"> </w:t>
      </w:r>
      <w:r w:rsidRPr="00CA47B9">
        <w:t>from</w:t>
      </w:r>
      <w:r w:rsidR="004B41A2" w:rsidRPr="00CA47B9">
        <w:t xml:space="preserve"> </w:t>
      </w:r>
      <w:r w:rsidRPr="00CA47B9">
        <w:t>the</w:t>
      </w:r>
      <w:r w:rsidR="004B41A2" w:rsidRPr="00CA47B9">
        <w:t xml:space="preserve"> </w:t>
      </w:r>
      <w:r w:rsidRPr="00CA47B9">
        <w:t>Estates</w:t>
      </w:r>
      <w:r w:rsidR="004B41A2" w:rsidRPr="00CA47B9">
        <w:t xml:space="preserve"> </w:t>
      </w:r>
      <w:r w:rsidRPr="00CA47B9">
        <w:t>Gazette</w:t>
      </w:r>
      <w:r w:rsidR="004B41A2" w:rsidRPr="00CA47B9">
        <w:t xml:space="preserve"> </w:t>
      </w:r>
      <w:r w:rsidRPr="00CA47B9">
        <w:t>Interactive</w:t>
      </w:r>
      <w:r w:rsidR="004B41A2" w:rsidRPr="00CA47B9">
        <w:t xml:space="preserve"> </w:t>
      </w:r>
      <w:r w:rsidRPr="00CA47B9">
        <w:t>(EGi)</w:t>
      </w:r>
      <w:r w:rsidR="004B41A2" w:rsidRPr="00CA47B9">
        <w:t xml:space="preserve"> </w:t>
      </w:r>
      <w:r w:rsidRPr="00CA47B9">
        <w:t>database</w:t>
      </w:r>
      <w:r w:rsidR="004B41A2" w:rsidRPr="00CA47B9">
        <w:t xml:space="preserve"> </w:t>
      </w:r>
      <w:r w:rsidRPr="00CA47B9">
        <w:t>and</w:t>
      </w:r>
      <w:r w:rsidR="004B41A2" w:rsidRPr="00CA47B9">
        <w:t xml:space="preserve"> </w:t>
      </w:r>
      <w:r w:rsidRPr="00CA47B9">
        <w:t>the</w:t>
      </w:r>
      <w:r w:rsidR="004B41A2" w:rsidRPr="00CA47B9">
        <w:t xml:space="preserve"> </w:t>
      </w:r>
      <w:r w:rsidRPr="00CA47B9">
        <w:t>Focus</w:t>
      </w:r>
      <w:r w:rsidR="004B41A2" w:rsidRPr="00CA47B9">
        <w:t xml:space="preserve"> </w:t>
      </w:r>
      <w:r w:rsidRPr="00CA47B9">
        <w:t>CoStar</w:t>
      </w:r>
      <w:r w:rsidR="004B41A2" w:rsidRPr="00CA47B9">
        <w:t xml:space="preserve"> </w:t>
      </w:r>
      <w:r w:rsidRPr="00CA47B9">
        <w:t>commercial</w:t>
      </w:r>
      <w:r w:rsidR="004B41A2" w:rsidRPr="00CA47B9">
        <w:t xml:space="preserve"> </w:t>
      </w:r>
      <w:r w:rsidRPr="00CA47B9">
        <w:t>property</w:t>
      </w:r>
      <w:r w:rsidR="004B41A2" w:rsidRPr="00CA47B9">
        <w:t xml:space="preserve"> </w:t>
      </w:r>
      <w:r w:rsidRPr="00CA47B9">
        <w:t>database,</w:t>
      </w:r>
      <w:r w:rsidR="004B41A2" w:rsidRPr="00CA47B9">
        <w:t xml:space="preserve"> </w:t>
      </w:r>
      <w:r w:rsidRPr="00CA47B9">
        <w:t>a</w:t>
      </w:r>
      <w:r w:rsidR="004B41A2" w:rsidRPr="00CA47B9">
        <w:t xml:space="preserve"> </w:t>
      </w:r>
      <w:r w:rsidRPr="00CA47B9">
        <w:t>review</w:t>
      </w:r>
      <w:r w:rsidR="004B41A2" w:rsidRPr="00CA47B9">
        <w:t xml:space="preserve"> </w:t>
      </w:r>
      <w:r w:rsidRPr="00CA47B9">
        <w:t>of</w:t>
      </w:r>
      <w:r w:rsidR="004B41A2" w:rsidRPr="00CA47B9">
        <w:t xml:space="preserve"> </w:t>
      </w:r>
      <w:r w:rsidRPr="00CA47B9">
        <w:t>the</w:t>
      </w:r>
      <w:r w:rsidR="004B41A2" w:rsidRPr="00CA47B9">
        <w:t xml:space="preserve"> </w:t>
      </w:r>
      <w:r w:rsidRPr="00CA47B9">
        <w:t>latest</w:t>
      </w:r>
      <w:r w:rsidR="004B41A2" w:rsidRPr="00CA47B9">
        <w:t xml:space="preserve"> </w:t>
      </w:r>
      <w:r w:rsidRPr="00CA47B9">
        <w:t>commercial</w:t>
      </w:r>
      <w:r w:rsidR="004B41A2" w:rsidRPr="00CA47B9">
        <w:t xml:space="preserve"> </w:t>
      </w:r>
      <w:r w:rsidRPr="00CA47B9">
        <w:t>property</w:t>
      </w:r>
      <w:r w:rsidR="004B41A2" w:rsidRPr="00CA47B9">
        <w:t xml:space="preserve"> </w:t>
      </w:r>
      <w:r w:rsidRPr="00CA47B9">
        <w:t>literature</w:t>
      </w:r>
      <w:r w:rsidR="004B41A2" w:rsidRPr="00CA47B9">
        <w:t xml:space="preserve"> </w:t>
      </w:r>
      <w:r w:rsidRPr="00CA47B9">
        <w:t>and</w:t>
      </w:r>
      <w:r w:rsidR="004B41A2" w:rsidRPr="00CA47B9">
        <w:t xml:space="preserve"> </w:t>
      </w:r>
      <w:r w:rsidRPr="00CA47B9">
        <w:t>stakeholder/property</w:t>
      </w:r>
      <w:r w:rsidR="004B41A2" w:rsidRPr="00CA47B9">
        <w:t xml:space="preserve"> </w:t>
      </w:r>
      <w:r w:rsidRPr="00CA47B9">
        <w:t>agents’</w:t>
      </w:r>
      <w:r w:rsidR="004B41A2" w:rsidRPr="00CA47B9">
        <w:t xml:space="preserve"> </w:t>
      </w:r>
      <w:r w:rsidRPr="00CA47B9">
        <w:t>consultation.</w:t>
      </w:r>
      <w:r w:rsidR="00327608">
        <w:t xml:space="preserve"> This section updates the 2018 HEDNA with information released since that time and additional consultations. Where original matters remain unchanged they have been included for completeness.</w:t>
      </w:r>
    </w:p>
    <w:p w:rsidR="00627969" w:rsidRPr="00CA47B9" w:rsidRDefault="00F07173" w:rsidP="00AF0118">
      <w:pPr>
        <w:pStyle w:val="11Bodytext"/>
        <w:tabs>
          <w:tab w:val="clear" w:pos="2212"/>
          <w:tab w:val="num" w:pos="567"/>
        </w:tabs>
        <w:ind w:left="567" w:hanging="567"/>
      </w:pPr>
      <w:r>
        <w:t>The VOA data is only available at a local authority level and thus is presented for the entirety of the Chichester District. The CoStar and EGi analysis, however, has been analysed according to sub-area and thus takes into account data without the South Downs National Park area.</w:t>
      </w:r>
    </w:p>
    <w:p w:rsidR="00B0298E" w:rsidRPr="00CA47B9" w:rsidRDefault="00B0298E" w:rsidP="006765B7">
      <w:pPr>
        <w:pStyle w:val="Addressline1"/>
        <w:ind w:left="567" w:firstLine="0"/>
      </w:pPr>
      <w:r w:rsidRPr="00CA47B9">
        <w:t>Office</w:t>
      </w:r>
      <w:r w:rsidR="004B41A2" w:rsidRPr="00CA47B9">
        <w:t xml:space="preserve"> </w:t>
      </w:r>
      <w:r w:rsidRPr="00CA47B9">
        <w:t>Market</w:t>
      </w:r>
      <w:r w:rsidR="004B41A2" w:rsidRPr="00CA47B9">
        <w:t xml:space="preserve"> </w:t>
      </w:r>
      <w:r w:rsidRPr="00CA47B9">
        <w:t>Review</w:t>
      </w:r>
    </w:p>
    <w:p w:rsidR="00B0298E" w:rsidRPr="00CA47B9" w:rsidRDefault="00B0298E" w:rsidP="00AF0118">
      <w:pPr>
        <w:pStyle w:val="11Bodytext"/>
        <w:tabs>
          <w:tab w:val="clear" w:pos="2212"/>
          <w:tab w:val="num" w:pos="567"/>
        </w:tabs>
        <w:ind w:left="567" w:hanging="567"/>
      </w:pPr>
      <w:r w:rsidRPr="00CA47B9">
        <w:t>This</w:t>
      </w:r>
      <w:r w:rsidR="004B41A2" w:rsidRPr="00CA47B9">
        <w:t xml:space="preserve"> </w:t>
      </w:r>
      <w:r w:rsidRPr="00CA47B9">
        <w:t>section</w:t>
      </w:r>
      <w:r w:rsidR="004B41A2" w:rsidRPr="00CA47B9">
        <w:t xml:space="preserve"> </w:t>
      </w:r>
      <w:r w:rsidRPr="00CA47B9">
        <w:t>provides</w:t>
      </w:r>
      <w:r w:rsidR="004B41A2" w:rsidRPr="00CA47B9">
        <w:t xml:space="preserve"> </w:t>
      </w:r>
      <w:r w:rsidRPr="00CA47B9">
        <w:t>an</w:t>
      </w:r>
      <w:r w:rsidR="004B41A2" w:rsidRPr="00CA47B9">
        <w:t xml:space="preserve"> </w:t>
      </w:r>
      <w:r w:rsidRPr="00CA47B9">
        <w:t>assessment</w:t>
      </w:r>
      <w:r w:rsidR="004B41A2" w:rsidRPr="00CA47B9">
        <w:t xml:space="preserve"> </w:t>
      </w:r>
      <w:r w:rsidRPr="00CA47B9">
        <w:t>of</w:t>
      </w:r>
      <w:r w:rsidR="004B41A2" w:rsidRPr="00CA47B9">
        <w:t xml:space="preserve"> </w:t>
      </w:r>
      <w:r w:rsidRPr="00CA47B9">
        <w:t>the</w:t>
      </w:r>
      <w:r w:rsidR="004B41A2" w:rsidRPr="00CA47B9">
        <w:t xml:space="preserve"> </w:t>
      </w:r>
      <w:r w:rsidRPr="00CA47B9">
        <w:t>Chichester</w:t>
      </w:r>
      <w:r w:rsidR="004B41A2" w:rsidRPr="00CA47B9">
        <w:t xml:space="preserve"> </w:t>
      </w:r>
      <w:r w:rsidRPr="00CA47B9">
        <w:t>District</w:t>
      </w:r>
      <w:r w:rsidR="004B41A2" w:rsidRPr="00CA47B9">
        <w:t xml:space="preserve"> </w:t>
      </w:r>
      <w:r w:rsidRPr="00CA47B9">
        <w:t>office</w:t>
      </w:r>
      <w:r w:rsidR="004B41A2" w:rsidRPr="00CA47B9">
        <w:t xml:space="preserve"> </w:t>
      </w:r>
      <w:r w:rsidRPr="00CA47B9">
        <w:t>market</w:t>
      </w:r>
      <w:r w:rsidR="004B41A2" w:rsidRPr="00CA47B9">
        <w:t xml:space="preserve"> </w:t>
      </w:r>
      <w:r w:rsidR="00E15D13" w:rsidRPr="00CA47B9">
        <w:t>compared</w:t>
      </w:r>
      <w:r w:rsidR="004B41A2" w:rsidRPr="00CA47B9">
        <w:t xml:space="preserve"> </w:t>
      </w:r>
      <w:r w:rsidRPr="00CA47B9">
        <w:t>with</w:t>
      </w:r>
      <w:r w:rsidR="004B41A2" w:rsidRPr="00CA47B9">
        <w:t xml:space="preserve"> </w:t>
      </w:r>
      <w:r w:rsidRPr="00CA47B9">
        <w:t>office</w:t>
      </w:r>
      <w:r w:rsidR="004B41A2" w:rsidRPr="00CA47B9">
        <w:t xml:space="preserve"> </w:t>
      </w:r>
      <w:r w:rsidRPr="00CA47B9">
        <w:t>markets</w:t>
      </w:r>
      <w:r w:rsidR="004B41A2" w:rsidRPr="00CA47B9">
        <w:t xml:space="preserve"> </w:t>
      </w:r>
      <w:r w:rsidRPr="00CA47B9">
        <w:t>of</w:t>
      </w:r>
      <w:r w:rsidR="004B41A2" w:rsidRPr="00CA47B9">
        <w:t xml:space="preserve"> </w:t>
      </w:r>
      <w:r w:rsidR="00E15D13" w:rsidRPr="00CA47B9">
        <w:t>similar</w:t>
      </w:r>
      <w:r w:rsidR="004B41A2" w:rsidRPr="00CA47B9">
        <w:t xml:space="preserve"> </w:t>
      </w:r>
      <w:r w:rsidRPr="00CA47B9">
        <w:t>local</w:t>
      </w:r>
      <w:r w:rsidR="004B41A2" w:rsidRPr="00CA47B9">
        <w:t xml:space="preserve"> </w:t>
      </w:r>
      <w:r w:rsidRPr="00CA47B9">
        <w:t>authorities.</w:t>
      </w:r>
      <w:r w:rsidR="004B41A2" w:rsidRPr="00CA47B9">
        <w:t xml:space="preserve"> </w:t>
      </w:r>
      <w:r w:rsidRPr="00CA47B9">
        <w:t>The</w:t>
      </w:r>
      <w:r w:rsidR="004B41A2" w:rsidRPr="00CA47B9">
        <w:t xml:space="preserve"> </w:t>
      </w:r>
      <w:r w:rsidRPr="00CA47B9">
        <w:t>quantitative</w:t>
      </w:r>
      <w:r w:rsidR="004B41A2" w:rsidRPr="00CA47B9">
        <w:t xml:space="preserve"> </w:t>
      </w:r>
      <w:r w:rsidRPr="00CA47B9">
        <w:t>analysis</w:t>
      </w:r>
      <w:r w:rsidR="004B41A2" w:rsidRPr="00CA47B9">
        <w:t xml:space="preserve"> </w:t>
      </w:r>
      <w:r w:rsidRPr="00CA47B9">
        <w:t>for</w:t>
      </w:r>
      <w:r w:rsidR="004B41A2" w:rsidRPr="00CA47B9">
        <w:t xml:space="preserve"> </w:t>
      </w:r>
      <w:r w:rsidRPr="00CA47B9">
        <w:t>the</w:t>
      </w:r>
      <w:r w:rsidR="004B41A2" w:rsidRPr="00CA47B9">
        <w:t xml:space="preserve"> </w:t>
      </w:r>
      <w:r w:rsidRPr="00CA47B9">
        <w:t>District</w:t>
      </w:r>
      <w:r w:rsidR="004B41A2" w:rsidRPr="00CA47B9">
        <w:t xml:space="preserve"> </w:t>
      </w:r>
      <w:r w:rsidRPr="00CA47B9">
        <w:t>itself</w:t>
      </w:r>
      <w:r w:rsidR="004B41A2" w:rsidRPr="00CA47B9">
        <w:t xml:space="preserve"> </w:t>
      </w:r>
      <w:r w:rsidRPr="00CA47B9">
        <w:t>in</w:t>
      </w:r>
      <w:r w:rsidR="004B41A2" w:rsidRPr="00CA47B9">
        <w:t xml:space="preserve"> </w:t>
      </w:r>
      <w:r w:rsidRPr="00CA47B9">
        <w:t>terms</w:t>
      </w:r>
      <w:r w:rsidR="004B41A2" w:rsidRPr="00CA47B9">
        <w:t xml:space="preserve"> </w:t>
      </w:r>
      <w:r w:rsidRPr="00CA47B9">
        <w:t>of</w:t>
      </w:r>
      <w:r w:rsidR="004B41A2" w:rsidRPr="00CA47B9">
        <w:t xml:space="preserve"> </w:t>
      </w:r>
      <w:r w:rsidRPr="00CA47B9">
        <w:t>past</w:t>
      </w:r>
      <w:r w:rsidR="004B41A2" w:rsidRPr="00CA47B9">
        <w:t xml:space="preserve"> </w:t>
      </w:r>
      <w:r w:rsidRPr="00CA47B9">
        <w:t>take-up</w:t>
      </w:r>
      <w:r w:rsidR="004B41A2" w:rsidRPr="00CA47B9">
        <w:t xml:space="preserve"> </w:t>
      </w:r>
      <w:r w:rsidRPr="00CA47B9">
        <w:t>has</w:t>
      </w:r>
      <w:r w:rsidR="004B41A2" w:rsidRPr="00CA47B9">
        <w:t xml:space="preserve"> </w:t>
      </w:r>
      <w:r w:rsidRPr="00CA47B9">
        <w:t>been</w:t>
      </w:r>
      <w:r w:rsidR="004B41A2" w:rsidRPr="00CA47B9">
        <w:t xml:space="preserve"> </w:t>
      </w:r>
      <w:r w:rsidRPr="00CA47B9">
        <w:t>based</w:t>
      </w:r>
      <w:r w:rsidR="004B41A2" w:rsidRPr="00CA47B9">
        <w:t xml:space="preserve"> </w:t>
      </w:r>
      <w:r w:rsidRPr="00CA47B9">
        <w:t>on</w:t>
      </w:r>
      <w:r w:rsidR="004B41A2" w:rsidRPr="00CA47B9">
        <w:t xml:space="preserve"> </w:t>
      </w:r>
      <w:r w:rsidRPr="00CA47B9">
        <w:t>transactions</w:t>
      </w:r>
      <w:r w:rsidR="004B41A2" w:rsidRPr="00CA47B9">
        <w:t xml:space="preserve"> </w:t>
      </w:r>
      <w:r w:rsidRPr="00CA47B9">
        <w:t>recorded</w:t>
      </w:r>
      <w:r w:rsidR="004B41A2" w:rsidRPr="00CA47B9">
        <w:t xml:space="preserve"> </w:t>
      </w:r>
      <w:r w:rsidRPr="00CA47B9">
        <w:t>on</w:t>
      </w:r>
      <w:r w:rsidR="004B41A2" w:rsidRPr="00CA47B9">
        <w:t xml:space="preserve"> </w:t>
      </w:r>
      <w:r w:rsidRPr="00CA47B9">
        <w:t>EGi</w:t>
      </w:r>
      <w:r w:rsidR="004B41A2" w:rsidRPr="00CA47B9">
        <w:t xml:space="preserve"> </w:t>
      </w:r>
      <w:r w:rsidRPr="00CA47B9">
        <w:t>and</w:t>
      </w:r>
      <w:r w:rsidR="004B41A2" w:rsidRPr="00CA47B9">
        <w:t xml:space="preserve"> </w:t>
      </w:r>
      <w:r w:rsidRPr="00CA47B9">
        <w:t>CoStar</w:t>
      </w:r>
      <w:r w:rsidRPr="00CA47B9">
        <w:rPr>
          <w:rStyle w:val="FootnoteReference"/>
          <w:color w:val="auto"/>
        </w:rPr>
        <w:footnoteReference w:id="15"/>
      </w:r>
      <w:r w:rsidR="006128D8" w:rsidRPr="00CA47B9">
        <w:t>.</w:t>
      </w:r>
      <w:r w:rsidR="004B41A2" w:rsidRPr="00CA47B9">
        <w:t xml:space="preserve"> </w:t>
      </w:r>
      <w:r w:rsidR="005B15AD">
        <w:t xml:space="preserve">The quantitative analysis has been supplemented </w:t>
      </w:r>
      <w:r w:rsidRPr="00CA47B9">
        <w:t>through</w:t>
      </w:r>
      <w:r w:rsidR="004B41A2" w:rsidRPr="00CA47B9">
        <w:t xml:space="preserve"> </w:t>
      </w:r>
      <w:r w:rsidRPr="00CA47B9">
        <w:t>engagement</w:t>
      </w:r>
      <w:r w:rsidR="004B41A2" w:rsidRPr="00CA47B9">
        <w:t xml:space="preserve"> </w:t>
      </w:r>
      <w:r w:rsidRPr="00CA47B9">
        <w:t>with</w:t>
      </w:r>
      <w:r w:rsidR="004B41A2" w:rsidRPr="00CA47B9">
        <w:t xml:space="preserve"> </w:t>
      </w:r>
      <w:r w:rsidRPr="00CA47B9">
        <w:t>commercial</w:t>
      </w:r>
      <w:r w:rsidR="004B41A2" w:rsidRPr="00CA47B9">
        <w:t xml:space="preserve"> </w:t>
      </w:r>
      <w:r w:rsidRPr="00CA47B9">
        <w:t>agents.</w:t>
      </w:r>
      <w:r w:rsidR="004B41A2" w:rsidRPr="00CA47B9">
        <w:t xml:space="preserve"> </w:t>
      </w:r>
    </w:p>
    <w:p w:rsidR="00B0298E" w:rsidRPr="00CA47B9" w:rsidRDefault="002835A5" w:rsidP="00AF0118">
      <w:pPr>
        <w:pStyle w:val="11Bodytext"/>
        <w:tabs>
          <w:tab w:val="clear" w:pos="2212"/>
          <w:tab w:val="num" w:pos="567"/>
        </w:tabs>
        <w:ind w:left="567" w:hanging="567"/>
      </w:pPr>
      <w:r>
        <w:t>According to the Valuation Office Agency based on property surveys for ratings, t</w:t>
      </w:r>
      <w:r w:rsidRPr="00CA47B9">
        <w:t xml:space="preserve">he </w:t>
      </w:r>
      <w:r w:rsidR="00B0298E" w:rsidRPr="00CA47B9">
        <w:t>amount</w:t>
      </w:r>
      <w:r w:rsidR="004B41A2" w:rsidRPr="00CA47B9">
        <w:t xml:space="preserve"> </w:t>
      </w:r>
      <w:r w:rsidR="00B0298E" w:rsidRPr="00CA47B9">
        <w:t>of</w:t>
      </w:r>
      <w:r w:rsidR="004B41A2" w:rsidRPr="00CA47B9">
        <w:t xml:space="preserve"> </w:t>
      </w:r>
      <w:r w:rsidR="00B0298E" w:rsidRPr="00CA47B9">
        <w:t>office</w:t>
      </w:r>
      <w:r w:rsidR="004B41A2" w:rsidRPr="00CA47B9">
        <w:t xml:space="preserve"> </w:t>
      </w:r>
      <w:r w:rsidR="00B0298E" w:rsidRPr="00CA47B9">
        <w:t>floorspace</w:t>
      </w:r>
      <w:r w:rsidR="004B41A2" w:rsidRPr="00CA47B9">
        <w:t xml:space="preserve"> </w:t>
      </w:r>
      <w:r w:rsidR="00B0298E" w:rsidRPr="00CA47B9">
        <w:t>in</w:t>
      </w:r>
      <w:r w:rsidR="004B41A2" w:rsidRPr="00CA47B9">
        <w:t xml:space="preserve"> </w:t>
      </w:r>
      <w:r w:rsidR="00B0298E" w:rsidRPr="00CA47B9">
        <w:t>Chichester</w:t>
      </w:r>
      <w:r w:rsidR="004B41A2" w:rsidRPr="00CA47B9">
        <w:t xml:space="preserve"> </w:t>
      </w:r>
      <w:r w:rsidR="00780358" w:rsidRPr="00CA47B9">
        <w:t>District</w:t>
      </w:r>
      <w:r w:rsidR="004B41A2" w:rsidRPr="00CA47B9">
        <w:t xml:space="preserve"> </w:t>
      </w:r>
      <w:r w:rsidR="00B0298E" w:rsidRPr="00CA47B9">
        <w:t>in</w:t>
      </w:r>
      <w:r w:rsidR="004B41A2" w:rsidRPr="00CA47B9">
        <w:t xml:space="preserve"> </w:t>
      </w:r>
      <w:r w:rsidR="00B0298E" w:rsidRPr="00CA47B9">
        <w:t>201</w:t>
      </w:r>
      <w:r w:rsidR="00260812" w:rsidRPr="00CA47B9">
        <w:t>8</w:t>
      </w:r>
      <w:r w:rsidR="004B41A2" w:rsidRPr="00CA47B9">
        <w:t xml:space="preserve"> </w:t>
      </w:r>
      <w:r w:rsidR="00B0298E" w:rsidRPr="00CA47B9">
        <w:t>was</w:t>
      </w:r>
      <w:r w:rsidR="004B41A2" w:rsidRPr="00CA47B9">
        <w:t xml:space="preserve"> </w:t>
      </w:r>
      <w:r w:rsidR="00B0298E" w:rsidRPr="00CA47B9">
        <w:t>10</w:t>
      </w:r>
      <w:r w:rsidR="00260812" w:rsidRPr="00CA47B9">
        <w:t>1</w:t>
      </w:r>
      <w:r w:rsidR="00B0298E" w:rsidRPr="00CA47B9">
        <w:t>,000</w:t>
      </w:r>
      <w:r w:rsidR="004B41A2" w:rsidRPr="00CA47B9">
        <w:t xml:space="preserve"> </w:t>
      </w:r>
      <w:r w:rsidR="00D50065" w:rsidRPr="00CA47B9">
        <w:t>sqm</w:t>
      </w:r>
      <w:r w:rsidR="00B0298E" w:rsidRPr="00CA47B9">
        <w:t>.</w:t>
      </w:r>
      <w:r w:rsidR="004B41A2" w:rsidRPr="00CA47B9">
        <w:t xml:space="preserve"> </w:t>
      </w:r>
      <w:r w:rsidR="002E26AC">
        <w:t>This excludes</w:t>
      </w:r>
      <w:r>
        <w:t xml:space="preserve"> high street financial and professional services that might otherwise be classified as retail space, or other research and development type lab space. </w:t>
      </w:r>
    </w:p>
    <w:p w:rsidR="00B0298E" w:rsidRPr="00CA47B9" w:rsidRDefault="00B0298E" w:rsidP="005D5606">
      <w:pPr>
        <w:pStyle w:val="Tableheading"/>
        <w:tabs>
          <w:tab w:val="clear" w:pos="794"/>
          <w:tab w:val="clear" w:pos="1843"/>
          <w:tab w:val="left" w:pos="0"/>
        </w:tabs>
        <w:spacing w:line="240" w:lineRule="auto"/>
        <w:ind w:left="0" w:firstLine="0"/>
      </w:pPr>
      <w:r w:rsidRPr="00CA47B9">
        <w:lastRenderedPageBreak/>
        <w:t>Office</w:t>
      </w:r>
      <w:r w:rsidR="004B41A2" w:rsidRPr="00CA47B9">
        <w:t xml:space="preserve"> </w:t>
      </w:r>
      <w:r w:rsidRPr="00CA47B9">
        <w:t>Floorspace,</w:t>
      </w:r>
      <w:r w:rsidR="004B41A2" w:rsidRPr="00CA47B9">
        <w:t xml:space="preserve"> </w:t>
      </w:r>
      <w:r w:rsidRPr="00CA47B9">
        <w:t>201</w:t>
      </w:r>
      <w:r w:rsidR="008156A5" w:rsidRPr="00CA47B9">
        <w:t>8</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50: Office Floorspace, 2018"/>
      </w:tblPr>
      <w:tblGrid>
        <w:gridCol w:w="4815"/>
        <w:gridCol w:w="4823"/>
      </w:tblGrid>
      <w:tr w:rsidR="00F64D05" w:rsidRPr="00795E1F" w:rsidTr="005D5606">
        <w:trPr>
          <w:tblHeader/>
        </w:trPr>
        <w:tc>
          <w:tcPr>
            <w:tcW w:w="2498" w:type="pct"/>
            <w:shd w:val="clear" w:color="000000" w:fill="0093D5"/>
            <w:noWrap/>
            <w:vAlign w:val="center"/>
            <w:hideMark/>
          </w:tcPr>
          <w:p w:rsidR="00F64D05" w:rsidRPr="00795E1F" w:rsidRDefault="00120774" w:rsidP="00795E1F">
            <w:pPr>
              <w:keepNext/>
              <w:rPr>
                <w:rFonts w:eastAsia="Times New Roman"/>
                <w:color w:val="FFFFFF"/>
                <w:sz w:val="24"/>
                <w:szCs w:val="24"/>
                <w:lang w:eastAsia="en-GB"/>
              </w:rPr>
            </w:pPr>
            <w:r w:rsidRPr="00795E1F">
              <w:rPr>
                <w:rFonts w:eastAsia="Times New Roman"/>
                <w:color w:val="FFFFFF"/>
                <w:sz w:val="24"/>
                <w:szCs w:val="24"/>
                <w:lang w:eastAsia="en-GB"/>
              </w:rPr>
              <w:t>Geography</w:t>
            </w:r>
          </w:p>
        </w:tc>
        <w:tc>
          <w:tcPr>
            <w:tcW w:w="2502" w:type="pct"/>
            <w:shd w:val="clear" w:color="000000" w:fill="0093D5"/>
            <w:noWrap/>
            <w:vAlign w:val="center"/>
            <w:hideMark/>
          </w:tcPr>
          <w:p w:rsidR="00F64D05" w:rsidRPr="00795E1F" w:rsidRDefault="00F64D05" w:rsidP="00795E1F">
            <w:pPr>
              <w:keepNext/>
              <w:jc w:val="center"/>
              <w:rPr>
                <w:rFonts w:eastAsia="Times New Roman"/>
                <w:color w:val="FFFFFF"/>
                <w:sz w:val="24"/>
                <w:szCs w:val="24"/>
                <w:lang w:eastAsia="en-GB"/>
              </w:rPr>
            </w:pPr>
            <w:r w:rsidRPr="00795E1F">
              <w:rPr>
                <w:rFonts w:eastAsia="Times New Roman"/>
                <w:color w:val="FFFFFF"/>
                <w:sz w:val="24"/>
                <w:szCs w:val="24"/>
                <w:lang w:eastAsia="en-GB"/>
              </w:rPr>
              <w:t>Office Floorspace (‘000 sqm)</w:t>
            </w:r>
          </w:p>
        </w:tc>
      </w:tr>
      <w:tr w:rsidR="00F64D05" w:rsidRPr="00795E1F" w:rsidTr="005D5606">
        <w:tc>
          <w:tcPr>
            <w:tcW w:w="2498" w:type="pct"/>
            <w:shd w:val="clear" w:color="auto" w:fill="auto"/>
            <w:noWrap/>
            <w:vAlign w:val="center"/>
            <w:hideMark/>
          </w:tcPr>
          <w:p w:rsidR="00F64D05" w:rsidRPr="00795E1F" w:rsidRDefault="00F64D05" w:rsidP="00795E1F">
            <w:pPr>
              <w:keepNext/>
              <w:rPr>
                <w:rFonts w:eastAsia="Times New Roman"/>
                <w:b/>
                <w:bCs/>
                <w:color w:val="auto"/>
                <w:sz w:val="24"/>
                <w:szCs w:val="24"/>
                <w:lang w:eastAsia="en-GB"/>
              </w:rPr>
            </w:pPr>
            <w:r w:rsidRPr="00795E1F">
              <w:rPr>
                <w:rFonts w:eastAsia="Times New Roman"/>
                <w:b/>
                <w:bCs/>
                <w:color w:val="auto"/>
                <w:sz w:val="24"/>
                <w:szCs w:val="24"/>
                <w:lang w:eastAsia="en-GB"/>
              </w:rPr>
              <w:t>Chichester District</w:t>
            </w:r>
          </w:p>
        </w:tc>
        <w:tc>
          <w:tcPr>
            <w:tcW w:w="2502" w:type="pct"/>
            <w:shd w:val="clear" w:color="auto" w:fill="auto"/>
            <w:noWrap/>
            <w:vAlign w:val="center"/>
            <w:hideMark/>
          </w:tcPr>
          <w:p w:rsidR="00F64D05" w:rsidRPr="00795E1F" w:rsidRDefault="00F64D05" w:rsidP="00795E1F">
            <w:pPr>
              <w:keepNext/>
              <w:jc w:val="center"/>
              <w:rPr>
                <w:rFonts w:eastAsia="Times New Roman"/>
                <w:b/>
                <w:bCs/>
                <w:color w:val="auto"/>
                <w:sz w:val="24"/>
                <w:szCs w:val="24"/>
                <w:lang w:eastAsia="en-GB"/>
              </w:rPr>
            </w:pPr>
            <w:r w:rsidRPr="00795E1F">
              <w:rPr>
                <w:rFonts w:eastAsia="Times New Roman"/>
                <w:b/>
                <w:bCs/>
                <w:color w:val="auto"/>
                <w:sz w:val="24"/>
                <w:szCs w:val="24"/>
                <w:lang w:eastAsia="en-GB"/>
              </w:rPr>
              <w:t>101</w:t>
            </w:r>
          </w:p>
        </w:tc>
      </w:tr>
      <w:tr w:rsidR="00F64D05" w:rsidRPr="00795E1F" w:rsidTr="005D5606">
        <w:tc>
          <w:tcPr>
            <w:tcW w:w="2498" w:type="pct"/>
            <w:shd w:val="clear" w:color="auto" w:fill="auto"/>
            <w:noWrap/>
            <w:vAlign w:val="center"/>
            <w:hideMark/>
          </w:tcPr>
          <w:p w:rsidR="00F64D05" w:rsidRPr="00795E1F" w:rsidRDefault="00F64D05" w:rsidP="00795E1F">
            <w:pPr>
              <w:keepNext/>
              <w:rPr>
                <w:rFonts w:eastAsia="Times New Roman"/>
                <w:color w:val="auto"/>
                <w:sz w:val="24"/>
                <w:szCs w:val="24"/>
                <w:lang w:eastAsia="en-GB"/>
              </w:rPr>
            </w:pPr>
            <w:r w:rsidRPr="00795E1F">
              <w:rPr>
                <w:rFonts w:eastAsia="Times New Roman"/>
                <w:color w:val="auto"/>
                <w:sz w:val="24"/>
                <w:szCs w:val="24"/>
                <w:lang w:eastAsia="en-GB"/>
              </w:rPr>
              <w:t>Arun</w:t>
            </w:r>
          </w:p>
        </w:tc>
        <w:tc>
          <w:tcPr>
            <w:tcW w:w="2502" w:type="pct"/>
            <w:shd w:val="clear" w:color="auto" w:fill="auto"/>
            <w:noWrap/>
            <w:vAlign w:val="center"/>
            <w:hideMark/>
          </w:tcPr>
          <w:p w:rsidR="00F64D05" w:rsidRPr="00795E1F" w:rsidRDefault="00F64D05" w:rsidP="00795E1F">
            <w:pPr>
              <w:keepNext/>
              <w:jc w:val="center"/>
              <w:rPr>
                <w:rFonts w:eastAsia="Times New Roman"/>
                <w:color w:val="auto"/>
                <w:sz w:val="24"/>
                <w:szCs w:val="24"/>
                <w:lang w:eastAsia="en-GB"/>
              </w:rPr>
            </w:pPr>
            <w:r w:rsidRPr="00795E1F">
              <w:rPr>
                <w:rFonts w:eastAsia="Times New Roman"/>
                <w:color w:val="auto"/>
                <w:sz w:val="24"/>
                <w:szCs w:val="24"/>
                <w:lang w:eastAsia="en-GB"/>
              </w:rPr>
              <w:t>54</w:t>
            </w:r>
          </w:p>
        </w:tc>
      </w:tr>
      <w:tr w:rsidR="00F64D05" w:rsidRPr="00795E1F" w:rsidTr="005D5606">
        <w:tc>
          <w:tcPr>
            <w:tcW w:w="2498" w:type="pct"/>
            <w:shd w:val="clear" w:color="auto" w:fill="auto"/>
            <w:noWrap/>
            <w:vAlign w:val="center"/>
            <w:hideMark/>
          </w:tcPr>
          <w:p w:rsidR="00F64D05" w:rsidRPr="00795E1F" w:rsidRDefault="00F64D05" w:rsidP="00795E1F">
            <w:pPr>
              <w:keepNext/>
              <w:rPr>
                <w:rFonts w:eastAsia="Times New Roman"/>
                <w:color w:val="auto"/>
                <w:sz w:val="24"/>
                <w:szCs w:val="24"/>
                <w:lang w:eastAsia="en-GB"/>
              </w:rPr>
            </w:pPr>
            <w:r w:rsidRPr="00795E1F">
              <w:rPr>
                <w:rFonts w:eastAsia="Times New Roman"/>
                <w:color w:val="auto"/>
                <w:sz w:val="24"/>
                <w:szCs w:val="24"/>
                <w:lang w:eastAsia="en-GB"/>
              </w:rPr>
              <w:t>Havant</w:t>
            </w:r>
          </w:p>
        </w:tc>
        <w:tc>
          <w:tcPr>
            <w:tcW w:w="2502" w:type="pct"/>
            <w:shd w:val="clear" w:color="auto" w:fill="auto"/>
            <w:noWrap/>
            <w:vAlign w:val="center"/>
            <w:hideMark/>
          </w:tcPr>
          <w:p w:rsidR="00F64D05" w:rsidRPr="00795E1F" w:rsidRDefault="00F64D05" w:rsidP="00795E1F">
            <w:pPr>
              <w:keepNext/>
              <w:jc w:val="center"/>
              <w:rPr>
                <w:rFonts w:eastAsia="Times New Roman"/>
                <w:color w:val="auto"/>
                <w:sz w:val="24"/>
                <w:szCs w:val="24"/>
                <w:lang w:eastAsia="en-GB"/>
              </w:rPr>
            </w:pPr>
            <w:r w:rsidRPr="00795E1F">
              <w:rPr>
                <w:rFonts w:eastAsia="Times New Roman"/>
                <w:color w:val="auto"/>
                <w:sz w:val="24"/>
                <w:szCs w:val="24"/>
                <w:lang w:eastAsia="en-GB"/>
              </w:rPr>
              <w:t>97</w:t>
            </w:r>
          </w:p>
        </w:tc>
      </w:tr>
      <w:tr w:rsidR="00F64D05" w:rsidRPr="00795E1F" w:rsidTr="005D5606">
        <w:tc>
          <w:tcPr>
            <w:tcW w:w="2498" w:type="pct"/>
            <w:shd w:val="clear" w:color="auto" w:fill="auto"/>
            <w:noWrap/>
            <w:vAlign w:val="center"/>
            <w:hideMark/>
          </w:tcPr>
          <w:p w:rsidR="00F64D05" w:rsidRPr="00795E1F" w:rsidRDefault="00F64D05" w:rsidP="00795E1F">
            <w:pPr>
              <w:keepNext/>
              <w:rPr>
                <w:rFonts w:eastAsia="Times New Roman"/>
                <w:color w:val="auto"/>
                <w:sz w:val="24"/>
                <w:szCs w:val="24"/>
                <w:lang w:eastAsia="en-GB"/>
              </w:rPr>
            </w:pPr>
            <w:r w:rsidRPr="00795E1F">
              <w:rPr>
                <w:rFonts w:eastAsia="Times New Roman"/>
                <w:color w:val="auto"/>
                <w:sz w:val="24"/>
                <w:szCs w:val="24"/>
                <w:lang w:eastAsia="en-GB"/>
              </w:rPr>
              <w:t>Waverley</w:t>
            </w:r>
          </w:p>
        </w:tc>
        <w:tc>
          <w:tcPr>
            <w:tcW w:w="2502" w:type="pct"/>
            <w:shd w:val="clear" w:color="auto" w:fill="auto"/>
            <w:noWrap/>
            <w:vAlign w:val="center"/>
            <w:hideMark/>
          </w:tcPr>
          <w:p w:rsidR="00F64D05" w:rsidRPr="00795E1F" w:rsidRDefault="00F64D05" w:rsidP="00795E1F">
            <w:pPr>
              <w:keepNext/>
              <w:jc w:val="center"/>
              <w:rPr>
                <w:rFonts w:eastAsia="Times New Roman"/>
                <w:color w:val="auto"/>
                <w:sz w:val="24"/>
                <w:szCs w:val="24"/>
                <w:lang w:eastAsia="en-GB"/>
              </w:rPr>
            </w:pPr>
            <w:r w:rsidRPr="00795E1F">
              <w:rPr>
                <w:rFonts w:eastAsia="Times New Roman"/>
                <w:color w:val="auto"/>
                <w:sz w:val="24"/>
                <w:szCs w:val="24"/>
                <w:lang w:eastAsia="en-GB"/>
              </w:rPr>
              <w:t>120</w:t>
            </w:r>
          </w:p>
        </w:tc>
      </w:tr>
      <w:tr w:rsidR="00F64D05" w:rsidRPr="00795E1F" w:rsidTr="005D5606">
        <w:tc>
          <w:tcPr>
            <w:tcW w:w="2498" w:type="pct"/>
            <w:shd w:val="clear" w:color="auto" w:fill="auto"/>
            <w:noWrap/>
            <w:vAlign w:val="center"/>
            <w:hideMark/>
          </w:tcPr>
          <w:p w:rsidR="00F64D05" w:rsidRPr="00795E1F" w:rsidRDefault="00F64D05" w:rsidP="00795E1F">
            <w:pPr>
              <w:keepNext/>
              <w:rPr>
                <w:rFonts w:eastAsia="Times New Roman"/>
                <w:color w:val="auto"/>
                <w:sz w:val="24"/>
                <w:szCs w:val="24"/>
                <w:lang w:eastAsia="en-GB"/>
              </w:rPr>
            </w:pPr>
            <w:r w:rsidRPr="00795E1F">
              <w:rPr>
                <w:rFonts w:eastAsia="Times New Roman"/>
                <w:color w:val="auto"/>
                <w:sz w:val="24"/>
                <w:szCs w:val="24"/>
                <w:lang w:eastAsia="en-GB"/>
              </w:rPr>
              <w:t>Horsham</w:t>
            </w:r>
          </w:p>
        </w:tc>
        <w:tc>
          <w:tcPr>
            <w:tcW w:w="2502" w:type="pct"/>
            <w:shd w:val="clear" w:color="auto" w:fill="auto"/>
            <w:noWrap/>
            <w:vAlign w:val="center"/>
            <w:hideMark/>
          </w:tcPr>
          <w:p w:rsidR="00F64D05" w:rsidRPr="00795E1F" w:rsidRDefault="00F64D05" w:rsidP="00795E1F">
            <w:pPr>
              <w:keepNext/>
              <w:jc w:val="center"/>
              <w:rPr>
                <w:rFonts w:eastAsia="Times New Roman"/>
                <w:color w:val="auto"/>
                <w:sz w:val="24"/>
                <w:szCs w:val="24"/>
                <w:lang w:eastAsia="en-GB"/>
              </w:rPr>
            </w:pPr>
            <w:r w:rsidRPr="00795E1F">
              <w:rPr>
                <w:rFonts w:eastAsia="Times New Roman"/>
                <w:color w:val="auto"/>
                <w:sz w:val="24"/>
                <w:szCs w:val="24"/>
                <w:lang w:eastAsia="en-GB"/>
              </w:rPr>
              <w:t>145</w:t>
            </w:r>
          </w:p>
        </w:tc>
      </w:tr>
      <w:tr w:rsidR="00F64D05" w:rsidRPr="00795E1F" w:rsidTr="005D5606">
        <w:tc>
          <w:tcPr>
            <w:tcW w:w="2498" w:type="pct"/>
            <w:shd w:val="clear" w:color="auto" w:fill="auto"/>
            <w:noWrap/>
            <w:vAlign w:val="center"/>
            <w:hideMark/>
          </w:tcPr>
          <w:p w:rsidR="00F64D05" w:rsidRPr="00795E1F" w:rsidRDefault="00F64D05" w:rsidP="00795E1F">
            <w:pPr>
              <w:keepNext/>
              <w:rPr>
                <w:rFonts w:eastAsia="Times New Roman"/>
                <w:color w:val="auto"/>
                <w:sz w:val="24"/>
                <w:szCs w:val="24"/>
                <w:lang w:eastAsia="en-GB"/>
              </w:rPr>
            </w:pPr>
            <w:r w:rsidRPr="00795E1F">
              <w:rPr>
                <w:rFonts w:eastAsia="Times New Roman"/>
                <w:color w:val="auto"/>
                <w:sz w:val="24"/>
                <w:szCs w:val="24"/>
                <w:lang w:eastAsia="en-GB"/>
              </w:rPr>
              <w:t>East Hampshire</w:t>
            </w:r>
          </w:p>
        </w:tc>
        <w:tc>
          <w:tcPr>
            <w:tcW w:w="2502" w:type="pct"/>
            <w:shd w:val="clear" w:color="auto" w:fill="auto"/>
            <w:noWrap/>
            <w:vAlign w:val="center"/>
            <w:hideMark/>
          </w:tcPr>
          <w:p w:rsidR="00F64D05" w:rsidRPr="00795E1F" w:rsidRDefault="00F64D05" w:rsidP="00795E1F">
            <w:pPr>
              <w:keepNext/>
              <w:jc w:val="center"/>
              <w:rPr>
                <w:rFonts w:eastAsia="Times New Roman"/>
                <w:color w:val="auto"/>
                <w:sz w:val="24"/>
                <w:szCs w:val="24"/>
                <w:lang w:eastAsia="en-GB"/>
              </w:rPr>
            </w:pPr>
            <w:r w:rsidRPr="00795E1F">
              <w:rPr>
                <w:rFonts w:eastAsia="Times New Roman"/>
                <w:color w:val="auto"/>
                <w:sz w:val="24"/>
                <w:szCs w:val="24"/>
                <w:lang w:eastAsia="en-GB"/>
              </w:rPr>
              <w:t>62</w:t>
            </w:r>
          </w:p>
        </w:tc>
      </w:tr>
      <w:tr w:rsidR="00F64D05" w:rsidRPr="00795E1F" w:rsidTr="005D5606">
        <w:tc>
          <w:tcPr>
            <w:tcW w:w="2498" w:type="pct"/>
            <w:shd w:val="clear" w:color="auto" w:fill="auto"/>
            <w:noWrap/>
            <w:vAlign w:val="center"/>
            <w:hideMark/>
          </w:tcPr>
          <w:p w:rsidR="00F64D05" w:rsidRPr="00795E1F" w:rsidRDefault="00F64D05" w:rsidP="00795E1F">
            <w:pPr>
              <w:keepNext/>
              <w:rPr>
                <w:rFonts w:eastAsia="Times New Roman"/>
                <w:color w:val="auto"/>
                <w:sz w:val="24"/>
                <w:szCs w:val="24"/>
                <w:lang w:eastAsia="en-GB"/>
              </w:rPr>
            </w:pPr>
            <w:r w:rsidRPr="00795E1F">
              <w:rPr>
                <w:rFonts w:eastAsia="Times New Roman"/>
                <w:color w:val="auto"/>
                <w:sz w:val="24"/>
                <w:szCs w:val="24"/>
                <w:lang w:eastAsia="en-GB"/>
              </w:rPr>
              <w:t>Worthing</w:t>
            </w:r>
          </w:p>
        </w:tc>
        <w:tc>
          <w:tcPr>
            <w:tcW w:w="2502" w:type="pct"/>
            <w:shd w:val="clear" w:color="auto" w:fill="auto"/>
            <w:noWrap/>
            <w:vAlign w:val="center"/>
            <w:hideMark/>
          </w:tcPr>
          <w:p w:rsidR="00F64D05" w:rsidRPr="00795E1F" w:rsidRDefault="00F64D05" w:rsidP="00795E1F">
            <w:pPr>
              <w:keepNext/>
              <w:jc w:val="center"/>
              <w:rPr>
                <w:rFonts w:eastAsia="Times New Roman"/>
                <w:color w:val="auto"/>
                <w:sz w:val="24"/>
                <w:szCs w:val="24"/>
                <w:lang w:eastAsia="en-GB"/>
              </w:rPr>
            </w:pPr>
            <w:r w:rsidRPr="00795E1F">
              <w:rPr>
                <w:rFonts w:eastAsia="Times New Roman"/>
                <w:color w:val="auto"/>
                <w:sz w:val="24"/>
                <w:szCs w:val="24"/>
                <w:lang w:eastAsia="en-GB"/>
              </w:rPr>
              <w:t>90</w:t>
            </w:r>
          </w:p>
        </w:tc>
      </w:tr>
      <w:tr w:rsidR="00F64D05" w:rsidRPr="00795E1F" w:rsidTr="005D5606">
        <w:tc>
          <w:tcPr>
            <w:tcW w:w="2498" w:type="pct"/>
            <w:shd w:val="clear" w:color="auto" w:fill="auto"/>
            <w:noWrap/>
            <w:vAlign w:val="center"/>
            <w:hideMark/>
          </w:tcPr>
          <w:p w:rsidR="00F64D05" w:rsidRPr="00795E1F" w:rsidRDefault="00F64D05" w:rsidP="00795E1F">
            <w:pPr>
              <w:keepNext/>
              <w:rPr>
                <w:rFonts w:eastAsia="Times New Roman"/>
                <w:color w:val="auto"/>
                <w:sz w:val="24"/>
                <w:szCs w:val="24"/>
                <w:lang w:eastAsia="en-GB"/>
              </w:rPr>
            </w:pPr>
            <w:r w:rsidRPr="00795E1F">
              <w:rPr>
                <w:rFonts w:eastAsia="Times New Roman"/>
                <w:color w:val="auto"/>
                <w:sz w:val="24"/>
                <w:szCs w:val="24"/>
                <w:lang w:eastAsia="en-GB"/>
              </w:rPr>
              <w:t>Cotswold</w:t>
            </w:r>
          </w:p>
        </w:tc>
        <w:tc>
          <w:tcPr>
            <w:tcW w:w="2502" w:type="pct"/>
            <w:shd w:val="clear" w:color="auto" w:fill="auto"/>
            <w:noWrap/>
            <w:vAlign w:val="center"/>
            <w:hideMark/>
          </w:tcPr>
          <w:p w:rsidR="00F64D05" w:rsidRPr="00795E1F" w:rsidRDefault="00F64D05" w:rsidP="00795E1F">
            <w:pPr>
              <w:keepNext/>
              <w:jc w:val="center"/>
              <w:rPr>
                <w:rFonts w:eastAsia="Times New Roman"/>
                <w:color w:val="auto"/>
                <w:sz w:val="24"/>
                <w:szCs w:val="24"/>
                <w:lang w:eastAsia="en-GB"/>
              </w:rPr>
            </w:pPr>
            <w:r w:rsidRPr="00795E1F">
              <w:rPr>
                <w:rFonts w:eastAsia="Times New Roman"/>
                <w:color w:val="auto"/>
                <w:sz w:val="24"/>
                <w:szCs w:val="24"/>
                <w:lang w:eastAsia="en-GB"/>
              </w:rPr>
              <w:t>120</w:t>
            </w:r>
          </w:p>
        </w:tc>
      </w:tr>
      <w:tr w:rsidR="00F64D05" w:rsidRPr="00795E1F" w:rsidTr="005D5606">
        <w:tc>
          <w:tcPr>
            <w:tcW w:w="2498" w:type="pct"/>
            <w:shd w:val="clear" w:color="auto" w:fill="auto"/>
            <w:noWrap/>
            <w:vAlign w:val="center"/>
            <w:hideMark/>
          </w:tcPr>
          <w:p w:rsidR="00F64D05" w:rsidRPr="00795E1F" w:rsidRDefault="00F64D05" w:rsidP="00795E1F">
            <w:pPr>
              <w:keepNext/>
              <w:rPr>
                <w:rFonts w:eastAsia="Times New Roman"/>
                <w:color w:val="auto"/>
                <w:sz w:val="24"/>
                <w:szCs w:val="24"/>
                <w:lang w:eastAsia="en-GB"/>
              </w:rPr>
            </w:pPr>
            <w:r w:rsidRPr="00795E1F">
              <w:rPr>
                <w:rFonts w:eastAsia="Times New Roman"/>
                <w:color w:val="auto"/>
                <w:sz w:val="24"/>
                <w:szCs w:val="24"/>
                <w:lang w:eastAsia="en-GB"/>
              </w:rPr>
              <w:t>West Dorset</w:t>
            </w:r>
          </w:p>
        </w:tc>
        <w:tc>
          <w:tcPr>
            <w:tcW w:w="2502" w:type="pct"/>
            <w:shd w:val="clear" w:color="auto" w:fill="auto"/>
            <w:noWrap/>
            <w:vAlign w:val="center"/>
            <w:hideMark/>
          </w:tcPr>
          <w:p w:rsidR="00F64D05" w:rsidRPr="00795E1F" w:rsidRDefault="00F64D05" w:rsidP="00795E1F">
            <w:pPr>
              <w:keepNext/>
              <w:jc w:val="center"/>
              <w:rPr>
                <w:rFonts w:eastAsia="Times New Roman"/>
                <w:color w:val="auto"/>
                <w:sz w:val="24"/>
                <w:szCs w:val="24"/>
                <w:lang w:eastAsia="en-GB"/>
              </w:rPr>
            </w:pPr>
            <w:r w:rsidRPr="00795E1F">
              <w:rPr>
                <w:rFonts w:eastAsia="Times New Roman"/>
                <w:color w:val="auto"/>
                <w:sz w:val="24"/>
                <w:szCs w:val="24"/>
                <w:lang w:eastAsia="en-GB"/>
              </w:rPr>
              <w:t>106</w:t>
            </w:r>
          </w:p>
        </w:tc>
      </w:tr>
      <w:tr w:rsidR="00F64D05" w:rsidRPr="00795E1F" w:rsidTr="005D5606">
        <w:tc>
          <w:tcPr>
            <w:tcW w:w="2498" w:type="pct"/>
            <w:shd w:val="clear" w:color="auto" w:fill="auto"/>
            <w:noWrap/>
            <w:vAlign w:val="center"/>
            <w:hideMark/>
          </w:tcPr>
          <w:p w:rsidR="00F64D05" w:rsidRPr="00795E1F" w:rsidRDefault="00F64D05" w:rsidP="00795E1F">
            <w:pPr>
              <w:keepNext/>
              <w:rPr>
                <w:rFonts w:eastAsia="Times New Roman"/>
                <w:color w:val="auto"/>
                <w:sz w:val="24"/>
                <w:szCs w:val="24"/>
                <w:lang w:eastAsia="en-GB"/>
              </w:rPr>
            </w:pPr>
            <w:r w:rsidRPr="00795E1F">
              <w:rPr>
                <w:rFonts w:eastAsia="Times New Roman"/>
                <w:color w:val="auto"/>
                <w:sz w:val="24"/>
                <w:szCs w:val="24"/>
                <w:lang w:eastAsia="en-GB"/>
              </w:rPr>
              <w:t>Lewes</w:t>
            </w:r>
          </w:p>
        </w:tc>
        <w:tc>
          <w:tcPr>
            <w:tcW w:w="2502" w:type="pct"/>
            <w:shd w:val="clear" w:color="auto" w:fill="auto"/>
            <w:noWrap/>
            <w:vAlign w:val="center"/>
            <w:hideMark/>
          </w:tcPr>
          <w:p w:rsidR="00F64D05" w:rsidRPr="00795E1F" w:rsidRDefault="00F64D05" w:rsidP="00795E1F">
            <w:pPr>
              <w:keepNext/>
              <w:jc w:val="center"/>
              <w:rPr>
                <w:rFonts w:eastAsia="Times New Roman"/>
                <w:color w:val="auto"/>
                <w:sz w:val="24"/>
                <w:szCs w:val="24"/>
                <w:lang w:eastAsia="en-GB"/>
              </w:rPr>
            </w:pPr>
            <w:r w:rsidRPr="00795E1F">
              <w:rPr>
                <w:rFonts w:eastAsia="Times New Roman"/>
                <w:color w:val="auto"/>
                <w:sz w:val="24"/>
                <w:szCs w:val="24"/>
                <w:lang w:eastAsia="en-GB"/>
              </w:rPr>
              <w:t>98</w:t>
            </w:r>
          </w:p>
        </w:tc>
      </w:tr>
      <w:tr w:rsidR="00F64D05" w:rsidRPr="00795E1F" w:rsidTr="005D5606">
        <w:tc>
          <w:tcPr>
            <w:tcW w:w="2498" w:type="pct"/>
            <w:shd w:val="clear" w:color="auto" w:fill="auto"/>
            <w:noWrap/>
            <w:vAlign w:val="center"/>
            <w:hideMark/>
          </w:tcPr>
          <w:p w:rsidR="00F64D05" w:rsidRPr="00795E1F" w:rsidRDefault="00F64D05" w:rsidP="00795E1F">
            <w:pPr>
              <w:keepNext/>
              <w:rPr>
                <w:rFonts w:eastAsia="Times New Roman"/>
                <w:color w:val="auto"/>
                <w:sz w:val="24"/>
                <w:szCs w:val="24"/>
                <w:lang w:eastAsia="en-GB"/>
              </w:rPr>
            </w:pPr>
            <w:r w:rsidRPr="00795E1F">
              <w:rPr>
                <w:rFonts w:eastAsia="Times New Roman"/>
                <w:color w:val="auto"/>
                <w:sz w:val="24"/>
                <w:szCs w:val="24"/>
                <w:lang w:eastAsia="en-GB"/>
              </w:rPr>
              <w:t>South East</w:t>
            </w:r>
          </w:p>
        </w:tc>
        <w:tc>
          <w:tcPr>
            <w:tcW w:w="2502" w:type="pct"/>
            <w:shd w:val="clear" w:color="auto" w:fill="auto"/>
            <w:noWrap/>
            <w:vAlign w:val="center"/>
            <w:hideMark/>
          </w:tcPr>
          <w:p w:rsidR="00F64D05" w:rsidRPr="00795E1F" w:rsidRDefault="00F64D05" w:rsidP="00795E1F">
            <w:pPr>
              <w:keepNext/>
              <w:jc w:val="center"/>
              <w:rPr>
                <w:rFonts w:eastAsia="Times New Roman"/>
                <w:color w:val="auto"/>
                <w:sz w:val="24"/>
                <w:szCs w:val="24"/>
                <w:lang w:eastAsia="en-GB"/>
              </w:rPr>
            </w:pPr>
            <w:r w:rsidRPr="00795E1F">
              <w:rPr>
                <w:rFonts w:eastAsia="Times New Roman"/>
                <w:color w:val="auto"/>
                <w:sz w:val="24"/>
                <w:szCs w:val="24"/>
                <w:lang w:eastAsia="en-GB"/>
              </w:rPr>
              <w:t>13,295</w:t>
            </w:r>
          </w:p>
        </w:tc>
      </w:tr>
      <w:tr w:rsidR="00F64D05" w:rsidRPr="00795E1F" w:rsidTr="005D5606">
        <w:tc>
          <w:tcPr>
            <w:tcW w:w="2498" w:type="pct"/>
            <w:shd w:val="clear" w:color="auto" w:fill="auto"/>
            <w:noWrap/>
            <w:vAlign w:val="center"/>
            <w:hideMark/>
          </w:tcPr>
          <w:p w:rsidR="00F64D05" w:rsidRPr="00795E1F" w:rsidRDefault="00F64D05" w:rsidP="00795E1F">
            <w:pPr>
              <w:keepNext/>
              <w:rPr>
                <w:rFonts w:eastAsia="Times New Roman"/>
                <w:color w:val="auto"/>
                <w:sz w:val="24"/>
                <w:szCs w:val="24"/>
                <w:lang w:eastAsia="en-GB"/>
              </w:rPr>
            </w:pPr>
            <w:r w:rsidRPr="00795E1F">
              <w:rPr>
                <w:rFonts w:eastAsia="Times New Roman"/>
                <w:color w:val="auto"/>
                <w:sz w:val="24"/>
                <w:szCs w:val="24"/>
                <w:lang w:eastAsia="en-GB"/>
              </w:rPr>
              <w:t>England and Wales</w:t>
            </w:r>
          </w:p>
        </w:tc>
        <w:tc>
          <w:tcPr>
            <w:tcW w:w="2502" w:type="pct"/>
            <w:shd w:val="clear" w:color="auto" w:fill="auto"/>
            <w:noWrap/>
            <w:vAlign w:val="center"/>
            <w:hideMark/>
          </w:tcPr>
          <w:p w:rsidR="00F64D05" w:rsidRPr="00795E1F" w:rsidRDefault="00F64D05" w:rsidP="00795E1F">
            <w:pPr>
              <w:keepNext/>
              <w:jc w:val="center"/>
              <w:rPr>
                <w:rFonts w:eastAsia="Times New Roman"/>
                <w:color w:val="auto"/>
                <w:sz w:val="24"/>
                <w:szCs w:val="24"/>
                <w:lang w:eastAsia="en-GB"/>
              </w:rPr>
            </w:pPr>
            <w:r w:rsidRPr="00795E1F">
              <w:rPr>
                <w:rFonts w:eastAsia="Times New Roman"/>
                <w:color w:val="auto"/>
                <w:sz w:val="24"/>
                <w:szCs w:val="24"/>
                <w:lang w:eastAsia="en-GB"/>
              </w:rPr>
              <w:t>88,803</w:t>
            </w:r>
          </w:p>
        </w:tc>
      </w:tr>
    </w:tbl>
    <w:p w:rsidR="00B0298E" w:rsidRPr="00CA47B9" w:rsidRDefault="00B0298E" w:rsidP="005D5606">
      <w:pPr>
        <w:pStyle w:val="11Bodytext"/>
        <w:numPr>
          <w:ilvl w:val="0"/>
          <w:numId w:val="0"/>
        </w:numPr>
        <w:spacing w:before="0" w:after="0" w:line="240" w:lineRule="auto"/>
      </w:pPr>
      <w:r w:rsidRPr="00CA47B9">
        <w:t>Source:</w:t>
      </w:r>
      <w:r w:rsidR="004B41A2" w:rsidRPr="00CA47B9">
        <w:t xml:space="preserve"> </w:t>
      </w:r>
      <w:r w:rsidRPr="00CA47B9">
        <w:t>VOA</w:t>
      </w:r>
      <w:r w:rsidR="004B41A2" w:rsidRPr="00CA47B9">
        <w:t xml:space="preserve"> </w:t>
      </w:r>
      <w:r w:rsidRPr="00CA47B9">
        <w:t>Business</w:t>
      </w:r>
      <w:r w:rsidR="004B41A2" w:rsidRPr="00CA47B9">
        <w:t xml:space="preserve"> </w:t>
      </w:r>
      <w:r w:rsidRPr="00CA47B9">
        <w:t>Floorspace</w:t>
      </w:r>
      <w:r w:rsidR="004B41A2" w:rsidRPr="00CA47B9">
        <w:t xml:space="preserve"> </w:t>
      </w:r>
      <w:r w:rsidRPr="00CA47B9">
        <w:t>Statistics</w:t>
      </w:r>
      <w:r w:rsidR="004B41A2" w:rsidRPr="00CA47B9">
        <w:t xml:space="preserve"> </w:t>
      </w:r>
    </w:p>
    <w:p w:rsidR="00B0298E" w:rsidRDefault="00B0298E" w:rsidP="00AF0118">
      <w:pPr>
        <w:pStyle w:val="11Bodytext"/>
        <w:tabs>
          <w:tab w:val="clear" w:pos="2212"/>
          <w:tab w:val="num" w:pos="567"/>
        </w:tabs>
        <w:ind w:left="567" w:hanging="567"/>
      </w:pPr>
      <w:r w:rsidRPr="00CA47B9">
        <w:t>Over</w:t>
      </w:r>
      <w:r w:rsidR="004B41A2" w:rsidRPr="00CA47B9">
        <w:t xml:space="preserve"> </w:t>
      </w:r>
      <w:r w:rsidRPr="00CA47B9">
        <w:t>the</w:t>
      </w:r>
      <w:r w:rsidR="004B41A2" w:rsidRPr="00CA47B9">
        <w:t xml:space="preserve"> </w:t>
      </w:r>
      <w:r w:rsidRPr="00CA47B9">
        <w:t>2000-1</w:t>
      </w:r>
      <w:r w:rsidR="00F64D05" w:rsidRPr="00CA47B9">
        <w:t>8</w:t>
      </w:r>
      <w:r w:rsidR="004B41A2" w:rsidRPr="00CA47B9">
        <w:t xml:space="preserve"> </w:t>
      </w:r>
      <w:r w:rsidRPr="00CA47B9">
        <w:t>period,</w:t>
      </w:r>
      <w:r w:rsidR="004B41A2" w:rsidRPr="00CA47B9">
        <w:t xml:space="preserve"> </w:t>
      </w:r>
      <w:r w:rsidRPr="00CA47B9">
        <w:t>office</w:t>
      </w:r>
      <w:r w:rsidR="004B41A2" w:rsidRPr="00CA47B9">
        <w:t xml:space="preserve"> </w:t>
      </w:r>
      <w:r w:rsidRPr="00CA47B9">
        <w:t>floorspace</w:t>
      </w:r>
      <w:r w:rsidR="004B41A2" w:rsidRPr="00CA47B9">
        <w:t xml:space="preserve"> </w:t>
      </w:r>
      <w:r w:rsidRPr="00CA47B9">
        <w:t>has</w:t>
      </w:r>
      <w:r w:rsidR="004B41A2" w:rsidRPr="00CA47B9">
        <w:t xml:space="preserve"> </w:t>
      </w:r>
      <w:r w:rsidRPr="00CA47B9">
        <w:t>decreased</w:t>
      </w:r>
      <w:r w:rsidR="004B41A2" w:rsidRPr="00CA47B9">
        <w:t xml:space="preserve"> </w:t>
      </w:r>
      <w:r w:rsidRPr="00CA47B9">
        <w:t>by</w:t>
      </w:r>
      <w:r w:rsidR="004B41A2" w:rsidRPr="00CA47B9">
        <w:t xml:space="preserve"> </w:t>
      </w:r>
      <w:r w:rsidR="00F64D05" w:rsidRPr="00CA47B9">
        <w:t>11</w:t>
      </w:r>
      <w:r w:rsidRPr="00CA47B9">
        <w:t>%</w:t>
      </w:r>
      <w:r w:rsidR="004B41A2" w:rsidRPr="00CA47B9">
        <w:t xml:space="preserve"> </w:t>
      </w:r>
      <w:r w:rsidRPr="00CA47B9">
        <w:t>in</w:t>
      </w:r>
      <w:r w:rsidR="004B41A2" w:rsidRPr="00CA47B9">
        <w:t xml:space="preserve"> </w:t>
      </w:r>
      <w:r w:rsidRPr="00CA47B9">
        <w:t>Chichester</w:t>
      </w:r>
      <w:r w:rsidR="004B41A2" w:rsidRPr="00CA47B9">
        <w:t xml:space="preserve"> </w:t>
      </w:r>
      <w:r w:rsidR="003502DA" w:rsidRPr="00CA47B9">
        <w:t>District</w:t>
      </w:r>
      <w:r w:rsidRPr="00CA47B9">
        <w:t>.</w:t>
      </w:r>
      <w:r w:rsidR="004B41A2" w:rsidRPr="00CA47B9">
        <w:t xml:space="preserve"> </w:t>
      </w:r>
      <w:r w:rsidR="00070EE9">
        <w:t>However</w:t>
      </w:r>
      <w:r w:rsidR="00855CA6">
        <w:t>,</w:t>
      </w:r>
      <w:r w:rsidR="00070EE9">
        <w:t xml:space="preserve"> this is driven by a significant fall between 2003/04. Whilst floorspace </w:t>
      </w:r>
      <w:r w:rsidR="005B15AD">
        <w:t xml:space="preserve">continued to </w:t>
      </w:r>
      <w:r w:rsidR="00070EE9">
        <w:t xml:space="preserve">decline </w:t>
      </w:r>
      <w:r w:rsidR="005B15AD">
        <w:t>to</w:t>
      </w:r>
      <w:r w:rsidR="00033080">
        <w:t xml:space="preserve"> </w:t>
      </w:r>
      <w:r w:rsidR="00070EE9">
        <w:t>2007 it then</w:t>
      </w:r>
      <w:r w:rsidR="005B15AD">
        <w:t xml:space="preserve"> grew until </w:t>
      </w:r>
      <w:r w:rsidR="00070EE9">
        <w:t xml:space="preserve">2014 before a further </w:t>
      </w:r>
      <w:r w:rsidR="000E3721">
        <w:t>slowdown</w:t>
      </w:r>
      <w:r w:rsidR="00070EE9">
        <w:t xml:space="preserve"> considered to be influenced by permitted development rights.</w:t>
      </w:r>
    </w:p>
    <w:p w:rsidR="00070EE9" w:rsidRDefault="00070EE9" w:rsidP="005D5606">
      <w:pPr>
        <w:pStyle w:val="FigureHeading"/>
        <w:tabs>
          <w:tab w:val="clear" w:pos="794"/>
          <w:tab w:val="clear" w:pos="1843"/>
          <w:tab w:val="left" w:pos="0"/>
        </w:tabs>
        <w:spacing w:line="240" w:lineRule="auto"/>
        <w:ind w:left="0" w:firstLine="0"/>
      </w:pPr>
      <w:r>
        <w:t>Office floorspace (Chichester District)</w:t>
      </w:r>
    </w:p>
    <w:p w:rsidR="00070EE9" w:rsidRPr="00CA47B9" w:rsidRDefault="00070EE9" w:rsidP="00031E60">
      <w:pPr>
        <w:pStyle w:val="11Bodytext"/>
        <w:numPr>
          <w:ilvl w:val="0"/>
          <w:numId w:val="0"/>
        </w:numPr>
        <w:spacing w:before="0" w:after="0" w:line="240" w:lineRule="auto"/>
        <w:rPr>
          <w:color w:val="auto"/>
        </w:rPr>
      </w:pPr>
      <w:r>
        <w:rPr>
          <w:noProof/>
          <w:lang w:eastAsia="en-GB"/>
        </w:rPr>
        <w:drawing>
          <wp:inline distT="0" distB="0" distL="0" distR="0" wp14:anchorId="3B1F1383" wp14:editId="323C4C7A">
            <wp:extent cx="6130800" cy="3254400"/>
            <wp:effectExtent l="0" t="0" r="22860" b="22225"/>
            <wp:docPr id="1043" name="Chart 1043" descr="Line graph showing the total quantum of floorspace in Chichester from 2000 to 2019" title="Figure 49: Office floorspace (Chichester District)">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98D2D7F-A7C0-4BD2-B001-B7E37F3751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070EE9" w:rsidRPr="00070EE9" w:rsidRDefault="00070EE9" w:rsidP="005D5606">
      <w:pPr>
        <w:pStyle w:val="11Bodytext"/>
        <w:numPr>
          <w:ilvl w:val="0"/>
          <w:numId w:val="0"/>
        </w:numPr>
        <w:spacing w:before="0" w:after="0" w:line="240" w:lineRule="auto"/>
      </w:pPr>
      <w:r w:rsidRPr="00070EE9">
        <w:t>Source: VOA</w:t>
      </w:r>
    </w:p>
    <w:p w:rsidR="00070EE9" w:rsidRPr="00070EE9" w:rsidRDefault="00B0298E" w:rsidP="005D5606">
      <w:pPr>
        <w:pStyle w:val="11Bodytext"/>
        <w:tabs>
          <w:tab w:val="clear" w:pos="2212"/>
          <w:tab w:val="num" w:pos="567"/>
        </w:tabs>
        <w:ind w:left="567" w:hanging="567"/>
        <w:rPr>
          <w:color w:val="FF0000"/>
        </w:rPr>
      </w:pPr>
      <w:r w:rsidRPr="00CA47B9">
        <w:t>Commercial</w:t>
      </w:r>
      <w:r w:rsidR="004B41A2" w:rsidRPr="00CA47B9">
        <w:t xml:space="preserve"> </w:t>
      </w:r>
      <w:r w:rsidRPr="00CA47B9">
        <w:t>property</w:t>
      </w:r>
      <w:r w:rsidR="004B41A2" w:rsidRPr="00CA47B9">
        <w:t xml:space="preserve"> </w:t>
      </w:r>
      <w:r w:rsidRPr="00CA47B9">
        <w:t>data</w:t>
      </w:r>
      <w:r w:rsidR="004B41A2" w:rsidRPr="00CA47B9">
        <w:t xml:space="preserve"> </w:t>
      </w:r>
      <w:r w:rsidRPr="00CA47B9">
        <w:t>providers</w:t>
      </w:r>
      <w:r w:rsidR="004B41A2" w:rsidRPr="00CA47B9">
        <w:t xml:space="preserve"> </w:t>
      </w:r>
      <w:r w:rsidRPr="00CA47B9">
        <w:t>such</w:t>
      </w:r>
      <w:r w:rsidR="004B41A2" w:rsidRPr="00CA47B9">
        <w:t xml:space="preserve"> </w:t>
      </w:r>
      <w:r w:rsidRPr="00CA47B9">
        <w:t>as</w:t>
      </w:r>
      <w:r w:rsidR="004B41A2" w:rsidRPr="00CA47B9">
        <w:t xml:space="preserve"> </w:t>
      </w:r>
      <w:r w:rsidRPr="00CA47B9">
        <w:t>EGi</w:t>
      </w:r>
      <w:r w:rsidR="004B41A2" w:rsidRPr="00CA47B9">
        <w:t xml:space="preserve"> </w:t>
      </w:r>
      <w:r w:rsidRPr="00CA47B9">
        <w:t>and</w:t>
      </w:r>
      <w:r w:rsidR="004B41A2" w:rsidRPr="00CA47B9">
        <w:t xml:space="preserve"> </w:t>
      </w:r>
      <w:r w:rsidRPr="00CA47B9">
        <w:t>CoStar</w:t>
      </w:r>
      <w:r w:rsidR="004B41A2" w:rsidRPr="00CA47B9">
        <w:t xml:space="preserve"> </w:t>
      </w:r>
      <w:r w:rsidRPr="00CA47B9">
        <w:t>were</w:t>
      </w:r>
      <w:r w:rsidR="004B41A2" w:rsidRPr="00CA47B9">
        <w:t xml:space="preserve"> </w:t>
      </w:r>
      <w:r w:rsidRPr="00CA47B9">
        <w:t>used</w:t>
      </w:r>
      <w:r w:rsidR="004B41A2" w:rsidRPr="00CA47B9">
        <w:t xml:space="preserve"> </w:t>
      </w:r>
      <w:r w:rsidRPr="00CA47B9">
        <w:t>to</w:t>
      </w:r>
      <w:r w:rsidR="004B41A2" w:rsidRPr="00CA47B9">
        <w:t xml:space="preserve"> </w:t>
      </w:r>
      <w:r w:rsidRPr="00CA47B9">
        <w:t>inform</w:t>
      </w:r>
      <w:r w:rsidR="004B41A2" w:rsidRPr="00CA47B9">
        <w:t xml:space="preserve"> </w:t>
      </w:r>
      <w:r w:rsidRPr="00CA47B9">
        <w:t>the</w:t>
      </w:r>
      <w:r w:rsidR="004B41A2" w:rsidRPr="00CA47B9">
        <w:t xml:space="preserve"> </w:t>
      </w:r>
      <w:r w:rsidRPr="00CA47B9">
        <w:t>following</w:t>
      </w:r>
      <w:r w:rsidR="004B41A2" w:rsidRPr="00CA47B9">
        <w:t xml:space="preserve"> </w:t>
      </w:r>
      <w:r w:rsidRPr="00CA47B9">
        <w:t>sections.</w:t>
      </w:r>
      <w:r w:rsidR="004B41A2" w:rsidRPr="00CA47B9">
        <w:t xml:space="preserve"> </w:t>
      </w:r>
    </w:p>
    <w:p w:rsidR="00B0298E" w:rsidRPr="002C2BF8" w:rsidRDefault="002C2BF8" w:rsidP="00AF0118">
      <w:pPr>
        <w:pStyle w:val="11Bodytext"/>
        <w:tabs>
          <w:tab w:val="clear" w:pos="2212"/>
          <w:tab w:val="num" w:pos="567"/>
        </w:tabs>
        <w:ind w:left="567" w:hanging="567"/>
      </w:pPr>
      <w:r>
        <w:lastRenderedPageBreak/>
        <w:t>The f</w:t>
      </w:r>
      <w:r w:rsidR="00B0298E" w:rsidRPr="002C2BF8">
        <w:t>igure</w:t>
      </w:r>
      <w:r w:rsidR="004B41A2" w:rsidRPr="002C2BF8">
        <w:t xml:space="preserve"> </w:t>
      </w:r>
      <w:r w:rsidR="00070EE9" w:rsidRPr="002C2BF8">
        <w:t>below</w:t>
      </w:r>
      <w:r w:rsidR="004B41A2" w:rsidRPr="002C2BF8">
        <w:t xml:space="preserve"> </w:t>
      </w:r>
      <w:r w:rsidR="00B0298E" w:rsidRPr="002C2BF8">
        <w:t>illustrates</w:t>
      </w:r>
      <w:r w:rsidR="004B41A2" w:rsidRPr="002C2BF8">
        <w:t xml:space="preserve"> </w:t>
      </w:r>
      <w:r w:rsidR="00B0298E" w:rsidRPr="002C2BF8">
        <w:t>the</w:t>
      </w:r>
      <w:r w:rsidR="004B41A2" w:rsidRPr="002C2BF8">
        <w:t xml:space="preserve"> </w:t>
      </w:r>
      <w:r w:rsidR="00B0298E" w:rsidRPr="002C2BF8">
        <w:t>number</w:t>
      </w:r>
      <w:r w:rsidR="004B41A2" w:rsidRPr="002C2BF8">
        <w:t xml:space="preserve"> </w:t>
      </w:r>
      <w:r w:rsidR="00B0298E" w:rsidRPr="002C2BF8">
        <w:t>of</w:t>
      </w:r>
      <w:r w:rsidR="004B41A2" w:rsidRPr="002C2BF8">
        <w:t xml:space="preserve"> </w:t>
      </w:r>
      <w:r w:rsidR="00B0298E" w:rsidRPr="002C2BF8">
        <w:t>deals</w:t>
      </w:r>
      <w:r w:rsidR="004B41A2" w:rsidRPr="002C2BF8">
        <w:t xml:space="preserve"> </w:t>
      </w:r>
      <w:r w:rsidR="00B0298E" w:rsidRPr="002C2BF8">
        <w:t>within</w:t>
      </w:r>
      <w:r w:rsidR="004B41A2" w:rsidRPr="002C2BF8">
        <w:t xml:space="preserve"> </w:t>
      </w:r>
      <w:r w:rsidR="00B0298E" w:rsidRPr="002C2BF8">
        <w:t>the</w:t>
      </w:r>
      <w:r w:rsidR="004B41A2" w:rsidRPr="002C2BF8">
        <w:t xml:space="preserve"> </w:t>
      </w:r>
      <w:r w:rsidR="00B0298E" w:rsidRPr="002C2BF8">
        <w:t>sub-areas</w:t>
      </w:r>
      <w:r w:rsidR="004B41A2" w:rsidRPr="002C2BF8">
        <w:t xml:space="preserve"> </w:t>
      </w:r>
      <w:r w:rsidR="00B0298E" w:rsidRPr="002C2BF8">
        <w:t>of</w:t>
      </w:r>
      <w:r w:rsidR="004B41A2" w:rsidRPr="002C2BF8">
        <w:t xml:space="preserve"> </w:t>
      </w:r>
      <w:r w:rsidR="00B0298E" w:rsidRPr="002C2BF8">
        <w:t>Chichester</w:t>
      </w:r>
      <w:r w:rsidR="004B41A2" w:rsidRPr="002C2BF8">
        <w:t xml:space="preserve"> </w:t>
      </w:r>
      <w:r w:rsidR="00B0298E" w:rsidRPr="002C2BF8">
        <w:t>District</w:t>
      </w:r>
      <w:r w:rsidR="004B41A2" w:rsidRPr="002C2BF8">
        <w:t xml:space="preserve"> </w:t>
      </w:r>
      <w:r w:rsidR="00B0298E" w:rsidRPr="002C2BF8">
        <w:t>over</w:t>
      </w:r>
      <w:r w:rsidR="004B41A2" w:rsidRPr="002C2BF8">
        <w:t xml:space="preserve"> </w:t>
      </w:r>
      <w:r w:rsidR="00B0298E" w:rsidRPr="002C2BF8">
        <w:t>the</w:t>
      </w:r>
      <w:r w:rsidR="004B41A2" w:rsidRPr="002C2BF8">
        <w:t xml:space="preserve"> </w:t>
      </w:r>
      <w:r w:rsidR="00B0298E" w:rsidRPr="002C2BF8">
        <w:t>10</w:t>
      </w:r>
      <w:r w:rsidR="00855CA6">
        <w:t xml:space="preserve"> years</w:t>
      </w:r>
      <w:r w:rsidR="004B41A2" w:rsidRPr="002C2BF8">
        <w:t xml:space="preserve"> </w:t>
      </w:r>
      <w:r w:rsidR="00B0298E" w:rsidRPr="002C2BF8">
        <w:t>to</w:t>
      </w:r>
      <w:r w:rsidR="004B41A2" w:rsidRPr="002C2BF8">
        <w:t xml:space="preserve"> </w:t>
      </w:r>
      <w:r w:rsidR="00B0298E" w:rsidRPr="002C2BF8">
        <w:t>201</w:t>
      </w:r>
      <w:r w:rsidR="00A87521" w:rsidRPr="002C2BF8">
        <w:t>8</w:t>
      </w:r>
      <w:r w:rsidR="00B0298E" w:rsidRPr="002C2BF8">
        <w:t>.</w:t>
      </w:r>
      <w:r w:rsidR="004B41A2" w:rsidRPr="002C2BF8">
        <w:t xml:space="preserve"> </w:t>
      </w:r>
      <w:r w:rsidR="00B0298E" w:rsidRPr="002C2BF8">
        <w:t>The</w:t>
      </w:r>
      <w:r w:rsidR="004B41A2" w:rsidRPr="002C2BF8">
        <w:t xml:space="preserve"> </w:t>
      </w:r>
      <w:r w:rsidR="00B0298E" w:rsidRPr="002C2BF8">
        <w:t>highest</w:t>
      </w:r>
      <w:r w:rsidR="004B41A2" w:rsidRPr="002C2BF8">
        <w:t xml:space="preserve"> </w:t>
      </w:r>
      <w:r w:rsidR="00E15D13" w:rsidRPr="002C2BF8">
        <w:t>number</w:t>
      </w:r>
      <w:r w:rsidR="004B41A2" w:rsidRPr="002C2BF8">
        <w:t xml:space="preserve"> </w:t>
      </w:r>
      <w:r w:rsidR="00B0298E" w:rsidRPr="002C2BF8">
        <w:t>of</w:t>
      </w:r>
      <w:r w:rsidR="004B41A2" w:rsidRPr="002C2BF8">
        <w:t xml:space="preserve"> </w:t>
      </w:r>
      <w:r w:rsidR="00B0298E" w:rsidRPr="002C2BF8">
        <w:t>deals</w:t>
      </w:r>
      <w:r w:rsidR="004B41A2" w:rsidRPr="002C2BF8">
        <w:t xml:space="preserve"> </w:t>
      </w:r>
      <w:r w:rsidR="00B0298E" w:rsidRPr="002C2BF8">
        <w:t>was</w:t>
      </w:r>
      <w:r w:rsidR="004B41A2" w:rsidRPr="002C2BF8">
        <w:t xml:space="preserve"> </w:t>
      </w:r>
      <w:r w:rsidR="00B0298E" w:rsidRPr="002C2BF8">
        <w:t>recorded</w:t>
      </w:r>
      <w:r w:rsidR="004B41A2" w:rsidRPr="002C2BF8">
        <w:t xml:space="preserve"> </w:t>
      </w:r>
      <w:r w:rsidR="00B0298E" w:rsidRPr="002C2BF8">
        <w:t>in</w:t>
      </w:r>
      <w:r w:rsidR="004B41A2" w:rsidRPr="002C2BF8">
        <w:t xml:space="preserve"> </w:t>
      </w:r>
      <w:r w:rsidR="00E15D13" w:rsidRPr="002C2BF8">
        <w:t>the</w:t>
      </w:r>
      <w:r w:rsidR="004B41A2" w:rsidRPr="002C2BF8">
        <w:t xml:space="preserve"> </w:t>
      </w:r>
      <w:r w:rsidR="00B0298E" w:rsidRPr="002C2BF8">
        <w:t>Chichester</w:t>
      </w:r>
      <w:r w:rsidR="004B41A2" w:rsidRPr="002C2BF8">
        <w:t xml:space="preserve"> </w:t>
      </w:r>
      <w:r w:rsidR="00D50065" w:rsidRPr="002C2BF8">
        <w:t>C</w:t>
      </w:r>
      <w:r w:rsidR="00E15D13" w:rsidRPr="002C2BF8">
        <w:t>ity</w:t>
      </w:r>
      <w:r w:rsidR="004B41A2" w:rsidRPr="002C2BF8">
        <w:t xml:space="preserve"> </w:t>
      </w:r>
      <w:r w:rsidR="00B0298E" w:rsidRPr="002C2BF8">
        <w:t>sub-area</w:t>
      </w:r>
      <w:r w:rsidR="004B41A2" w:rsidRPr="002C2BF8">
        <w:t xml:space="preserve"> </w:t>
      </w:r>
      <w:r w:rsidR="00B0298E" w:rsidRPr="002C2BF8">
        <w:t>(</w:t>
      </w:r>
      <w:r w:rsidR="00A87521" w:rsidRPr="002C2BF8">
        <w:t xml:space="preserve">213 </w:t>
      </w:r>
      <w:r w:rsidR="00B0298E" w:rsidRPr="002C2BF8">
        <w:t>transactions).</w:t>
      </w:r>
      <w:r w:rsidR="004B41A2" w:rsidRPr="002C2BF8">
        <w:t xml:space="preserve"> </w:t>
      </w:r>
      <w:r w:rsidR="00B0298E" w:rsidRPr="002C2BF8">
        <w:t>This</w:t>
      </w:r>
      <w:r w:rsidR="004B41A2" w:rsidRPr="002C2BF8">
        <w:t xml:space="preserve"> </w:t>
      </w:r>
      <w:r w:rsidR="00B0298E" w:rsidRPr="002C2BF8">
        <w:t>is</w:t>
      </w:r>
      <w:r w:rsidR="004B41A2" w:rsidRPr="002C2BF8">
        <w:t xml:space="preserve"> </w:t>
      </w:r>
      <w:r w:rsidR="00B0298E" w:rsidRPr="002C2BF8">
        <w:t>followed</w:t>
      </w:r>
      <w:r w:rsidR="004B41A2" w:rsidRPr="002C2BF8">
        <w:t xml:space="preserve"> </w:t>
      </w:r>
      <w:r w:rsidR="00B0298E" w:rsidRPr="002C2BF8">
        <w:t>by</w:t>
      </w:r>
      <w:r w:rsidR="004B41A2" w:rsidRPr="002C2BF8">
        <w:t xml:space="preserve"> </w:t>
      </w:r>
      <w:r w:rsidR="00B0298E" w:rsidRPr="002C2BF8">
        <w:t>South</w:t>
      </w:r>
      <w:r w:rsidR="004B41A2" w:rsidRPr="002C2BF8">
        <w:t xml:space="preserve"> </w:t>
      </w:r>
      <w:r w:rsidR="00B0298E" w:rsidRPr="002C2BF8">
        <w:t>Downs</w:t>
      </w:r>
      <w:r w:rsidR="004B41A2" w:rsidRPr="002C2BF8">
        <w:t xml:space="preserve"> </w:t>
      </w:r>
      <w:r w:rsidR="00B0298E" w:rsidRPr="002C2BF8">
        <w:t>National</w:t>
      </w:r>
      <w:r w:rsidR="004B41A2" w:rsidRPr="002C2BF8">
        <w:t xml:space="preserve"> </w:t>
      </w:r>
      <w:r w:rsidR="00B0298E" w:rsidRPr="002C2BF8">
        <w:t>Park</w:t>
      </w:r>
      <w:r w:rsidR="004B41A2" w:rsidRPr="002C2BF8">
        <w:t xml:space="preserve"> </w:t>
      </w:r>
      <w:r w:rsidR="00B0298E" w:rsidRPr="002C2BF8">
        <w:t>(</w:t>
      </w:r>
      <w:r w:rsidR="00A87521" w:rsidRPr="002C2BF8">
        <w:t>107</w:t>
      </w:r>
      <w:r w:rsidR="00B0298E" w:rsidRPr="002C2BF8">
        <w:t>)</w:t>
      </w:r>
      <w:r w:rsidR="004B41A2" w:rsidRPr="002C2BF8">
        <w:t xml:space="preserve"> </w:t>
      </w:r>
      <w:r w:rsidR="00B0298E" w:rsidRPr="002C2BF8">
        <w:t>and</w:t>
      </w:r>
      <w:r w:rsidR="004B41A2" w:rsidRPr="002C2BF8">
        <w:t xml:space="preserve"> </w:t>
      </w:r>
      <w:r w:rsidR="00855CA6">
        <w:t xml:space="preserve">the </w:t>
      </w:r>
      <w:r w:rsidR="00B0298E" w:rsidRPr="002C2BF8">
        <w:t>Manhood</w:t>
      </w:r>
      <w:r w:rsidR="004B41A2" w:rsidRPr="002C2BF8">
        <w:t xml:space="preserve"> </w:t>
      </w:r>
      <w:r w:rsidR="00B0298E" w:rsidRPr="002C2BF8">
        <w:t>Peninsula</w:t>
      </w:r>
      <w:r w:rsidR="004B41A2" w:rsidRPr="002C2BF8">
        <w:t xml:space="preserve"> </w:t>
      </w:r>
      <w:r w:rsidR="00B0298E" w:rsidRPr="002C2BF8">
        <w:t>(</w:t>
      </w:r>
      <w:r w:rsidR="00A87521" w:rsidRPr="002C2BF8">
        <w:t>73</w:t>
      </w:r>
      <w:r w:rsidR="00B0298E" w:rsidRPr="002C2BF8">
        <w:t>).</w:t>
      </w:r>
      <w:r w:rsidR="004B41A2" w:rsidRPr="002C2BF8">
        <w:t xml:space="preserve"> </w:t>
      </w:r>
      <w:r w:rsidR="00B0298E" w:rsidRPr="002C2BF8">
        <w:t>There</w:t>
      </w:r>
      <w:r w:rsidR="004B41A2" w:rsidRPr="002C2BF8">
        <w:t xml:space="preserve"> </w:t>
      </w:r>
      <w:r w:rsidR="00B0298E" w:rsidRPr="002C2BF8">
        <w:t>were</w:t>
      </w:r>
      <w:r w:rsidR="004B41A2" w:rsidRPr="002C2BF8">
        <w:t xml:space="preserve"> </w:t>
      </w:r>
      <w:r w:rsidR="00B0298E" w:rsidRPr="002C2BF8">
        <w:t>5</w:t>
      </w:r>
      <w:r w:rsidR="00A87521" w:rsidRPr="002C2BF8">
        <w:t>9</w:t>
      </w:r>
      <w:r w:rsidR="004B41A2" w:rsidRPr="002C2BF8">
        <w:t xml:space="preserve"> </w:t>
      </w:r>
      <w:r w:rsidR="00B0298E" w:rsidRPr="002C2BF8">
        <w:t>transactions</w:t>
      </w:r>
      <w:r w:rsidR="004B41A2" w:rsidRPr="002C2BF8">
        <w:t xml:space="preserve"> </w:t>
      </w:r>
      <w:r w:rsidR="00B0298E" w:rsidRPr="002C2BF8">
        <w:t>in</w:t>
      </w:r>
      <w:r w:rsidR="004B41A2" w:rsidRPr="002C2BF8">
        <w:t xml:space="preserve"> </w:t>
      </w:r>
      <w:r w:rsidR="00B0298E" w:rsidRPr="002C2BF8">
        <w:t>East-West</w:t>
      </w:r>
      <w:r w:rsidR="004B41A2" w:rsidRPr="002C2BF8">
        <w:t xml:space="preserve"> </w:t>
      </w:r>
      <w:r w:rsidR="00B0298E" w:rsidRPr="002C2BF8">
        <w:t>Corridor</w:t>
      </w:r>
      <w:r w:rsidR="004B41A2" w:rsidRPr="002C2BF8">
        <w:t xml:space="preserve"> </w:t>
      </w:r>
      <w:r w:rsidR="00B0298E" w:rsidRPr="002C2BF8">
        <w:t>and</w:t>
      </w:r>
      <w:r w:rsidR="004B41A2" w:rsidRPr="002C2BF8">
        <w:t xml:space="preserve"> </w:t>
      </w:r>
      <w:r w:rsidR="00B0298E" w:rsidRPr="002C2BF8">
        <w:t>only</w:t>
      </w:r>
      <w:r w:rsidR="004B41A2" w:rsidRPr="002C2BF8">
        <w:t xml:space="preserve"> </w:t>
      </w:r>
      <w:r w:rsidR="00B0298E" w:rsidRPr="002C2BF8">
        <w:t>1</w:t>
      </w:r>
      <w:r w:rsidR="004B41A2" w:rsidRPr="002C2BF8">
        <w:t xml:space="preserve"> </w:t>
      </w:r>
      <w:r w:rsidR="00B0298E" w:rsidRPr="002C2BF8">
        <w:t>deal</w:t>
      </w:r>
      <w:r w:rsidR="004B41A2" w:rsidRPr="002C2BF8">
        <w:t xml:space="preserve"> </w:t>
      </w:r>
      <w:r w:rsidR="00B0298E" w:rsidRPr="002C2BF8">
        <w:t>in</w:t>
      </w:r>
      <w:r w:rsidR="004B41A2" w:rsidRPr="002C2BF8">
        <w:t xml:space="preserve"> </w:t>
      </w:r>
      <w:r w:rsidR="00B0298E" w:rsidRPr="002C2BF8">
        <w:t>Plan</w:t>
      </w:r>
      <w:r w:rsidR="004B41A2" w:rsidRPr="002C2BF8">
        <w:t xml:space="preserve"> </w:t>
      </w:r>
      <w:r w:rsidR="00B0298E" w:rsidRPr="002C2BF8">
        <w:t>Area</w:t>
      </w:r>
      <w:r w:rsidR="004B41A2" w:rsidRPr="002C2BF8">
        <w:t xml:space="preserve"> </w:t>
      </w:r>
      <w:r w:rsidR="00B0298E" w:rsidRPr="002C2BF8">
        <w:t>North.</w:t>
      </w:r>
    </w:p>
    <w:p w:rsidR="00B0298E" w:rsidRDefault="000D71F7" w:rsidP="00AF0118">
      <w:pPr>
        <w:pStyle w:val="11Bodytext"/>
        <w:tabs>
          <w:tab w:val="clear" w:pos="2212"/>
          <w:tab w:val="num" w:pos="567"/>
        </w:tabs>
        <w:ind w:left="567" w:hanging="567"/>
      </w:pPr>
      <w:r>
        <w:t>Including the SDNP area, t</w:t>
      </w:r>
      <w:r w:rsidR="00B0298E" w:rsidRPr="00CA47B9">
        <w:t>he</w:t>
      </w:r>
      <w:r w:rsidR="004B41A2" w:rsidRPr="00CA47B9">
        <w:t xml:space="preserve"> </w:t>
      </w:r>
      <w:r w:rsidR="00B0298E" w:rsidRPr="00CA47B9">
        <w:t>market</w:t>
      </w:r>
      <w:r w:rsidR="004B41A2" w:rsidRPr="00CA47B9">
        <w:t xml:space="preserve"> </w:t>
      </w:r>
      <w:r w:rsidR="00B0298E" w:rsidRPr="00CA47B9">
        <w:t>was</w:t>
      </w:r>
      <w:r w:rsidR="004B41A2" w:rsidRPr="00CA47B9">
        <w:t xml:space="preserve"> </w:t>
      </w:r>
      <w:r w:rsidR="00B0298E" w:rsidRPr="00CA47B9">
        <w:t>most</w:t>
      </w:r>
      <w:r w:rsidR="004B41A2" w:rsidRPr="00CA47B9">
        <w:t xml:space="preserve"> </w:t>
      </w:r>
      <w:r w:rsidR="00B0298E" w:rsidRPr="00CA47B9">
        <w:t>active</w:t>
      </w:r>
      <w:r w:rsidR="004B41A2" w:rsidRPr="00CA47B9">
        <w:t xml:space="preserve"> </w:t>
      </w:r>
      <w:r w:rsidR="00B0298E" w:rsidRPr="00CA47B9">
        <w:t>in</w:t>
      </w:r>
      <w:r w:rsidR="004B41A2" w:rsidRPr="00CA47B9">
        <w:t xml:space="preserve"> </w:t>
      </w:r>
      <w:r w:rsidR="00B0298E" w:rsidRPr="00CA47B9">
        <w:t>2016</w:t>
      </w:r>
      <w:r w:rsidR="004B41A2" w:rsidRPr="00CA47B9">
        <w:t xml:space="preserve"> </w:t>
      </w:r>
      <w:r w:rsidR="00B0298E" w:rsidRPr="00CA47B9">
        <w:t>when</w:t>
      </w:r>
      <w:r w:rsidR="004B41A2" w:rsidRPr="00CA47B9">
        <w:t xml:space="preserve"> </w:t>
      </w:r>
      <w:r w:rsidR="00B0298E" w:rsidRPr="00CA47B9">
        <w:t>70</w:t>
      </w:r>
      <w:r w:rsidR="004B41A2" w:rsidRPr="00CA47B9">
        <w:t xml:space="preserve"> </w:t>
      </w:r>
      <w:r w:rsidR="00B0298E" w:rsidRPr="00CA47B9">
        <w:t>deals</w:t>
      </w:r>
      <w:r w:rsidR="004B41A2" w:rsidRPr="00CA47B9">
        <w:t xml:space="preserve"> </w:t>
      </w:r>
      <w:r w:rsidR="00B0298E" w:rsidRPr="00CA47B9">
        <w:t>were</w:t>
      </w:r>
      <w:r w:rsidR="004B41A2" w:rsidRPr="00CA47B9">
        <w:t xml:space="preserve"> </w:t>
      </w:r>
      <w:r w:rsidR="00B0298E" w:rsidRPr="00CA47B9">
        <w:t>recorded.</w:t>
      </w:r>
      <w:r w:rsidR="004B41A2" w:rsidRPr="00CA47B9">
        <w:t xml:space="preserve"> </w:t>
      </w:r>
      <w:r w:rsidR="00B0298E" w:rsidRPr="00CA47B9">
        <w:t>The</w:t>
      </w:r>
      <w:r w:rsidR="004B41A2" w:rsidRPr="00CA47B9">
        <w:t xml:space="preserve"> </w:t>
      </w:r>
      <w:r w:rsidR="00B0298E" w:rsidRPr="00CA47B9">
        <w:t>lowest</w:t>
      </w:r>
      <w:r w:rsidR="004B41A2" w:rsidRPr="00CA47B9">
        <w:t xml:space="preserve"> </w:t>
      </w:r>
      <w:r w:rsidR="00B0298E" w:rsidRPr="00CA47B9">
        <w:t>number</w:t>
      </w:r>
      <w:r w:rsidR="004B41A2" w:rsidRPr="00CA47B9">
        <w:t xml:space="preserve"> </w:t>
      </w:r>
      <w:r w:rsidR="00B0298E" w:rsidRPr="00CA47B9">
        <w:t>of</w:t>
      </w:r>
      <w:r w:rsidR="004B41A2" w:rsidRPr="00CA47B9">
        <w:t xml:space="preserve"> </w:t>
      </w:r>
      <w:r w:rsidR="00B0298E" w:rsidRPr="00CA47B9">
        <w:t>transactions</w:t>
      </w:r>
      <w:r w:rsidR="004B41A2" w:rsidRPr="00CA47B9">
        <w:t xml:space="preserve"> </w:t>
      </w:r>
      <w:r w:rsidR="00B0298E" w:rsidRPr="00CA47B9">
        <w:t>was</w:t>
      </w:r>
      <w:r w:rsidR="004B41A2" w:rsidRPr="00CA47B9">
        <w:t xml:space="preserve"> </w:t>
      </w:r>
      <w:r w:rsidR="00B0298E" w:rsidRPr="00CA47B9">
        <w:t>recorded</w:t>
      </w:r>
      <w:r w:rsidR="004B41A2" w:rsidRPr="00CA47B9">
        <w:t xml:space="preserve"> </w:t>
      </w:r>
      <w:r w:rsidR="00B0298E" w:rsidRPr="00CA47B9">
        <w:t>in</w:t>
      </w:r>
      <w:r w:rsidR="004B41A2" w:rsidRPr="00CA47B9">
        <w:t xml:space="preserve"> </w:t>
      </w:r>
      <w:r w:rsidR="00B0298E" w:rsidRPr="00CA47B9">
        <w:t>2008</w:t>
      </w:r>
      <w:r w:rsidR="004B41A2" w:rsidRPr="00CA47B9">
        <w:t xml:space="preserve"> </w:t>
      </w:r>
      <w:r w:rsidR="00B0298E" w:rsidRPr="00CA47B9">
        <w:t>and</w:t>
      </w:r>
      <w:r w:rsidR="004B41A2" w:rsidRPr="00CA47B9">
        <w:t xml:space="preserve"> </w:t>
      </w:r>
      <w:r w:rsidR="00B0298E" w:rsidRPr="00CA47B9">
        <w:t>2010</w:t>
      </w:r>
      <w:r w:rsidR="004B41A2" w:rsidRPr="00CA47B9">
        <w:t xml:space="preserve"> </w:t>
      </w:r>
      <w:r w:rsidR="00B0298E" w:rsidRPr="00CA47B9">
        <w:t>when</w:t>
      </w:r>
      <w:r w:rsidR="004B41A2" w:rsidRPr="00CA47B9">
        <w:t xml:space="preserve"> </w:t>
      </w:r>
      <w:r w:rsidR="00B0298E" w:rsidRPr="00CA47B9">
        <w:t>just</w:t>
      </w:r>
      <w:r w:rsidR="004B41A2" w:rsidRPr="00CA47B9">
        <w:t xml:space="preserve"> </w:t>
      </w:r>
      <w:r w:rsidR="00B0298E" w:rsidRPr="00CA47B9">
        <w:t>28</w:t>
      </w:r>
      <w:r w:rsidR="004B41A2" w:rsidRPr="00CA47B9">
        <w:t xml:space="preserve"> </w:t>
      </w:r>
      <w:r w:rsidR="00B0298E" w:rsidRPr="00CA47B9">
        <w:t>transactions</w:t>
      </w:r>
      <w:r w:rsidR="004B41A2" w:rsidRPr="00CA47B9">
        <w:t xml:space="preserve"> </w:t>
      </w:r>
      <w:r w:rsidR="00B0298E" w:rsidRPr="00CA47B9">
        <w:t>were</w:t>
      </w:r>
      <w:r w:rsidR="004B41A2" w:rsidRPr="00CA47B9">
        <w:t xml:space="preserve"> </w:t>
      </w:r>
      <w:r w:rsidR="00B0298E" w:rsidRPr="00CA47B9">
        <w:t>made.</w:t>
      </w:r>
      <w:r w:rsidR="004B41A2" w:rsidRPr="00CA47B9">
        <w:t xml:space="preserve"> </w:t>
      </w:r>
      <w:r w:rsidR="00B0298E" w:rsidRPr="00CA47B9">
        <w:t>On</w:t>
      </w:r>
      <w:r w:rsidR="004B41A2" w:rsidRPr="00CA47B9">
        <w:t xml:space="preserve"> </w:t>
      </w:r>
      <w:r w:rsidR="00B0298E" w:rsidRPr="00CA47B9">
        <w:t>average</w:t>
      </w:r>
      <w:r w:rsidR="004B41A2" w:rsidRPr="00CA47B9">
        <w:t xml:space="preserve"> </w:t>
      </w:r>
      <w:r w:rsidR="00B0298E" w:rsidRPr="00CA47B9">
        <w:t>3</w:t>
      </w:r>
      <w:r w:rsidR="00FF24F0" w:rsidRPr="00CA47B9">
        <w:t>8</w:t>
      </w:r>
      <w:r w:rsidR="004B41A2" w:rsidRPr="00CA47B9">
        <w:t xml:space="preserve"> </w:t>
      </w:r>
      <w:r w:rsidR="00B0298E" w:rsidRPr="00CA47B9">
        <w:t>office</w:t>
      </w:r>
      <w:r w:rsidR="004B41A2" w:rsidRPr="00CA47B9">
        <w:t xml:space="preserve"> </w:t>
      </w:r>
      <w:r w:rsidR="00B0298E" w:rsidRPr="00CA47B9">
        <w:t>transactions</w:t>
      </w:r>
      <w:r w:rsidR="004B41A2" w:rsidRPr="00CA47B9">
        <w:t xml:space="preserve"> </w:t>
      </w:r>
      <w:r w:rsidR="0035301B" w:rsidRPr="00CA47B9">
        <w:t>were</w:t>
      </w:r>
      <w:r w:rsidR="004B41A2" w:rsidRPr="00CA47B9">
        <w:t xml:space="preserve"> </w:t>
      </w:r>
      <w:r w:rsidR="00B0298E" w:rsidRPr="00CA47B9">
        <w:t>made</w:t>
      </w:r>
      <w:r w:rsidR="004B41A2" w:rsidRPr="00CA47B9">
        <w:t xml:space="preserve"> </w:t>
      </w:r>
      <w:r w:rsidR="00B0298E" w:rsidRPr="00CA47B9">
        <w:t>per</w:t>
      </w:r>
      <w:r w:rsidR="004B41A2" w:rsidRPr="00CA47B9">
        <w:t xml:space="preserve"> </w:t>
      </w:r>
      <w:r w:rsidR="00B0298E" w:rsidRPr="00CA47B9">
        <w:t>annum</w:t>
      </w:r>
      <w:r w:rsidR="004B41A2" w:rsidRPr="00CA47B9">
        <w:t xml:space="preserve"> </w:t>
      </w:r>
      <w:r w:rsidR="00B0298E" w:rsidRPr="00CA47B9">
        <w:t>in</w:t>
      </w:r>
      <w:r w:rsidR="004B41A2" w:rsidRPr="00CA47B9">
        <w:t xml:space="preserve"> </w:t>
      </w:r>
      <w:r w:rsidR="00B0298E" w:rsidRPr="00CA47B9">
        <w:t>the</w:t>
      </w:r>
      <w:r w:rsidR="004B41A2" w:rsidRPr="00CA47B9">
        <w:t xml:space="preserve"> </w:t>
      </w:r>
      <w:r w:rsidR="00B0298E" w:rsidRPr="00CA47B9">
        <w:t>district.</w:t>
      </w:r>
    </w:p>
    <w:p w:rsidR="000D71F7" w:rsidRDefault="00033080" w:rsidP="00AF0118">
      <w:pPr>
        <w:pStyle w:val="11Bodytext"/>
        <w:tabs>
          <w:tab w:val="clear" w:pos="2212"/>
          <w:tab w:val="num" w:pos="567"/>
        </w:tabs>
        <w:ind w:left="567" w:hanging="567"/>
      </w:pPr>
      <w:r>
        <w:t xml:space="preserve">Excluding </w:t>
      </w:r>
      <w:r w:rsidR="000D71F7">
        <w:t>the SDNP area, t</w:t>
      </w:r>
      <w:r w:rsidR="000D71F7" w:rsidRPr="00CA47B9">
        <w:t xml:space="preserve">he market was most active in 2016 when </w:t>
      </w:r>
      <w:r w:rsidR="000D71F7">
        <w:t>46</w:t>
      </w:r>
      <w:r w:rsidR="000D71F7" w:rsidRPr="00CA47B9">
        <w:t xml:space="preserve"> deals were recorded. The lowest number of transactions was recorded in 2008 when just </w:t>
      </w:r>
      <w:r w:rsidR="000D71F7">
        <w:t>11</w:t>
      </w:r>
      <w:r w:rsidR="000D71F7" w:rsidRPr="00CA47B9">
        <w:t xml:space="preserve"> transactions were made. </w:t>
      </w:r>
    </w:p>
    <w:p w:rsidR="00B0298E" w:rsidRPr="00CA47B9" w:rsidRDefault="00B0298E" w:rsidP="005D5606">
      <w:pPr>
        <w:pStyle w:val="FigureHeading"/>
        <w:tabs>
          <w:tab w:val="clear" w:pos="794"/>
          <w:tab w:val="clear" w:pos="1843"/>
          <w:tab w:val="left" w:pos="0"/>
        </w:tabs>
        <w:ind w:left="0" w:firstLine="0"/>
      </w:pPr>
      <w:bookmarkStart w:id="213" w:name="_Toc481156687"/>
      <w:r w:rsidRPr="00CA47B9">
        <w:t>Number</w:t>
      </w:r>
      <w:r w:rsidR="004B41A2" w:rsidRPr="00CA47B9">
        <w:t xml:space="preserve"> </w:t>
      </w:r>
      <w:r w:rsidRPr="00CA47B9">
        <w:t>of</w:t>
      </w:r>
      <w:r w:rsidR="004B41A2" w:rsidRPr="00CA47B9">
        <w:t xml:space="preserve"> </w:t>
      </w:r>
      <w:r w:rsidRPr="00CA47B9">
        <w:t>Office</w:t>
      </w:r>
      <w:r w:rsidR="004B41A2" w:rsidRPr="00CA47B9">
        <w:t xml:space="preserve"> </w:t>
      </w:r>
      <w:r w:rsidRPr="00CA47B9">
        <w:t>Transactions</w:t>
      </w:r>
      <w:r w:rsidR="004B41A2" w:rsidRPr="00CA47B9">
        <w:t xml:space="preserve"> </w:t>
      </w:r>
      <w:r w:rsidRPr="00CA47B9">
        <w:t>by</w:t>
      </w:r>
      <w:r w:rsidR="004B41A2" w:rsidRPr="00CA47B9">
        <w:t xml:space="preserve"> </w:t>
      </w:r>
      <w:r w:rsidRPr="00CA47B9">
        <w:t>Year</w:t>
      </w:r>
      <w:r w:rsidR="004B41A2" w:rsidRPr="00CA47B9">
        <w:t xml:space="preserve"> </w:t>
      </w:r>
      <w:r w:rsidRPr="00CA47B9">
        <w:t>and</w:t>
      </w:r>
      <w:r w:rsidR="004B41A2" w:rsidRPr="00CA47B9">
        <w:t xml:space="preserve"> </w:t>
      </w:r>
      <w:r w:rsidRPr="00CA47B9">
        <w:t>sub-area,</w:t>
      </w:r>
      <w:r w:rsidR="004B41A2" w:rsidRPr="00CA47B9">
        <w:t xml:space="preserve"> </w:t>
      </w:r>
      <w:r w:rsidRPr="00CA47B9">
        <w:t>2007-201</w:t>
      </w:r>
      <w:bookmarkEnd w:id="213"/>
      <w:r w:rsidR="008156A5" w:rsidRPr="00CA47B9">
        <w:t>8</w:t>
      </w:r>
    </w:p>
    <w:p w:rsidR="00B0298E" w:rsidRPr="00CA47B9" w:rsidRDefault="008156A5" w:rsidP="00031E60">
      <w:pPr>
        <w:pStyle w:val="Bodytextwithindent"/>
        <w:keepNext/>
        <w:spacing w:before="0" w:after="0" w:line="240" w:lineRule="auto"/>
        <w:ind w:left="0"/>
        <w:rPr>
          <w:rFonts w:asciiTheme="minorHAnsi" w:hAnsiTheme="minorHAnsi" w:cstheme="minorHAnsi"/>
          <w:color w:val="auto"/>
        </w:rPr>
      </w:pPr>
      <w:r w:rsidRPr="00CA47B9">
        <w:rPr>
          <w:noProof/>
          <w:color w:val="auto"/>
          <w:lang w:eastAsia="en-GB"/>
        </w:rPr>
        <w:drawing>
          <wp:inline distT="0" distB="0" distL="0" distR="0" wp14:anchorId="4E4EAD86" wp14:editId="3B63D947">
            <wp:extent cx="6120000" cy="3258000"/>
            <wp:effectExtent l="0" t="0" r="14605" b="19050"/>
            <wp:docPr id="1044" name="Chart 1044" descr="Stacked bar chart comparing the number of office transactions per year in each sub area of Chichester district" title="Figure 50: Number of Office Transactions by Year and sub-area, 2007-20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B0298E" w:rsidRPr="00795E1F" w:rsidRDefault="00B0298E" w:rsidP="005D5606">
      <w:pPr>
        <w:pStyle w:val="Referencetext8pt"/>
        <w:spacing w:after="120" w:line="360" w:lineRule="auto"/>
        <w:rPr>
          <w:rFonts w:asciiTheme="minorHAnsi" w:hAnsiTheme="minorHAnsi" w:cstheme="minorHAnsi"/>
          <w:color w:val="auto"/>
          <w:sz w:val="24"/>
          <w:szCs w:val="24"/>
        </w:rPr>
      </w:pPr>
      <w:r w:rsidRPr="00795E1F">
        <w:rPr>
          <w:rFonts w:asciiTheme="minorHAnsi" w:hAnsiTheme="minorHAnsi" w:cstheme="minorHAnsi"/>
          <w:color w:val="auto"/>
          <w:sz w:val="24"/>
          <w:szCs w:val="24"/>
        </w:rPr>
        <w:t>Source:</w:t>
      </w:r>
      <w:r w:rsidR="004B41A2" w:rsidRPr="00795E1F">
        <w:rPr>
          <w:rFonts w:asciiTheme="minorHAnsi" w:hAnsiTheme="minorHAnsi" w:cstheme="minorHAnsi"/>
          <w:color w:val="auto"/>
          <w:sz w:val="24"/>
          <w:szCs w:val="24"/>
        </w:rPr>
        <w:t xml:space="preserve"> </w:t>
      </w:r>
      <w:r w:rsidRPr="00795E1F">
        <w:rPr>
          <w:rFonts w:asciiTheme="minorHAnsi" w:hAnsiTheme="minorHAnsi" w:cstheme="minorHAnsi"/>
          <w:color w:val="auto"/>
          <w:sz w:val="24"/>
          <w:szCs w:val="24"/>
        </w:rPr>
        <w:t>GL</w:t>
      </w:r>
      <w:r w:rsidR="004B41A2" w:rsidRPr="00795E1F">
        <w:rPr>
          <w:rFonts w:asciiTheme="minorHAnsi" w:hAnsiTheme="minorHAnsi" w:cstheme="minorHAnsi"/>
          <w:color w:val="auto"/>
          <w:sz w:val="24"/>
          <w:szCs w:val="24"/>
        </w:rPr>
        <w:t xml:space="preserve"> </w:t>
      </w:r>
      <w:r w:rsidRPr="00795E1F">
        <w:rPr>
          <w:rFonts w:asciiTheme="minorHAnsi" w:hAnsiTheme="minorHAnsi" w:cstheme="minorHAnsi"/>
          <w:color w:val="auto"/>
          <w:sz w:val="24"/>
          <w:szCs w:val="24"/>
        </w:rPr>
        <w:t>Hearn</w:t>
      </w:r>
      <w:r w:rsidR="004B41A2" w:rsidRPr="00795E1F">
        <w:rPr>
          <w:rFonts w:asciiTheme="minorHAnsi" w:hAnsiTheme="minorHAnsi" w:cstheme="minorHAnsi"/>
          <w:color w:val="auto"/>
          <w:sz w:val="24"/>
          <w:szCs w:val="24"/>
        </w:rPr>
        <w:t xml:space="preserve"> </w:t>
      </w:r>
      <w:r w:rsidRPr="00795E1F">
        <w:rPr>
          <w:rFonts w:asciiTheme="minorHAnsi" w:hAnsiTheme="minorHAnsi" w:cstheme="minorHAnsi"/>
          <w:color w:val="auto"/>
          <w:sz w:val="24"/>
          <w:szCs w:val="24"/>
        </w:rPr>
        <w:t>Analysis</w:t>
      </w:r>
      <w:r w:rsidR="004B41A2" w:rsidRPr="00795E1F">
        <w:rPr>
          <w:rFonts w:asciiTheme="minorHAnsi" w:hAnsiTheme="minorHAnsi" w:cstheme="minorHAnsi"/>
          <w:color w:val="auto"/>
          <w:sz w:val="24"/>
          <w:szCs w:val="24"/>
        </w:rPr>
        <w:t xml:space="preserve"> </w:t>
      </w:r>
      <w:r w:rsidRPr="00795E1F">
        <w:rPr>
          <w:rFonts w:asciiTheme="minorHAnsi" w:hAnsiTheme="minorHAnsi" w:cstheme="minorHAnsi"/>
          <w:color w:val="auto"/>
          <w:sz w:val="24"/>
          <w:szCs w:val="24"/>
        </w:rPr>
        <w:t>of</w:t>
      </w:r>
      <w:r w:rsidR="004B41A2" w:rsidRPr="00795E1F">
        <w:rPr>
          <w:rFonts w:asciiTheme="minorHAnsi" w:hAnsiTheme="minorHAnsi" w:cstheme="minorHAnsi"/>
          <w:color w:val="auto"/>
          <w:sz w:val="24"/>
          <w:szCs w:val="24"/>
        </w:rPr>
        <w:t xml:space="preserve"> </w:t>
      </w:r>
      <w:r w:rsidRPr="00795E1F">
        <w:rPr>
          <w:rFonts w:asciiTheme="minorHAnsi" w:hAnsiTheme="minorHAnsi" w:cstheme="minorHAnsi"/>
          <w:color w:val="auto"/>
          <w:sz w:val="24"/>
          <w:szCs w:val="24"/>
        </w:rPr>
        <w:t>EGi</w:t>
      </w:r>
      <w:r w:rsidR="004B41A2" w:rsidRPr="00795E1F">
        <w:rPr>
          <w:rFonts w:asciiTheme="minorHAnsi" w:hAnsiTheme="minorHAnsi" w:cstheme="minorHAnsi"/>
          <w:color w:val="auto"/>
          <w:sz w:val="24"/>
          <w:szCs w:val="24"/>
        </w:rPr>
        <w:t xml:space="preserve"> </w:t>
      </w:r>
      <w:r w:rsidRPr="00795E1F">
        <w:rPr>
          <w:rFonts w:asciiTheme="minorHAnsi" w:hAnsiTheme="minorHAnsi" w:cstheme="minorHAnsi"/>
          <w:color w:val="auto"/>
          <w:sz w:val="24"/>
          <w:szCs w:val="24"/>
        </w:rPr>
        <w:t>and</w:t>
      </w:r>
      <w:r w:rsidR="004B41A2" w:rsidRPr="00795E1F">
        <w:rPr>
          <w:rFonts w:asciiTheme="minorHAnsi" w:hAnsiTheme="minorHAnsi" w:cstheme="minorHAnsi"/>
          <w:color w:val="auto"/>
          <w:sz w:val="24"/>
          <w:szCs w:val="24"/>
        </w:rPr>
        <w:t xml:space="preserve"> </w:t>
      </w:r>
      <w:r w:rsidRPr="00795E1F">
        <w:rPr>
          <w:rFonts w:asciiTheme="minorHAnsi" w:hAnsiTheme="minorHAnsi" w:cstheme="minorHAnsi"/>
          <w:color w:val="auto"/>
          <w:sz w:val="24"/>
          <w:szCs w:val="24"/>
        </w:rPr>
        <w:t>CoStar</w:t>
      </w:r>
      <w:r w:rsidR="004B41A2" w:rsidRPr="00795E1F">
        <w:rPr>
          <w:rFonts w:asciiTheme="minorHAnsi" w:hAnsiTheme="minorHAnsi" w:cstheme="minorHAnsi"/>
          <w:color w:val="auto"/>
          <w:sz w:val="24"/>
          <w:szCs w:val="24"/>
        </w:rPr>
        <w:t xml:space="preserve"> </w:t>
      </w:r>
      <w:r w:rsidRPr="00795E1F">
        <w:rPr>
          <w:rFonts w:asciiTheme="minorHAnsi" w:hAnsiTheme="minorHAnsi" w:cstheme="minorHAnsi"/>
          <w:color w:val="auto"/>
          <w:sz w:val="24"/>
          <w:szCs w:val="24"/>
        </w:rPr>
        <w:t>Data</w:t>
      </w:r>
    </w:p>
    <w:p w:rsidR="00B0298E" w:rsidRPr="00CA47B9" w:rsidRDefault="00B0298E" w:rsidP="00AF0118">
      <w:pPr>
        <w:pStyle w:val="11Bodytext"/>
        <w:tabs>
          <w:tab w:val="clear" w:pos="2212"/>
          <w:tab w:val="num" w:pos="567"/>
        </w:tabs>
        <w:ind w:left="567" w:hanging="567"/>
        <w:rPr>
          <w:color w:val="FF0000"/>
        </w:rPr>
      </w:pPr>
      <w:r w:rsidRPr="00CA47B9">
        <w:t>At</w:t>
      </w:r>
      <w:r w:rsidR="004B41A2" w:rsidRPr="00CA47B9">
        <w:t xml:space="preserve"> </w:t>
      </w:r>
      <w:r w:rsidRPr="00CA47B9">
        <w:t>64%</w:t>
      </w:r>
      <w:r w:rsidR="004B41A2" w:rsidRPr="00CA47B9">
        <w:t xml:space="preserve"> </w:t>
      </w:r>
      <w:r w:rsidRPr="00CA47B9">
        <w:t>the</w:t>
      </w:r>
      <w:r w:rsidR="004B41A2" w:rsidRPr="00CA47B9">
        <w:t xml:space="preserve"> </w:t>
      </w:r>
      <w:r w:rsidRPr="00CA47B9">
        <w:t>vast</w:t>
      </w:r>
      <w:r w:rsidR="004B41A2" w:rsidRPr="00CA47B9">
        <w:t xml:space="preserve"> </w:t>
      </w:r>
      <w:r w:rsidRPr="00CA47B9">
        <w:t>majority</w:t>
      </w:r>
      <w:r w:rsidR="004B41A2" w:rsidRPr="00CA47B9">
        <w:t xml:space="preserve"> </w:t>
      </w:r>
      <w:r w:rsidRPr="00CA47B9">
        <w:t>of</w:t>
      </w:r>
      <w:r w:rsidR="004B41A2" w:rsidRPr="00CA47B9">
        <w:t xml:space="preserve"> </w:t>
      </w:r>
      <w:r w:rsidRPr="00CA47B9">
        <w:t>office</w:t>
      </w:r>
      <w:r w:rsidR="004B41A2" w:rsidRPr="00CA47B9">
        <w:t xml:space="preserve"> </w:t>
      </w:r>
      <w:r w:rsidRPr="00CA47B9">
        <w:t>floorspace</w:t>
      </w:r>
      <w:r w:rsidR="004B41A2" w:rsidRPr="00CA47B9">
        <w:t xml:space="preserve"> </w:t>
      </w:r>
      <w:r w:rsidRPr="00CA47B9">
        <w:t>was</w:t>
      </w:r>
      <w:r w:rsidR="004B41A2" w:rsidRPr="00CA47B9">
        <w:t xml:space="preserve"> </w:t>
      </w:r>
      <w:r w:rsidRPr="00CA47B9">
        <w:t>transacted</w:t>
      </w:r>
      <w:r w:rsidR="004B41A2" w:rsidRPr="00CA47B9">
        <w:t xml:space="preserve"> </w:t>
      </w:r>
      <w:r w:rsidRPr="00CA47B9">
        <w:t>in</w:t>
      </w:r>
      <w:r w:rsidR="004B41A2" w:rsidRPr="00CA47B9">
        <w:t xml:space="preserve"> </w:t>
      </w:r>
      <w:r w:rsidRPr="00CA47B9">
        <w:t>Chichester</w:t>
      </w:r>
      <w:r w:rsidR="004B41A2" w:rsidRPr="00CA47B9">
        <w:t xml:space="preserve"> </w:t>
      </w:r>
      <w:r w:rsidR="002A05C6" w:rsidRPr="00CA47B9">
        <w:t>C</w:t>
      </w:r>
      <w:r w:rsidR="00780358" w:rsidRPr="00CA47B9">
        <w:t>ity</w:t>
      </w:r>
      <w:r w:rsidR="004B41A2" w:rsidRPr="00CA47B9">
        <w:t xml:space="preserve"> </w:t>
      </w:r>
      <w:r w:rsidR="00855CA6" w:rsidRPr="00CA47B9">
        <w:t>sub</w:t>
      </w:r>
      <w:r w:rsidR="00855CA6">
        <w:t>-</w:t>
      </w:r>
      <w:r w:rsidRPr="00CA47B9">
        <w:t>area</w:t>
      </w:r>
      <w:r w:rsidR="004B41A2" w:rsidRPr="00CA47B9">
        <w:t xml:space="preserve"> </w:t>
      </w:r>
      <w:r w:rsidRPr="00CA47B9">
        <w:t>(4</w:t>
      </w:r>
      <w:r w:rsidR="000D7221" w:rsidRPr="00CA47B9">
        <w:t>6,216 sqm</w:t>
      </w:r>
      <w:r w:rsidRPr="00CA47B9">
        <w:t>),</w:t>
      </w:r>
      <w:r w:rsidR="004B41A2" w:rsidRPr="00CA47B9">
        <w:t xml:space="preserve"> </w:t>
      </w:r>
      <w:r w:rsidRPr="00CA47B9">
        <w:t>this</w:t>
      </w:r>
      <w:r w:rsidR="004B41A2" w:rsidRPr="00CA47B9">
        <w:t xml:space="preserve"> </w:t>
      </w:r>
      <w:r w:rsidRPr="00CA47B9">
        <w:t>is</w:t>
      </w:r>
      <w:r w:rsidR="004B41A2" w:rsidRPr="00CA47B9">
        <w:t xml:space="preserve"> </w:t>
      </w:r>
      <w:r w:rsidRPr="00CA47B9">
        <w:t>followed</w:t>
      </w:r>
      <w:r w:rsidR="004B41A2" w:rsidRPr="00CA47B9">
        <w:t xml:space="preserve"> </w:t>
      </w:r>
      <w:r w:rsidRPr="00CA47B9">
        <w:t>by</w:t>
      </w:r>
      <w:r w:rsidR="004B41A2" w:rsidRPr="00CA47B9">
        <w:t xml:space="preserve"> </w:t>
      </w:r>
      <w:r w:rsidRPr="00CA47B9">
        <w:t>South</w:t>
      </w:r>
      <w:r w:rsidR="004B41A2" w:rsidRPr="00CA47B9">
        <w:t xml:space="preserve"> </w:t>
      </w:r>
      <w:r w:rsidRPr="00CA47B9">
        <w:t>Downs</w:t>
      </w:r>
      <w:r w:rsidR="004B41A2" w:rsidRPr="00CA47B9">
        <w:t xml:space="preserve"> </w:t>
      </w:r>
      <w:r w:rsidRPr="00CA47B9">
        <w:t>National</w:t>
      </w:r>
      <w:r w:rsidR="004B41A2" w:rsidRPr="00CA47B9">
        <w:t xml:space="preserve"> </w:t>
      </w:r>
      <w:r w:rsidRPr="00CA47B9">
        <w:t>Park</w:t>
      </w:r>
      <w:r w:rsidR="004B41A2" w:rsidRPr="00CA47B9">
        <w:t xml:space="preserve"> </w:t>
      </w:r>
      <w:r w:rsidRPr="00CA47B9">
        <w:t>(</w:t>
      </w:r>
      <w:r w:rsidR="00457DFB" w:rsidRPr="00CA47B9">
        <w:t>9,341</w:t>
      </w:r>
      <w:r w:rsidR="004B41A2" w:rsidRPr="00CA47B9">
        <w:t xml:space="preserve"> </w:t>
      </w:r>
      <w:r w:rsidR="00D43280" w:rsidRPr="00CA47B9">
        <w:t>sqm</w:t>
      </w:r>
      <w:r w:rsidRPr="00CA47B9">
        <w:t>)</w:t>
      </w:r>
      <w:r w:rsidR="004B41A2" w:rsidRPr="00CA47B9">
        <w:t xml:space="preserve"> </w:t>
      </w:r>
      <w:r w:rsidRPr="00CA47B9">
        <w:t>at</w:t>
      </w:r>
      <w:r w:rsidR="004B41A2" w:rsidRPr="00CA47B9">
        <w:t xml:space="preserve"> </w:t>
      </w:r>
      <w:r w:rsidRPr="00CA47B9">
        <w:t>13%.</w:t>
      </w:r>
      <w:r w:rsidR="004B41A2" w:rsidRPr="00CA47B9">
        <w:t xml:space="preserve"> </w:t>
      </w:r>
    </w:p>
    <w:p w:rsidR="00B0298E" w:rsidRDefault="00B0298E" w:rsidP="00AF0118">
      <w:pPr>
        <w:pStyle w:val="11Bodytext"/>
        <w:tabs>
          <w:tab w:val="clear" w:pos="2212"/>
          <w:tab w:val="num" w:pos="567"/>
        </w:tabs>
        <w:ind w:left="567" w:hanging="567"/>
      </w:pPr>
      <w:r w:rsidRPr="00CA47B9">
        <w:lastRenderedPageBreak/>
        <w:t>Over</w:t>
      </w:r>
      <w:r w:rsidR="004B41A2" w:rsidRPr="00CA47B9">
        <w:t xml:space="preserve"> </w:t>
      </w:r>
      <w:r w:rsidRPr="00CA47B9">
        <w:t>the</w:t>
      </w:r>
      <w:r w:rsidR="004B41A2" w:rsidRPr="00CA47B9">
        <w:t xml:space="preserve"> </w:t>
      </w:r>
      <w:r w:rsidRPr="00CA47B9">
        <w:t>2007-201</w:t>
      </w:r>
      <w:r w:rsidR="00482FD6" w:rsidRPr="00CA47B9">
        <w:t>8</w:t>
      </w:r>
      <w:r w:rsidR="004B41A2" w:rsidRPr="00CA47B9">
        <w:t xml:space="preserve"> </w:t>
      </w:r>
      <w:r w:rsidRPr="00CA47B9">
        <w:t>period,</w:t>
      </w:r>
      <w:r w:rsidR="004B41A2" w:rsidRPr="00CA47B9">
        <w:t xml:space="preserve"> </w:t>
      </w:r>
      <w:r w:rsidRPr="00CA47B9">
        <w:t>the</w:t>
      </w:r>
      <w:r w:rsidR="004B41A2" w:rsidRPr="00CA47B9">
        <w:t xml:space="preserve"> </w:t>
      </w:r>
      <w:r w:rsidRPr="00CA47B9">
        <w:t>average</w:t>
      </w:r>
      <w:r w:rsidR="004B41A2" w:rsidRPr="00CA47B9">
        <w:t xml:space="preserve"> </w:t>
      </w:r>
      <w:r w:rsidRPr="00CA47B9">
        <w:t>annual</w:t>
      </w:r>
      <w:r w:rsidR="004B41A2" w:rsidRPr="00CA47B9">
        <w:t xml:space="preserve"> </w:t>
      </w:r>
      <w:r w:rsidRPr="00CA47B9">
        <w:t>floorspace</w:t>
      </w:r>
      <w:r w:rsidR="004B41A2" w:rsidRPr="00CA47B9">
        <w:t xml:space="preserve"> </w:t>
      </w:r>
      <w:r w:rsidRPr="00CA47B9">
        <w:t>take-up</w:t>
      </w:r>
      <w:r w:rsidR="004B41A2" w:rsidRPr="00CA47B9">
        <w:t xml:space="preserve"> </w:t>
      </w:r>
      <w:r w:rsidRPr="00CA47B9">
        <w:t>was</w:t>
      </w:r>
      <w:r w:rsidR="004B41A2" w:rsidRPr="00CA47B9">
        <w:t xml:space="preserve"> </w:t>
      </w:r>
      <w:r w:rsidRPr="00CA47B9">
        <w:t>around</w:t>
      </w:r>
      <w:r w:rsidR="004B41A2" w:rsidRPr="00CA47B9">
        <w:t xml:space="preserve"> </w:t>
      </w:r>
      <w:r w:rsidR="002C63E9" w:rsidRPr="00CA47B9">
        <w:t>5,979</w:t>
      </w:r>
      <w:r w:rsidR="004B41A2" w:rsidRPr="00CA47B9">
        <w:t xml:space="preserve"> </w:t>
      </w:r>
      <w:r w:rsidRPr="00CA47B9">
        <w:t>sqm.</w:t>
      </w:r>
      <w:r w:rsidR="004B41A2" w:rsidRPr="00CA47B9">
        <w:t xml:space="preserve"> </w:t>
      </w:r>
      <w:r w:rsidRPr="00CA47B9">
        <w:t>The</w:t>
      </w:r>
      <w:r w:rsidR="004B41A2" w:rsidRPr="00CA47B9">
        <w:t xml:space="preserve"> </w:t>
      </w:r>
      <w:r w:rsidRPr="00CA47B9">
        <w:t>highest</w:t>
      </w:r>
      <w:r w:rsidR="004B41A2" w:rsidRPr="00CA47B9">
        <w:t xml:space="preserve"> </w:t>
      </w:r>
      <w:r w:rsidRPr="00CA47B9">
        <w:t>volume</w:t>
      </w:r>
      <w:r w:rsidR="004B41A2" w:rsidRPr="00CA47B9">
        <w:t xml:space="preserve"> </w:t>
      </w:r>
      <w:r w:rsidRPr="00CA47B9">
        <w:t>of</w:t>
      </w:r>
      <w:r w:rsidR="004B41A2" w:rsidRPr="00CA47B9">
        <w:t xml:space="preserve"> </w:t>
      </w:r>
      <w:r w:rsidRPr="00CA47B9">
        <w:t>transactions</w:t>
      </w:r>
      <w:r w:rsidR="004B41A2" w:rsidRPr="00CA47B9">
        <w:t xml:space="preserve"> </w:t>
      </w:r>
      <w:r w:rsidRPr="00CA47B9">
        <w:t>in</w:t>
      </w:r>
      <w:r w:rsidR="004B41A2" w:rsidRPr="00CA47B9">
        <w:t xml:space="preserve"> </w:t>
      </w:r>
      <w:r w:rsidRPr="00CA47B9">
        <w:t>a</w:t>
      </w:r>
      <w:r w:rsidR="004B41A2" w:rsidRPr="00CA47B9">
        <w:t xml:space="preserve"> </w:t>
      </w:r>
      <w:r w:rsidRPr="00CA47B9">
        <w:t>single</w:t>
      </w:r>
      <w:r w:rsidR="004B41A2" w:rsidRPr="00CA47B9">
        <w:t xml:space="preserve"> </w:t>
      </w:r>
      <w:r w:rsidRPr="00CA47B9">
        <w:t>year</w:t>
      </w:r>
      <w:r w:rsidR="004B41A2" w:rsidRPr="00CA47B9">
        <w:t xml:space="preserve"> </w:t>
      </w:r>
      <w:r w:rsidRPr="00CA47B9">
        <w:t>was</w:t>
      </w:r>
      <w:r w:rsidR="004B41A2" w:rsidRPr="00CA47B9">
        <w:t xml:space="preserve"> </w:t>
      </w:r>
      <w:r w:rsidRPr="00CA47B9">
        <w:t>recorded</w:t>
      </w:r>
      <w:r w:rsidR="004B41A2" w:rsidRPr="00CA47B9">
        <w:t xml:space="preserve"> </w:t>
      </w:r>
      <w:r w:rsidRPr="00CA47B9">
        <w:t>in</w:t>
      </w:r>
      <w:r w:rsidR="004B41A2" w:rsidRPr="00CA47B9">
        <w:t xml:space="preserve"> </w:t>
      </w:r>
      <w:r w:rsidRPr="00CA47B9">
        <w:t>2016</w:t>
      </w:r>
      <w:r w:rsidR="004B41A2" w:rsidRPr="00CA47B9">
        <w:t xml:space="preserve"> </w:t>
      </w:r>
      <w:r w:rsidRPr="00CA47B9">
        <w:t>with</w:t>
      </w:r>
      <w:r w:rsidR="004B41A2" w:rsidRPr="00CA47B9">
        <w:t xml:space="preserve"> </w:t>
      </w:r>
      <w:r w:rsidRPr="00CA47B9">
        <w:t>10,242</w:t>
      </w:r>
      <w:r w:rsidR="004B41A2" w:rsidRPr="00CA47B9">
        <w:t xml:space="preserve"> </w:t>
      </w:r>
      <w:r w:rsidR="0021576F" w:rsidRPr="00CA47B9">
        <w:t>sqm</w:t>
      </w:r>
      <w:r w:rsidR="004B41A2" w:rsidRPr="00CA47B9">
        <w:t xml:space="preserve"> </w:t>
      </w:r>
      <w:r w:rsidRPr="00CA47B9">
        <w:t>of</w:t>
      </w:r>
      <w:r w:rsidR="004B41A2" w:rsidRPr="00CA47B9">
        <w:t xml:space="preserve"> </w:t>
      </w:r>
      <w:r w:rsidRPr="00CA47B9">
        <w:t>office</w:t>
      </w:r>
      <w:r w:rsidR="004B41A2" w:rsidRPr="00CA47B9">
        <w:t xml:space="preserve"> </w:t>
      </w:r>
      <w:r w:rsidRPr="00CA47B9">
        <w:t>floorspace</w:t>
      </w:r>
      <w:r w:rsidR="004B41A2" w:rsidRPr="00CA47B9">
        <w:t xml:space="preserve"> </w:t>
      </w:r>
      <w:r w:rsidRPr="00CA47B9">
        <w:t>transacted</w:t>
      </w:r>
      <w:r w:rsidR="004B41A2" w:rsidRPr="00CA47B9">
        <w:t xml:space="preserve"> </w:t>
      </w:r>
      <w:r w:rsidRPr="00CA47B9">
        <w:t>across</w:t>
      </w:r>
      <w:r w:rsidR="004B41A2" w:rsidRPr="00CA47B9">
        <w:t xml:space="preserve"> </w:t>
      </w:r>
      <w:r w:rsidRPr="00CA47B9">
        <w:t>the</w:t>
      </w:r>
      <w:r w:rsidR="004B41A2" w:rsidRPr="00CA47B9">
        <w:t xml:space="preserve"> </w:t>
      </w:r>
      <w:r w:rsidRPr="00CA47B9">
        <w:t>district.</w:t>
      </w:r>
    </w:p>
    <w:p w:rsidR="00ED50D0" w:rsidRPr="00ED50D0" w:rsidRDefault="00ED50D0" w:rsidP="00AF0118">
      <w:pPr>
        <w:pStyle w:val="11Bodytext"/>
        <w:tabs>
          <w:tab w:val="clear" w:pos="2212"/>
          <w:tab w:val="num" w:pos="567"/>
        </w:tabs>
        <w:ind w:left="567" w:hanging="567"/>
      </w:pPr>
      <w:r>
        <w:t>Without the SDNP area o</w:t>
      </w:r>
      <w:r w:rsidRPr="00CA47B9">
        <w:t>ver the 2007-2018 period, the average annual floorspace take-up was around 5</w:t>
      </w:r>
      <w:r>
        <w:t>,200</w:t>
      </w:r>
      <w:r w:rsidRPr="00CA47B9">
        <w:t xml:space="preserve"> sqm. The highest volume of transactions in a single year was recorded in 201</w:t>
      </w:r>
      <w:r>
        <w:t>3</w:t>
      </w:r>
      <w:r w:rsidRPr="00CA47B9">
        <w:t xml:space="preserve"> with </w:t>
      </w:r>
      <w:r>
        <w:t>9,103</w:t>
      </w:r>
      <w:r w:rsidRPr="00CA47B9">
        <w:t xml:space="preserve"> sqm of office floorspace transacted across the district.</w:t>
      </w:r>
      <w:r w:rsidR="006252E1">
        <w:t xml:space="preserve"> </w:t>
      </w:r>
    </w:p>
    <w:p w:rsidR="00B0298E" w:rsidRPr="00CA47B9" w:rsidRDefault="00B0298E" w:rsidP="005D5606">
      <w:pPr>
        <w:pStyle w:val="FigureHeading"/>
        <w:tabs>
          <w:tab w:val="clear" w:pos="794"/>
          <w:tab w:val="clear" w:pos="1843"/>
          <w:tab w:val="left" w:pos="0"/>
        </w:tabs>
        <w:spacing w:line="240" w:lineRule="auto"/>
        <w:ind w:left="0" w:firstLine="0"/>
      </w:pPr>
      <w:bookmarkStart w:id="214" w:name="_Toc481156688"/>
      <w:r w:rsidRPr="00CA47B9">
        <w:t>Office</w:t>
      </w:r>
      <w:r w:rsidR="004B41A2" w:rsidRPr="00CA47B9">
        <w:t xml:space="preserve"> </w:t>
      </w:r>
      <w:r w:rsidRPr="00CA47B9">
        <w:t>Floorspace</w:t>
      </w:r>
      <w:r w:rsidR="004B41A2" w:rsidRPr="00CA47B9">
        <w:t xml:space="preserve"> </w:t>
      </w:r>
      <w:r w:rsidRPr="00CA47B9">
        <w:t>Take-Up</w:t>
      </w:r>
      <w:r w:rsidR="004B41A2" w:rsidRPr="00CA47B9">
        <w:t xml:space="preserve"> </w:t>
      </w:r>
      <w:r w:rsidRPr="00CA47B9">
        <w:t>by</w:t>
      </w:r>
      <w:r w:rsidR="004B41A2" w:rsidRPr="00CA47B9">
        <w:t xml:space="preserve"> </w:t>
      </w:r>
      <w:r w:rsidRPr="00CA47B9">
        <w:t>Location,</w:t>
      </w:r>
      <w:r w:rsidR="004B41A2" w:rsidRPr="00CA47B9">
        <w:t xml:space="preserve"> </w:t>
      </w:r>
      <w:r w:rsidRPr="00CA47B9">
        <w:t>2007-1</w:t>
      </w:r>
      <w:bookmarkEnd w:id="214"/>
      <w:r w:rsidR="008156A5" w:rsidRPr="00CA47B9">
        <w:t>8</w:t>
      </w:r>
      <w:r w:rsidR="004B41A2" w:rsidRPr="00CA47B9">
        <w:t xml:space="preserve"> </w:t>
      </w:r>
      <w:r w:rsidRPr="00CA47B9">
        <w:t>(</w:t>
      </w:r>
      <w:r w:rsidR="00D43280" w:rsidRPr="00CA47B9">
        <w:t>sqm</w:t>
      </w:r>
      <w:r w:rsidRPr="00CA47B9">
        <w:t>)</w:t>
      </w:r>
    </w:p>
    <w:p w:rsidR="00B0298E" w:rsidRPr="00CA47B9" w:rsidRDefault="008156A5" w:rsidP="00031E60">
      <w:pPr>
        <w:pStyle w:val="11Bodytext"/>
        <w:numPr>
          <w:ilvl w:val="0"/>
          <w:numId w:val="0"/>
        </w:numPr>
        <w:spacing w:before="0" w:after="0" w:line="240" w:lineRule="auto"/>
      </w:pPr>
      <w:r w:rsidRPr="00CA47B9">
        <w:rPr>
          <w:noProof/>
          <w:lang w:eastAsia="en-GB"/>
        </w:rPr>
        <w:drawing>
          <wp:inline distT="0" distB="0" distL="0" distR="0" wp14:anchorId="00934C58" wp14:editId="2DE46D63">
            <wp:extent cx="6120000" cy="3733200"/>
            <wp:effectExtent l="0" t="0" r="14605" b="19685"/>
            <wp:docPr id="1045" name="Chart 1045" descr="Stacked bar chart showing the total quantum of floorspace transacted per year in each sub-area of Chichester district" title="Figure 51: Office Floorspace Take-Up by Location, 2007-18 (sqm)">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B0298E" w:rsidRPr="00795E1F" w:rsidRDefault="00B0298E" w:rsidP="005D5606">
      <w:pPr>
        <w:pStyle w:val="Referencetext8pt"/>
        <w:spacing w:line="240" w:lineRule="auto"/>
        <w:rPr>
          <w:rFonts w:asciiTheme="minorHAnsi" w:hAnsiTheme="minorHAnsi" w:cstheme="minorHAnsi"/>
          <w:color w:val="auto"/>
          <w:sz w:val="24"/>
          <w:szCs w:val="24"/>
        </w:rPr>
      </w:pPr>
      <w:r w:rsidRPr="00795E1F">
        <w:rPr>
          <w:rFonts w:asciiTheme="minorHAnsi" w:hAnsiTheme="minorHAnsi" w:cstheme="minorHAnsi"/>
          <w:color w:val="auto"/>
          <w:sz w:val="24"/>
          <w:szCs w:val="24"/>
        </w:rPr>
        <w:t>Source:</w:t>
      </w:r>
      <w:r w:rsidR="004B41A2" w:rsidRPr="00795E1F">
        <w:rPr>
          <w:rFonts w:asciiTheme="minorHAnsi" w:hAnsiTheme="minorHAnsi" w:cstheme="minorHAnsi"/>
          <w:color w:val="auto"/>
          <w:sz w:val="24"/>
          <w:szCs w:val="24"/>
        </w:rPr>
        <w:t xml:space="preserve"> </w:t>
      </w:r>
      <w:r w:rsidRPr="00795E1F">
        <w:rPr>
          <w:rFonts w:asciiTheme="minorHAnsi" w:hAnsiTheme="minorHAnsi" w:cstheme="minorHAnsi"/>
          <w:color w:val="auto"/>
          <w:sz w:val="24"/>
          <w:szCs w:val="24"/>
        </w:rPr>
        <w:t>GL</w:t>
      </w:r>
      <w:r w:rsidR="004B41A2" w:rsidRPr="00795E1F">
        <w:rPr>
          <w:rFonts w:asciiTheme="minorHAnsi" w:hAnsiTheme="minorHAnsi" w:cstheme="minorHAnsi"/>
          <w:color w:val="auto"/>
          <w:sz w:val="24"/>
          <w:szCs w:val="24"/>
        </w:rPr>
        <w:t xml:space="preserve"> </w:t>
      </w:r>
      <w:r w:rsidRPr="00795E1F">
        <w:rPr>
          <w:rFonts w:asciiTheme="minorHAnsi" w:hAnsiTheme="minorHAnsi" w:cstheme="minorHAnsi"/>
          <w:color w:val="auto"/>
          <w:sz w:val="24"/>
          <w:szCs w:val="24"/>
        </w:rPr>
        <w:t>Hearn</w:t>
      </w:r>
      <w:r w:rsidR="004B41A2" w:rsidRPr="00795E1F">
        <w:rPr>
          <w:rFonts w:asciiTheme="minorHAnsi" w:hAnsiTheme="minorHAnsi" w:cstheme="minorHAnsi"/>
          <w:color w:val="auto"/>
          <w:sz w:val="24"/>
          <w:szCs w:val="24"/>
        </w:rPr>
        <w:t xml:space="preserve"> </w:t>
      </w:r>
      <w:r w:rsidRPr="00795E1F">
        <w:rPr>
          <w:rFonts w:asciiTheme="minorHAnsi" w:hAnsiTheme="minorHAnsi" w:cstheme="minorHAnsi"/>
          <w:color w:val="auto"/>
          <w:sz w:val="24"/>
          <w:szCs w:val="24"/>
        </w:rPr>
        <w:t>Analysis</w:t>
      </w:r>
      <w:r w:rsidR="004B41A2" w:rsidRPr="00795E1F">
        <w:rPr>
          <w:rFonts w:asciiTheme="minorHAnsi" w:hAnsiTheme="minorHAnsi" w:cstheme="minorHAnsi"/>
          <w:color w:val="auto"/>
          <w:sz w:val="24"/>
          <w:szCs w:val="24"/>
        </w:rPr>
        <w:t xml:space="preserve"> </w:t>
      </w:r>
      <w:r w:rsidRPr="00795E1F">
        <w:rPr>
          <w:rFonts w:asciiTheme="minorHAnsi" w:hAnsiTheme="minorHAnsi" w:cstheme="minorHAnsi"/>
          <w:color w:val="auto"/>
          <w:sz w:val="24"/>
          <w:szCs w:val="24"/>
        </w:rPr>
        <w:t>of</w:t>
      </w:r>
      <w:r w:rsidR="004B41A2" w:rsidRPr="00795E1F">
        <w:rPr>
          <w:rFonts w:asciiTheme="minorHAnsi" w:hAnsiTheme="minorHAnsi" w:cstheme="minorHAnsi"/>
          <w:color w:val="auto"/>
          <w:sz w:val="24"/>
          <w:szCs w:val="24"/>
        </w:rPr>
        <w:t xml:space="preserve"> </w:t>
      </w:r>
      <w:r w:rsidRPr="00795E1F">
        <w:rPr>
          <w:rFonts w:asciiTheme="minorHAnsi" w:hAnsiTheme="minorHAnsi" w:cstheme="minorHAnsi"/>
          <w:color w:val="auto"/>
          <w:sz w:val="24"/>
          <w:szCs w:val="24"/>
        </w:rPr>
        <w:t>EGi</w:t>
      </w:r>
      <w:r w:rsidR="004B41A2" w:rsidRPr="00795E1F">
        <w:rPr>
          <w:rFonts w:asciiTheme="minorHAnsi" w:hAnsiTheme="minorHAnsi" w:cstheme="minorHAnsi"/>
          <w:color w:val="auto"/>
          <w:sz w:val="24"/>
          <w:szCs w:val="24"/>
        </w:rPr>
        <w:t xml:space="preserve"> </w:t>
      </w:r>
      <w:r w:rsidRPr="00795E1F">
        <w:rPr>
          <w:rFonts w:asciiTheme="minorHAnsi" w:hAnsiTheme="minorHAnsi" w:cstheme="minorHAnsi"/>
          <w:color w:val="auto"/>
          <w:sz w:val="24"/>
          <w:szCs w:val="24"/>
        </w:rPr>
        <w:t>and</w:t>
      </w:r>
      <w:r w:rsidR="004B41A2" w:rsidRPr="00795E1F">
        <w:rPr>
          <w:rFonts w:asciiTheme="minorHAnsi" w:hAnsiTheme="minorHAnsi" w:cstheme="minorHAnsi"/>
          <w:color w:val="auto"/>
          <w:sz w:val="24"/>
          <w:szCs w:val="24"/>
        </w:rPr>
        <w:t xml:space="preserve"> </w:t>
      </w:r>
      <w:r w:rsidRPr="00795E1F">
        <w:rPr>
          <w:rFonts w:asciiTheme="minorHAnsi" w:hAnsiTheme="minorHAnsi" w:cstheme="minorHAnsi"/>
          <w:color w:val="auto"/>
          <w:sz w:val="24"/>
          <w:szCs w:val="24"/>
        </w:rPr>
        <w:t>CoStar</w:t>
      </w:r>
      <w:r w:rsidR="004B41A2" w:rsidRPr="00795E1F">
        <w:rPr>
          <w:rFonts w:asciiTheme="minorHAnsi" w:hAnsiTheme="minorHAnsi" w:cstheme="minorHAnsi"/>
          <w:color w:val="auto"/>
          <w:sz w:val="24"/>
          <w:szCs w:val="24"/>
        </w:rPr>
        <w:t xml:space="preserve"> </w:t>
      </w:r>
      <w:r w:rsidRPr="00795E1F">
        <w:rPr>
          <w:rFonts w:asciiTheme="minorHAnsi" w:hAnsiTheme="minorHAnsi" w:cstheme="minorHAnsi"/>
          <w:color w:val="auto"/>
          <w:sz w:val="24"/>
          <w:szCs w:val="24"/>
        </w:rPr>
        <w:t>Data</w:t>
      </w:r>
    </w:p>
    <w:p w:rsidR="00B0298E" w:rsidRPr="00CA47B9" w:rsidRDefault="00B0298E" w:rsidP="00AF0118">
      <w:pPr>
        <w:pStyle w:val="11Bodytext"/>
        <w:tabs>
          <w:tab w:val="clear" w:pos="2212"/>
          <w:tab w:val="num" w:pos="567"/>
        </w:tabs>
        <w:ind w:left="567" w:hanging="567"/>
      </w:pPr>
      <w:r w:rsidRPr="00CA47B9">
        <w:t>The</w:t>
      </w:r>
      <w:r w:rsidR="004B41A2" w:rsidRPr="00CA47B9">
        <w:t xml:space="preserve"> </w:t>
      </w:r>
      <w:r w:rsidRPr="00CA47B9">
        <w:t>majority</w:t>
      </w:r>
      <w:r w:rsidR="004B41A2" w:rsidRPr="00CA47B9">
        <w:t xml:space="preserve"> </w:t>
      </w:r>
      <w:r w:rsidRPr="00CA47B9">
        <w:t>of</w:t>
      </w:r>
      <w:r w:rsidR="004B41A2" w:rsidRPr="00CA47B9">
        <w:t xml:space="preserve"> </w:t>
      </w:r>
      <w:r w:rsidRPr="00CA47B9">
        <w:t>transactions</w:t>
      </w:r>
      <w:r w:rsidR="004B41A2" w:rsidRPr="00CA47B9">
        <w:t xml:space="preserve"> </w:t>
      </w:r>
      <w:r w:rsidRPr="00CA47B9">
        <w:t>in</w:t>
      </w:r>
      <w:r w:rsidR="004B41A2" w:rsidRPr="00CA47B9">
        <w:t xml:space="preserve"> </w:t>
      </w:r>
      <w:r w:rsidRPr="00CA47B9">
        <w:t>Chichester</w:t>
      </w:r>
      <w:r w:rsidR="004B41A2" w:rsidRPr="00CA47B9">
        <w:t xml:space="preserve"> </w:t>
      </w:r>
      <w:r w:rsidR="00780358" w:rsidRPr="00CA47B9">
        <w:t>District</w:t>
      </w:r>
      <w:r w:rsidR="004B41A2" w:rsidRPr="00CA47B9">
        <w:t xml:space="preserve"> </w:t>
      </w:r>
      <w:r w:rsidRPr="00CA47B9">
        <w:t>involved</w:t>
      </w:r>
      <w:r w:rsidR="004B41A2" w:rsidRPr="00CA47B9">
        <w:t xml:space="preserve"> </w:t>
      </w:r>
      <w:r w:rsidRPr="00CA47B9">
        <w:t>units</w:t>
      </w:r>
      <w:r w:rsidR="004B41A2" w:rsidRPr="00CA47B9">
        <w:t xml:space="preserve"> </w:t>
      </w:r>
      <w:r w:rsidRPr="00CA47B9">
        <w:t>with</w:t>
      </w:r>
      <w:r w:rsidR="004B41A2" w:rsidRPr="00CA47B9">
        <w:t xml:space="preserve"> </w:t>
      </w:r>
      <w:r w:rsidRPr="00CA47B9">
        <w:t>sizes</w:t>
      </w:r>
      <w:r w:rsidR="004B41A2" w:rsidRPr="00CA47B9">
        <w:t xml:space="preserve"> </w:t>
      </w:r>
      <w:r w:rsidRPr="00CA47B9">
        <w:t>less</w:t>
      </w:r>
      <w:r w:rsidR="004B41A2" w:rsidRPr="00CA47B9">
        <w:t xml:space="preserve"> </w:t>
      </w:r>
      <w:r w:rsidRPr="00CA47B9">
        <w:t>than</w:t>
      </w:r>
      <w:r w:rsidR="004B41A2" w:rsidRPr="00CA47B9">
        <w:t xml:space="preserve"> </w:t>
      </w:r>
      <w:r w:rsidRPr="00CA47B9">
        <w:t>185</w:t>
      </w:r>
      <w:r w:rsidR="004B41A2" w:rsidRPr="00CA47B9">
        <w:t xml:space="preserve"> </w:t>
      </w:r>
      <w:r w:rsidR="00D50065" w:rsidRPr="00CA47B9">
        <w:t>s</w:t>
      </w:r>
      <w:r w:rsidR="002C63E9" w:rsidRPr="00CA47B9">
        <w:t>q</w:t>
      </w:r>
      <w:r w:rsidR="00D50065" w:rsidRPr="00CA47B9">
        <w:t>m</w:t>
      </w:r>
      <w:r w:rsidRPr="00CA47B9">
        <w:t>.</w:t>
      </w:r>
      <w:r w:rsidR="004B41A2" w:rsidRPr="00CA47B9">
        <w:t xml:space="preserve"> </w:t>
      </w:r>
      <w:r w:rsidRPr="00CA47B9">
        <w:t>Since</w:t>
      </w:r>
      <w:r w:rsidR="004B41A2" w:rsidRPr="00CA47B9">
        <w:t xml:space="preserve"> </w:t>
      </w:r>
      <w:r w:rsidRPr="00CA47B9">
        <w:t>2014</w:t>
      </w:r>
      <w:r w:rsidR="004B41A2" w:rsidRPr="00CA47B9">
        <w:t xml:space="preserve"> </w:t>
      </w:r>
      <w:r w:rsidRPr="00CA47B9">
        <w:t>there</w:t>
      </w:r>
      <w:r w:rsidR="004B41A2" w:rsidRPr="00CA47B9">
        <w:t xml:space="preserve"> </w:t>
      </w:r>
      <w:r w:rsidRPr="00CA47B9">
        <w:t>has</w:t>
      </w:r>
      <w:r w:rsidR="004B41A2" w:rsidRPr="00CA47B9">
        <w:t xml:space="preserve"> </w:t>
      </w:r>
      <w:r w:rsidRPr="00CA47B9">
        <w:t>however</w:t>
      </w:r>
      <w:r w:rsidR="004B41A2" w:rsidRPr="00CA47B9">
        <w:t xml:space="preserve"> </w:t>
      </w:r>
      <w:r w:rsidRPr="00CA47B9">
        <w:t>been</w:t>
      </w:r>
      <w:r w:rsidR="004B41A2" w:rsidRPr="00CA47B9">
        <w:t xml:space="preserve"> </w:t>
      </w:r>
      <w:r w:rsidRPr="00CA47B9">
        <w:t>an</w:t>
      </w:r>
      <w:r w:rsidR="004B41A2" w:rsidRPr="00CA47B9">
        <w:t xml:space="preserve"> </w:t>
      </w:r>
      <w:r w:rsidRPr="00CA47B9">
        <w:t>increase</w:t>
      </w:r>
      <w:r w:rsidR="004B41A2" w:rsidRPr="00CA47B9">
        <w:t xml:space="preserve"> </w:t>
      </w:r>
      <w:r w:rsidRPr="00CA47B9">
        <w:t>in</w:t>
      </w:r>
      <w:r w:rsidR="004B41A2" w:rsidRPr="00CA47B9">
        <w:t xml:space="preserve"> </w:t>
      </w:r>
      <w:r w:rsidRPr="00CA47B9">
        <w:t>the</w:t>
      </w:r>
      <w:r w:rsidR="004B41A2" w:rsidRPr="00CA47B9">
        <w:t xml:space="preserve"> </w:t>
      </w:r>
      <w:r w:rsidRPr="00CA47B9">
        <w:t>number</w:t>
      </w:r>
      <w:r w:rsidR="004B41A2" w:rsidRPr="00CA47B9">
        <w:t xml:space="preserve"> </w:t>
      </w:r>
      <w:r w:rsidRPr="00CA47B9">
        <w:t>of</w:t>
      </w:r>
      <w:r w:rsidR="004B41A2" w:rsidRPr="00CA47B9">
        <w:t xml:space="preserve"> </w:t>
      </w:r>
      <w:r w:rsidRPr="00CA47B9">
        <w:t>larger</w:t>
      </w:r>
      <w:r w:rsidR="004B41A2" w:rsidRPr="00CA47B9">
        <w:t xml:space="preserve"> </w:t>
      </w:r>
      <w:r w:rsidRPr="00CA47B9">
        <w:t>transactions</w:t>
      </w:r>
      <w:r w:rsidR="004B41A2" w:rsidRPr="00CA47B9">
        <w:t xml:space="preserve"> </w:t>
      </w:r>
      <w:r w:rsidRPr="00CA47B9">
        <w:t>recorded</w:t>
      </w:r>
      <w:r w:rsidR="004B41A2" w:rsidRPr="00CA47B9">
        <w:t xml:space="preserve"> </w:t>
      </w:r>
      <w:r w:rsidRPr="00CA47B9">
        <w:t>on</w:t>
      </w:r>
      <w:r w:rsidR="004B41A2" w:rsidRPr="00CA47B9">
        <w:t xml:space="preserve"> </w:t>
      </w:r>
      <w:r w:rsidRPr="00CA47B9">
        <w:t>EGi/CoStar,</w:t>
      </w:r>
      <w:r w:rsidR="004B41A2" w:rsidRPr="00CA47B9">
        <w:t xml:space="preserve"> </w:t>
      </w:r>
      <w:r w:rsidRPr="00CA47B9">
        <w:t>likely</w:t>
      </w:r>
      <w:r w:rsidR="004B41A2" w:rsidRPr="00CA47B9">
        <w:t xml:space="preserve"> </w:t>
      </w:r>
      <w:r w:rsidRPr="00CA47B9">
        <w:t>reflecting</w:t>
      </w:r>
      <w:r w:rsidR="004B41A2" w:rsidRPr="00CA47B9">
        <w:t xml:space="preserve"> </w:t>
      </w:r>
      <w:r w:rsidRPr="00CA47B9">
        <w:t>in</w:t>
      </w:r>
      <w:r w:rsidR="004B41A2" w:rsidRPr="00CA47B9">
        <w:t xml:space="preserve"> </w:t>
      </w:r>
      <w:r w:rsidRPr="00CA47B9">
        <w:t>part</w:t>
      </w:r>
      <w:r w:rsidR="004B41A2" w:rsidRPr="00CA47B9">
        <w:t xml:space="preserve"> </w:t>
      </w:r>
      <w:r w:rsidRPr="00CA47B9">
        <w:t>improvements</w:t>
      </w:r>
      <w:r w:rsidR="004B41A2" w:rsidRPr="00CA47B9">
        <w:t xml:space="preserve"> </w:t>
      </w:r>
      <w:r w:rsidRPr="00CA47B9">
        <w:t>to</w:t>
      </w:r>
      <w:r w:rsidR="004B41A2" w:rsidRPr="00CA47B9">
        <w:t xml:space="preserve"> </w:t>
      </w:r>
      <w:r w:rsidRPr="00CA47B9">
        <w:t>data;</w:t>
      </w:r>
      <w:r w:rsidR="004B41A2" w:rsidRPr="00CA47B9">
        <w:t xml:space="preserve"> </w:t>
      </w:r>
      <w:r w:rsidRPr="00CA47B9">
        <w:t>together</w:t>
      </w:r>
      <w:r w:rsidR="004B41A2" w:rsidRPr="00CA47B9">
        <w:t xml:space="preserve"> </w:t>
      </w:r>
      <w:r w:rsidRPr="00CA47B9">
        <w:t>with</w:t>
      </w:r>
      <w:r w:rsidR="004B41A2" w:rsidRPr="00CA47B9">
        <w:t xml:space="preserve"> </w:t>
      </w:r>
      <w:r w:rsidRPr="00CA47B9">
        <w:t>a</w:t>
      </w:r>
      <w:r w:rsidR="004B41A2" w:rsidRPr="00CA47B9">
        <w:t xml:space="preserve"> </w:t>
      </w:r>
      <w:r w:rsidRPr="00CA47B9">
        <w:t>partial</w:t>
      </w:r>
      <w:r w:rsidR="004B41A2" w:rsidRPr="00CA47B9">
        <w:t xml:space="preserve"> </w:t>
      </w:r>
      <w:r w:rsidRPr="00CA47B9">
        <w:t>recovery</w:t>
      </w:r>
      <w:r w:rsidR="004B41A2" w:rsidRPr="00CA47B9">
        <w:t xml:space="preserve"> </w:t>
      </w:r>
      <w:r w:rsidRPr="00CA47B9">
        <w:t>in</w:t>
      </w:r>
      <w:r w:rsidR="004B41A2" w:rsidRPr="00CA47B9">
        <w:t xml:space="preserve"> </w:t>
      </w:r>
      <w:r w:rsidRPr="00CA47B9">
        <w:t>the</w:t>
      </w:r>
      <w:r w:rsidR="004B41A2" w:rsidRPr="00CA47B9">
        <w:t xml:space="preserve"> </w:t>
      </w:r>
      <w:r w:rsidRPr="00CA47B9">
        <w:t>office</w:t>
      </w:r>
      <w:r w:rsidR="004B41A2" w:rsidRPr="00CA47B9">
        <w:t xml:space="preserve"> </w:t>
      </w:r>
      <w:r w:rsidRPr="00CA47B9">
        <w:t>market.</w:t>
      </w:r>
    </w:p>
    <w:p w:rsidR="00B0298E" w:rsidRPr="00CA47B9" w:rsidRDefault="00B0298E" w:rsidP="005D5606">
      <w:pPr>
        <w:pStyle w:val="FigureHeading"/>
        <w:tabs>
          <w:tab w:val="clear" w:pos="794"/>
          <w:tab w:val="clear" w:pos="1843"/>
          <w:tab w:val="left" w:pos="0"/>
        </w:tabs>
        <w:spacing w:line="240" w:lineRule="auto"/>
        <w:ind w:left="0" w:firstLine="0"/>
      </w:pPr>
      <w:bookmarkStart w:id="215" w:name="_Toc481156689"/>
      <w:r w:rsidRPr="00CA47B9">
        <w:lastRenderedPageBreak/>
        <w:t>Profile</w:t>
      </w:r>
      <w:r w:rsidR="004B41A2" w:rsidRPr="00CA47B9">
        <w:t xml:space="preserve"> </w:t>
      </w:r>
      <w:r w:rsidRPr="00CA47B9">
        <w:t>of</w:t>
      </w:r>
      <w:r w:rsidR="004B41A2" w:rsidRPr="00CA47B9">
        <w:t xml:space="preserve"> </w:t>
      </w:r>
      <w:r w:rsidRPr="00CA47B9">
        <w:t>Office</w:t>
      </w:r>
      <w:r w:rsidR="004B41A2" w:rsidRPr="00CA47B9">
        <w:t xml:space="preserve"> </w:t>
      </w:r>
      <w:r w:rsidRPr="00CA47B9">
        <w:t>Deals</w:t>
      </w:r>
      <w:r w:rsidR="004B41A2" w:rsidRPr="00CA47B9">
        <w:t xml:space="preserve"> </w:t>
      </w:r>
      <w:r w:rsidRPr="00CA47B9">
        <w:t>by</w:t>
      </w:r>
      <w:r w:rsidR="004B41A2" w:rsidRPr="00CA47B9">
        <w:t xml:space="preserve"> </w:t>
      </w:r>
      <w:r w:rsidRPr="00CA47B9">
        <w:t>Size</w:t>
      </w:r>
      <w:r w:rsidR="004B41A2" w:rsidRPr="00CA47B9">
        <w:t xml:space="preserve"> </w:t>
      </w:r>
      <w:r w:rsidR="00780358" w:rsidRPr="00CA47B9">
        <w:t>in</w:t>
      </w:r>
      <w:r w:rsidR="004B41A2" w:rsidRPr="00CA47B9">
        <w:t xml:space="preserve"> </w:t>
      </w:r>
      <w:r w:rsidR="00780358" w:rsidRPr="00CA47B9">
        <w:t>Chichester</w:t>
      </w:r>
      <w:r w:rsidR="004B41A2" w:rsidRPr="00CA47B9">
        <w:t xml:space="preserve"> </w:t>
      </w:r>
      <w:r w:rsidR="00780358" w:rsidRPr="00CA47B9">
        <w:t>District</w:t>
      </w:r>
      <w:r w:rsidR="004B41A2" w:rsidRPr="00CA47B9">
        <w:t xml:space="preserve"> </w:t>
      </w:r>
      <w:r w:rsidRPr="00CA47B9">
        <w:t>(</w:t>
      </w:r>
      <w:r w:rsidR="00D43280" w:rsidRPr="00CA47B9">
        <w:t>sqm</w:t>
      </w:r>
      <w:r w:rsidRPr="00CA47B9">
        <w:t>),</w:t>
      </w:r>
      <w:r w:rsidR="004B41A2" w:rsidRPr="00CA47B9">
        <w:t xml:space="preserve"> </w:t>
      </w:r>
      <w:r w:rsidRPr="00CA47B9">
        <w:t>2007-201</w:t>
      </w:r>
      <w:bookmarkEnd w:id="215"/>
      <w:r w:rsidR="008156A5" w:rsidRPr="00CA47B9">
        <w:t>8</w:t>
      </w:r>
      <w:r w:rsidR="004B41A2" w:rsidRPr="00CA47B9">
        <w:t xml:space="preserve"> </w:t>
      </w:r>
    </w:p>
    <w:p w:rsidR="00B0298E" w:rsidRPr="00CA47B9" w:rsidRDefault="008156A5" w:rsidP="00031E60">
      <w:pPr>
        <w:pStyle w:val="11Bodytext"/>
        <w:numPr>
          <w:ilvl w:val="0"/>
          <w:numId w:val="0"/>
        </w:numPr>
        <w:spacing w:before="0" w:after="0" w:line="240" w:lineRule="auto"/>
      </w:pPr>
      <w:r w:rsidRPr="00CA47B9">
        <w:rPr>
          <w:noProof/>
          <w:lang w:eastAsia="en-GB"/>
        </w:rPr>
        <w:drawing>
          <wp:inline distT="0" distB="0" distL="0" distR="0" wp14:anchorId="2F454942" wp14:editId="1018233D">
            <wp:extent cx="6120000" cy="2880000"/>
            <wp:effectExtent l="0" t="0" r="14605" b="15875"/>
            <wp:docPr id="1046" name="Chart 1046" descr="Stacked bar chart showing number of deals by size band from 20018 to 2018" title="Figure 52: Profile of Office Deals by Size in Chichester District (sqm), 2007-2018 ">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B0298E" w:rsidRPr="00795E1F" w:rsidRDefault="00B0298E" w:rsidP="005D5606">
      <w:pPr>
        <w:pStyle w:val="Referencetext8pt"/>
        <w:spacing w:line="240" w:lineRule="auto"/>
        <w:rPr>
          <w:rFonts w:asciiTheme="minorHAnsi" w:hAnsiTheme="minorHAnsi" w:cstheme="minorHAnsi"/>
          <w:color w:val="auto"/>
          <w:sz w:val="24"/>
          <w:szCs w:val="24"/>
        </w:rPr>
      </w:pPr>
      <w:r w:rsidRPr="00795E1F">
        <w:rPr>
          <w:rFonts w:asciiTheme="minorHAnsi" w:hAnsiTheme="minorHAnsi" w:cstheme="minorHAnsi"/>
          <w:color w:val="auto"/>
          <w:sz w:val="24"/>
          <w:szCs w:val="24"/>
        </w:rPr>
        <w:t>Source:</w:t>
      </w:r>
      <w:r w:rsidR="004B41A2" w:rsidRPr="00795E1F">
        <w:rPr>
          <w:rFonts w:asciiTheme="minorHAnsi" w:hAnsiTheme="minorHAnsi" w:cstheme="minorHAnsi"/>
          <w:color w:val="auto"/>
          <w:sz w:val="24"/>
          <w:szCs w:val="24"/>
        </w:rPr>
        <w:t xml:space="preserve"> </w:t>
      </w:r>
      <w:r w:rsidRPr="00795E1F">
        <w:rPr>
          <w:rFonts w:asciiTheme="minorHAnsi" w:hAnsiTheme="minorHAnsi" w:cstheme="minorHAnsi"/>
          <w:color w:val="auto"/>
          <w:sz w:val="24"/>
          <w:szCs w:val="24"/>
        </w:rPr>
        <w:t>GL</w:t>
      </w:r>
      <w:r w:rsidR="004B41A2" w:rsidRPr="00795E1F">
        <w:rPr>
          <w:rFonts w:asciiTheme="minorHAnsi" w:hAnsiTheme="minorHAnsi" w:cstheme="minorHAnsi"/>
          <w:color w:val="auto"/>
          <w:sz w:val="24"/>
          <w:szCs w:val="24"/>
        </w:rPr>
        <w:t xml:space="preserve"> </w:t>
      </w:r>
      <w:r w:rsidRPr="00795E1F">
        <w:rPr>
          <w:rFonts w:asciiTheme="minorHAnsi" w:hAnsiTheme="minorHAnsi" w:cstheme="minorHAnsi"/>
          <w:color w:val="auto"/>
          <w:sz w:val="24"/>
          <w:szCs w:val="24"/>
        </w:rPr>
        <w:t>Hearn</w:t>
      </w:r>
      <w:r w:rsidR="004B41A2" w:rsidRPr="00795E1F">
        <w:rPr>
          <w:rFonts w:asciiTheme="minorHAnsi" w:hAnsiTheme="minorHAnsi" w:cstheme="minorHAnsi"/>
          <w:color w:val="auto"/>
          <w:sz w:val="24"/>
          <w:szCs w:val="24"/>
        </w:rPr>
        <w:t xml:space="preserve"> </w:t>
      </w:r>
      <w:r w:rsidRPr="00795E1F">
        <w:rPr>
          <w:rFonts w:asciiTheme="minorHAnsi" w:hAnsiTheme="minorHAnsi" w:cstheme="minorHAnsi"/>
          <w:color w:val="auto"/>
          <w:sz w:val="24"/>
          <w:szCs w:val="24"/>
        </w:rPr>
        <w:t>Analysis</w:t>
      </w:r>
      <w:r w:rsidR="004B41A2" w:rsidRPr="00795E1F">
        <w:rPr>
          <w:rFonts w:asciiTheme="minorHAnsi" w:hAnsiTheme="minorHAnsi" w:cstheme="minorHAnsi"/>
          <w:color w:val="auto"/>
          <w:sz w:val="24"/>
          <w:szCs w:val="24"/>
        </w:rPr>
        <w:t xml:space="preserve"> </w:t>
      </w:r>
      <w:r w:rsidRPr="00795E1F">
        <w:rPr>
          <w:rFonts w:asciiTheme="minorHAnsi" w:hAnsiTheme="minorHAnsi" w:cstheme="minorHAnsi"/>
          <w:color w:val="auto"/>
          <w:sz w:val="24"/>
          <w:szCs w:val="24"/>
        </w:rPr>
        <w:t>of</w:t>
      </w:r>
      <w:r w:rsidR="004B41A2" w:rsidRPr="00795E1F">
        <w:rPr>
          <w:rFonts w:asciiTheme="minorHAnsi" w:hAnsiTheme="minorHAnsi" w:cstheme="minorHAnsi"/>
          <w:color w:val="auto"/>
          <w:sz w:val="24"/>
          <w:szCs w:val="24"/>
        </w:rPr>
        <w:t xml:space="preserve"> </w:t>
      </w:r>
      <w:r w:rsidRPr="00795E1F">
        <w:rPr>
          <w:rFonts w:asciiTheme="minorHAnsi" w:hAnsiTheme="minorHAnsi" w:cstheme="minorHAnsi"/>
          <w:color w:val="auto"/>
          <w:sz w:val="24"/>
          <w:szCs w:val="24"/>
        </w:rPr>
        <w:t>EGi</w:t>
      </w:r>
      <w:r w:rsidR="004B41A2" w:rsidRPr="00795E1F">
        <w:rPr>
          <w:rFonts w:asciiTheme="minorHAnsi" w:hAnsiTheme="minorHAnsi" w:cstheme="minorHAnsi"/>
          <w:color w:val="auto"/>
          <w:sz w:val="24"/>
          <w:szCs w:val="24"/>
        </w:rPr>
        <w:t xml:space="preserve"> </w:t>
      </w:r>
      <w:r w:rsidRPr="00795E1F">
        <w:rPr>
          <w:rFonts w:asciiTheme="minorHAnsi" w:hAnsiTheme="minorHAnsi" w:cstheme="minorHAnsi"/>
          <w:color w:val="auto"/>
          <w:sz w:val="24"/>
          <w:szCs w:val="24"/>
        </w:rPr>
        <w:t>and</w:t>
      </w:r>
      <w:r w:rsidR="004B41A2" w:rsidRPr="00795E1F">
        <w:rPr>
          <w:rFonts w:asciiTheme="minorHAnsi" w:hAnsiTheme="minorHAnsi" w:cstheme="minorHAnsi"/>
          <w:color w:val="auto"/>
          <w:sz w:val="24"/>
          <w:szCs w:val="24"/>
        </w:rPr>
        <w:t xml:space="preserve"> </w:t>
      </w:r>
      <w:r w:rsidRPr="00795E1F">
        <w:rPr>
          <w:rFonts w:asciiTheme="minorHAnsi" w:hAnsiTheme="minorHAnsi" w:cstheme="minorHAnsi"/>
          <w:color w:val="auto"/>
          <w:sz w:val="24"/>
          <w:szCs w:val="24"/>
        </w:rPr>
        <w:t>CoStar</w:t>
      </w:r>
      <w:r w:rsidR="004B41A2" w:rsidRPr="00795E1F">
        <w:rPr>
          <w:rFonts w:asciiTheme="minorHAnsi" w:hAnsiTheme="minorHAnsi" w:cstheme="minorHAnsi"/>
          <w:color w:val="auto"/>
          <w:sz w:val="24"/>
          <w:szCs w:val="24"/>
        </w:rPr>
        <w:t xml:space="preserve"> </w:t>
      </w:r>
      <w:r w:rsidRPr="00795E1F">
        <w:rPr>
          <w:rFonts w:asciiTheme="minorHAnsi" w:hAnsiTheme="minorHAnsi" w:cstheme="minorHAnsi"/>
          <w:color w:val="auto"/>
          <w:sz w:val="24"/>
          <w:szCs w:val="24"/>
        </w:rPr>
        <w:t>Data</w:t>
      </w:r>
    </w:p>
    <w:p w:rsidR="00B0298E" w:rsidRPr="00CA47B9" w:rsidRDefault="002C2BF8" w:rsidP="00AF0118">
      <w:pPr>
        <w:pStyle w:val="11Bodytext"/>
        <w:tabs>
          <w:tab w:val="clear" w:pos="2212"/>
          <w:tab w:val="num" w:pos="567"/>
        </w:tabs>
        <w:ind w:left="567" w:hanging="567"/>
      </w:pPr>
      <w:r>
        <w:t>The f</w:t>
      </w:r>
      <w:r w:rsidR="00B0298E" w:rsidRPr="00CA47B9">
        <w:t>igure</w:t>
      </w:r>
      <w:r w:rsidR="004B41A2" w:rsidRPr="00CA47B9">
        <w:t xml:space="preserve"> </w:t>
      </w:r>
      <w:r w:rsidR="00070EE9">
        <w:t>below</w:t>
      </w:r>
      <w:r w:rsidR="004B41A2" w:rsidRPr="00CA47B9">
        <w:t xml:space="preserve"> </w:t>
      </w:r>
      <w:r w:rsidR="00B0298E" w:rsidRPr="00CA47B9">
        <w:t>profiles</w:t>
      </w:r>
      <w:r w:rsidR="004B41A2" w:rsidRPr="00CA47B9">
        <w:t xml:space="preserve"> </w:t>
      </w:r>
      <w:r w:rsidR="00B0298E" w:rsidRPr="00CA47B9">
        <w:t>take-up</w:t>
      </w:r>
      <w:r w:rsidR="004B41A2" w:rsidRPr="00CA47B9">
        <w:t xml:space="preserve"> </w:t>
      </w:r>
      <w:r w:rsidR="00B0298E" w:rsidRPr="00CA47B9">
        <w:t>over</w:t>
      </w:r>
      <w:r w:rsidR="004B41A2" w:rsidRPr="00CA47B9">
        <w:t xml:space="preserve"> </w:t>
      </w:r>
      <w:r w:rsidR="00B0298E" w:rsidRPr="00CA47B9">
        <w:t>time</w:t>
      </w:r>
      <w:r w:rsidR="004B41A2" w:rsidRPr="00CA47B9">
        <w:t xml:space="preserve"> </w:t>
      </w:r>
      <w:r w:rsidR="00B0298E" w:rsidRPr="00CA47B9">
        <w:t>and</w:t>
      </w:r>
      <w:r w:rsidR="004B41A2" w:rsidRPr="00CA47B9">
        <w:t xml:space="preserve"> </w:t>
      </w:r>
      <w:r w:rsidR="00B0298E" w:rsidRPr="00CA47B9">
        <w:t>by</w:t>
      </w:r>
      <w:r w:rsidR="004B41A2" w:rsidRPr="00CA47B9">
        <w:t xml:space="preserve"> </w:t>
      </w:r>
      <w:r w:rsidR="00B0298E" w:rsidRPr="00CA47B9">
        <w:t>floorspace</w:t>
      </w:r>
      <w:r w:rsidR="004B41A2" w:rsidRPr="00CA47B9">
        <w:t xml:space="preserve"> </w:t>
      </w:r>
      <w:r w:rsidR="00B0298E" w:rsidRPr="00CA47B9">
        <w:t>in</w:t>
      </w:r>
      <w:r w:rsidR="004B41A2" w:rsidRPr="00CA47B9">
        <w:t xml:space="preserve"> </w:t>
      </w:r>
      <w:r w:rsidR="00B0298E" w:rsidRPr="00CA47B9">
        <w:t>each</w:t>
      </w:r>
      <w:r w:rsidR="004B41A2" w:rsidRPr="00CA47B9">
        <w:t xml:space="preserve"> </w:t>
      </w:r>
      <w:r w:rsidR="00B0298E" w:rsidRPr="00CA47B9">
        <w:t>size</w:t>
      </w:r>
      <w:r w:rsidR="004B41A2" w:rsidRPr="00CA47B9">
        <w:t xml:space="preserve"> </w:t>
      </w:r>
      <w:r w:rsidR="00B0298E" w:rsidRPr="00CA47B9">
        <w:t>band</w:t>
      </w:r>
      <w:r w:rsidR="004B41A2" w:rsidRPr="00CA47B9">
        <w:t xml:space="preserve"> </w:t>
      </w:r>
      <w:r w:rsidR="00B0298E" w:rsidRPr="00CA47B9">
        <w:t>in</w:t>
      </w:r>
      <w:r w:rsidR="004B41A2" w:rsidRPr="00CA47B9">
        <w:t xml:space="preserve"> </w:t>
      </w:r>
      <w:r w:rsidR="00B0298E" w:rsidRPr="00CA47B9">
        <w:t>the</w:t>
      </w:r>
      <w:r w:rsidR="004B41A2" w:rsidRPr="00CA47B9">
        <w:t xml:space="preserve"> </w:t>
      </w:r>
      <w:r>
        <w:t>plan a</w:t>
      </w:r>
      <w:r w:rsidR="00ED50D0">
        <w:t>r</w:t>
      </w:r>
      <w:r>
        <w:t>ea</w:t>
      </w:r>
      <w:r w:rsidR="004B41A2" w:rsidRPr="00CA47B9">
        <w:t xml:space="preserve"> </w:t>
      </w:r>
      <w:r w:rsidR="00B0298E" w:rsidRPr="00CA47B9">
        <w:t>over</w:t>
      </w:r>
      <w:r w:rsidR="004B41A2" w:rsidRPr="00CA47B9">
        <w:t xml:space="preserve"> </w:t>
      </w:r>
      <w:r w:rsidR="00B0298E" w:rsidRPr="00CA47B9">
        <w:t>the</w:t>
      </w:r>
      <w:r w:rsidR="004B41A2" w:rsidRPr="00CA47B9">
        <w:t xml:space="preserve"> </w:t>
      </w:r>
      <w:r w:rsidR="00B0298E" w:rsidRPr="00CA47B9">
        <w:t>last</w:t>
      </w:r>
      <w:r w:rsidR="004B41A2" w:rsidRPr="00CA47B9">
        <w:t xml:space="preserve"> </w:t>
      </w:r>
      <w:r w:rsidR="00B0298E" w:rsidRPr="00CA47B9">
        <w:t>10</w:t>
      </w:r>
      <w:r w:rsidR="004B41A2" w:rsidRPr="00CA47B9">
        <w:t xml:space="preserve"> </w:t>
      </w:r>
      <w:r w:rsidR="00B0298E" w:rsidRPr="00CA47B9">
        <w:t>years.</w:t>
      </w:r>
      <w:r w:rsidR="004B41A2" w:rsidRPr="00CA47B9">
        <w:t xml:space="preserve"> </w:t>
      </w:r>
      <w:r w:rsidR="00B0298E" w:rsidRPr="00CA47B9">
        <w:t>The</w:t>
      </w:r>
      <w:r w:rsidR="004B41A2" w:rsidRPr="00CA47B9">
        <w:t xml:space="preserve"> </w:t>
      </w:r>
      <w:r w:rsidR="00B0298E" w:rsidRPr="00CA47B9">
        <w:t>highest</w:t>
      </w:r>
      <w:r w:rsidR="004B41A2" w:rsidRPr="00CA47B9">
        <w:t xml:space="preserve"> </w:t>
      </w:r>
      <w:r w:rsidR="00B0298E" w:rsidRPr="00CA47B9">
        <w:t>volume</w:t>
      </w:r>
      <w:r w:rsidR="004B41A2" w:rsidRPr="00CA47B9">
        <w:t xml:space="preserve"> </w:t>
      </w:r>
      <w:r w:rsidR="00B0298E" w:rsidRPr="00CA47B9">
        <w:t>of</w:t>
      </w:r>
      <w:r w:rsidR="004B41A2" w:rsidRPr="00CA47B9">
        <w:t xml:space="preserve"> </w:t>
      </w:r>
      <w:r w:rsidR="00B0298E" w:rsidRPr="00CA47B9">
        <w:t>office</w:t>
      </w:r>
      <w:r w:rsidR="004B41A2" w:rsidRPr="00CA47B9">
        <w:t xml:space="preserve"> </w:t>
      </w:r>
      <w:r w:rsidR="00B0298E" w:rsidRPr="00CA47B9">
        <w:t>floorspace</w:t>
      </w:r>
      <w:r w:rsidR="004B41A2" w:rsidRPr="00CA47B9">
        <w:t xml:space="preserve"> </w:t>
      </w:r>
      <w:r w:rsidR="00B0298E" w:rsidRPr="00CA47B9">
        <w:t>take-up</w:t>
      </w:r>
      <w:r w:rsidR="004B41A2" w:rsidRPr="00CA47B9">
        <w:t xml:space="preserve"> </w:t>
      </w:r>
      <w:r w:rsidR="00B0298E" w:rsidRPr="00CA47B9">
        <w:t>was</w:t>
      </w:r>
      <w:r w:rsidR="004B41A2" w:rsidRPr="00CA47B9">
        <w:t xml:space="preserve"> </w:t>
      </w:r>
      <w:r w:rsidR="00B0298E" w:rsidRPr="00CA47B9">
        <w:t>in</w:t>
      </w:r>
      <w:r w:rsidR="004B41A2" w:rsidRPr="00CA47B9">
        <w:t xml:space="preserve"> </w:t>
      </w:r>
      <w:r w:rsidR="00B0298E" w:rsidRPr="00CA47B9">
        <w:t>the</w:t>
      </w:r>
      <w:r w:rsidR="004B41A2" w:rsidRPr="00CA47B9">
        <w:t xml:space="preserve"> </w:t>
      </w:r>
      <w:r w:rsidR="00B0298E" w:rsidRPr="00CA47B9">
        <w:t>small</w:t>
      </w:r>
      <w:r w:rsidR="004B41A2" w:rsidRPr="00CA47B9">
        <w:t xml:space="preserve"> </w:t>
      </w:r>
      <w:r w:rsidR="00B0298E" w:rsidRPr="00CA47B9">
        <w:t>size</w:t>
      </w:r>
      <w:r w:rsidR="004B41A2" w:rsidRPr="00CA47B9">
        <w:t xml:space="preserve"> </w:t>
      </w:r>
      <w:r w:rsidR="00B0298E" w:rsidRPr="00CA47B9">
        <w:t>band</w:t>
      </w:r>
      <w:r w:rsidR="004B41A2" w:rsidRPr="00CA47B9">
        <w:t xml:space="preserve"> </w:t>
      </w:r>
      <w:r w:rsidR="00B0298E" w:rsidRPr="00CA47B9">
        <w:t>of</w:t>
      </w:r>
      <w:r w:rsidR="004B41A2" w:rsidRPr="00CA47B9">
        <w:t xml:space="preserve"> </w:t>
      </w:r>
      <w:r w:rsidR="00B0298E" w:rsidRPr="00CA47B9">
        <w:t>less</w:t>
      </w:r>
      <w:r w:rsidR="004B41A2" w:rsidRPr="00CA47B9">
        <w:t xml:space="preserve"> </w:t>
      </w:r>
      <w:r w:rsidR="00B0298E" w:rsidRPr="00CA47B9">
        <w:t>than</w:t>
      </w:r>
      <w:r w:rsidR="004B41A2" w:rsidRPr="00CA47B9">
        <w:t xml:space="preserve"> </w:t>
      </w:r>
      <w:r w:rsidR="0035301B" w:rsidRPr="00CA47B9">
        <w:t>1</w:t>
      </w:r>
      <w:r w:rsidR="00B0298E" w:rsidRPr="00CA47B9">
        <w:t>85</w:t>
      </w:r>
      <w:r w:rsidR="004B41A2" w:rsidRPr="00CA47B9">
        <w:t xml:space="preserve"> </w:t>
      </w:r>
      <w:r w:rsidR="00D50065" w:rsidRPr="00CA47B9">
        <w:t>sqm</w:t>
      </w:r>
      <w:r w:rsidR="00B0298E" w:rsidRPr="00CA47B9">
        <w:t>.</w:t>
      </w:r>
      <w:r w:rsidR="004B41A2" w:rsidRPr="00CA47B9">
        <w:t xml:space="preserve"> </w:t>
      </w:r>
      <w:r w:rsidR="005A18A8" w:rsidRPr="00CA47B9">
        <w:t xml:space="preserve">Floorspace </w:t>
      </w:r>
      <w:r w:rsidR="00033080">
        <w:t>transactions</w:t>
      </w:r>
      <w:r w:rsidR="00033080" w:rsidRPr="00CA47B9">
        <w:t xml:space="preserve"> </w:t>
      </w:r>
      <w:r w:rsidR="005A18A8" w:rsidRPr="00CA47B9">
        <w:t>peaked in 2016 at just over 10,000 sqm, but subsequently dipped below 4,000 sqm in 2017, rebounding to just over 8,000 sqm in 2018.</w:t>
      </w:r>
    </w:p>
    <w:p w:rsidR="00B0298E" w:rsidRPr="00CA47B9" w:rsidRDefault="00B0298E" w:rsidP="005D5606">
      <w:pPr>
        <w:pStyle w:val="FigureHeading"/>
        <w:tabs>
          <w:tab w:val="clear" w:pos="794"/>
          <w:tab w:val="clear" w:pos="1843"/>
          <w:tab w:val="left" w:pos="0"/>
        </w:tabs>
        <w:spacing w:line="240" w:lineRule="auto"/>
        <w:ind w:left="0" w:firstLine="0"/>
      </w:pPr>
      <w:bookmarkStart w:id="216" w:name="_Toc481156690"/>
      <w:r w:rsidRPr="00CA47B9">
        <w:t>Office</w:t>
      </w:r>
      <w:r w:rsidR="004B41A2" w:rsidRPr="00CA47B9">
        <w:t xml:space="preserve"> </w:t>
      </w:r>
      <w:r w:rsidRPr="00CA47B9">
        <w:t>Floorspace</w:t>
      </w:r>
      <w:r w:rsidR="004B41A2" w:rsidRPr="00CA47B9">
        <w:t xml:space="preserve"> </w:t>
      </w:r>
      <w:r w:rsidRPr="00CA47B9">
        <w:t>Take-</w:t>
      </w:r>
      <w:r w:rsidR="004B41A2" w:rsidRPr="00CA47B9">
        <w:t xml:space="preserve"> </w:t>
      </w:r>
      <w:r w:rsidRPr="00CA47B9">
        <w:t>Up</w:t>
      </w:r>
      <w:r w:rsidR="004B41A2" w:rsidRPr="00CA47B9">
        <w:t xml:space="preserve"> </w:t>
      </w:r>
      <w:r w:rsidRPr="00CA47B9">
        <w:t>by</w:t>
      </w:r>
      <w:r w:rsidR="004B41A2" w:rsidRPr="00CA47B9">
        <w:t xml:space="preserve"> </w:t>
      </w:r>
      <w:r w:rsidRPr="00CA47B9">
        <w:t>Size</w:t>
      </w:r>
      <w:r w:rsidR="004B41A2" w:rsidRPr="00CA47B9">
        <w:t xml:space="preserve"> </w:t>
      </w:r>
      <w:r w:rsidR="00780358" w:rsidRPr="00CA47B9">
        <w:t>in</w:t>
      </w:r>
      <w:r w:rsidR="004B41A2" w:rsidRPr="00CA47B9">
        <w:t xml:space="preserve"> </w:t>
      </w:r>
      <w:r w:rsidR="00780358" w:rsidRPr="00CA47B9">
        <w:t>Chichester</w:t>
      </w:r>
      <w:r w:rsidR="004B41A2" w:rsidRPr="00CA47B9">
        <w:t xml:space="preserve"> </w:t>
      </w:r>
      <w:r w:rsidR="00780358" w:rsidRPr="00CA47B9">
        <w:t>District</w:t>
      </w:r>
      <w:r w:rsidR="004B41A2" w:rsidRPr="00CA47B9">
        <w:t xml:space="preserve"> </w:t>
      </w:r>
      <w:r w:rsidRPr="00CA47B9">
        <w:t>(sqm),</w:t>
      </w:r>
      <w:r w:rsidR="004B41A2" w:rsidRPr="00CA47B9">
        <w:t xml:space="preserve"> </w:t>
      </w:r>
      <w:r w:rsidRPr="00CA47B9">
        <w:t>20</w:t>
      </w:r>
      <w:r w:rsidR="008156A5" w:rsidRPr="00CA47B9">
        <w:t>0</w:t>
      </w:r>
      <w:r w:rsidRPr="00CA47B9">
        <w:t>7-201</w:t>
      </w:r>
      <w:bookmarkEnd w:id="216"/>
      <w:r w:rsidR="008156A5" w:rsidRPr="00CA47B9">
        <w:t>8</w:t>
      </w:r>
    </w:p>
    <w:p w:rsidR="00B0298E" w:rsidRPr="00CA47B9" w:rsidRDefault="00712289" w:rsidP="00031E60">
      <w:pPr>
        <w:pStyle w:val="11Bodytext"/>
        <w:keepNext/>
        <w:numPr>
          <w:ilvl w:val="0"/>
          <w:numId w:val="0"/>
        </w:numPr>
        <w:spacing w:before="0" w:after="0" w:line="240" w:lineRule="auto"/>
      </w:pPr>
      <w:r w:rsidRPr="00CA47B9">
        <w:rPr>
          <w:noProof/>
          <w:lang w:eastAsia="en-GB"/>
        </w:rPr>
        <w:drawing>
          <wp:inline distT="0" distB="0" distL="0" distR="0" wp14:anchorId="090C841D" wp14:editId="4034F70F">
            <wp:extent cx="6120000" cy="2880000"/>
            <wp:effectExtent l="0" t="0" r="14605" b="15875"/>
            <wp:docPr id="1047" name="Chart 1047" descr="Stacked bar chart showing the quantum of floorspace transacted by size band across Chichester from 20017 to 2018" title="Figure 53: Office Floorspace Take- Up by Size in Chichester District (sqm), 2007-20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B0298E" w:rsidRPr="00795E1F" w:rsidRDefault="00B0298E" w:rsidP="005D5606">
      <w:pPr>
        <w:pStyle w:val="Referencetext8pt"/>
        <w:spacing w:line="240" w:lineRule="auto"/>
        <w:rPr>
          <w:rFonts w:asciiTheme="minorHAnsi" w:hAnsiTheme="minorHAnsi" w:cstheme="minorHAnsi"/>
          <w:iCs/>
          <w:color w:val="auto"/>
          <w:sz w:val="24"/>
          <w:szCs w:val="24"/>
        </w:rPr>
      </w:pPr>
      <w:r w:rsidRPr="00795E1F">
        <w:rPr>
          <w:rFonts w:asciiTheme="minorHAnsi" w:hAnsiTheme="minorHAnsi" w:cstheme="minorHAnsi"/>
          <w:iCs/>
          <w:color w:val="auto"/>
          <w:sz w:val="24"/>
          <w:szCs w:val="24"/>
        </w:rPr>
        <w:t>Source:</w:t>
      </w:r>
      <w:r w:rsidR="004B41A2" w:rsidRPr="00795E1F">
        <w:rPr>
          <w:rFonts w:asciiTheme="minorHAnsi" w:hAnsiTheme="minorHAnsi" w:cstheme="minorHAnsi"/>
          <w:iCs/>
          <w:color w:val="auto"/>
          <w:sz w:val="24"/>
          <w:szCs w:val="24"/>
        </w:rPr>
        <w:t xml:space="preserve"> </w:t>
      </w:r>
      <w:r w:rsidRPr="00795E1F">
        <w:rPr>
          <w:rFonts w:asciiTheme="minorHAnsi" w:hAnsiTheme="minorHAnsi" w:cstheme="minorHAnsi"/>
          <w:iCs/>
          <w:color w:val="auto"/>
          <w:sz w:val="24"/>
          <w:szCs w:val="24"/>
        </w:rPr>
        <w:t>GL</w:t>
      </w:r>
      <w:r w:rsidR="004B41A2" w:rsidRPr="00795E1F">
        <w:rPr>
          <w:rFonts w:asciiTheme="minorHAnsi" w:hAnsiTheme="minorHAnsi" w:cstheme="minorHAnsi"/>
          <w:iCs/>
          <w:color w:val="auto"/>
          <w:sz w:val="24"/>
          <w:szCs w:val="24"/>
        </w:rPr>
        <w:t xml:space="preserve"> </w:t>
      </w:r>
      <w:r w:rsidRPr="00795E1F">
        <w:rPr>
          <w:rFonts w:asciiTheme="minorHAnsi" w:hAnsiTheme="minorHAnsi" w:cstheme="minorHAnsi"/>
          <w:iCs/>
          <w:color w:val="auto"/>
          <w:sz w:val="24"/>
          <w:szCs w:val="24"/>
        </w:rPr>
        <w:t>Hearn</w:t>
      </w:r>
      <w:r w:rsidR="004B41A2" w:rsidRPr="00795E1F">
        <w:rPr>
          <w:rFonts w:asciiTheme="minorHAnsi" w:hAnsiTheme="minorHAnsi" w:cstheme="minorHAnsi"/>
          <w:iCs/>
          <w:color w:val="auto"/>
          <w:sz w:val="24"/>
          <w:szCs w:val="24"/>
        </w:rPr>
        <w:t xml:space="preserve"> </w:t>
      </w:r>
      <w:r w:rsidRPr="00795E1F">
        <w:rPr>
          <w:rFonts w:asciiTheme="minorHAnsi" w:hAnsiTheme="minorHAnsi" w:cstheme="minorHAnsi"/>
          <w:iCs/>
          <w:color w:val="auto"/>
          <w:sz w:val="24"/>
          <w:szCs w:val="24"/>
        </w:rPr>
        <w:t>Analysis</w:t>
      </w:r>
      <w:r w:rsidR="004B41A2" w:rsidRPr="00795E1F">
        <w:rPr>
          <w:rFonts w:asciiTheme="minorHAnsi" w:hAnsiTheme="minorHAnsi" w:cstheme="minorHAnsi"/>
          <w:iCs/>
          <w:color w:val="auto"/>
          <w:sz w:val="24"/>
          <w:szCs w:val="24"/>
        </w:rPr>
        <w:t xml:space="preserve"> </w:t>
      </w:r>
      <w:r w:rsidRPr="00795E1F">
        <w:rPr>
          <w:rFonts w:asciiTheme="minorHAnsi" w:hAnsiTheme="minorHAnsi" w:cstheme="minorHAnsi"/>
          <w:iCs/>
          <w:color w:val="auto"/>
          <w:sz w:val="24"/>
          <w:szCs w:val="24"/>
        </w:rPr>
        <w:t>of</w:t>
      </w:r>
      <w:r w:rsidR="004B41A2" w:rsidRPr="00795E1F">
        <w:rPr>
          <w:rFonts w:asciiTheme="minorHAnsi" w:hAnsiTheme="minorHAnsi" w:cstheme="minorHAnsi"/>
          <w:iCs/>
          <w:color w:val="auto"/>
          <w:sz w:val="24"/>
          <w:szCs w:val="24"/>
        </w:rPr>
        <w:t xml:space="preserve"> </w:t>
      </w:r>
      <w:r w:rsidRPr="00795E1F">
        <w:rPr>
          <w:rFonts w:asciiTheme="minorHAnsi" w:hAnsiTheme="minorHAnsi" w:cstheme="minorHAnsi"/>
          <w:iCs/>
          <w:color w:val="auto"/>
          <w:sz w:val="24"/>
          <w:szCs w:val="24"/>
        </w:rPr>
        <w:t>EGi</w:t>
      </w:r>
      <w:r w:rsidR="004B41A2" w:rsidRPr="00795E1F">
        <w:rPr>
          <w:rFonts w:asciiTheme="minorHAnsi" w:hAnsiTheme="minorHAnsi" w:cstheme="minorHAnsi"/>
          <w:iCs/>
          <w:color w:val="auto"/>
          <w:sz w:val="24"/>
          <w:szCs w:val="24"/>
        </w:rPr>
        <w:t xml:space="preserve"> </w:t>
      </w:r>
      <w:r w:rsidRPr="00795E1F">
        <w:rPr>
          <w:rFonts w:asciiTheme="minorHAnsi" w:hAnsiTheme="minorHAnsi" w:cstheme="minorHAnsi"/>
          <w:iCs/>
          <w:color w:val="auto"/>
          <w:sz w:val="24"/>
          <w:szCs w:val="24"/>
        </w:rPr>
        <w:t>and</w:t>
      </w:r>
      <w:r w:rsidR="004B41A2" w:rsidRPr="00795E1F">
        <w:rPr>
          <w:rFonts w:asciiTheme="minorHAnsi" w:hAnsiTheme="minorHAnsi" w:cstheme="minorHAnsi"/>
          <w:iCs/>
          <w:color w:val="auto"/>
          <w:sz w:val="24"/>
          <w:szCs w:val="24"/>
        </w:rPr>
        <w:t xml:space="preserve"> </w:t>
      </w:r>
      <w:r w:rsidRPr="00795E1F">
        <w:rPr>
          <w:rFonts w:asciiTheme="minorHAnsi" w:hAnsiTheme="minorHAnsi" w:cstheme="minorHAnsi"/>
          <w:iCs/>
          <w:color w:val="auto"/>
          <w:sz w:val="24"/>
          <w:szCs w:val="24"/>
        </w:rPr>
        <w:t>CoStar</w:t>
      </w:r>
      <w:r w:rsidR="004B41A2" w:rsidRPr="00795E1F">
        <w:rPr>
          <w:rFonts w:asciiTheme="minorHAnsi" w:hAnsiTheme="minorHAnsi" w:cstheme="minorHAnsi"/>
          <w:iCs/>
          <w:color w:val="auto"/>
          <w:sz w:val="24"/>
          <w:szCs w:val="24"/>
        </w:rPr>
        <w:t xml:space="preserve"> </w:t>
      </w:r>
      <w:r w:rsidRPr="00795E1F">
        <w:rPr>
          <w:rFonts w:asciiTheme="minorHAnsi" w:hAnsiTheme="minorHAnsi" w:cstheme="minorHAnsi"/>
          <w:iCs/>
          <w:color w:val="auto"/>
          <w:sz w:val="24"/>
          <w:szCs w:val="24"/>
        </w:rPr>
        <w:t>Data</w:t>
      </w:r>
    </w:p>
    <w:p w:rsidR="00B0298E" w:rsidRPr="00CA47B9" w:rsidRDefault="00B0298E" w:rsidP="00AF0118">
      <w:pPr>
        <w:pStyle w:val="11Bodytext"/>
        <w:tabs>
          <w:tab w:val="clear" w:pos="2212"/>
          <w:tab w:val="num" w:pos="567"/>
        </w:tabs>
        <w:ind w:left="567" w:hanging="567"/>
      </w:pPr>
      <w:r w:rsidRPr="00CA47B9">
        <w:lastRenderedPageBreak/>
        <w:t>The</w:t>
      </w:r>
      <w:r w:rsidR="004B41A2" w:rsidRPr="00CA47B9">
        <w:t xml:space="preserve"> </w:t>
      </w:r>
      <w:r w:rsidRPr="00CA47B9">
        <w:t>largest</w:t>
      </w:r>
      <w:r w:rsidR="004B41A2" w:rsidRPr="00CA47B9">
        <w:t xml:space="preserve"> </w:t>
      </w:r>
      <w:r w:rsidRPr="00CA47B9">
        <w:t>office</w:t>
      </w:r>
      <w:r w:rsidR="004B41A2" w:rsidRPr="00CA47B9">
        <w:t xml:space="preserve"> </w:t>
      </w:r>
      <w:r w:rsidRPr="00CA47B9">
        <w:t>transaction</w:t>
      </w:r>
      <w:r w:rsidR="004B41A2" w:rsidRPr="00CA47B9">
        <w:t xml:space="preserve"> </w:t>
      </w:r>
      <w:r w:rsidRPr="00CA47B9">
        <w:t>throughout</w:t>
      </w:r>
      <w:r w:rsidR="004B41A2" w:rsidRPr="00CA47B9">
        <w:t xml:space="preserve"> </w:t>
      </w:r>
      <w:r w:rsidRPr="00CA47B9">
        <w:t>this</w:t>
      </w:r>
      <w:r w:rsidR="004B41A2" w:rsidRPr="00CA47B9">
        <w:t xml:space="preserve"> </w:t>
      </w:r>
      <w:r w:rsidRPr="00CA47B9">
        <w:t>period</w:t>
      </w:r>
      <w:r w:rsidR="004B41A2" w:rsidRPr="00CA47B9">
        <w:t xml:space="preserve"> </w:t>
      </w:r>
      <w:r w:rsidRPr="00CA47B9">
        <w:t>was</w:t>
      </w:r>
      <w:r w:rsidR="004B41A2" w:rsidRPr="00CA47B9">
        <w:t xml:space="preserve"> </w:t>
      </w:r>
      <w:r w:rsidRPr="00CA47B9">
        <w:t>located</w:t>
      </w:r>
      <w:r w:rsidR="004B41A2" w:rsidRPr="00CA47B9">
        <w:t xml:space="preserve"> </w:t>
      </w:r>
      <w:r w:rsidRPr="00CA47B9">
        <w:t>in</w:t>
      </w:r>
      <w:r w:rsidR="004B41A2" w:rsidRPr="00CA47B9">
        <w:t xml:space="preserve"> </w:t>
      </w:r>
      <w:r w:rsidRPr="00CA47B9">
        <w:t>the</w:t>
      </w:r>
      <w:r w:rsidR="004B41A2" w:rsidRPr="00CA47B9">
        <w:t xml:space="preserve"> </w:t>
      </w:r>
      <w:r w:rsidRPr="00CA47B9">
        <w:t>Chichester</w:t>
      </w:r>
      <w:r w:rsidR="004B41A2" w:rsidRPr="00CA47B9">
        <w:t xml:space="preserve"> </w:t>
      </w:r>
      <w:r w:rsidR="002A05C6" w:rsidRPr="00CA47B9">
        <w:t>City</w:t>
      </w:r>
      <w:r w:rsidR="004B41A2" w:rsidRPr="00CA47B9">
        <w:t xml:space="preserve"> </w:t>
      </w:r>
      <w:r w:rsidR="002A05C6" w:rsidRPr="00CA47B9">
        <w:t>sub-area</w:t>
      </w:r>
      <w:r w:rsidR="004B41A2" w:rsidRPr="00CA47B9">
        <w:t xml:space="preserve"> </w:t>
      </w:r>
      <w:r w:rsidRPr="00CA47B9">
        <w:t>which</w:t>
      </w:r>
      <w:r w:rsidR="004B41A2" w:rsidRPr="00CA47B9">
        <w:t xml:space="preserve"> </w:t>
      </w:r>
      <w:r w:rsidRPr="00CA47B9">
        <w:t>was</w:t>
      </w:r>
      <w:r w:rsidR="004B41A2" w:rsidRPr="00CA47B9">
        <w:t xml:space="preserve"> </w:t>
      </w:r>
      <w:r w:rsidRPr="00CA47B9">
        <w:t>the</w:t>
      </w:r>
      <w:r w:rsidR="004B41A2" w:rsidRPr="00CA47B9">
        <w:t xml:space="preserve"> </w:t>
      </w:r>
      <w:r w:rsidRPr="00CA47B9">
        <w:t>2,116</w:t>
      </w:r>
      <w:r w:rsidR="004B41A2" w:rsidRPr="00CA47B9">
        <w:t xml:space="preserve"> </w:t>
      </w:r>
      <w:r w:rsidR="0021576F" w:rsidRPr="00CA47B9">
        <w:t>sqm</w:t>
      </w:r>
      <w:r w:rsidR="004B41A2" w:rsidRPr="00CA47B9">
        <w:t xml:space="preserve"> </w:t>
      </w:r>
      <w:r w:rsidRPr="00CA47B9">
        <w:t>unit</w:t>
      </w:r>
      <w:r w:rsidR="004B41A2" w:rsidRPr="00CA47B9">
        <w:t xml:space="preserve"> </w:t>
      </w:r>
      <w:r w:rsidRPr="00CA47B9">
        <w:t>advertised</w:t>
      </w:r>
      <w:r w:rsidR="004B41A2" w:rsidRPr="00CA47B9">
        <w:t xml:space="preserve"> </w:t>
      </w:r>
      <w:r w:rsidRPr="00CA47B9">
        <w:t>at</w:t>
      </w:r>
      <w:r w:rsidR="004B41A2" w:rsidRPr="00CA47B9">
        <w:t xml:space="preserve"> </w:t>
      </w:r>
      <w:r w:rsidRPr="00CA47B9">
        <w:t>Gravel</w:t>
      </w:r>
      <w:r w:rsidR="004B41A2" w:rsidRPr="00CA47B9">
        <w:t xml:space="preserve"> </w:t>
      </w:r>
      <w:r w:rsidRPr="00CA47B9">
        <w:t>Lane.</w:t>
      </w:r>
      <w:r w:rsidR="004B41A2" w:rsidRPr="00CA47B9">
        <w:t xml:space="preserve"> </w:t>
      </w:r>
    </w:p>
    <w:p w:rsidR="00B0298E" w:rsidRPr="00CA47B9" w:rsidRDefault="00B0298E" w:rsidP="006765B7">
      <w:pPr>
        <w:pStyle w:val="Subheadingbold"/>
        <w:ind w:left="567" w:firstLine="0"/>
      </w:pPr>
      <w:r w:rsidRPr="00CA47B9">
        <w:t>Office</w:t>
      </w:r>
      <w:r w:rsidR="004B41A2" w:rsidRPr="00CA47B9">
        <w:t xml:space="preserve"> </w:t>
      </w:r>
      <w:r w:rsidRPr="00CA47B9">
        <w:t>Availability</w:t>
      </w:r>
    </w:p>
    <w:p w:rsidR="00B0298E" w:rsidRPr="00CA47B9" w:rsidRDefault="00B0298E" w:rsidP="001C73B8">
      <w:pPr>
        <w:pStyle w:val="11Bodytext"/>
        <w:tabs>
          <w:tab w:val="clear" w:pos="2212"/>
          <w:tab w:val="num" w:pos="567"/>
        </w:tabs>
        <w:ind w:left="567" w:hanging="567"/>
      </w:pPr>
      <w:r w:rsidRPr="00CA47B9">
        <w:t>Figure</w:t>
      </w:r>
      <w:r w:rsidR="00AC6424">
        <w:t xml:space="preserve"> 54</w:t>
      </w:r>
      <w:r w:rsidR="004B41A2" w:rsidRPr="00CA47B9">
        <w:t xml:space="preserve"> </w:t>
      </w:r>
      <w:r w:rsidRPr="00CA47B9">
        <w:t>illustrates</w:t>
      </w:r>
      <w:r w:rsidR="004B41A2" w:rsidRPr="00CA47B9">
        <w:t xml:space="preserve"> </w:t>
      </w:r>
      <w:r w:rsidRPr="00CA47B9">
        <w:t>the</w:t>
      </w:r>
      <w:r w:rsidR="004B41A2" w:rsidRPr="00CA47B9">
        <w:t xml:space="preserve"> </w:t>
      </w:r>
      <w:r w:rsidRPr="00CA47B9">
        <w:t>distribution</w:t>
      </w:r>
      <w:r w:rsidR="004B41A2" w:rsidRPr="00CA47B9">
        <w:t xml:space="preserve"> </w:t>
      </w:r>
      <w:r w:rsidRPr="00CA47B9">
        <w:t>of</w:t>
      </w:r>
      <w:r w:rsidR="004B41A2" w:rsidRPr="00CA47B9">
        <w:t xml:space="preserve"> </w:t>
      </w:r>
      <w:r w:rsidRPr="00CA47B9">
        <w:t>available</w:t>
      </w:r>
      <w:r w:rsidR="004B41A2" w:rsidRPr="00CA47B9">
        <w:t xml:space="preserve"> </w:t>
      </w:r>
      <w:r w:rsidRPr="00CA47B9">
        <w:t>office</w:t>
      </w:r>
      <w:r w:rsidR="004B41A2" w:rsidRPr="00CA47B9">
        <w:t xml:space="preserve"> </w:t>
      </w:r>
      <w:r w:rsidRPr="00CA47B9">
        <w:t>space</w:t>
      </w:r>
      <w:r w:rsidR="004B41A2" w:rsidRPr="00CA47B9">
        <w:t xml:space="preserve"> </w:t>
      </w:r>
      <w:r w:rsidRPr="00CA47B9">
        <w:t>across</w:t>
      </w:r>
      <w:r w:rsidR="004B41A2" w:rsidRPr="00CA47B9">
        <w:t xml:space="preserve"> </w:t>
      </w:r>
      <w:r w:rsidRPr="00CA47B9">
        <w:t>the</w:t>
      </w:r>
      <w:r w:rsidR="004B41A2" w:rsidRPr="00CA47B9">
        <w:t xml:space="preserve"> </w:t>
      </w:r>
      <w:r w:rsidRPr="00CA47B9">
        <w:t>District</w:t>
      </w:r>
      <w:r w:rsidR="004B41A2" w:rsidRPr="00CA47B9">
        <w:t xml:space="preserve"> </w:t>
      </w:r>
      <w:r w:rsidRPr="00CA47B9">
        <w:t>as</w:t>
      </w:r>
      <w:r w:rsidR="004B41A2" w:rsidRPr="00CA47B9">
        <w:t xml:space="preserve"> </w:t>
      </w:r>
      <w:r w:rsidRPr="00CA47B9">
        <w:t>recorded</w:t>
      </w:r>
      <w:r w:rsidR="004B41A2" w:rsidRPr="00CA47B9">
        <w:t xml:space="preserve"> </w:t>
      </w:r>
      <w:r w:rsidRPr="00CA47B9">
        <w:t>in</w:t>
      </w:r>
      <w:r w:rsidR="004B41A2" w:rsidRPr="00CA47B9">
        <w:t xml:space="preserve"> </w:t>
      </w:r>
      <w:r w:rsidRPr="00CA47B9">
        <w:t>EGi</w:t>
      </w:r>
      <w:r w:rsidR="004B41A2" w:rsidRPr="00CA47B9">
        <w:t xml:space="preserve"> </w:t>
      </w:r>
      <w:r w:rsidRPr="00CA47B9">
        <w:t>and</w:t>
      </w:r>
      <w:r w:rsidR="004B41A2" w:rsidRPr="00CA47B9">
        <w:t xml:space="preserve"> </w:t>
      </w:r>
      <w:r w:rsidRPr="00CA47B9">
        <w:t>CoStar</w:t>
      </w:r>
      <w:r w:rsidR="004B41A2" w:rsidRPr="00CA47B9">
        <w:t xml:space="preserve"> </w:t>
      </w:r>
      <w:r w:rsidRPr="00CA47B9">
        <w:t>databases</w:t>
      </w:r>
      <w:r w:rsidR="004B41A2" w:rsidRPr="00CA47B9">
        <w:t xml:space="preserve"> </w:t>
      </w:r>
      <w:r w:rsidRPr="00CA47B9">
        <w:t>in</w:t>
      </w:r>
      <w:r w:rsidR="004B41A2" w:rsidRPr="00CA47B9">
        <w:t xml:space="preserve"> </w:t>
      </w:r>
      <w:r w:rsidR="00A3334C" w:rsidRPr="00CA47B9">
        <w:t>September</w:t>
      </w:r>
      <w:r w:rsidR="004B41A2" w:rsidRPr="00CA47B9">
        <w:t xml:space="preserve"> </w:t>
      </w:r>
      <w:r w:rsidRPr="00CA47B9">
        <w:t>201</w:t>
      </w:r>
      <w:r w:rsidR="00A3334C" w:rsidRPr="00CA47B9">
        <w:t>9</w:t>
      </w:r>
      <w:r w:rsidRPr="00CA47B9">
        <w:t>.</w:t>
      </w:r>
      <w:r w:rsidR="004B41A2" w:rsidRPr="00CA47B9">
        <w:t xml:space="preserve"> </w:t>
      </w:r>
      <w:r w:rsidRPr="00CA47B9">
        <w:t>As</w:t>
      </w:r>
      <w:r w:rsidR="004B41A2" w:rsidRPr="00CA47B9">
        <w:t xml:space="preserve"> </w:t>
      </w:r>
      <w:r w:rsidRPr="00CA47B9">
        <w:t>at</w:t>
      </w:r>
      <w:r w:rsidR="004B41A2" w:rsidRPr="00CA47B9">
        <w:t xml:space="preserve"> </w:t>
      </w:r>
      <w:r w:rsidR="00A3334C" w:rsidRPr="00CA47B9">
        <w:t>September</w:t>
      </w:r>
      <w:r w:rsidR="004B41A2" w:rsidRPr="00CA47B9">
        <w:t xml:space="preserve"> </w:t>
      </w:r>
      <w:r w:rsidRPr="00CA47B9">
        <w:t>201</w:t>
      </w:r>
      <w:r w:rsidR="00A3334C" w:rsidRPr="00CA47B9">
        <w:t>9</w:t>
      </w:r>
      <w:r w:rsidR="00855CA6">
        <w:t>,</w:t>
      </w:r>
      <w:r w:rsidR="004B41A2" w:rsidRPr="00CA47B9">
        <w:t xml:space="preserve"> </w:t>
      </w:r>
      <w:r w:rsidRPr="00CA47B9">
        <w:t>there</w:t>
      </w:r>
      <w:r w:rsidR="004B41A2" w:rsidRPr="00CA47B9">
        <w:t xml:space="preserve"> </w:t>
      </w:r>
      <w:r w:rsidRPr="00CA47B9">
        <w:t>was</w:t>
      </w:r>
      <w:r w:rsidR="004B41A2" w:rsidRPr="00CA47B9">
        <w:t xml:space="preserve"> </w:t>
      </w:r>
      <w:r w:rsidRPr="00CA47B9">
        <w:t>total</w:t>
      </w:r>
      <w:r w:rsidR="004B41A2" w:rsidRPr="00CA47B9">
        <w:t xml:space="preserve"> </w:t>
      </w:r>
      <w:r w:rsidRPr="00CA47B9">
        <w:t>available</w:t>
      </w:r>
      <w:r w:rsidR="004B41A2" w:rsidRPr="00CA47B9">
        <w:t xml:space="preserve"> </w:t>
      </w:r>
      <w:r w:rsidRPr="00CA47B9">
        <w:t>space</w:t>
      </w:r>
      <w:r w:rsidR="004B41A2" w:rsidRPr="00CA47B9">
        <w:t xml:space="preserve"> </w:t>
      </w:r>
      <w:r w:rsidR="0035301B" w:rsidRPr="00CA47B9">
        <w:t>of</w:t>
      </w:r>
      <w:r w:rsidR="004B41A2" w:rsidRPr="00CA47B9">
        <w:t xml:space="preserve"> </w:t>
      </w:r>
      <w:r w:rsidR="0035301B" w:rsidRPr="00CA47B9">
        <w:t>2</w:t>
      </w:r>
      <w:r w:rsidR="00176077" w:rsidRPr="00CA47B9">
        <w:t>6</w:t>
      </w:r>
      <w:r w:rsidR="0035301B" w:rsidRPr="00CA47B9">
        <w:t>,</w:t>
      </w:r>
      <w:r w:rsidR="00176077" w:rsidRPr="00CA47B9">
        <w:t>115</w:t>
      </w:r>
      <w:r w:rsidR="004B41A2" w:rsidRPr="00CA47B9">
        <w:t xml:space="preserve"> </w:t>
      </w:r>
      <w:r w:rsidR="0021576F" w:rsidRPr="00CA47B9">
        <w:t>sqm</w:t>
      </w:r>
      <w:r w:rsidR="004B41A2" w:rsidRPr="00CA47B9">
        <w:t xml:space="preserve"> </w:t>
      </w:r>
      <w:r w:rsidRPr="00CA47B9">
        <w:t>of</w:t>
      </w:r>
      <w:r w:rsidR="004B41A2" w:rsidRPr="00CA47B9">
        <w:t xml:space="preserve"> </w:t>
      </w:r>
      <w:r w:rsidRPr="00CA47B9">
        <w:t>office</w:t>
      </w:r>
      <w:r w:rsidR="004B41A2" w:rsidRPr="00CA47B9">
        <w:t xml:space="preserve"> </w:t>
      </w:r>
      <w:r w:rsidRPr="00CA47B9">
        <w:t>floorspace</w:t>
      </w:r>
      <w:r w:rsidR="004B41A2" w:rsidRPr="00CA47B9">
        <w:t xml:space="preserve"> </w:t>
      </w:r>
      <w:r w:rsidRPr="00CA47B9">
        <w:t>across</w:t>
      </w:r>
      <w:r w:rsidR="004B41A2" w:rsidRPr="00CA47B9">
        <w:t xml:space="preserve"> </w:t>
      </w:r>
      <w:r w:rsidRPr="00CA47B9">
        <w:t>the</w:t>
      </w:r>
      <w:r w:rsidR="004B41A2" w:rsidRPr="00CA47B9">
        <w:t xml:space="preserve"> </w:t>
      </w:r>
      <w:r w:rsidRPr="00CA47B9">
        <w:t>District</w:t>
      </w:r>
      <w:r w:rsidR="00230E40">
        <w:t xml:space="preserve">, 22,000 sqm of which </w:t>
      </w:r>
      <w:r w:rsidR="009F2562">
        <w:t>was</w:t>
      </w:r>
      <w:r w:rsidR="00230E40">
        <w:t xml:space="preserve"> available in the Plan Area</w:t>
      </w:r>
      <w:r w:rsidRPr="00CA47B9">
        <w:t>.</w:t>
      </w:r>
      <w:r w:rsidR="004B41A2" w:rsidRPr="00CA47B9">
        <w:t xml:space="preserve"> </w:t>
      </w:r>
    </w:p>
    <w:p w:rsidR="00B0298E" w:rsidRPr="00CA47B9" w:rsidRDefault="00B0298E" w:rsidP="001C73B8">
      <w:pPr>
        <w:pStyle w:val="11Bodytext"/>
        <w:tabs>
          <w:tab w:val="clear" w:pos="2212"/>
          <w:tab w:val="num" w:pos="567"/>
        </w:tabs>
        <w:ind w:left="567" w:hanging="567"/>
      </w:pPr>
      <w:r w:rsidRPr="00CA47B9">
        <w:t>Within</w:t>
      </w:r>
      <w:r w:rsidR="004B41A2" w:rsidRPr="00CA47B9">
        <w:t xml:space="preserve"> </w:t>
      </w:r>
      <w:r w:rsidRPr="00CA47B9">
        <w:t>the</w:t>
      </w:r>
      <w:r w:rsidR="004B41A2" w:rsidRPr="00CA47B9">
        <w:t xml:space="preserve"> </w:t>
      </w:r>
      <w:r w:rsidRPr="00CA47B9">
        <w:t>District,</w:t>
      </w:r>
      <w:r w:rsidR="004B41A2" w:rsidRPr="00CA47B9">
        <w:t xml:space="preserve"> </w:t>
      </w:r>
      <w:r w:rsidRPr="00CA47B9">
        <w:t>the</w:t>
      </w:r>
      <w:r w:rsidR="004B41A2" w:rsidRPr="00CA47B9">
        <w:t xml:space="preserve"> </w:t>
      </w:r>
      <w:r w:rsidRPr="00CA47B9">
        <w:t>highest</w:t>
      </w:r>
      <w:r w:rsidR="004B41A2" w:rsidRPr="00CA47B9">
        <w:t xml:space="preserve"> </w:t>
      </w:r>
      <w:r w:rsidRPr="00CA47B9">
        <w:t>number</w:t>
      </w:r>
      <w:r w:rsidR="004B41A2" w:rsidRPr="00CA47B9">
        <w:t xml:space="preserve"> </w:t>
      </w:r>
      <w:r w:rsidRPr="00CA47B9">
        <w:t>of</w:t>
      </w:r>
      <w:r w:rsidR="004B41A2" w:rsidRPr="00CA47B9">
        <w:t xml:space="preserve"> </w:t>
      </w:r>
      <w:r w:rsidRPr="00CA47B9">
        <w:t>office</w:t>
      </w:r>
      <w:r w:rsidR="004B41A2" w:rsidRPr="00CA47B9">
        <w:t xml:space="preserve"> </w:t>
      </w:r>
      <w:r w:rsidRPr="00CA47B9">
        <w:t>spaces</w:t>
      </w:r>
      <w:r w:rsidR="004B41A2" w:rsidRPr="00CA47B9">
        <w:t xml:space="preserve"> </w:t>
      </w:r>
      <w:r w:rsidRPr="00CA47B9">
        <w:t>available</w:t>
      </w:r>
      <w:r w:rsidR="004B41A2" w:rsidRPr="00CA47B9">
        <w:t xml:space="preserve"> </w:t>
      </w:r>
      <w:r w:rsidRPr="00CA47B9">
        <w:t>is</w:t>
      </w:r>
      <w:r w:rsidR="004B41A2" w:rsidRPr="00CA47B9">
        <w:t xml:space="preserve"> </w:t>
      </w:r>
      <w:r w:rsidRPr="00CA47B9">
        <w:t>in</w:t>
      </w:r>
      <w:r w:rsidR="004B41A2" w:rsidRPr="00CA47B9">
        <w:t xml:space="preserve"> </w:t>
      </w:r>
      <w:r w:rsidRPr="00CA47B9">
        <w:t>the</w:t>
      </w:r>
      <w:r w:rsidR="004B41A2" w:rsidRPr="00CA47B9">
        <w:t xml:space="preserve"> </w:t>
      </w:r>
      <w:r w:rsidRPr="00CA47B9">
        <w:t>Chichester</w:t>
      </w:r>
      <w:r w:rsidR="004B41A2" w:rsidRPr="00CA47B9">
        <w:t xml:space="preserve"> </w:t>
      </w:r>
      <w:r w:rsidR="002A05C6" w:rsidRPr="00CA47B9">
        <w:t>City</w:t>
      </w:r>
      <w:r w:rsidR="004B41A2" w:rsidRPr="00CA47B9">
        <w:t xml:space="preserve"> </w:t>
      </w:r>
      <w:r w:rsidR="00855CA6" w:rsidRPr="00CA47B9">
        <w:t>sub</w:t>
      </w:r>
      <w:r w:rsidR="00855CA6">
        <w:t>-</w:t>
      </w:r>
      <w:r w:rsidR="0035301B" w:rsidRPr="00CA47B9">
        <w:t>area</w:t>
      </w:r>
      <w:r w:rsidR="004B41A2" w:rsidRPr="00CA47B9">
        <w:t xml:space="preserve"> </w:t>
      </w:r>
      <w:r w:rsidR="0035301B" w:rsidRPr="00CA47B9">
        <w:t>(4</w:t>
      </w:r>
      <w:r w:rsidR="000664F1" w:rsidRPr="00CA47B9">
        <w:t>9</w:t>
      </w:r>
      <w:r w:rsidR="0035301B" w:rsidRPr="00CA47B9">
        <w:t>)</w:t>
      </w:r>
      <w:r w:rsidR="004B41A2" w:rsidRPr="00CA47B9">
        <w:t xml:space="preserve"> </w:t>
      </w:r>
      <w:r w:rsidRPr="00CA47B9">
        <w:t>followed</w:t>
      </w:r>
      <w:r w:rsidR="004B41A2" w:rsidRPr="00CA47B9">
        <w:t xml:space="preserve"> </w:t>
      </w:r>
      <w:r w:rsidRPr="00CA47B9">
        <w:t>by</w:t>
      </w:r>
      <w:r w:rsidR="004B41A2" w:rsidRPr="00CA47B9">
        <w:t xml:space="preserve"> </w:t>
      </w:r>
      <w:r w:rsidR="002A05C6" w:rsidRPr="00CA47B9">
        <w:t>the</w:t>
      </w:r>
      <w:r w:rsidR="004B41A2" w:rsidRPr="00CA47B9">
        <w:t xml:space="preserve"> </w:t>
      </w:r>
      <w:r w:rsidRPr="00CA47B9">
        <w:t>South</w:t>
      </w:r>
      <w:r w:rsidR="004B41A2" w:rsidRPr="00CA47B9">
        <w:t xml:space="preserve"> </w:t>
      </w:r>
      <w:r w:rsidRPr="00CA47B9">
        <w:t>Downs</w:t>
      </w:r>
      <w:r w:rsidR="004B41A2" w:rsidRPr="00CA47B9">
        <w:t xml:space="preserve"> </w:t>
      </w:r>
      <w:r w:rsidRPr="00CA47B9">
        <w:t>National</w:t>
      </w:r>
      <w:r w:rsidR="004B41A2" w:rsidRPr="00CA47B9">
        <w:t xml:space="preserve"> </w:t>
      </w:r>
      <w:r w:rsidRPr="00CA47B9">
        <w:t>Park</w:t>
      </w:r>
      <w:r w:rsidR="004B41A2" w:rsidRPr="00CA47B9">
        <w:t xml:space="preserve"> </w:t>
      </w:r>
      <w:r w:rsidRPr="00CA47B9">
        <w:t>sub-area</w:t>
      </w:r>
      <w:r w:rsidR="004B41A2" w:rsidRPr="00CA47B9">
        <w:t xml:space="preserve"> </w:t>
      </w:r>
      <w:r w:rsidRPr="00CA47B9">
        <w:t>(</w:t>
      </w:r>
      <w:r w:rsidR="000664F1" w:rsidRPr="00CA47B9">
        <w:t>26</w:t>
      </w:r>
      <w:r w:rsidRPr="00CA47B9">
        <w:t>).</w:t>
      </w:r>
      <w:r w:rsidR="00A94653" w:rsidRPr="00CA47B9">
        <w:t xml:space="preserve"> </w:t>
      </w:r>
      <w:r w:rsidRPr="00CA47B9">
        <w:t>The</w:t>
      </w:r>
      <w:r w:rsidR="004B41A2" w:rsidRPr="00CA47B9">
        <w:t xml:space="preserve"> </w:t>
      </w:r>
      <w:r w:rsidRPr="00CA47B9">
        <w:t>majority</w:t>
      </w:r>
      <w:r w:rsidR="004B41A2" w:rsidRPr="00CA47B9">
        <w:t xml:space="preserve"> </w:t>
      </w:r>
      <w:r w:rsidRPr="00CA47B9">
        <w:t>of</w:t>
      </w:r>
      <w:r w:rsidR="004B41A2" w:rsidRPr="00CA47B9">
        <w:t xml:space="preserve"> </w:t>
      </w:r>
      <w:r w:rsidRPr="00CA47B9">
        <w:t>available</w:t>
      </w:r>
      <w:r w:rsidR="004B41A2" w:rsidRPr="00CA47B9">
        <w:t xml:space="preserve"> </w:t>
      </w:r>
      <w:r w:rsidRPr="00CA47B9">
        <w:t>office</w:t>
      </w:r>
      <w:r w:rsidR="004B41A2" w:rsidRPr="00CA47B9">
        <w:t xml:space="preserve"> </w:t>
      </w:r>
      <w:r w:rsidRPr="00CA47B9">
        <w:t>stock</w:t>
      </w:r>
      <w:r w:rsidR="004B41A2" w:rsidRPr="00CA47B9">
        <w:t xml:space="preserve"> </w:t>
      </w:r>
      <w:r w:rsidR="0035301B" w:rsidRPr="00CA47B9">
        <w:t>comprises</w:t>
      </w:r>
      <w:r w:rsidR="004B41A2" w:rsidRPr="00CA47B9">
        <w:t xml:space="preserve"> </w:t>
      </w:r>
      <w:r w:rsidRPr="00CA47B9">
        <w:t>smaller</w:t>
      </w:r>
      <w:r w:rsidR="004B41A2" w:rsidRPr="00CA47B9">
        <w:t xml:space="preserve"> </w:t>
      </w:r>
      <w:r w:rsidRPr="00CA47B9">
        <w:t>office</w:t>
      </w:r>
      <w:r w:rsidR="004B41A2" w:rsidRPr="00CA47B9">
        <w:t xml:space="preserve"> </w:t>
      </w:r>
      <w:r w:rsidRPr="00CA47B9">
        <w:t>spaces</w:t>
      </w:r>
      <w:r w:rsidR="004B41A2" w:rsidRPr="00CA47B9">
        <w:t xml:space="preserve"> </w:t>
      </w:r>
      <w:r w:rsidRPr="00CA47B9">
        <w:t>than</w:t>
      </w:r>
      <w:r w:rsidR="004B41A2" w:rsidRPr="00CA47B9">
        <w:t xml:space="preserve"> </w:t>
      </w:r>
      <w:r w:rsidRPr="00CA47B9">
        <w:t>185</w:t>
      </w:r>
      <w:r w:rsidR="004B41A2" w:rsidRPr="00CA47B9">
        <w:t xml:space="preserve"> </w:t>
      </w:r>
      <w:r w:rsidR="0021576F" w:rsidRPr="00CA47B9">
        <w:t>sqm</w:t>
      </w:r>
      <w:r w:rsidR="004B41A2" w:rsidRPr="00CA47B9">
        <w:t xml:space="preserve"> </w:t>
      </w:r>
      <w:r w:rsidRPr="00CA47B9">
        <w:t>(63%),</w:t>
      </w:r>
      <w:r w:rsidR="004B41A2" w:rsidRPr="00CA47B9">
        <w:t xml:space="preserve"> </w:t>
      </w:r>
      <w:r w:rsidRPr="00CA47B9">
        <w:t>followed</w:t>
      </w:r>
      <w:r w:rsidR="004B41A2" w:rsidRPr="00CA47B9">
        <w:t xml:space="preserve"> </w:t>
      </w:r>
      <w:r w:rsidRPr="00CA47B9">
        <w:t>by</w:t>
      </w:r>
      <w:r w:rsidR="004B41A2" w:rsidRPr="00CA47B9">
        <w:t xml:space="preserve"> </w:t>
      </w:r>
      <w:r w:rsidRPr="00CA47B9">
        <w:t>those</w:t>
      </w:r>
      <w:r w:rsidR="004B41A2" w:rsidRPr="00CA47B9">
        <w:t xml:space="preserve"> </w:t>
      </w:r>
      <w:r w:rsidRPr="00CA47B9">
        <w:t>sized</w:t>
      </w:r>
      <w:r w:rsidR="004B41A2" w:rsidRPr="00CA47B9">
        <w:t xml:space="preserve"> </w:t>
      </w:r>
      <w:r w:rsidRPr="00CA47B9">
        <w:t>between</w:t>
      </w:r>
      <w:r w:rsidR="004B41A2" w:rsidRPr="00CA47B9">
        <w:t xml:space="preserve"> </w:t>
      </w:r>
      <w:r w:rsidRPr="00CA47B9">
        <w:t>185-500</w:t>
      </w:r>
      <w:r w:rsidR="004B41A2" w:rsidRPr="00CA47B9">
        <w:t xml:space="preserve"> </w:t>
      </w:r>
      <w:r w:rsidR="0021576F" w:rsidRPr="00CA47B9">
        <w:t>sqm</w:t>
      </w:r>
      <w:r w:rsidR="004B41A2" w:rsidRPr="00CA47B9">
        <w:t xml:space="preserve"> </w:t>
      </w:r>
      <w:r w:rsidRPr="00CA47B9">
        <w:t>(2</w:t>
      </w:r>
      <w:r w:rsidR="00A94653" w:rsidRPr="00CA47B9">
        <w:t>4</w:t>
      </w:r>
      <w:r w:rsidRPr="00CA47B9">
        <w:t>%).</w:t>
      </w:r>
      <w:r w:rsidR="004B41A2" w:rsidRPr="00CA47B9">
        <w:t xml:space="preserve"> </w:t>
      </w:r>
      <w:r w:rsidRPr="00CA47B9">
        <w:t>There</w:t>
      </w:r>
      <w:r w:rsidR="004B41A2" w:rsidRPr="00CA47B9">
        <w:t xml:space="preserve"> </w:t>
      </w:r>
      <w:r w:rsidRPr="00CA47B9">
        <w:t>are</w:t>
      </w:r>
      <w:r w:rsidR="004B41A2" w:rsidRPr="00CA47B9">
        <w:t xml:space="preserve"> </w:t>
      </w:r>
      <w:r w:rsidRPr="00CA47B9">
        <w:t>only</w:t>
      </w:r>
      <w:r w:rsidR="004B41A2" w:rsidRPr="00CA47B9">
        <w:t xml:space="preserve"> </w:t>
      </w:r>
      <w:r w:rsidRPr="00CA47B9">
        <w:t>six</w:t>
      </w:r>
      <w:r w:rsidR="004B41A2" w:rsidRPr="00CA47B9">
        <w:t xml:space="preserve"> </w:t>
      </w:r>
      <w:r w:rsidRPr="00CA47B9">
        <w:t>offices</w:t>
      </w:r>
      <w:r w:rsidR="004B41A2" w:rsidRPr="00CA47B9">
        <w:t xml:space="preserve"> </w:t>
      </w:r>
      <w:r w:rsidRPr="00CA47B9">
        <w:t>which</w:t>
      </w:r>
      <w:r w:rsidR="004B41A2" w:rsidRPr="00CA47B9">
        <w:t xml:space="preserve"> </w:t>
      </w:r>
      <w:r w:rsidRPr="00CA47B9">
        <w:t>are</w:t>
      </w:r>
      <w:r w:rsidR="004B41A2" w:rsidRPr="00CA47B9">
        <w:t xml:space="preserve"> </w:t>
      </w:r>
      <w:r w:rsidRPr="00CA47B9">
        <w:t>larger</w:t>
      </w:r>
      <w:r w:rsidR="004B41A2" w:rsidRPr="00CA47B9">
        <w:t xml:space="preserve"> </w:t>
      </w:r>
      <w:r w:rsidRPr="00CA47B9">
        <w:t>than</w:t>
      </w:r>
      <w:r w:rsidR="004B41A2" w:rsidRPr="00CA47B9">
        <w:t xml:space="preserve"> </w:t>
      </w:r>
      <w:r w:rsidRPr="00CA47B9">
        <w:t>1,000</w:t>
      </w:r>
      <w:r w:rsidR="004B41A2" w:rsidRPr="00CA47B9">
        <w:t xml:space="preserve"> </w:t>
      </w:r>
      <w:r w:rsidR="0021576F" w:rsidRPr="00CA47B9">
        <w:t>sqm</w:t>
      </w:r>
      <w:r w:rsidR="004B41A2" w:rsidRPr="00CA47B9">
        <w:t xml:space="preserve"> </w:t>
      </w:r>
      <w:r w:rsidRPr="00CA47B9">
        <w:t>available</w:t>
      </w:r>
      <w:r w:rsidR="004B41A2" w:rsidRPr="00CA47B9">
        <w:t xml:space="preserve"> </w:t>
      </w:r>
      <w:r w:rsidRPr="00CA47B9">
        <w:t>in</w:t>
      </w:r>
      <w:r w:rsidR="004B41A2" w:rsidRPr="00CA47B9">
        <w:t xml:space="preserve"> </w:t>
      </w:r>
      <w:r w:rsidRPr="00CA47B9">
        <w:t>the</w:t>
      </w:r>
      <w:r w:rsidR="004B41A2" w:rsidRPr="00CA47B9">
        <w:t xml:space="preserve"> </w:t>
      </w:r>
      <w:r w:rsidRPr="00CA47B9">
        <w:t>district.</w:t>
      </w:r>
    </w:p>
    <w:p w:rsidR="00F35517" w:rsidRPr="00CA47B9" w:rsidRDefault="00B0298E" w:rsidP="005D5606">
      <w:pPr>
        <w:pStyle w:val="FigureHeading"/>
        <w:tabs>
          <w:tab w:val="clear" w:pos="794"/>
          <w:tab w:val="clear" w:pos="1843"/>
          <w:tab w:val="left" w:pos="0"/>
        </w:tabs>
        <w:ind w:left="0" w:firstLine="0"/>
      </w:pPr>
      <w:bookmarkStart w:id="217" w:name="_Toc481156692"/>
      <w:r w:rsidRPr="00CA47B9">
        <w:t>Number</w:t>
      </w:r>
      <w:r w:rsidR="004B41A2" w:rsidRPr="00CA47B9">
        <w:t xml:space="preserve"> </w:t>
      </w:r>
      <w:r w:rsidRPr="00CA47B9">
        <w:t>of</w:t>
      </w:r>
      <w:r w:rsidR="004B41A2" w:rsidRPr="00CA47B9">
        <w:t xml:space="preserve"> </w:t>
      </w:r>
      <w:r w:rsidR="00F00E33" w:rsidRPr="00CA47B9">
        <w:t>A</w:t>
      </w:r>
      <w:r w:rsidRPr="00CA47B9">
        <w:t>vailable</w:t>
      </w:r>
      <w:r w:rsidR="004B41A2" w:rsidRPr="00CA47B9">
        <w:t xml:space="preserve"> </w:t>
      </w:r>
      <w:r w:rsidR="00F00E33" w:rsidRPr="00CA47B9">
        <w:t>O</w:t>
      </w:r>
      <w:r w:rsidRPr="00CA47B9">
        <w:t>ffice</w:t>
      </w:r>
      <w:r w:rsidR="004B41A2" w:rsidRPr="00CA47B9">
        <w:t xml:space="preserve"> </w:t>
      </w:r>
      <w:r w:rsidR="00F00E33" w:rsidRPr="00CA47B9">
        <w:t>U</w:t>
      </w:r>
      <w:r w:rsidRPr="00CA47B9">
        <w:t>nits</w:t>
      </w:r>
      <w:bookmarkEnd w:id="217"/>
      <w:r w:rsidR="004B41A2" w:rsidRPr="00CA47B9">
        <w:t xml:space="preserve"> </w:t>
      </w:r>
    </w:p>
    <w:p w:rsidR="00F35517" w:rsidRPr="00CA47B9" w:rsidRDefault="00F00E33" w:rsidP="00031E60">
      <w:pPr>
        <w:pStyle w:val="Bodytextwithindent"/>
        <w:keepNext/>
        <w:spacing w:before="0" w:after="0" w:line="240" w:lineRule="auto"/>
        <w:ind w:left="0"/>
        <w:rPr>
          <w:color w:val="auto"/>
        </w:rPr>
      </w:pPr>
      <w:r w:rsidRPr="00CA47B9">
        <w:rPr>
          <w:noProof/>
          <w:color w:val="auto"/>
          <w:lang w:eastAsia="en-GB"/>
        </w:rPr>
        <w:drawing>
          <wp:inline distT="0" distB="0" distL="0" distR="0" wp14:anchorId="4AF6C437" wp14:editId="77D25854">
            <wp:extent cx="6120000" cy="2880000"/>
            <wp:effectExtent l="0" t="0" r="14605" b="15875"/>
            <wp:docPr id="1048" name="Chart 1048" descr="Stacked bar chart showing the number of available office units by size band in each sub-area of Chichester district" title="Figure 54: Number of Available Office Units ">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B0298E" w:rsidRPr="00795E1F" w:rsidRDefault="00B0298E" w:rsidP="005D5606">
      <w:pPr>
        <w:pStyle w:val="Referencetext8pt"/>
        <w:spacing w:after="120" w:line="360" w:lineRule="auto"/>
        <w:rPr>
          <w:rFonts w:asciiTheme="minorHAnsi" w:hAnsiTheme="minorHAnsi" w:cstheme="minorHAnsi"/>
          <w:color w:val="auto"/>
          <w:sz w:val="24"/>
          <w:szCs w:val="22"/>
        </w:rPr>
      </w:pPr>
      <w:r w:rsidRPr="00795E1F">
        <w:rPr>
          <w:rFonts w:asciiTheme="minorHAnsi" w:hAnsiTheme="minorHAnsi" w:cstheme="minorHAnsi"/>
          <w:color w:val="auto"/>
          <w:sz w:val="24"/>
          <w:szCs w:val="22"/>
        </w:rPr>
        <w:t>Source:</w:t>
      </w:r>
      <w:r w:rsidR="004B41A2" w:rsidRPr="00795E1F">
        <w:rPr>
          <w:rFonts w:asciiTheme="minorHAnsi" w:hAnsiTheme="minorHAnsi" w:cstheme="minorHAnsi"/>
          <w:color w:val="auto"/>
          <w:sz w:val="24"/>
          <w:szCs w:val="22"/>
        </w:rPr>
        <w:t xml:space="preserve"> </w:t>
      </w:r>
      <w:r w:rsidRPr="00795E1F">
        <w:rPr>
          <w:rFonts w:asciiTheme="minorHAnsi" w:hAnsiTheme="minorHAnsi" w:cstheme="minorHAnsi"/>
          <w:color w:val="auto"/>
          <w:sz w:val="24"/>
          <w:szCs w:val="22"/>
        </w:rPr>
        <w:t>GL</w:t>
      </w:r>
      <w:r w:rsidR="004B41A2" w:rsidRPr="00795E1F">
        <w:rPr>
          <w:rFonts w:asciiTheme="minorHAnsi" w:hAnsiTheme="minorHAnsi" w:cstheme="minorHAnsi"/>
          <w:color w:val="auto"/>
          <w:sz w:val="24"/>
          <w:szCs w:val="22"/>
        </w:rPr>
        <w:t xml:space="preserve"> </w:t>
      </w:r>
      <w:r w:rsidRPr="00795E1F">
        <w:rPr>
          <w:rFonts w:asciiTheme="minorHAnsi" w:hAnsiTheme="minorHAnsi" w:cstheme="minorHAnsi"/>
          <w:color w:val="auto"/>
          <w:sz w:val="24"/>
          <w:szCs w:val="22"/>
        </w:rPr>
        <w:t>Hearn</w:t>
      </w:r>
      <w:r w:rsidR="004B41A2" w:rsidRPr="00795E1F">
        <w:rPr>
          <w:rFonts w:asciiTheme="minorHAnsi" w:hAnsiTheme="minorHAnsi" w:cstheme="minorHAnsi"/>
          <w:color w:val="auto"/>
          <w:sz w:val="24"/>
          <w:szCs w:val="22"/>
        </w:rPr>
        <w:t xml:space="preserve"> </w:t>
      </w:r>
      <w:r w:rsidRPr="00795E1F">
        <w:rPr>
          <w:rFonts w:asciiTheme="minorHAnsi" w:hAnsiTheme="minorHAnsi" w:cstheme="minorHAnsi"/>
          <w:color w:val="auto"/>
          <w:sz w:val="24"/>
          <w:szCs w:val="22"/>
        </w:rPr>
        <w:t>Analysis</w:t>
      </w:r>
      <w:r w:rsidR="004B41A2" w:rsidRPr="00795E1F">
        <w:rPr>
          <w:rFonts w:asciiTheme="minorHAnsi" w:hAnsiTheme="minorHAnsi" w:cstheme="minorHAnsi"/>
          <w:color w:val="auto"/>
          <w:sz w:val="24"/>
          <w:szCs w:val="22"/>
        </w:rPr>
        <w:t xml:space="preserve"> </w:t>
      </w:r>
      <w:r w:rsidRPr="00795E1F">
        <w:rPr>
          <w:rFonts w:asciiTheme="minorHAnsi" w:hAnsiTheme="minorHAnsi" w:cstheme="minorHAnsi"/>
          <w:color w:val="auto"/>
          <w:sz w:val="24"/>
          <w:szCs w:val="22"/>
        </w:rPr>
        <w:t>of</w:t>
      </w:r>
      <w:r w:rsidR="004B41A2" w:rsidRPr="00795E1F">
        <w:rPr>
          <w:rFonts w:asciiTheme="minorHAnsi" w:hAnsiTheme="minorHAnsi" w:cstheme="minorHAnsi"/>
          <w:color w:val="auto"/>
          <w:sz w:val="24"/>
          <w:szCs w:val="22"/>
        </w:rPr>
        <w:t xml:space="preserve"> </w:t>
      </w:r>
      <w:r w:rsidRPr="00795E1F">
        <w:rPr>
          <w:rFonts w:asciiTheme="minorHAnsi" w:hAnsiTheme="minorHAnsi" w:cstheme="minorHAnsi"/>
          <w:color w:val="auto"/>
          <w:sz w:val="24"/>
          <w:szCs w:val="22"/>
        </w:rPr>
        <w:t>EGi</w:t>
      </w:r>
      <w:r w:rsidR="004B41A2" w:rsidRPr="00795E1F">
        <w:rPr>
          <w:rFonts w:asciiTheme="minorHAnsi" w:hAnsiTheme="minorHAnsi" w:cstheme="minorHAnsi"/>
          <w:color w:val="auto"/>
          <w:sz w:val="24"/>
          <w:szCs w:val="22"/>
        </w:rPr>
        <w:t xml:space="preserve"> </w:t>
      </w:r>
      <w:r w:rsidRPr="00795E1F">
        <w:rPr>
          <w:rFonts w:asciiTheme="minorHAnsi" w:hAnsiTheme="minorHAnsi" w:cstheme="minorHAnsi"/>
          <w:color w:val="auto"/>
          <w:sz w:val="24"/>
          <w:szCs w:val="22"/>
        </w:rPr>
        <w:t>and</w:t>
      </w:r>
      <w:r w:rsidR="004B41A2" w:rsidRPr="00795E1F">
        <w:rPr>
          <w:rFonts w:asciiTheme="minorHAnsi" w:hAnsiTheme="minorHAnsi" w:cstheme="minorHAnsi"/>
          <w:color w:val="auto"/>
          <w:sz w:val="24"/>
          <w:szCs w:val="22"/>
        </w:rPr>
        <w:t xml:space="preserve"> </w:t>
      </w:r>
      <w:r w:rsidRPr="00795E1F">
        <w:rPr>
          <w:rFonts w:asciiTheme="minorHAnsi" w:hAnsiTheme="minorHAnsi" w:cstheme="minorHAnsi"/>
          <w:color w:val="auto"/>
          <w:sz w:val="24"/>
          <w:szCs w:val="22"/>
        </w:rPr>
        <w:t>CoStar</w:t>
      </w:r>
      <w:r w:rsidR="004B41A2" w:rsidRPr="00795E1F">
        <w:rPr>
          <w:rFonts w:asciiTheme="minorHAnsi" w:hAnsiTheme="minorHAnsi" w:cstheme="minorHAnsi"/>
          <w:color w:val="auto"/>
          <w:sz w:val="24"/>
          <w:szCs w:val="22"/>
        </w:rPr>
        <w:t xml:space="preserve"> </w:t>
      </w:r>
      <w:r w:rsidRPr="00795E1F">
        <w:rPr>
          <w:rFonts w:asciiTheme="minorHAnsi" w:hAnsiTheme="minorHAnsi" w:cstheme="minorHAnsi"/>
          <w:color w:val="auto"/>
          <w:sz w:val="24"/>
          <w:szCs w:val="22"/>
        </w:rPr>
        <w:t>Data</w:t>
      </w:r>
    </w:p>
    <w:p w:rsidR="00B0298E" w:rsidRPr="00CA47B9" w:rsidRDefault="00B0298E" w:rsidP="001C73B8">
      <w:pPr>
        <w:pStyle w:val="11Bodytext"/>
        <w:tabs>
          <w:tab w:val="clear" w:pos="2212"/>
          <w:tab w:val="num" w:pos="567"/>
        </w:tabs>
        <w:ind w:left="567" w:hanging="567"/>
        <w:rPr>
          <w:color w:val="FF0000"/>
        </w:rPr>
      </w:pPr>
      <w:r w:rsidRPr="00CA47B9">
        <w:t>Figure</w:t>
      </w:r>
      <w:r w:rsidR="004B41A2" w:rsidRPr="00CA47B9">
        <w:t xml:space="preserve"> </w:t>
      </w:r>
      <w:r w:rsidR="0035301B" w:rsidRPr="00CA47B9">
        <w:t>5</w:t>
      </w:r>
      <w:r w:rsidR="00442CA7">
        <w:t>5</w:t>
      </w:r>
      <w:r w:rsidR="004B41A2" w:rsidRPr="00CA47B9">
        <w:t xml:space="preserve"> </w:t>
      </w:r>
      <w:r w:rsidRPr="00CA47B9">
        <w:t>displays</w:t>
      </w:r>
      <w:r w:rsidR="004B41A2" w:rsidRPr="00CA47B9">
        <w:t xml:space="preserve"> </w:t>
      </w:r>
      <w:r w:rsidRPr="00CA47B9">
        <w:t>the</w:t>
      </w:r>
      <w:r w:rsidR="004B41A2" w:rsidRPr="00CA47B9">
        <w:t xml:space="preserve"> </w:t>
      </w:r>
      <w:r w:rsidRPr="00CA47B9">
        <w:t>amount</w:t>
      </w:r>
      <w:r w:rsidR="004B41A2" w:rsidRPr="00CA47B9">
        <w:t xml:space="preserve"> </w:t>
      </w:r>
      <w:r w:rsidRPr="00CA47B9">
        <w:t>of</w:t>
      </w:r>
      <w:r w:rsidR="004B41A2" w:rsidRPr="00CA47B9">
        <w:t xml:space="preserve"> </w:t>
      </w:r>
      <w:r w:rsidRPr="00CA47B9">
        <w:t>available</w:t>
      </w:r>
      <w:r w:rsidR="004B41A2" w:rsidRPr="00CA47B9">
        <w:t xml:space="preserve"> </w:t>
      </w:r>
      <w:r w:rsidRPr="00CA47B9">
        <w:t>office</w:t>
      </w:r>
      <w:r w:rsidR="004B41A2" w:rsidRPr="00CA47B9">
        <w:t xml:space="preserve"> </w:t>
      </w:r>
      <w:r w:rsidRPr="00CA47B9">
        <w:t>floorspace</w:t>
      </w:r>
      <w:r w:rsidR="004B41A2" w:rsidRPr="00CA47B9">
        <w:t xml:space="preserve"> </w:t>
      </w:r>
      <w:r w:rsidRPr="00CA47B9">
        <w:t>located</w:t>
      </w:r>
      <w:r w:rsidR="004B41A2" w:rsidRPr="00CA47B9">
        <w:t xml:space="preserve"> </w:t>
      </w:r>
      <w:r w:rsidRPr="00CA47B9">
        <w:t>within</w:t>
      </w:r>
      <w:r w:rsidR="004B41A2" w:rsidRPr="00CA47B9">
        <w:t xml:space="preserve"> </w:t>
      </w:r>
      <w:r w:rsidRPr="00CA47B9">
        <w:t>the</w:t>
      </w:r>
      <w:r w:rsidR="004B41A2" w:rsidRPr="00CA47B9">
        <w:t xml:space="preserve"> </w:t>
      </w:r>
      <w:r w:rsidRPr="00CA47B9">
        <w:t>district</w:t>
      </w:r>
      <w:r w:rsidR="004B41A2" w:rsidRPr="00CA47B9">
        <w:t xml:space="preserve"> </w:t>
      </w:r>
      <w:r w:rsidRPr="00CA47B9">
        <w:t>by</w:t>
      </w:r>
      <w:r w:rsidR="004B41A2" w:rsidRPr="00CA47B9">
        <w:t xml:space="preserve"> </w:t>
      </w:r>
      <w:r w:rsidRPr="00CA47B9">
        <w:t>sub-area.</w:t>
      </w:r>
      <w:r w:rsidR="004B41A2" w:rsidRPr="00CA47B9">
        <w:t xml:space="preserve"> </w:t>
      </w:r>
      <w:r w:rsidRPr="00CA47B9">
        <w:t>The</w:t>
      </w:r>
      <w:r w:rsidR="004B41A2" w:rsidRPr="00CA47B9">
        <w:t xml:space="preserve"> </w:t>
      </w:r>
      <w:r w:rsidRPr="00CA47B9">
        <w:t>highest</w:t>
      </w:r>
      <w:r w:rsidR="004B41A2" w:rsidRPr="00CA47B9">
        <w:t xml:space="preserve"> </w:t>
      </w:r>
      <w:r w:rsidRPr="00CA47B9">
        <w:t>amount</w:t>
      </w:r>
      <w:r w:rsidR="004B41A2" w:rsidRPr="00CA47B9">
        <w:t xml:space="preserve"> </w:t>
      </w:r>
      <w:r w:rsidRPr="00CA47B9">
        <w:t>of</w:t>
      </w:r>
      <w:r w:rsidR="004B41A2" w:rsidRPr="00CA47B9">
        <w:t xml:space="preserve"> </w:t>
      </w:r>
      <w:r w:rsidRPr="00CA47B9">
        <w:t>available</w:t>
      </w:r>
      <w:r w:rsidR="004B41A2" w:rsidRPr="00CA47B9">
        <w:t xml:space="preserve"> </w:t>
      </w:r>
      <w:r w:rsidRPr="00CA47B9">
        <w:t>office</w:t>
      </w:r>
      <w:r w:rsidR="004B41A2" w:rsidRPr="00CA47B9">
        <w:t xml:space="preserve"> </w:t>
      </w:r>
      <w:r w:rsidRPr="00CA47B9">
        <w:t>floorspace</w:t>
      </w:r>
      <w:r w:rsidR="004B41A2" w:rsidRPr="00CA47B9">
        <w:t xml:space="preserve"> </w:t>
      </w:r>
      <w:r w:rsidRPr="00CA47B9">
        <w:t>is</w:t>
      </w:r>
      <w:r w:rsidR="004B41A2" w:rsidRPr="00CA47B9">
        <w:t xml:space="preserve"> </w:t>
      </w:r>
      <w:r w:rsidRPr="00CA47B9">
        <w:t>located</w:t>
      </w:r>
      <w:r w:rsidR="004B41A2" w:rsidRPr="00CA47B9">
        <w:t xml:space="preserve"> </w:t>
      </w:r>
      <w:r w:rsidRPr="00CA47B9">
        <w:t>in</w:t>
      </w:r>
      <w:r w:rsidR="004B41A2" w:rsidRPr="00CA47B9">
        <w:t xml:space="preserve"> </w:t>
      </w:r>
      <w:r w:rsidRPr="00CA47B9">
        <w:t>Chichester</w:t>
      </w:r>
      <w:r w:rsidR="004B41A2" w:rsidRPr="00CA47B9">
        <w:t xml:space="preserve"> </w:t>
      </w:r>
      <w:r w:rsidR="002F11AC" w:rsidRPr="00CA47B9">
        <w:t>City</w:t>
      </w:r>
      <w:r w:rsidR="004B41A2" w:rsidRPr="00CA47B9">
        <w:t xml:space="preserve"> </w:t>
      </w:r>
      <w:r w:rsidR="00855CA6">
        <w:t>sub-area</w:t>
      </w:r>
      <w:r w:rsidR="004B41A2" w:rsidRPr="00CA47B9">
        <w:t xml:space="preserve"> </w:t>
      </w:r>
      <w:r w:rsidRPr="00CA47B9">
        <w:t>(</w:t>
      </w:r>
      <w:r w:rsidR="00A61880" w:rsidRPr="00CA47B9">
        <w:t>15,719</w:t>
      </w:r>
      <w:r w:rsidR="004B41A2" w:rsidRPr="00CA47B9">
        <w:t xml:space="preserve"> </w:t>
      </w:r>
      <w:r w:rsidR="00D43280" w:rsidRPr="00CA47B9">
        <w:t>sqm</w:t>
      </w:r>
      <w:r w:rsidRPr="00CA47B9">
        <w:t>),</w:t>
      </w:r>
      <w:r w:rsidR="004B41A2" w:rsidRPr="00CA47B9">
        <w:t xml:space="preserve"> </w:t>
      </w:r>
      <w:r w:rsidRPr="00CA47B9">
        <w:t>followed</w:t>
      </w:r>
      <w:r w:rsidR="004B41A2" w:rsidRPr="00CA47B9">
        <w:t xml:space="preserve"> </w:t>
      </w:r>
      <w:r w:rsidRPr="00CA47B9">
        <w:t>by</w:t>
      </w:r>
      <w:r w:rsidR="004B41A2" w:rsidRPr="00CA47B9">
        <w:t xml:space="preserve"> </w:t>
      </w:r>
      <w:r w:rsidR="00FF4070" w:rsidRPr="00CA47B9">
        <w:t xml:space="preserve">South Downs National Park </w:t>
      </w:r>
      <w:r w:rsidR="00855CA6">
        <w:t>sub-area</w:t>
      </w:r>
      <w:r w:rsidR="004B41A2" w:rsidRPr="00CA47B9">
        <w:t xml:space="preserve"> </w:t>
      </w:r>
      <w:r w:rsidRPr="00CA47B9">
        <w:t>(</w:t>
      </w:r>
      <w:r w:rsidR="00FF4070" w:rsidRPr="00CA47B9">
        <w:t>4,115</w:t>
      </w:r>
      <w:r w:rsidR="004B41A2" w:rsidRPr="00CA47B9">
        <w:t xml:space="preserve"> </w:t>
      </w:r>
      <w:r w:rsidR="00D43280" w:rsidRPr="00CA47B9">
        <w:t>sqm</w:t>
      </w:r>
      <w:r w:rsidRPr="00CA47B9">
        <w:t>).</w:t>
      </w:r>
      <w:r w:rsidR="004B41A2" w:rsidRPr="00CA47B9">
        <w:t xml:space="preserve"> </w:t>
      </w:r>
      <w:r w:rsidR="00230E40">
        <w:t>Across the plan area, this amounts to 22,000 sqm of available space.</w:t>
      </w:r>
    </w:p>
    <w:p w:rsidR="00B0298E" w:rsidRPr="00CA47B9" w:rsidRDefault="00467898" w:rsidP="001C73B8">
      <w:pPr>
        <w:pStyle w:val="11Bodytext"/>
        <w:tabs>
          <w:tab w:val="clear" w:pos="2212"/>
          <w:tab w:val="num" w:pos="567"/>
        </w:tabs>
        <w:ind w:left="567" w:hanging="567"/>
      </w:pPr>
      <w:r w:rsidRPr="00CA47B9">
        <w:lastRenderedPageBreak/>
        <w:t>T</w:t>
      </w:r>
      <w:r w:rsidR="00B0298E" w:rsidRPr="00CA47B9">
        <w:t>he</w:t>
      </w:r>
      <w:r w:rsidR="004B41A2" w:rsidRPr="00CA47B9">
        <w:t xml:space="preserve"> </w:t>
      </w:r>
      <w:r w:rsidR="00B0298E" w:rsidRPr="00CA47B9">
        <w:t>highest</w:t>
      </w:r>
      <w:r w:rsidR="004B41A2" w:rsidRPr="00CA47B9">
        <w:t xml:space="preserve"> </w:t>
      </w:r>
      <w:r w:rsidR="00B0298E" w:rsidRPr="00CA47B9">
        <w:t>amount</w:t>
      </w:r>
      <w:r w:rsidR="004B41A2" w:rsidRPr="00CA47B9">
        <w:t xml:space="preserve"> </w:t>
      </w:r>
      <w:r w:rsidR="00B0298E" w:rsidRPr="00CA47B9">
        <w:t>of</w:t>
      </w:r>
      <w:r w:rsidR="004B41A2" w:rsidRPr="00CA47B9">
        <w:t xml:space="preserve"> </w:t>
      </w:r>
      <w:r w:rsidR="00B0298E" w:rsidRPr="00CA47B9">
        <w:t>available</w:t>
      </w:r>
      <w:r w:rsidR="004B41A2" w:rsidRPr="00CA47B9">
        <w:t xml:space="preserve"> </w:t>
      </w:r>
      <w:r w:rsidR="00B0298E" w:rsidRPr="00CA47B9">
        <w:t>office</w:t>
      </w:r>
      <w:r w:rsidR="004B41A2" w:rsidRPr="00CA47B9">
        <w:t xml:space="preserve"> </w:t>
      </w:r>
      <w:r w:rsidR="00B0298E" w:rsidRPr="00CA47B9">
        <w:t>floorspace</w:t>
      </w:r>
      <w:r w:rsidR="004B41A2" w:rsidRPr="00CA47B9">
        <w:t xml:space="preserve"> </w:t>
      </w:r>
      <w:r w:rsidR="00B0298E" w:rsidRPr="00CA47B9">
        <w:t>is</w:t>
      </w:r>
      <w:r w:rsidR="004B41A2" w:rsidRPr="00CA47B9">
        <w:t xml:space="preserve"> </w:t>
      </w:r>
      <w:r w:rsidR="00B0298E" w:rsidRPr="00CA47B9">
        <w:t>held</w:t>
      </w:r>
      <w:r w:rsidR="004B41A2" w:rsidRPr="00CA47B9">
        <w:t xml:space="preserve"> </w:t>
      </w:r>
      <w:r w:rsidR="00B0298E" w:rsidRPr="00CA47B9">
        <w:t>within</w:t>
      </w:r>
      <w:r w:rsidR="004B41A2" w:rsidRPr="00CA47B9">
        <w:t xml:space="preserve"> </w:t>
      </w:r>
      <w:r w:rsidR="00B0298E" w:rsidRPr="00CA47B9">
        <w:t>offices</w:t>
      </w:r>
      <w:r w:rsidR="004B41A2" w:rsidRPr="00CA47B9">
        <w:t xml:space="preserve"> </w:t>
      </w:r>
      <w:r w:rsidR="00B0298E" w:rsidRPr="00CA47B9">
        <w:t>of</w:t>
      </w:r>
      <w:r w:rsidR="004B41A2" w:rsidRPr="00CA47B9">
        <w:t xml:space="preserve"> </w:t>
      </w:r>
      <w:r w:rsidR="00B0298E" w:rsidRPr="00CA47B9">
        <w:t>between</w:t>
      </w:r>
      <w:r w:rsidR="004B41A2" w:rsidRPr="00CA47B9">
        <w:t xml:space="preserve"> </w:t>
      </w:r>
      <w:r w:rsidRPr="00CA47B9">
        <w:t>185 and 500 sq</w:t>
      </w:r>
      <w:r w:rsidR="00D50065" w:rsidRPr="00CA47B9">
        <w:t>m</w:t>
      </w:r>
      <w:r w:rsidR="004B41A2" w:rsidRPr="00CA47B9">
        <w:t xml:space="preserve"> </w:t>
      </w:r>
      <w:r w:rsidR="00B0298E" w:rsidRPr="00CA47B9">
        <w:t>in</w:t>
      </w:r>
      <w:r w:rsidR="004B41A2" w:rsidRPr="00CA47B9">
        <w:t xml:space="preserve"> </w:t>
      </w:r>
      <w:r w:rsidR="00B0298E" w:rsidRPr="00CA47B9">
        <w:t>size</w:t>
      </w:r>
      <w:r w:rsidR="004B41A2" w:rsidRPr="00CA47B9">
        <w:t xml:space="preserve"> </w:t>
      </w:r>
      <w:r w:rsidR="00B0298E" w:rsidRPr="00CA47B9">
        <w:t>(3</w:t>
      </w:r>
      <w:r w:rsidRPr="00CA47B9">
        <w:t>2</w:t>
      </w:r>
      <w:r w:rsidR="00B0298E" w:rsidRPr="00CA47B9">
        <w:t>%).</w:t>
      </w:r>
      <w:r w:rsidR="004B41A2" w:rsidRPr="00CA47B9">
        <w:t xml:space="preserve"> </w:t>
      </w:r>
      <w:r w:rsidR="00B0298E" w:rsidRPr="00CA47B9">
        <w:t>This</w:t>
      </w:r>
      <w:r w:rsidR="004B41A2" w:rsidRPr="00CA47B9">
        <w:t xml:space="preserve"> </w:t>
      </w:r>
      <w:r w:rsidR="00B0298E" w:rsidRPr="00CA47B9">
        <w:t>is</w:t>
      </w:r>
      <w:r w:rsidR="004B41A2" w:rsidRPr="00CA47B9">
        <w:t xml:space="preserve"> </w:t>
      </w:r>
      <w:r w:rsidR="00B0298E" w:rsidRPr="00CA47B9">
        <w:t>followed</w:t>
      </w:r>
      <w:r w:rsidR="004B41A2" w:rsidRPr="00CA47B9">
        <w:t xml:space="preserve"> </w:t>
      </w:r>
      <w:r w:rsidR="00B0298E" w:rsidRPr="00CA47B9">
        <w:t>by</w:t>
      </w:r>
      <w:r w:rsidR="004B41A2" w:rsidRPr="00CA47B9">
        <w:t xml:space="preserve"> </w:t>
      </w:r>
      <w:r w:rsidR="00B0298E" w:rsidRPr="00CA47B9">
        <w:t>1</w:t>
      </w:r>
      <w:r w:rsidRPr="00CA47B9">
        <w:t>,000</w:t>
      </w:r>
      <w:r w:rsidR="00B0298E" w:rsidRPr="00CA47B9">
        <w:t>-</w:t>
      </w:r>
      <w:r w:rsidRPr="00CA47B9">
        <w:t>10,0</w:t>
      </w:r>
      <w:r w:rsidR="00B0298E" w:rsidRPr="00CA47B9">
        <w:t>00</w:t>
      </w:r>
      <w:r w:rsidR="004B41A2" w:rsidRPr="00CA47B9">
        <w:t xml:space="preserve"> </w:t>
      </w:r>
      <w:r w:rsidR="00D43280" w:rsidRPr="00CA47B9">
        <w:t>sqm</w:t>
      </w:r>
      <w:r w:rsidR="004B41A2" w:rsidRPr="00CA47B9">
        <w:t xml:space="preserve"> </w:t>
      </w:r>
      <w:r w:rsidR="00B0298E" w:rsidRPr="00CA47B9">
        <w:t>sizes</w:t>
      </w:r>
      <w:r w:rsidR="004B41A2" w:rsidRPr="00CA47B9">
        <w:t xml:space="preserve"> </w:t>
      </w:r>
      <w:r w:rsidR="00B0298E" w:rsidRPr="00CA47B9">
        <w:t>(</w:t>
      </w:r>
      <w:r w:rsidRPr="00CA47B9">
        <w:t>27</w:t>
      </w:r>
      <w:r w:rsidR="00B0298E" w:rsidRPr="00CA47B9">
        <w:t>%).</w:t>
      </w:r>
      <w:r w:rsidR="004B41A2" w:rsidRPr="00CA47B9">
        <w:t xml:space="preserve"> </w:t>
      </w:r>
      <w:r w:rsidR="00B0298E" w:rsidRPr="00CA47B9">
        <w:t>The</w:t>
      </w:r>
      <w:r w:rsidR="004B41A2" w:rsidRPr="00CA47B9">
        <w:t xml:space="preserve"> </w:t>
      </w:r>
      <w:r w:rsidR="00B0298E" w:rsidRPr="00CA47B9">
        <w:t>largest</w:t>
      </w:r>
      <w:r w:rsidR="004B41A2" w:rsidRPr="00CA47B9">
        <w:t xml:space="preserve"> </w:t>
      </w:r>
      <w:r w:rsidR="00B0298E" w:rsidRPr="00CA47B9">
        <w:t>single</w:t>
      </w:r>
      <w:r w:rsidR="004B41A2" w:rsidRPr="00CA47B9">
        <w:t xml:space="preserve"> </w:t>
      </w:r>
      <w:r w:rsidR="00B0298E" w:rsidRPr="00CA47B9">
        <w:t>available</w:t>
      </w:r>
      <w:r w:rsidR="004B41A2" w:rsidRPr="00CA47B9">
        <w:t xml:space="preserve"> </w:t>
      </w:r>
      <w:r w:rsidR="00B0298E" w:rsidRPr="00CA47B9">
        <w:t>office</w:t>
      </w:r>
      <w:r w:rsidR="004B41A2" w:rsidRPr="00CA47B9">
        <w:t xml:space="preserve"> </w:t>
      </w:r>
      <w:r w:rsidR="00B0298E" w:rsidRPr="00CA47B9">
        <w:t>unit</w:t>
      </w:r>
      <w:r w:rsidR="004B41A2" w:rsidRPr="00CA47B9">
        <w:t xml:space="preserve"> </w:t>
      </w:r>
      <w:r w:rsidR="00B0298E" w:rsidRPr="00CA47B9">
        <w:t>in</w:t>
      </w:r>
      <w:r w:rsidR="004B41A2" w:rsidRPr="00CA47B9">
        <w:t xml:space="preserve"> </w:t>
      </w:r>
      <w:r w:rsidR="00B0298E" w:rsidRPr="00CA47B9">
        <w:t>the</w:t>
      </w:r>
      <w:r w:rsidR="004B41A2" w:rsidRPr="00CA47B9">
        <w:t xml:space="preserve"> </w:t>
      </w:r>
      <w:r w:rsidR="00B0298E" w:rsidRPr="00CA47B9">
        <w:t>District</w:t>
      </w:r>
      <w:r w:rsidR="004B41A2" w:rsidRPr="00CA47B9">
        <w:t xml:space="preserve"> </w:t>
      </w:r>
      <w:r w:rsidR="00B0298E" w:rsidRPr="00CA47B9">
        <w:t>is</w:t>
      </w:r>
      <w:r w:rsidR="004B41A2" w:rsidRPr="00CA47B9">
        <w:t xml:space="preserve"> </w:t>
      </w:r>
      <w:r w:rsidR="002F11AC" w:rsidRPr="00CA47B9">
        <w:t>a</w:t>
      </w:r>
      <w:r w:rsidR="004B41A2" w:rsidRPr="00CA47B9">
        <w:t xml:space="preserve"> </w:t>
      </w:r>
      <w:r w:rsidR="00B0298E" w:rsidRPr="00CA47B9">
        <w:t>1,</w:t>
      </w:r>
      <w:r w:rsidRPr="00CA47B9">
        <w:t>373</w:t>
      </w:r>
      <w:r w:rsidR="004B41A2" w:rsidRPr="00CA47B9">
        <w:t xml:space="preserve"> </w:t>
      </w:r>
      <w:r w:rsidR="00D43280" w:rsidRPr="00CA47B9">
        <w:t>s</w:t>
      </w:r>
      <w:r w:rsidRPr="00CA47B9">
        <w:t>q</w:t>
      </w:r>
      <w:r w:rsidR="00D43280" w:rsidRPr="00CA47B9">
        <w:t>m</w:t>
      </w:r>
      <w:r w:rsidR="004B41A2" w:rsidRPr="00CA47B9">
        <w:t xml:space="preserve"> </w:t>
      </w:r>
      <w:r w:rsidR="00B0298E" w:rsidRPr="00CA47B9">
        <w:t>sized</w:t>
      </w:r>
      <w:r w:rsidR="004B41A2" w:rsidRPr="00CA47B9">
        <w:t xml:space="preserve"> </w:t>
      </w:r>
      <w:r w:rsidR="00B0298E" w:rsidRPr="00CA47B9">
        <w:t>unit</w:t>
      </w:r>
      <w:r w:rsidR="004B41A2" w:rsidRPr="00CA47B9">
        <w:t xml:space="preserve"> </w:t>
      </w:r>
      <w:r w:rsidRPr="00CA47B9">
        <w:t>at Southern Gate</w:t>
      </w:r>
      <w:r w:rsidR="004B41A2" w:rsidRPr="00CA47B9">
        <w:t xml:space="preserve"> </w:t>
      </w:r>
      <w:r w:rsidR="00B0298E" w:rsidRPr="00CA47B9">
        <w:t>in</w:t>
      </w:r>
      <w:r w:rsidR="004B41A2" w:rsidRPr="00CA47B9">
        <w:t xml:space="preserve"> </w:t>
      </w:r>
      <w:r w:rsidR="00B0298E" w:rsidRPr="00CA47B9">
        <w:t>Chichester</w:t>
      </w:r>
      <w:r w:rsidR="004B41A2" w:rsidRPr="00CA47B9">
        <w:t xml:space="preserve"> </w:t>
      </w:r>
      <w:r w:rsidR="00D50065" w:rsidRPr="00CA47B9">
        <w:t>C</w:t>
      </w:r>
      <w:r w:rsidR="002F11AC" w:rsidRPr="00CA47B9">
        <w:t>ity</w:t>
      </w:r>
      <w:r w:rsidR="00B0298E" w:rsidRPr="00CA47B9">
        <w:t>.</w:t>
      </w:r>
    </w:p>
    <w:p w:rsidR="00B0298E" w:rsidRPr="00CA47B9" w:rsidRDefault="00B0298E" w:rsidP="005D5606">
      <w:pPr>
        <w:pStyle w:val="FigureHeading"/>
        <w:tabs>
          <w:tab w:val="clear" w:pos="794"/>
          <w:tab w:val="clear" w:pos="1843"/>
          <w:tab w:val="left" w:pos="0"/>
        </w:tabs>
        <w:ind w:left="0" w:firstLine="0"/>
      </w:pPr>
      <w:bookmarkStart w:id="218" w:name="_Toc481156693"/>
      <w:r w:rsidRPr="00CA47B9">
        <w:t>Office</w:t>
      </w:r>
      <w:r w:rsidR="004B41A2" w:rsidRPr="00CA47B9">
        <w:t xml:space="preserve"> </w:t>
      </w:r>
      <w:r w:rsidRPr="00CA47B9">
        <w:t>Availability</w:t>
      </w:r>
      <w:r w:rsidR="004B41A2" w:rsidRPr="00CA47B9">
        <w:t xml:space="preserve"> </w:t>
      </w:r>
      <w:r w:rsidRPr="00CA47B9">
        <w:t>by</w:t>
      </w:r>
      <w:r w:rsidR="004B41A2" w:rsidRPr="00CA47B9">
        <w:t xml:space="preserve"> </w:t>
      </w:r>
      <w:r w:rsidRPr="00CA47B9">
        <w:t>Location</w:t>
      </w:r>
      <w:r w:rsidR="004B41A2" w:rsidRPr="00CA47B9">
        <w:t xml:space="preserve"> </w:t>
      </w:r>
      <w:r w:rsidRPr="00CA47B9">
        <w:t>and</w:t>
      </w:r>
      <w:r w:rsidR="004B41A2" w:rsidRPr="00CA47B9">
        <w:t xml:space="preserve"> </w:t>
      </w:r>
      <w:r w:rsidRPr="00CA47B9">
        <w:t>Size</w:t>
      </w:r>
      <w:r w:rsidR="004B41A2" w:rsidRPr="00CA47B9">
        <w:t xml:space="preserve"> </w:t>
      </w:r>
      <w:bookmarkEnd w:id="218"/>
      <w:r w:rsidR="003C2FCE" w:rsidRPr="00CA47B9">
        <w:t>(</w:t>
      </w:r>
      <w:r w:rsidR="00D43280" w:rsidRPr="00CA47B9">
        <w:t>sqm</w:t>
      </w:r>
      <w:r w:rsidR="003C2FCE" w:rsidRPr="00CA47B9">
        <w:t>)</w:t>
      </w:r>
    </w:p>
    <w:p w:rsidR="00B0298E" w:rsidRPr="00CA47B9" w:rsidRDefault="003C2FCE" w:rsidP="00031E60">
      <w:pPr>
        <w:pStyle w:val="Bodytextwithindent"/>
        <w:keepNext/>
        <w:spacing w:before="0" w:after="0" w:line="240" w:lineRule="auto"/>
        <w:ind w:left="0"/>
        <w:rPr>
          <w:rFonts w:asciiTheme="minorHAnsi" w:hAnsiTheme="minorHAnsi" w:cstheme="minorHAnsi"/>
          <w:color w:val="auto"/>
        </w:rPr>
      </w:pPr>
      <w:r w:rsidRPr="00CA47B9">
        <w:rPr>
          <w:noProof/>
          <w:color w:val="auto"/>
          <w:lang w:eastAsia="en-GB"/>
        </w:rPr>
        <w:drawing>
          <wp:inline distT="0" distB="0" distL="0" distR="0" wp14:anchorId="5B93935D" wp14:editId="47893292">
            <wp:extent cx="6120000" cy="2880000"/>
            <wp:effectExtent l="0" t="0" r="14605" b="15875"/>
            <wp:docPr id="1049" name="Chart 1049" descr="Stacked bar chart showing available office floorspace by size band in each sub-area of Chichester district" title="Figure 55: Office Availability by Location and Size (sqm)">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B0298E" w:rsidRPr="00795E1F" w:rsidRDefault="00B0298E" w:rsidP="005D5606">
      <w:pPr>
        <w:pStyle w:val="Referencetext8pt"/>
        <w:spacing w:after="120" w:line="360" w:lineRule="auto"/>
        <w:rPr>
          <w:rFonts w:asciiTheme="minorHAnsi" w:hAnsiTheme="minorHAnsi" w:cstheme="minorHAnsi"/>
          <w:color w:val="auto"/>
          <w:sz w:val="24"/>
          <w:szCs w:val="22"/>
        </w:rPr>
      </w:pPr>
      <w:r w:rsidRPr="00795E1F">
        <w:rPr>
          <w:rFonts w:asciiTheme="minorHAnsi" w:hAnsiTheme="minorHAnsi" w:cstheme="minorHAnsi"/>
          <w:color w:val="auto"/>
          <w:sz w:val="24"/>
          <w:szCs w:val="22"/>
        </w:rPr>
        <w:t>Source:</w:t>
      </w:r>
      <w:r w:rsidR="004B41A2" w:rsidRPr="00795E1F">
        <w:rPr>
          <w:rFonts w:asciiTheme="minorHAnsi" w:hAnsiTheme="minorHAnsi" w:cstheme="minorHAnsi"/>
          <w:color w:val="auto"/>
          <w:sz w:val="24"/>
          <w:szCs w:val="22"/>
        </w:rPr>
        <w:t xml:space="preserve"> </w:t>
      </w:r>
      <w:r w:rsidRPr="00795E1F">
        <w:rPr>
          <w:rFonts w:asciiTheme="minorHAnsi" w:hAnsiTheme="minorHAnsi" w:cstheme="minorHAnsi"/>
          <w:color w:val="auto"/>
          <w:sz w:val="24"/>
          <w:szCs w:val="22"/>
        </w:rPr>
        <w:t>GL</w:t>
      </w:r>
      <w:r w:rsidR="004B41A2" w:rsidRPr="00795E1F">
        <w:rPr>
          <w:rFonts w:asciiTheme="minorHAnsi" w:hAnsiTheme="minorHAnsi" w:cstheme="minorHAnsi"/>
          <w:color w:val="auto"/>
          <w:sz w:val="24"/>
          <w:szCs w:val="22"/>
        </w:rPr>
        <w:t xml:space="preserve"> </w:t>
      </w:r>
      <w:r w:rsidRPr="00795E1F">
        <w:rPr>
          <w:rFonts w:asciiTheme="minorHAnsi" w:hAnsiTheme="minorHAnsi" w:cstheme="minorHAnsi"/>
          <w:color w:val="auto"/>
          <w:sz w:val="24"/>
          <w:szCs w:val="22"/>
        </w:rPr>
        <w:t>Hearn</w:t>
      </w:r>
      <w:r w:rsidR="004B41A2" w:rsidRPr="00795E1F">
        <w:rPr>
          <w:rFonts w:asciiTheme="minorHAnsi" w:hAnsiTheme="minorHAnsi" w:cstheme="minorHAnsi"/>
          <w:color w:val="auto"/>
          <w:sz w:val="24"/>
          <w:szCs w:val="22"/>
        </w:rPr>
        <w:t xml:space="preserve"> </w:t>
      </w:r>
      <w:r w:rsidRPr="00795E1F">
        <w:rPr>
          <w:rFonts w:asciiTheme="minorHAnsi" w:hAnsiTheme="minorHAnsi" w:cstheme="minorHAnsi"/>
          <w:color w:val="auto"/>
          <w:sz w:val="24"/>
          <w:szCs w:val="22"/>
        </w:rPr>
        <w:t>Analysis</w:t>
      </w:r>
      <w:r w:rsidR="004B41A2" w:rsidRPr="00795E1F">
        <w:rPr>
          <w:rFonts w:asciiTheme="minorHAnsi" w:hAnsiTheme="minorHAnsi" w:cstheme="minorHAnsi"/>
          <w:color w:val="auto"/>
          <w:sz w:val="24"/>
          <w:szCs w:val="22"/>
        </w:rPr>
        <w:t xml:space="preserve"> </w:t>
      </w:r>
      <w:r w:rsidRPr="00795E1F">
        <w:rPr>
          <w:rFonts w:asciiTheme="minorHAnsi" w:hAnsiTheme="minorHAnsi" w:cstheme="minorHAnsi"/>
          <w:color w:val="auto"/>
          <w:sz w:val="24"/>
          <w:szCs w:val="22"/>
        </w:rPr>
        <w:t>of</w:t>
      </w:r>
      <w:r w:rsidR="004B41A2" w:rsidRPr="00795E1F">
        <w:rPr>
          <w:rFonts w:asciiTheme="minorHAnsi" w:hAnsiTheme="minorHAnsi" w:cstheme="minorHAnsi"/>
          <w:color w:val="auto"/>
          <w:sz w:val="24"/>
          <w:szCs w:val="22"/>
        </w:rPr>
        <w:t xml:space="preserve"> </w:t>
      </w:r>
      <w:r w:rsidRPr="00795E1F">
        <w:rPr>
          <w:rFonts w:asciiTheme="minorHAnsi" w:hAnsiTheme="minorHAnsi" w:cstheme="minorHAnsi"/>
          <w:color w:val="auto"/>
          <w:sz w:val="24"/>
          <w:szCs w:val="22"/>
        </w:rPr>
        <w:t>EGi</w:t>
      </w:r>
      <w:r w:rsidR="004B41A2" w:rsidRPr="00795E1F">
        <w:rPr>
          <w:rFonts w:asciiTheme="minorHAnsi" w:hAnsiTheme="minorHAnsi" w:cstheme="minorHAnsi"/>
          <w:color w:val="auto"/>
          <w:sz w:val="24"/>
          <w:szCs w:val="22"/>
        </w:rPr>
        <w:t xml:space="preserve"> </w:t>
      </w:r>
      <w:r w:rsidRPr="00795E1F">
        <w:rPr>
          <w:rFonts w:asciiTheme="minorHAnsi" w:hAnsiTheme="minorHAnsi" w:cstheme="minorHAnsi"/>
          <w:color w:val="auto"/>
          <w:sz w:val="24"/>
          <w:szCs w:val="22"/>
        </w:rPr>
        <w:t>and</w:t>
      </w:r>
      <w:r w:rsidR="004B41A2" w:rsidRPr="00795E1F">
        <w:rPr>
          <w:rFonts w:asciiTheme="minorHAnsi" w:hAnsiTheme="minorHAnsi" w:cstheme="minorHAnsi"/>
          <w:color w:val="auto"/>
          <w:sz w:val="24"/>
          <w:szCs w:val="22"/>
        </w:rPr>
        <w:t xml:space="preserve"> </w:t>
      </w:r>
      <w:r w:rsidRPr="00795E1F">
        <w:rPr>
          <w:rFonts w:asciiTheme="minorHAnsi" w:hAnsiTheme="minorHAnsi" w:cstheme="minorHAnsi"/>
          <w:color w:val="auto"/>
          <w:sz w:val="24"/>
          <w:szCs w:val="22"/>
        </w:rPr>
        <w:t>CoStar</w:t>
      </w:r>
      <w:r w:rsidR="004B41A2" w:rsidRPr="00795E1F">
        <w:rPr>
          <w:rFonts w:asciiTheme="minorHAnsi" w:hAnsiTheme="minorHAnsi" w:cstheme="minorHAnsi"/>
          <w:color w:val="auto"/>
          <w:sz w:val="24"/>
          <w:szCs w:val="22"/>
        </w:rPr>
        <w:t xml:space="preserve"> </w:t>
      </w:r>
      <w:r w:rsidRPr="00795E1F">
        <w:rPr>
          <w:rFonts w:asciiTheme="minorHAnsi" w:hAnsiTheme="minorHAnsi" w:cstheme="minorHAnsi"/>
          <w:color w:val="auto"/>
          <w:sz w:val="24"/>
          <w:szCs w:val="22"/>
        </w:rPr>
        <w:t>Data</w:t>
      </w:r>
    </w:p>
    <w:p w:rsidR="00B0298E" w:rsidRPr="00CA47B9" w:rsidRDefault="00B0298E" w:rsidP="001C73B8">
      <w:pPr>
        <w:pStyle w:val="11Bodytext"/>
        <w:tabs>
          <w:tab w:val="clear" w:pos="2212"/>
          <w:tab w:val="num" w:pos="567"/>
        </w:tabs>
        <w:ind w:left="567" w:hanging="567"/>
      </w:pPr>
      <w:r w:rsidRPr="00CA47B9">
        <w:t>In</w:t>
      </w:r>
      <w:r w:rsidR="004B41A2" w:rsidRPr="00CA47B9">
        <w:t xml:space="preserve"> </w:t>
      </w:r>
      <w:r w:rsidRPr="00CA47B9">
        <w:t>terms</w:t>
      </w:r>
      <w:r w:rsidR="004B41A2" w:rsidRPr="00CA47B9">
        <w:t xml:space="preserve"> </w:t>
      </w:r>
      <w:r w:rsidRPr="00CA47B9">
        <w:t>of</w:t>
      </w:r>
      <w:r w:rsidR="004B41A2" w:rsidRPr="00CA47B9">
        <w:t xml:space="preserve"> </w:t>
      </w:r>
      <w:r w:rsidR="00855CA6">
        <w:t xml:space="preserve">the </w:t>
      </w:r>
      <w:r w:rsidRPr="00CA47B9">
        <w:t>status</w:t>
      </w:r>
      <w:r w:rsidR="004B41A2" w:rsidRPr="00CA47B9">
        <w:t xml:space="preserve"> </w:t>
      </w:r>
      <w:r w:rsidRPr="00CA47B9">
        <w:t>of</w:t>
      </w:r>
      <w:r w:rsidR="004B41A2" w:rsidRPr="00CA47B9">
        <w:t xml:space="preserve"> </w:t>
      </w:r>
      <w:r w:rsidRPr="00CA47B9">
        <w:t>office</w:t>
      </w:r>
      <w:r w:rsidR="004B41A2" w:rsidRPr="00CA47B9">
        <w:t xml:space="preserve"> </w:t>
      </w:r>
      <w:r w:rsidRPr="00CA47B9">
        <w:t>floorspace,</w:t>
      </w:r>
      <w:r w:rsidR="004B41A2" w:rsidRPr="00CA47B9">
        <w:t xml:space="preserve"> </w:t>
      </w:r>
      <w:r w:rsidRPr="00CA47B9">
        <w:t>the</w:t>
      </w:r>
      <w:r w:rsidR="004B41A2" w:rsidRPr="00CA47B9">
        <w:t xml:space="preserve"> </w:t>
      </w:r>
      <w:r w:rsidRPr="00CA47B9">
        <w:t>highest</w:t>
      </w:r>
      <w:r w:rsidR="004B41A2" w:rsidRPr="00CA47B9">
        <w:t xml:space="preserve"> </w:t>
      </w:r>
      <w:r w:rsidRPr="00CA47B9">
        <w:t>amount</w:t>
      </w:r>
      <w:r w:rsidR="004B41A2" w:rsidRPr="00CA47B9">
        <w:t xml:space="preserve"> </w:t>
      </w:r>
      <w:r w:rsidRPr="00CA47B9">
        <w:t>is</w:t>
      </w:r>
      <w:r w:rsidR="004B41A2" w:rsidRPr="00CA47B9">
        <w:t xml:space="preserve"> </w:t>
      </w:r>
      <w:r w:rsidRPr="00CA47B9">
        <w:t>concentrated</w:t>
      </w:r>
      <w:r w:rsidR="004B41A2" w:rsidRPr="00CA47B9">
        <w:t xml:space="preserve"> </w:t>
      </w:r>
      <w:r w:rsidRPr="00CA47B9">
        <w:t>in</w:t>
      </w:r>
      <w:r w:rsidR="004B41A2" w:rsidRPr="00CA47B9">
        <w:t xml:space="preserve"> </w:t>
      </w:r>
      <w:r w:rsidRPr="00CA47B9">
        <w:t>Second-hand</w:t>
      </w:r>
      <w:r w:rsidR="004B41A2" w:rsidRPr="00CA47B9">
        <w:t xml:space="preserve"> </w:t>
      </w:r>
      <w:r w:rsidRPr="00CA47B9">
        <w:t>Grade</w:t>
      </w:r>
      <w:r w:rsidR="004B41A2" w:rsidRPr="00CA47B9">
        <w:t xml:space="preserve"> </w:t>
      </w:r>
      <w:r w:rsidRPr="00CA47B9">
        <w:t>B</w:t>
      </w:r>
      <w:r w:rsidR="004B41A2" w:rsidRPr="00CA47B9">
        <w:t xml:space="preserve"> </w:t>
      </w:r>
      <w:r w:rsidRPr="00CA47B9">
        <w:t>(</w:t>
      </w:r>
      <w:r w:rsidR="00467898" w:rsidRPr="00CA47B9">
        <w:t>83</w:t>
      </w:r>
      <w:r w:rsidRPr="00CA47B9">
        <w:t>%),</w:t>
      </w:r>
      <w:r w:rsidR="004B41A2" w:rsidRPr="00CA47B9">
        <w:t xml:space="preserve"> </w:t>
      </w:r>
      <w:r w:rsidRPr="00CA47B9">
        <w:t>followed</w:t>
      </w:r>
      <w:r w:rsidR="004B41A2" w:rsidRPr="00CA47B9">
        <w:t xml:space="preserve"> </w:t>
      </w:r>
      <w:r w:rsidRPr="00CA47B9">
        <w:t>by</w:t>
      </w:r>
      <w:r w:rsidR="004B41A2" w:rsidRPr="00CA47B9">
        <w:t xml:space="preserve"> </w:t>
      </w:r>
      <w:r w:rsidR="00467898" w:rsidRPr="00CA47B9">
        <w:t>Refurb</w:t>
      </w:r>
      <w:r w:rsidR="00033080">
        <w:t>ishment</w:t>
      </w:r>
      <w:r w:rsidR="00467898" w:rsidRPr="00CA47B9">
        <w:t xml:space="preserve"> </w:t>
      </w:r>
      <w:r w:rsidRPr="00CA47B9">
        <w:t>Existing</w:t>
      </w:r>
      <w:r w:rsidR="004B41A2" w:rsidRPr="00CA47B9">
        <w:t xml:space="preserve"> </w:t>
      </w:r>
      <w:r w:rsidRPr="00CA47B9">
        <w:t>(7%)</w:t>
      </w:r>
      <w:r w:rsidR="00467898" w:rsidRPr="00CA47B9">
        <w:t xml:space="preserve"> and Under Construction (7%)</w:t>
      </w:r>
      <w:r w:rsidRPr="00CA47B9">
        <w:t>.</w:t>
      </w:r>
      <w:r w:rsidR="004B41A2" w:rsidRPr="00CA47B9">
        <w:t xml:space="preserve"> </w:t>
      </w:r>
      <w:r w:rsidRPr="00CA47B9">
        <w:t>Chichester</w:t>
      </w:r>
      <w:r w:rsidR="004B41A2" w:rsidRPr="00CA47B9">
        <w:t xml:space="preserve"> </w:t>
      </w:r>
      <w:r w:rsidR="002F11AC" w:rsidRPr="00CA47B9">
        <w:t>City</w:t>
      </w:r>
      <w:r w:rsidR="004B41A2" w:rsidRPr="00CA47B9">
        <w:t xml:space="preserve"> </w:t>
      </w:r>
      <w:r w:rsidRPr="00CA47B9">
        <w:t>demonstrates</w:t>
      </w:r>
      <w:r w:rsidR="004B41A2" w:rsidRPr="00CA47B9">
        <w:t xml:space="preserve"> </w:t>
      </w:r>
      <w:r w:rsidRPr="00CA47B9">
        <w:t>the</w:t>
      </w:r>
      <w:r w:rsidR="004B41A2" w:rsidRPr="00CA47B9">
        <w:t xml:space="preserve"> </w:t>
      </w:r>
      <w:r w:rsidRPr="00CA47B9">
        <w:t>highest</w:t>
      </w:r>
      <w:r w:rsidR="004B41A2" w:rsidRPr="00CA47B9">
        <w:t xml:space="preserve"> </w:t>
      </w:r>
      <w:r w:rsidRPr="00CA47B9">
        <w:t>concentration</w:t>
      </w:r>
      <w:r w:rsidR="004B41A2" w:rsidRPr="00CA47B9">
        <w:t xml:space="preserve"> </w:t>
      </w:r>
      <w:r w:rsidRPr="00CA47B9">
        <w:t>of</w:t>
      </w:r>
      <w:r w:rsidR="004B41A2" w:rsidRPr="00CA47B9">
        <w:t xml:space="preserve"> </w:t>
      </w:r>
      <w:r w:rsidRPr="00CA47B9">
        <w:t>New</w:t>
      </w:r>
      <w:r w:rsidR="004B41A2" w:rsidRPr="00CA47B9">
        <w:t xml:space="preserve"> </w:t>
      </w:r>
      <w:r w:rsidRPr="00CA47B9">
        <w:t>Build</w:t>
      </w:r>
      <w:r w:rsidR="004B41A2" w:rsidRPr="00CA47B9">
        <w:t xml:space="preserve"> </w:t>
      </w:r>
      <w:r w:rsidRPr="00CA47B9">
        <w:t>(pre-construction)</w:t>
      </w:r>
      <w:r w:rsidR="00F35517" w:rsidRPr="00CA47B9">
        <w:t>,</w:t>
      </w:r>
      <w:r w:rsidR="004B41A2" w:rsidRPr="00CA47B9">
        <w:t xml:space="preserve"> </w:t>
      </w:r>
      <w:r w:rsidR="00F35517" w:rsidRPr="00CA47B9">
        <w:t>Refurb</w:t>
      </w:r>
      <w:r w:rsidR="004B41A2" w:rsidRPr="00CA47B9">
        <w:t xml:space="preserve"> </w:t>
      </w:r>
      <w:r w:rsidR="00F35517" w:rsidRPr="00CA47B9">
        <w:t>(</w:t>
      </w:r>
      <w:r w:rsidRPr="00CA47B9">
        <w:t>Existing)</w:t>
      </w:r>
      <w:r w:rsidR="004B41A2" w:rsidRPr="00CA47B9">
        <w:t xml:space="preserve"> </w:t>
      </w:r>
      <w:r w:rsidRPr="00CA47B9">
        <w:t>and</w:t>
      </w:r>
      <w:r w:rsidR="004B41A2" w:rsidRPr="00CA47B9">
        <w:t xml:space="preserve"> </w:t>
      </w:r>
      <w:r w:rsidRPr="00CA47B9">
        <w:t>Second-hand</w:t>
      </w:r>
      <w:r w:rsidR="004B41A2" w:rsidRPr="00CA47B9">
        <w:t xml:space="preserve"> </w:t>
      </w:r>
      <w:r w:rsidRPr="00CA47B9">
        <w:t>Grade</w:t>
      </w:r>
      <w:r w:rsidR="004B41A2" w:rsidRPr="00CA47B9">
        <w:t xml:space="preserve"> </w:t>
      </w:r>
      <w:r w:rsidRPr="00CA47B9">
        <w:t>B.</w:t>
      </w:r>
      <w:r w:rsidR="004B41A2" w:rsidRPr="00CA47B9">
        <w:t xml:space="preserve"> </w:t>
      </w:r>
      <w:r w:rsidRPr="00CA47B9">
        <w:t>The</w:t>
      </w:r>
      <w:r w:rsidR="004B41A2" w:rsidRPr="00CA47B9">
        <w:t xml:space="preserve"> </w:t>
      </w:r>
      <w:r w:rsidRPr="00CA47B9">
        <w:t>highest</w:t>
      </w:r>
      <w:r w:rsidR="004B41A2" w:rsidRPr="00CA47B9">
        <w:t xml:space="preserve"> </w:t>
      </w:r>
      <w:r w:rsidRPr="00CA47B9">
        <w:t>concentration</w:t>
      </w:r>
      <w:r w:rsidR="004B41A2" w:rsidRPr="00CA47B9">
        <w:t xml:space="preserve"> </w:t>
      </w:r>
      <w:r w:rsidRPr="00CA47B9">
        <w:t>of</w:t>
      </w:r>
      <w:r w:rsidR="004B41A2" w:rsidRPr="00CA47B9">
        <w:t xml:space="preserve"> </w:t>
      </w:r>
      <w:r w:rsidRPr="00CA47B9">
        <w:t>Under</w:t>
      </w:r>
      <w:r w:rsidR="004B41A2" w:rsidRPr="00CA47B9">
        <w:t xml:space="preserve"> </w:t>
      </w:r>
      <w:r w:rsidRPr="00CA47B9">
        <w:t>Construction</w:t>
      </w:r>
      <w:r w:rsidR="004B41A2" w:rsidRPr="00CA47B9">
        <w:t xml:space="preserve"> </w:t>
      </w:r>
      <w:r w:rsidRPr="00CA47B9">
        <w:t>is</w:t>
      </w:r>
      <w:r w:rsidR="004B41A2" w:rsidRPr="00CA47B9">
        <w:t xml:space="preserve"> </w:t>
      </w:r>
      <w:r w:rsidRPr="00CA47B9">
        <w:t>located</w:t>
      </w:r>
      <w:r w:rsidR="004B41A2" w:rsidRPr="00CA47B9">
        <w:t xml:space="preserve"> </w:t>
      </w:r>
      <w:r w:rsidRPr="00CA47B9">
        <w:t>in</w:t>
      </w:r>
      <w:r w:rsidR="004B41A2" w:rsidRPr="00CA47B9">
        <w:t xml:space="preserve"> </w:t>
      </w:r>
      <w:r w:rsidR="002F11AC" w:rsidRPr="00CA47B9">
        <w:t>the</w:t>
      </w:r>
      <w:r w:rsidR="004B41A2" w:rsidRPr="00CA47B9">
        <w:t xml:space="preserve"> </w:t>
      </w:r>
      <w:r w:rsidRPr="00CA47B9">
        <w:t>East-West</w:t>
      </w:r>
      <w:r w:rsidR="004B41A2" w:rsidRPr="00CA47B9">
        <w:t xml:space="preserve"> </w:t>
      </w:r>
      <w:r w:rsidRPr="00CA47B9">
        <w:t>Corridor.</w:t>
      </w:r>
      <w:r w:rsidR="004B41A2" w:rsidRPr="00CA47B9">
        <w:t xml:space="preserve"> </w:t>
      </w:r>
    </w:p>
    <w:p w:rsidR="00B0298E" w:rsidRPr="00CA47B9" w:rsidRDefault="00B0298E" w:rsidP="005D5606">
      <w:pPr>
        <w:pStyle w:val="FigureHeading"/>
        <w:tabs>
          <w:tab w:val="clear" w:pos="794"/>
          <w:tab w:val="clear" w:pos="1843"/>
          <w:tab w:val="left" w:pos="0"/>
        </w:tabs>
        <w:ind w:left="0" w:firstLine="0"/>
      </w:pPr>
      <w:r w:rsidRPr="00CA47B9">
        <w:lastRenderedPageBreak/>
        <w:t>Office</w:t>
      </w:r>
      <w:r w:rsidR="004B41A2" w:rsidRPr="00CA47B9">
        <w:t xml:space="preserve"> </w:t>
      </w:r>
      <w:r w:rsidRPr="00CA47B9">
        <w:t>floorspace</w:t>
      </w:r>
      <w:r w:rsidR="004B41A2" w:rsidRPr="00CA47B9">
        <w:t xml:space="preserve"> </w:t>
      </w:r>
      <w:r w:rsidRPr="00CA47B9">
        <w:t>by</w:t>
      </w:r>
      <w:r w:rsidR="004B41A2" w:rsidRPr="00CA47B9">
        <w:t xml:space="preserve"> </w:t>
      </w:r>
      <w:r w:rsidRPr="00CA47B9">
        <w:t>status</w:t>
      </w:r>
      <w:r w:rsidR="004B41A2" w:rsidRPr="00CA47B9">
        <w:t xml:space="preserve"> </w:t>
      </w:r>
      <w:r w:rsidRPr="00CA47B9">
        <w:t>and</w:t>
      </w:r>
      <w:r w:rsidR="004B41A2" w:rsidRPr="00CA47B9">
        <w:t xml:space="preserve"> </w:t>
      </w:r>
      <w:r w:rsidRPr="00CA47B9">
        <w:t>location</w:t>
      </w:r>
      <w:r w:rsidR="004B41A2" w:rsidRPr="00CA47B9">
        <w:t xml:space="preserve"> </w:t>
      </w:r>
      <w:r w:rsidRPr="00CA47B9">
        <w:t>(</w:t>
      </w:r>
      <w:r w:rsidR="00D43280" w:rsidRPr="00CA47B9">
        <w:t>sqm</w:t>
      </w:r>
      <w:r w:rsidRPr="00CA47B9">
        <w:t>)</w:t>
      </w:r>
    </w:p>
    <w:p w:rsidR="00B0298E" w:rsidRPr="00CA47B9" w:rsidRDefault="00B0298E" w:rsidP="00031E60">
      <w:pPr>
        <w:pStyle w:val="Bodytextwithindent"/>
        <w:spacing w:before="0" w:after="0" w:line="240" w:lineRule="auto"/>
        <w:ind w:left="0"/>
        <w:rPr>
          <w:rFonts w:asciiTheme="minorHAnsi" w:hAnsiTheme="minorHAnsi" w:cstheme="minorHAnsi"/>
          <w:color w:val="auto"/>
        </w:rPr>
      </w:pPr>
      <w:r w:rsidRPr="00CA47B9">
        <w:rPr>
          <w:rFonts w:asciiTheme="minorHAnsi" w:hAnsiTheme="minorHAnsi" w:cstheme="minorHAnsi"/>
          <w:noProof/>
          <w:color w:val="auto"/>
          <w:lang w:eastAsia="en-GB"/>
        </w:rPr>
        <w:drawing>
          <wp:inline distT="0" distB="0" distL="0" distR="0" wp14:anchorId="7565F86E" wp14:editId="63F89BA7">
            <wp:extent cx="6120000" cy="3211200"/>
            <wp:effectExtent l="0" t="0" r="14605" b="27305"/>
            <wp:docPr id="1050" name="Chart 1050" descr="Stacked bar chart showing office floorspace by type in each Chichester sub-area" title="Figure 56: Office floorspace by status and location (sqm)"/>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B0298E" w:rsidRPr="00795E1F" w:rsidRDefault="00B0298E" w:rsidP="005D5606">
      <w:pPr>
        <w:pStyle w:val="Referencetext8pt"/>
        <w:spacing w:after="120" w:line="360" w:lineRule="auto"/>
        <w:rPr>
          <w:rFonts w:asciiTheme="minorHAnsi" w:hAnsiTheme="minorHAnsi" w:cstheme="minorHAnsi"/>
          <w:color w:val="auto"/>
          <w:sz w:val="24"/>
          <w:szCs w:val="22"/>
        </w:rPr>
      </w:pPr>
      <w:r w:rsidRPr="00795E1F">
        <w:rPr>
          <w:rFonts w:asciiTheme="minorHAnsi" w:hAnsiTheme="minorHAnsi" w:cstheme="minorHAnsi"/>
          <w:color w:val="auto"/>
          <w:sz w:val="24"/>
          <w:szCs w:val="22"/>
        </w:rPr>
        <w:t>Source:</w:t>
      </w:r>
      <w:r w:rsidR="004B41A2" w:rsidRPr="00795E1F">
        <w:rPr>
          <w:rFonts w:asciiTheme="minorHAnsi" w:hAnsiTheme="minorHAnsi" w:cstheme="minorHAnsi"/>
          <w:color w:val="auto"/>
          <w:sz w:val="24"/>
          <w:szCs w:val="22"/>
        </w:rPr>
        <w:t xml:space="preserve"> </w:t>
      </w:r>
      <w:r w:rsidRPr="00795E1F">
        <w:rPr>
          <w:rFonts w:asciiTheme="minorHAnsi" w:hAnsiTheme="minorHAnsi" w:cstheme="minorHAnsi"/>
          <w:color w:val="auto"/>
          <w:sz w:val="24"/>
          <w:szCs w:val="22"/>
        </w:rPr>
        <w:t>GL</w:t>
      </w:r>
      <w:r w:rsidR="004B41A2" w:rsidRPr="00795E1F">
        <w:rPr>
          <w:rFonts w:asciiTheme="minorHAnsi" w:hAnsiTheme="minorHAnsi" w:cstheme="minorHAnsi"/>
          <w:color w:val="auto"/>
          <w:sz w:val="24"/>
          <w:szCs w:val="22"/>
        </w:rPr>
        <w:t xml:space="preserve"> </w:t>
      </w:r>
      <w:r w:rsidRPr="00795E1F">
        <w:rPr>
          <w:rFonts w:asciiTheme="minorHAnsi" w:hAnsiTheme="minorHAnsi" w:cstheme="minorHAnsi"/>
          <w:color w:val="auto"/>
          <w:sz w:val="24"/>
          <w:szCs w:val="22"/>
        </w:rPr>
        <w:t>Hearn</w:t>
      </w:r>
      <w:r w:rsidR="004B41A2" w:rsidRPr="00795E1F">
        <w:rPr>
          <w:rFonts w:asciiTheme="minorHAnsi" w:hAnsiTheme="minorHAnsi" w:cstheme="minorHAnsi"/>
          <w:color w:val="auto"/>
          <w:sz w:val="24"/>
          <w:szCs w:val="22"/>
        </w:rPr>
        <w:t xml:space="preserve"> </w:t>
      </w:r>
      <w:r w:rsidRPr="00795E1F">
        <w:rPr>
          <w:rFonts w:asciiTheme="minorHAnsi" w:hAnsiTheme="minorHAnsi" w:cstheme="minorHAnsi"/>
          <w:color w:val="auto"/>
          <w:sz w:val="24"/>
          <w:szCs w:val="22"/>
        </w:rPr>
        <w:t>Analysis</w:t>
      </w:r>
      <w:r w:rsidR="004B41A2" w:rsidRPr="00795E1F">
        <w:rPr>
          <w:rFonts w:asciiTheme="minorHAnsi" w:hAnsiTheme="minorHAnsi" w:cstheme="minorHAnsi"/>
          <w:color w:val="auto"/>
          <w:sz w:val="24"/>
          <w:szCs w:val="22"/>
        </w:rPr>
        <w:t xml:space="preserve"> </w:t>
      </w:r>
      <w:r w:rsidRPr="00795E1F">
        <w:rPr>
          <w:rFonts w:asciiTheme="minorHAnsi" w:hAnsiTheme="minorHAnsi" w:cstheme="minorHAnsi"/>
          <w:color w:val="auto"/>
          <w:sz w:val="24"/>
          <w:szCs w:val="22"/>
        </w:rPr>
        <w:t>of</w:t>
      </w:r>
      <w:r w:rsidR="004B41A2" w:rsidRPr="00795E1F">
        <w:rPr>
          <w:rFonts w:asciiTheme="minorHAnsi" w:hAnsiTheme="minorHAnsi" w:cstheme="minorHAnsi"/>
          <w:color w:val="auto"/>
          <w:sz w:val="24"/>
          <w:szCs w:val="22"/>
        </w:rPr>
        <w:t xml:space="preserve"> </w:t>
      </w:r>
      <w:r w:rsidRPr="00795E1F">
        <w:rPr>
          <w:rFonts w:asciiTheme="minorHAnsi" w:hAnsiTheme="minorHAnsi" w:cstheme="minorHAnsi"/>
          <w:color w:val="auto"/>
          <w:sz w:val="24"/>
          <w:szCs w:val="22"/>
        </w:rPr>
        <w:t>EGi</w:t>
      </w:r>
      <w:r w:rsidR="004B41A2" w:rsidRPr="00795E1F">
        <w:rPr>
          <w:rFonts w:asciiTheme="minorHAnsi" w:hAnsiTheme="minorHAnsi" w:cstheme="minorHAnsi"/>
          <w:color w:val="auto"/>
          <w:sz w:val="24"/>
          <w:szCs w:val="22"/>
        </w:rPr>
        <w:t xml:space="preserve"> </w:t>
      </w:r>
      <w:r w:rsidRPr="00795E1F">
        <w:rPr>
          <w:rFonts w:asciiTheme="minorHAnsi" w:hAnsiTheme="minorHAnsi" w:cstheme="minorHAnsi"/>
          <w:color w:val="auto"/>
          <w:sz w:val="24"/>
          <w:szCs w:val="22"/>
        </w:rPr>
        <w:t>and</w:t>
      </w:r>
      <w:r w:rsidR="004B41A2" w:rsidRPr="00795E1F">
        <w:rPr>
          <w:rFonts w:asciiTheme="minorHAnsi" w:hAnsiTheme="minorHAnsi" w:cstheme="minorHAnsi"/>
          <w:color w:val="auto"/>
          <w:sz w:val="24"/>
          <w:szCs w:val="22"/>
        </w:rPr>
        <w:t xml:space="preserve"> </w:t>
      </w:r>
      <w:r w:rsidRPr="00795E1F">
        <w:rPr>
          <w:rFonts w:asciiTheme="minorHAnsi" w:hAnsiTheme="minorHAnsi" w:cstheme="minorHAnsi"/>
          <w:color w:val="auto"/>
          <w:sz w:val="24"/>
          <w:szCs w:val="22"/>
        </w:rPr>
        <w:t>CoStar</w:t>
      </w:r>
      <w:r w:rsidR="004B41A2" w:rsidRPr="00795E1F">
        <w:rPr>
          <w:rFonts w:asciiTheme="minorHAnsi" w:hAnsiTheme="minorHAnsi" w:cstheme="minorHAnsi"/>
          <w:color w:val="auto"/>
          <w:sz w:val="24"/>
          <w:szCs w:val="22"/>
        </w:rPr>
        <w:t xml:space="preserve"> </w:t>
      </w:r>
      <w:r w:rsidRPr="00795E1F">
        <w:rPr>
          <w:rFonts w:asciiTheme="minorHAnsi" w:hAnsiTheme="minorHAnsi" w:cstheme="minorHAnsi"/>
          <w:color w:val="auto"/>
          <w:sz w:val="24"/>
          <w:szCs w:val="22"/>
        </w:rPr>
        <w:t>Data</w:t>
      </w:r>
    </w:p>
    <w:p w:rsidR="00B0298E" w:rsidRPr="00CA47B9" w:rsidRDefault="00B0298E" w:rsidP="006765B7">
      <w:pPr>
        <w:pStyle w:val="Addressline1"/>
        <w:ind w:left="567" w:firstLine="0"/>
      </w:pPr>
      <w:r w:rsidRPr="00CA47B9">
        <w:t>Industrial</w:t>
      </w:r>
      <w:r w:rsidR="004B41A2" w:rsidRPr="00CA47B9">
        <w:t xml:space="preserve"> </w:t>
      </w:r>
      <w:r w:rsidRPr="00CA47B9">
        <w:t>Market</w:t>
      </w:r>
      <w:r w:rsidR="004B41A2" w:rsidRPr="00CA47B9">
        <w:t xml:space="preserve"> </w:t>
      </w:r>
      <w:r w:rsidRPr="00CA47B9">
        <w:t>Review</w:t>
      </w:r>
    </w:p>
    <w:p w:rsidR="00B0298E" w:rsidRDefault="00B0298E" w:rsidP="001C73B8">
      <w:pPr>
        <w:pStyle w:val="11Bodytext"/>
        <w:tabs>
          <w:tab w:val="clear" w:pos="2212"/>
          <w:tab w:val="num" w:pos="567"/>
        </w:tabs>
        <w:ind w:left="567" w:hanging="567"/>
      </w:pPr>
      <w:r w:rsidRPr="00CA47B9">
        <w:t>This</w:t>
      </w:r>
      <w:r w:rsidR="004B41A2" w:rsidRPr="00CA47B9">
        <w:t xml:space="preserve"> </w:t>
      </w:r>
      <w:r w:rsidRPr="00CA47B9">
        <w:t>section</w:t>
      </w:r>
      <w:r w:rsidR="004B41A2" w:rsidRPr="00CA47B9">
        <w:t xml:space="preserve"> </w:t>
      </w:r>
      <w:r w:rsidRPr="00CA47B9">
        <w:t>provides</w:t>
      </w:r>
      <w:r w:rsidR="004B41A2" w:rsidRPr="00CA47B9">
        <w:t xml:space="preserve"> </w:t>
      </w:r>
      <w:r w:rsidRPr="00CA47B9">
        <w:t>an</w:t>
      </w:r>
      <w:r w:rsidR="004B41A2" w:rsidRPr="00CA47B9">
        <w:t xml:space="preserve"> </w:t>
      </w:r>
      <w:r w:rsidRPr="00CA47B9">
        <w:t>assessment</w:t>
      </w:r>
      <w:r w:rsidR="004B41A2" w:rsidRPr="00CA47B9">
        <w:t xml:space="preserve"> </w:t>
      </w:r>
      <w:r w:rsidRPr="00CA47B9">
        <w:t>of</w:t>
      </w:r>
      <w:r w:rsidR="004B41A2" w:rsidRPr="00CA47B9">
        <w:t xml:space="preserve"> </w:t>
      </w:r>
      <w:r w:rsidRPr="00CA47B9">
        <w:t>the</w:t>
      </w:r>
      <w:r w:rsidR="004B41A2" w:rsidRPr="00CA47B9">
        <w:t xml:space="preserve"> </w:t>
      </w:r>
      <w:r w:rsidRPr="00CA47B9">
        <w:t>Chichester</w:t>
      </w:r>
      <w:r w:rsidR="004B41A2" w:rsidRPr="00CA47B9">
        <w:t xml:space="preserve"> </w:t>
      </w:r>
      <w:r w:rsidRPr="00CA47B9">
        <w:t>District</w:t>
      </w:r>
      <w:r w:rsidR="004B41A2" w:rsidRPr="00CA47B9">
        <w:t xml:space="preserve"> </w:t>
      </w:r>
      <w:r w:rsidRPr="00CA47B9">
        <w:t>industrial</w:t>
      </w:r>
      <w:r w:rsidR="004B41A2" w:rsidRPr="00CA47B9">
        <w:t xml:space="preserve"> </w:t>
      </w:r>
      <w:r w:rsidRPr="00CA47B9">
        <w:t>market</w:t>
      </w:r>
      <w:r w:rsidR="004B41A2" w:rsidRPr="00CA47B9">
        <w:t xml:space="preserve"> </w:t>
      </w:r>
      <w:r w:rsidRPr="00CA47B9">
        <w:t>with</w:t>
      </w:r>
      <w:r w:rsidR="004B41A2" w:rsidRPr="00CA47B9">
        <w:t xml:space="preserve"> </w:t>
      </w:r>
      <w:r w:rsidR="002F11AC" w:rsidRPr="00CA47B9">
        <w:t>those</w:t>
      </w:r>
      <w:r w:rsidR="004B41A2" w:rsidRPr="00CA47B9">
        <w:t xml:space="preserve"> </w:t>
      </w:r>
      <w:r w:rsidR="002F11AC" w:rsidRPr="00CA47B9">
        <w:t>in</w:t>
      </w:r>
      <w:r w:rsidR="004B41A2" w:rsidRPr="00CA47B9">
        <w:t xml:space="preserve"> </w:t>
      </w:r>
      <w:r w:rsidRPr="00CA47B9">
        <w:t>comparable</w:t>
      </w:r>
      <w:r w:rsidR="004B41A2" w:rsidRPr="00CA47B9">
        <w:t xml:space="preserve"> </w:t>
      </w:r>
      <w:r w:rsidRPr="00CA47B9">
        <w:t>local</w:t>
      </w:r>
      <w:r w:rsidR="004B41A2" w:rsidRPr="00CA47B9">
        <w:t xml:space="preserve"> </w:t>
      </w:r>
      <w:r w:rsidRPr="00CA47B9">
        <w:t>authorities.</w:t>
      </w:r>
      <w:r w:rsidR="004B41A2" w:rsidRPr="00CA47B9">
        <w:t xml:space="preserve"> </w:t>
      </w:r>
      <w:r w:rsidRPr="00CA47B9">
        <w:t>The</w:t>
      </w:r>
      <w:r w:rsidR="004B41A2" w:rsidRPr="00CA47B9">
        <w:t xml:space="preserve"> </w:t>
      </w:r>
      <w:r w:rsidRPr="00CA47B9">
        <w:t>quantitative</w:t>
      </w:r>
      <w:r w:rsidR="004B41A2" w:rsidRPr="00CA47B9">
        <w:t xml:space="preserve"> </w:t>
      </w:r>
      <w:r w:rsidRPr="00CA47B9">
        <w:t>analysis</w:t>
      </w:r>
      <w:r w:rsidR="004B41A2" w:rsidRPr="00CA47B9">
        <w:t xml:space="preserve"> </w:t>
      </w:r>
      <w:r w:rsidRPr="00CA47B9">
        <w:t>for</w:t>
      </w:r>
      <w:r w:rsidR="004B41A2" w:rsidRPr="00CA47B9">
        <w:t xml:space="preserve"> </w:t>
      </w:r>
      <w:r w:rsidRPr="00CA47B9">
        <w:t>the</w:t>
      </w:r>
      <w:r w:rsidR="004B41A2" w:rsidRPr="00CA47B9">
        <w:t xml:space="preserve"> </w:t>
      </w:r>
      <w:r w:rsidRPr="00CA47B9">
        <w:t>District</w:t>
      </w:r>
      <w:r w:rsidR="004B41A2" w:rsidRPr="00CA47B9">
        <w:t xml:space="preserve"> </w:t>
      </w:r>
      <w:r w:rsidRPr="00CA47B9">
        <w:t>itself</w:t>
      </w:r>
      <w:r w:rsidR="004B41A2" w:rsidRPr="00CA47B9">
        <w:t xml:space="preserve"> </w:t>
      </w:r>
      <w:r w:rsidRPr="00CA47B9">
        <w:t>in</w:t>
      </w:r>
      <w:r w:rsidR="004B41A2" w:rsidRPr="00CA47B9">
        <w:t xml:space="preserve"> </w:t>
      </w:r>
      <w:r w:rsidRPr="00CA47B9">
        <w:t>terms</w:t>
      </w:r>
      <w:r w:rsidR="004B41A2" w:rsidRPr="00CA47B9">
        <w:t xml:space="preserve"> </w:t>
      </w:r>
      <w:r w:rsidRPr="00CA47B9">
        <w:t>of</w:t>
      </w:r>
      <w:r w:rsidR="004B41A2" w:rsidRPr="00CA47B9">
        <w:t xml:space="preserve"> </w:t>
      </w:r>
      <w:r w:rsidRPr="00CA47B9">
        <w:t>past</w:t>
      </w:r>
      <w:r w:rsidR="004B41A2" w:rsidRPr="00CA47B9">
        <w:t xml:space="preserve"> </w:t>
      </w:r>
      <w:r w:rsidRPr="00CA47B9">
        <w:t>take-up</w:t>
      </w:r>
      <w:r w:rsidR="004B41A2" w:rsidRPr="00CA47B9">
        <w:t xml:space="preserve"> </w:t>
      </w:r>
      <w:r w:rsidRPr="00CA47B9">
        <w:t>has</w:t>
      </w:r>
      <w:r w:rsidR="004B41A2" w:rsidRPr="00CA47B9">
        <w:t xml:space="preserve"> </w:t>
      </w:r>
      <w:r w:rsidRPr="00CA47B9">
        <w:t>been</w:t>
      </w:r>
      <w:r w:rsidR="004B41A2" w:rsidRPr="00CA47B9">
        <w:t xml:space="preserve"> </w:t>
      </w:r>
      <w:r w:rsidRPr="00CA47B9">
        <w:t>based</w:t>
      </w:r>
      <w:r w:rsidR="004B41A2" w:rsidRPr="00CA47B9">
        <w:t xml:space="preserve"> </w:t>
      </w:r>
      <w:r w:rsidRPr="00CA47B9">
        <w:t>on</w:t>
      </w:r>
      <w:r w:rsidR="004B41A2" w:rsidRPr="00CA47B9">
        <w:t xml:space="preserve"> </w:t>
      </w:r>
      <w:r w:rsidRPr="00CA47B9">
        <w:t>transactions</w:t>
      </w:r>
      <w:r w:rsidR="004B41A2" w:rsidRPr="00CA47B9">
        <w:t xml:space="preserve"> </w:t>
      </w:r>
      <w:r w:rsidRPr="00CA47B9">
        <w:t>recorded</w:t>
      </w:r>
      <w:r w:rsidR="004B41A2" w:rsidRPr="00CA47B9">
        <w:t xml:space="preserve"> </w:t>
      </w:r>
      <w:r w:rsidRPr="00CA47B9">
        <w:t>on</w:t>
      </w:r>
      <w:r w:rsidR="004B41A2" w:rsidRPr="00CA47B9">
        <w:t xml:space="preserve"> </w:t>
      </w:r>
      <w:r w:rsidRPr="00CA47B9">
        <w:t>EGi</w:t>
      </w:r>
      <w:r w:rsidR="004B41A2" w:rsidRPr="00CA47B9">
        <w:t xml:space="preserve"> </w:t>
      </w:r>
      <w:r w:rsidRPr="00CA47B9">
        <w:t>and</w:t>
      </w:r>
      <w:r w:rsidR="004B41A2" w:rsidRPr="00CA47B9">
        <w:t xml:space="preserve"> </w:t>
      </w:r>
      <w:r w:rsidRPr="00CA47B9">
        <w:t>CoStar.</w:t>
      </w:r>
      <w:r w:rsidRPr="00CA47B9">
        <w:rPr>
          <w:rStyle w:val="FootnoteReference"/>
          <w:color w:val="auto"/>
        </w:rPr>
        <w:footnoteReference w:id="16"/>
      </w:r>
      <w:r w:rsidR="004B41A2" w:rsidRPr="00CA47B9">
        <w:t xml:space="preserve"> </w:t>
      </w:r>
      <w:r w:rsidRPr="00CA47B9">
        <w:t>This</w:t>
      </w:r>
      <w:r w:rsidR="004B41A2" w:rsidRPr="00CA47B9">
        <w:t xml:space="preserve"> </w:t>
      </w:r>
      <w:r w:rsidRPr="00CA47B9">
        <w:t>has</w:t>
      </w:r>
      <w:r w:rsidR="004B41A2" w:rsidRPr="00CA47B9">
        <w:t xml:space="preserve"> </w:t>
      </w:r>
      <w:r w:rsidRPr="00CA47B9">
        <w:t>been</w:t>
      </w:r>
      <w:r w:rsidR="004B41A2" w:rsidRPr="00CA47B9">
        <w:t xml:space="preserve"> </w:t>
      </w:r>
      <w:r w:rsidRPr="00CA47B9">
        <w:t>augmented</w:t>
      </w:r>
      <w:r w:rsidR="004B41A2" w:rsidRPr="00CA47B9">
        <w:t xml:space="preserve"> </w:t>
      </w:r>
      <w:r w:rsidRPr="00CA47B9">
        <w:t>through</w:t>
      </w:r>
      <w:r w:rsidR="004B41A2" w:rsidRPr="00CA47B9">
        <w:t xml:space="preserve"> </w:t>
      </w:r>
      <w:r w:rsidRPr="00CA47B9">
        <w:t>engagement</w:t>
      </w:r>
      <w:r w:rsidR="004B41A2" w:rsidRPr="00CA47B9">
        <w:t xml:space="preserve"> </w:t>
      </w:r>
      <w:r w:rsidRPr="00CA47B9">
        <w:t>with</w:t>
      </w:r>
      <w:r w:rsidR="004B41A2" w:rsidRPr="00CA47B9">
        <w:t xml:space="preserve"> </w:t>
      </w:r>
      <w:r w:rsidRPr="00CA47B9">
        <w:t>commercial</w:t>
      </w:r>
      <w:r w:rsidR="004B41A2" w:rsidRPr="00CA47B9">
        <w:t xml:space="preserve"> </w:t>
      </w:r>
      <w:r w:rsidRPr="00CA47B9">
        <w:t>agents.</w:t>
      </w:r>
      <w:r w:rsidR="004B41A2" w:rsidRPr="00CA47B9">
        <w:t xml:space="preserve"> </w:t>
      </w:r>
    </w:p>
    <w:p w:rsidR="00230E40" w:rsidRPr="00230E40" w:rsidRDefault="00230E40" w:rsidP="001C73B8">
      <w:pPr>
        <w:pStyle w:val="11Bodytext"/>
        <w:tabs>
          <w:tab w:val="clear" w:pos="2212"/>
          <w:tab w:val="num" w:pos="567"/>
        </w:tabs>
        <w:ind w:left="567" w:hanging="567"/>
      </w:pPr>
      <w:r>
        <w:t xml:space="preserve">As noted </w:t>
      </w:r>
      <w:r w:rsidR="00855CA6">
        <w:t xml:space="preserve">at </w:t>
      </w:r>
      <w:r>
        <w:t>the beginning of this chapter, the VOA data is only available at a local authority level and thus is presented for the entirety of the Chichester District. The CoStar and EGi analysis has been analysed according to sub-area and thus takes into account data without the South Downs National Park area.</w:t>
      </w:r>
    </w:p>
    <w:p w:rsidR="002835A5" w:rsidRPr="00CA47B9" w:rsidRDefault="002835A5" w:rsidP="001C73B8">
      <w:pPr>
        <w:pStyle w:val="11Bodytext"/>
        <w:tabs>
          <w:tab w:val="clear" w:pos="2212"/>
          <w:tab w:val="num" w:pos="567"/>
        </w:tabs>
        <w:ind w:left="567" w:hanging="567"/>
      </w:pPr>
      <w:r>
        <w:t>According to the Valuation Office Agency based on property surveys for ratings, t</w:t>
      </w:r>
      <w:r w:rsidRPr="00CA47B9">
        <w:t xml:space="preserve">he amount of </w:t>
      </w:r>
      <w:r>
        <w:t>industrial</w:t>
      </w:r>
      <w:r w:rsidRPr="00CA47B9">
        <w:t xml:space="preserve"> floorspace in Chichester District in 2018 was </w:t>
      </w:r>
      <w:r>
        <w:t>509</w:t>
      </w:r>
      <w:r w:rsidRPr="00CA47B9">
        <w:t xml:space="preserve">,000 sqm. </w:t>
      </w:r>
      <w:r>
        <w:t xml:space="preserve">This includes general industrial, storage distribution and ‘other’ industrial uses </w:t>
      </w:r>
      <w:r>
        <w:lastRenderedPageBreak/>
        <w:t xml:space="preserve">typically falling under uses classes B1b, B1c, B2 and B8 with some sui generis. VOA property assessment may not exactly reflect planning use classes due to a functional assessment approach for ratings. </w:t>
      </w:r>
    </w:p>
    <w:p w:rsidR="003C2FCE" w:rsidRPr="00CA47B9" w:rsidRDefault="00B0298E" w:rsidP="005D5606">
      <w:pPr>
        <w:pStyle w:val="Tableheading"/>
        <w:tabs>
          <w:tab w:val="clear" w:pos="794"/>
          <w:tab w:val="clear" w:pos="1843"/>
          <w:tab w:val="left" w:pos="0"/>
        </w:tabs>
        <w:spacing w:line="240" w:lineRule="auto"/>
        <w:ind w:left="0" w:firstLine="0"/>
      </w:pPr>
      <w:r w:rsidRPr="00CA47B9">
        <w:t>Industrial</w:t>
      </w:r>
      <w:r w:rsidR="004B41A2" w:rsidRPr="00CA47B9">
        <w:t xml:space="preserve"> </w:t>
      </w:r>
      <w:r w:rsidRPr="00CA47B9">
        <w:t>Floorspace,</w:t>
      </w:r>
      <w:r w:rsidR="004B41A2" w:rsidRPr="00CA47B9">
        <w:t xml:space="preserve"> </w:t>
      </w:r>
      <w:r w:rsidRPr="00CA47B9">
        <w:t>201</w:t>
      </w:r>
      <w:r w:rsidR="003C2FCE" w:rsidRPr="00CA47B9">
        <w:t>8</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51: Industrial Floorspace, 2018"/>
      </w:tblPr>
      <w:tblGrid>
        <w:gridCol w:w="4815"/>
        <w:gridCol w:w="4823"/>
      </w:tblGrid>
      <w:tr w:rsidR="003C2FCE" w:rsidRPr="00795E1F" w:rsidTr="005D5606">
        <w:trPr>
          <w:tblHeader/>
        </w:trPr>
        <w:tc>
          <w:tcPr>
            <w:tcW w:w="2498" w:type="pct"/>
            <w:shd w:val="clear" w:color="000000" w:fill="0093D5"/>
            <w:noWrap/>
            <w:vAlign w:val="center"/>
            <w:hideMark/>
          </w:tcPr>
          <w:p w:rsidR="003C2FCE" w:rsidRPr="00795E1F" w:rsidRDefault="003C2FCE" w:rsidP="00795E1F">
            <w:pPr>
              <w:keepNext/>
              <w:rPr>
                <w:rFonts w:eastAsia="Times New Roman"/>
                <w:color w:val="000000"/>
                <w:sz w:val="24"/>
                <w:szCs w:val="24"/>
                <w:lang w:eastAsia="en-GB"/>
              </w:rPr>
            </w:pPr>
          </w:p>
        </w:tc>
        <w:tc>
          <w:tcPr>
            <w:tcW w:w="2502" w:type="pct"/>
            <w:shd w:val="clear" w:color="000000" w:fill="0093D5"/>
            <w:noWrap/>
            <w:vAlign w:val="center"/>
            <w:hideMark/>
          </w:tcPr>
          <w:p w:rsidR="003C2FCE" w:rsidRPr="00795E1F" w:rsidRDefault="003C2FCE" w:rsidP="00795E1F">
            <w:pPr>
              <w:keepNext/>
              <w:jc w:val="center"/>
              <w:rPr>
                <w:rFonts w:eastAsia="Times New Roman"/>
                <w:color w:val="FFFFFF"/>
                <w:sz w:val="24"/>
                <w:szCs w:val="24"/>
                <w:lang w:eastAsia="en-GB"/>
              </w:rPr>
            </w:pPr>
            <w:r w:rsidRPr="00795E1F">
              <w:rPr>
                <w:rFonts w:eastAsia="Times New Roman"/>
                <w:color w:val="FFFFFF"/>
                <w:sz w:val="24"/>
                <w:szCs w:val="24"/>
                <w:lang w:eastAsia="en-GB"/>
              </w:rPr>
              <w:t xml:space="preserve">Industrial Floorspace (‘000 </w:t>
            </w:r>
            <w:r w:rsidR="0021576F" w:rsidRPr="00795E1F">
              <w:rPr>
                <w:rFonts w:eastAsia="Times New Roman"/>
                <w:color w:val="FFFFFF"/>
                <w:sz w:val="24"/>
                <w:szCs w:val="24"/>
                <w:lang w:eastAsia="en-GB"/>
              </w:rPr>
              <w:t>sqm</w:t>
            </w:r>
            <w:r w:rsidRPr="00795E1F">
              <w:rPr>
                <w:rFonts w:eastAsia="Times New Roman"/>
                <w:color w:val="FFFFFF"/>
                <w:sz w:val="24"/>
                <w:szCs w:val="24"/>
                <w:lang w:eastAsia="en-GB"/>
              </w:rPr>
              <w:t>)</w:t>
            </w:r>
          </w:p>
        </w:tc>
      </w:tr>
      <w:tr w:rsidR="003C2FCE" w:rsidRPr="00795E1F" w:rsidTr="005D5606">
        <w:tc>
          <w:tcPr>
            <w:tcW w:w="2498" w:type="pct"/>
            <w:shd w:val="clear" w:color="auto" w:fill="auto"/>
            <w:noWrap/>
            <w:vAlign w:val="center"/>
            <w:hideMark/>
          </w:tcPr>
          <w:p w:rsidR="003C2FCE" w:rsidRPr="00795E1F" w:rsidRDefault="003C2FCE" w:rsidP="00795E1F">
            <w:pPr>
              <w:keepNext/>
              <w:rPr>
                <w:rFonts w:eastAsia="Times New Roman"/>
                <w:b/>
                <w:bCs/>
                <w:color w:val="auto"/>
                <w:sz w:val="24"/>
                <w:szCs w:val="24"/>
                <w:lang w:eastAsia="en-GB"/>
              </w:rPr>
            </w:pPr>
            <w:r w:rsidRPr="00795E1F">
              <w:rPr>
                <w:rFonts w:eastAsia="Times New Roman"/>
                <w:b/>
                <w:bCs/>
                <w:color w:val="auto"/>
                <w:sz w:val="24"/>
                <w:szCs w:val="24"/>
                <w:lang w:eastAsia="en-GB"/>
              </w:rPr>
              <w:t>Chichester District</w:t>
            </w:r>
          </w:p>
        </w:tc>
        <w:tc>
          <w:tcPr>
            <w:tcW w:w="2502" w:type="pct"/>
            <w:shd w:val="clear" w:color="auto" w:fill="auto"/>
            <w:noWrap/>
            <w:vAlign w:val="center"/>
            <w:hideMark/>
          </w:tcPr>
          <w:p w:rsidR="003C2FCE" w:rsidRPr="00795E1F" w:rsidRDefault="003C2FCE" w:rsidP="00795E1F">
            <w:pPr>
              <w:keepNext/>
              <w:jc w:val="center"/>
              <w:rPr>
                <w:rFonts w:eastAsia="Times New Roman"/>
                <w:b/>
                <w:bCs/>
                <w:color w:val="auto"/>
                <w:sz w:val="24"/>
                <w:szCs w:val="24"/>
                <w:lang w:eastAsia="en-GB"/>
              </w:rPr>
            </w:pPr>
            <w:r w:rsidRPr="00795E1F">
              <w:rPr>
                <w:rFonts w:eastAsia="Times New Roman"/>
                <w:b/>
                <w:bCs/>
                <w:color w:val="auto"/>
                <w:sz w:val="24"/>
                <w:szCs w:val="24"/>
                <w:lang w:eastAsia="en-GB"/>
              </w:rPr>
              <w:t>509</w:t>
            </w:r>
          </w:p>
        </w:tc>
      </w:tr>
      <w:tr w:rsidR="003C2FCE" w:rsidRPr="00795E1F" w:rsidTr="005D5606">
        <w:tc>
          <w:tcPr>
            <w:tcW w:w="2498" w:type="pct"/>
            <w:shd w:val="clear" w:color="auto" w:fill="auto"/>
            <w:noWrap/>
            <w:vAlign w:val="center"/>
            <w:hideMark/>
          </w:tcPr>
          <w:p w:rsidR="003C2FCE" w:rsidRPr="00795E1F" w:rsidRDefault="003C2FCE" w:rsidP="00795E1F">
            <w:pPr>
              <w:keepNext/>
              <w:rPr>
                <w:rFonts w:eastAsia="Times New Roman"/>
                <w:color w:val="auto"/>
                <w:sz w:val="24"/>
                <w:szCs w:val="24"/>
                <w:lang w:eastAsia="en-GB"/>
              </w:rPr>
            </w:pPr>
            <w:r w:rsidRPr="00795E1F">
              <w:rPr>
                <w:rFonts w:eastAsia="Times New Roman"/>
                <w:color w:val="auto"/>
                <w:sz w:val="24"/>
                <w:szCs w:val="24"/>
                <w:lang w:eastAsia="en-GB"/>
              </w:rPr>
              <w:t>Arun</w:t>
            </w:r>
          </w:p>
        </w:tc>
        <w:tc>
          <w:tcPr>
            <w:tcW w:w="2502" w:type="pct"/>
            <w:shd w:val="clear" w:color="auto" w:fill="auto"/>
            <w:noWrap/>
            <w:vAlign w:val="center"/>
            <w:hideMark/>
          </w:tcPr>
          <w:p w:rsidR="003C2FCE" w:rsidRPr="00795E1F" w:rsidRDefault="003C2FCE" w:rsidP="00795E1F">
            <w:pPr>
              <w:keepNext/>
              <w:jc w:val="center"/>
              <w:rPr>
                <w:rFonts w:eastAsia="Times New Roman"/>
                <w:color w:val="auto"/>
                <w:sz w:val="24"/>
                <w:szCs w:val="24"/>
                <w:lang w:eastAsia="en-GB"/>
              </w:rPr>
            </w:pPr>
            <w:r w:rsidRPr="00795E1F">
              <w:rPr>
                <w:rFonts w:eastAsia="Times New Roman"/>
                <w:color w:val="auto"/>
                <w:sz w:val="24"/>
                <w:szCs w:val="24"/>
                <w:lang w:eastAsia="en-GB"/>
              </w:rPr>
              <w:t>529</w:t>
            </w:r>
          </w:p>
        </w:tc>
      </w:tr>
      <w:tr w:rsidR="003C2FCE" w:rsidRPr="00795E1F" w:rsidTr="005D5606">
        <w:tc>
          <w:tcPr>
            <w:tcW w:w="2498" w:type="pct"/>
            <w:shd w:val="clear" w:color="auto" w:fill="auto"/>
            <w:noWrap/>
            <w:vAlign w:val="center"/>
            <w:hideMark/>
          </w:tcPr>
          <w:p w:rsidR="003C2FCE" w:rsidRPr="00795E1F" w:rsidRDefault="003C2FCE" w:rsidP="00795E1F">
            <w:pPr>
              <w:keepNext/>
              <w:rPr>
                <w:rFonts w:eastAsia="Times New Roman"/>
                <w:color w:val="auto"/>
                <w:sz w:val="24"/>
                <w:szCs w:val="24"/>
                <w:lang w:eastAsia="en-GB"/>
              </w:rPr>
            </w:pPr>
            <w:r w:rsidRPr="00795E1F">
              <w:rPr>
                <w:rFonts w:eastAsia="Times New Roman"/>
                <w:color w:val="auto"/>
                <w:sz w:val="24"/>
                <w:szCs w:val="24"/>
                <w:lang w:eastAsia="en-GB"/>
              </w:rPr>
              <w:t>Havant</w:t>
            </w:r>
          </w:p>
        </w:tc>
        <w:tc>
          <w:tcPr>
            <w:tcW w:w="2502" w:type="pct"/>
            <w:shd w:val="clear" w:color="auto" w:fill="auto"/>
            <w:noWrap/>
            <w:vAlign w:val="center"/>
            <w:hideMark/>
          </w:tcPr>
          <w:p w:rsidR="003C2FCE" w:rsidRPr="00795E1F" w:rsidRDefault="003C2FCE" w:rsidP="00795E1F">
            <w:pPr>
              <w:keepNext/>
              <w:jc w:val="center"/>
              <w:rPr>
                <w:rFonts w:eastAsia="Times New Roman"/>
                <w:color w:val="auto"/>
                <w:sz w:val="24"/>
                <w:szCs w:val="24"/>
                <w:lang w:eastAsia="en-GB"/>
              </w:rPr>
            </w:pPr>
            <w:r w:rsidRPr="00795E1F">
              <w:rPr>
                <w:rFonts w:eastAsia="Times New Roman"/>
                <w:color w:val="auto"/>
                <w:sz w:val="24"/>
                <w:szCs w:val="24"/>
                <w:lang w:eastAsia="en-GB"/>
              </w:rPr>
              <w:t>412</w:t>
            </w:r>
          </w:p>
        </w:tc>
      </w:tr>
      <w:tr w:rsidR="003C2FCE" w:rsidRPr="00795E1F" w:rsidTr="005D5606">
        <w:tc>
          <w:tcPr>
            <w:tcW w:w="2498" w:type="pct"/>
            <w:shd w:val="clear" w:color="auto" w:fill="auto"/>
            <w:noWrap/>
            <w:vAlign w:val="center"/>
            <w:hideMark/>
          </w:tcPr>
          <w:p w:rsidR="003C2FCE" w:rsidRPr="00795E1F" w:rsidRDefault="003C2FCE" w:rsidP="00795E1F">
            <w:pPr>
              <w:keepNext/>
              <w:rPr>
                <w:rFonts w:eastAsia="Times New Roman"/>
                <w:color w:val="auto"/>
                <w:sz w:val="24"/>
                <w:szCs w:val="24"/>
                <w:lang w:eastAsia="en-GB"/>
              </w:rPr>
            </w:pPr>
            <w:r w:rsidRPr="00795E1F">
              <w:rPr>
                <w:rFonts w:eastAsia="Times New Roman"/>
                <w:color w:val="auto"/>
                <w:sz w:val="24"/>
                <w:szCs w:val="24"/>
                <w:lang w:eastAsia="en-GB"/>
              </w:rPr>
              <w:t>Waverley</w:t>
            </w:r>
          </w:p>
        </w:tc>
        <w:tc>
          <w:tcPr>
            <w:tcW w:w="2502" w:type="pct"/>
            <w:shd w:val="clear" w:color="auto" w:fill="auto"/>
            <w:noWrap/>
            <w:vAlign w:val="center"/>
            <w:hideMark/>
          </w:tcPr>
          <w:p w:rsidR="003C2FCE" w:rsidRPr="00795E1F" w:rsidRDefault="003C2FCE" w:rsidP="00795E1F">
            <w:pPr>
              <w:keepNext/>
              <w:jc w:val="center"/>
              <w:rPr>
                <w:rFonts w:eastAsia="Times New Roman"/>
                <w:color w:val="auto"/>
                <w:sz w:val="24"/>
                <w:szCs w:val="24"/>
                <w:lang w:eastAsia="en-GB"/>
              </w:rPr>
            </w:pPr>
            <w:r w:rsidRPr="00795E1F">
              <w:rPr>
                <w:rFonts w:eastAsia="Times New Roman"/>
                <w:color w:val="auto"/>
                <w:sz w:val="24"/>
                <w:szCs w:val="24"/>
                <w:lang w:eastAsia="en-GB"/>
              </w:rPr>
              <w:t>269</w:t>
            </w:r>
          </w:p>
        </w:tc>
      </w:tr>
      <w:tr w:rsidR="003C2FCE" w:rsidRPr="00795E1F" w:rsidTr="005D5606">
        <w:tc>
          <w:tcPr>
            <w:tcW w:w="2498" w:type="pct"/>
            <w:shd w:val="clear" w:color="auto" w:fill="auto"/>
            <w:noWrap/>
            <w:vAlign w:val="center"/>
            <w:hideMark/>
          </w:tcPr>
          <w:p w:rsidR="003C2FCE" w:rsidRPr="00795E1F" w:rsidRDefault="003C2FCE" w:rsidP="00795E1F">
            <w:pPr>
              <w:keepNext/>
              <w:rPr>
                <w:rFonts w:eastAsia="Times New Roman"/>
                <w:color w:val="auto"/>
                <w:sz w:val="24"/>
                <w:szCs w:val="24"/>
                <w:lang w:eastAsia="en-GB"/>
              </w:rPr>
            </w:pPr>
            <w:r w:rsidRPr="00795E1F">
              <w:rPr>
                <w:rFonts w:eastAsia="Times New Roman"/>
                <w:color w:val="auto"/>
                <w:sz w:val="24"/>
                <w:szCs w:val="24"/>
                <w:lang w:eastAsia="en-GB"/>
              </w:rPr>
              <w:t>Horsham</w:t>
            </w:r>
          </w:p>
        </w:tc>
        <w:tc>
          <w:tcPr>
            <w:tcW w:w="2502" w:type="pct"/>
            <w:shd w:val="clear" w:color="auto" w:fill="auto"/>
            <w:noWrap/>
            <w:vAlign w:val="center"/>
            <w:hideMark/>
          </w:tcPr>
          <w:p w:rsidR="003C2FCE" w:rsidRPr="00795E1F" w:rsidRDefault="003C2FCE" w:rsidP="00795E1F">
            <w:pPr>
              <w:keepNext/>
              <w:jc w:val="center"/>
              <w:rPr>
                <w:rFonts w:eastAsia="Times New Roman"/>
                <w:color w:val="auto"/>
                <w:sz w:val="24"/>
                <w:szCs w:val="24"/>
                <w:lang w:eastAsia="en-GB"/>
              </w:rPr>
            </w:pPr>
            <w:r w:rsidRPr="00795E1F">
              <w:rPr>
                <w:rFonts w:eastAsia="Times New Roman"/>
                <w:color w:val="auto"/>
                <w:sz w:val="24"/>
                <w:szCs w:val="24"/>
                <w:lang w:eastAsia="en-GB"/>
              </w:rPr>
              <w:t>546</w:t>
            </w:r>
          </w:p>
        </w:tc>
      </w:tr>
      <w:tr w:rsidR="003C2FCE" w:rsidRPr="00795E1F" w:rsidTr="005D5606">
        <w:tc>
          <w:tcPr>
            <w:tcW w:w="2498" w:type="pct"/>
            <w:shd w:val="clear" w:color="auto" w:fill="auto"/>
            <w:noWrap/>
            <w:vAlign w:val="center"/>
            <w:hideMark/>
          </w:tcPr>
          <w:p w:rsidR="003C2FCE" w:rsidRPr="00795E1F" w:rsidRDefault="003C2FCE" w:rsidP="00795E1F">
            <w:pPr>
              <w:keepNext/>
              <w:rPr>
                <w:rFonts w:eastAsia="Times New Roman"/>
                <w:color w:val="auto"/>
                <w:sz w:val="24"/>
                <w:szCs w:val="24"/>
                <w:lang w:eastAsia="en-GB"/>
              </w:rPr>
            </w:pPr>
            <w:r w:rsidRPr="00795E1F">
              <w:rPr>
                <w:rFonts w:eastAsia="Times New Roman"/>
                <w:color w:val="auto"/>
                <w:sz w:val="24"/>
                <w:szCs w:val="24"/>
                <w:lang w:eastAsia="en-GB"/>
              </w:rPr>
              <w:t>Lewes</w:t>
            </w:r>
          </w:p>
        </w:tc>
        <w:tc>
          <w:tcPr>
            <w:tcW w:w="2502" w:type="pct"/>
            <w:shd w:val="clear" w:color="auto" w:fill="auto"/>
            <w:noWrap/>
            <w:vAlign w:val="center"/>
            <w:hideMark/>
          </w:tcPr>
          <w:p w:rsidR="003C2FCE" w:rsidRPr="00795E1F" w:rsidRDefault="003C2FCE" w:rsidP="00795E1F">
            <w:pPr>
              <w:keepNext/>
              <w:jc w:val="center"/>
              <w:rPr>
                <w:rFonts w:eastAsia="Times New Roman"/>
                <w:color w:val="auto"/>
                <w:sz w:val="24"/>
                <w:szCs w:val="24"/>
                <w:lang w:eastAsia="en-GB"/>
              </w:rPr>
            </w:pPr>
            <w:r w:rsidRPr="00795E1F">
              <w:rPr>
                <w:rFonts w:eastAsia="Times New Roman"/>
                <w:color w:val="auto"/>
                <w:sz w:val="24"/>
                <w:szCs w:val="24"/>
                <w:lang w:eastAsia="en-GB"/>
              </w:rPr>
              <w:t>361</w:t>
            </w:r>
          </w:p>
        </w:tc>
      </w:tr>
      <w:tr w:rsidR="003C2FCE" w:rsidRPr="00795E1F" w:rsidTr="005D5606">
        <w:tc>
          <w:tcPr>
            <w:tcW w:w="2498" w:type="pct"/>
            <w:shd w:val="clear" w:color="auto" w:fill="auto"/>
            <w:noWrap/>
            <w:vAlign w:val="center"/>
            <w:hideMark/>
          </w:tcPr>
          <w:p w:rsidR="003C2FCE" w:rsidRPr="00795E1F" w:rsidRDefault="003C2FCE" w:rsidP="00795E1F">
            <w:pPr>
              <w:keepNext/>
              <w:rPr>
                <w:rFonts w:eastAsia="Times New Roman"/>
                <w:color w:val="auto"/>
                <w:sz w:val="24"/>
                <w:szCs w:val="24"/>
                <w:lang w:eastAsia="en-GB"/>
              </w:rPr>
            </w:pPr>
            <w:r w:rsidRPr="00795E1F">
              <w:rPr>
                <w:rFonts w:eastAsia="Times New Roman"/>
                <w:color w:val="auto"/>
                <w:sz w:val="24"/>
                <w:szCs w:val="24"/>
                <w:lang w:eastAsia="en-GB"/>
              </w:rPr>
              <w:t>East Hampshire</w:t>
            </w:r>
          </w:p>
        </w:tc>
        <w:tc>
          <w:tcPr>
            <w:tcW w:w="2502" w:type="pct"/>
            <w:shd w:val="clear" w:color="auto" w:fill="auto"/>
            <w:noWrap/>
            <w:vAlign w:val="center"/>
            <w:hideMark/>
          </w:tcPr>
          <w:p w:rsidR="003C2FCE" w:rsidRPr="00795E1F" w:rsidRDefault="003C2FCE" w:rsidP="00795E1F">
            <w:pPr>
              <w:keepNext/>
              <w:jc w:val="center"/>
              <w:rPr>
                <w:rFonts w:eastAsia="Times New Roman"/>
                <w:color w:val="auto"/>
                <w:sz w:val="24"/>
                <w:szCs w:val="24"/>
                <w:lang w:eastAsia="en-GB"/>
              </w:rPr>
            </w:pPr>
            <w:r w:rsidRPr="00795E1F">
              <w:rPr>
                <w:rFonts w:eastAsia="Times New Roman"/>
                <w:color w:val="auto"/>
                <w:sz w:val="24"/>
                <w:szCs w:val="24"/>
                <w:lang w:eastAsia="en-GB"/>
              </w:rPr>
              <w:t>504</w:t>
            </w:r>
          </w:p>
        </w:tc>
      </w:tr>
      <w:tr w:rsidR="003C2FCE" w:rsidRPr="00795E1F" w:rsidTr="005D5606">
        <w:tc>
          <w:tcPr>
            <w:tcW w:w="2498" w:type="pct"/>
            <w:shd w:val="clear" w:color="auto" w:fill="auto"/>
            <w:noWrap/>
            <w:vAlign w:val="center"/>
            <w:hideMark/>
          </w:tcPr>
          <w:p w:rsidR="003C2FCE" w:rsidRPr="00795E1F" w:rsidRDefault="003C2FCE" w:rsidP="00795E1F">
            <w:pPr>
              <w:keepNext/>
              <w:rPr>
                <w:rFonts w:eastAsia="Times New Roman"/>
                <w:color w:val="auto"/>
                <w:sz w:val="24"/>
                <w:szCs w:val="24"/>
                <w:lang w:eastAsia="en-GB"/>
              </w:rPr>
            </w:pPr>
            <w:r w:rsidRPr="00795E1F">
              <w:rPr>
                <w:rFonts w:eastAsia="Times New Roman"/>
                <w:color w:val="auto"/>
                <w:sz w:val="24"/>
                <w:szCs w:val="24"/>
                <w:lang w:eastAsia="en-GB"/>
              </w:rPr>
              <w:t>Worthing</w:t>
            </w:r>
          </w:p>
        </w:tc>
        <w:tc>
          <w:tcPr>
            <w:tcW w:w="2502" w:type="pct"/>
            <w:shd w:val="clear" w:color="auto" w:fill="auto"/>
            <w:noWrap/>
            <w:vAlign w:val="center"/>
            <w:hideMark/>
          </w:tcPr>
          <w:p w:rsidR="003C2FCE" w:rsidRPr="00795E1F" w:rsidRDefault="003C2FCE" w:rsidP="00795E1F">
            <w:pPr>
              <w:keepNext/>
              <w:jc w:val="center"/>
              <w:rPr>
                <w:rFonts w:eastAsia="Times New Roman"/>
                <w:color w:val="auto"/>
                <w:sz w:val="24"/>
                <w:szCs w:val="24"/>
                <w:lang w:eastAsia="en-GB"/>
              </w:rPr>
            </w:pPr>
            <w:r w:rsidRPr="00795E1F">
              <w:rPr>
                <w:rFonts w:eastAsia="Times New Roman"/>
                <w:color w:val="auto"/>
                <w:sz w:val="24"/>
                <w:szCs w:val="24"/>
                <w:lang w:eastAsia="en-GB"/>
              </w:rPr>
              <w:t>301</w:t>
            </w:r>
          </w:p>
        </w:tc>
      </w:tr>
      <w:tr w:rsidR="003C2FCE" w:rsidRPr="00795E1F" w:rsidTr="005D5606">
        <w:tc>
          <w:tcPr>
            <w:tcW w:w="2498" w:type="pct"/>
            <w:shd w:val="clear" w:color="auto" w:fill="auto"/>
            <w:noWrap/>
            <w:vAlign w:val="center"/>
            <w:hideMark/>
          </w:tcPr>
          <w:p w:rsidR="003C2FCE" w:rsidRPr="00795E1F" w:rsidRDefault="003C2FCE" w:rsidP="00795E1F">
            <w:pPr>
              <w:keepNext/>
              <w:rPr>
                <w:rFonts w:eastAsia="Times New Roman"/>
                <w:color w:val="auto"/>
                <w:sz w:val="24"/>
                <w:szCs w:val="24"/>
                <w:lang w:eastAsia="en-GB"/>
              </w:rPr>
            </w:pPr>
            <w:r w:rsidRPr="00795E1F">
              <w:rPr>
                <w:rFonts w:eastAsia="Times New Roman"/>
                <w:color w:val="auto"/>
                <w:sz w:val="24"/>
                <w:szCs w:val="24"/>
                <w:lang w:eastAsia="en-GB"/>
              </w:rPr>
              <w:t>Cotswold</w:t>
            </w:r>
          </w:p>
        </w:tc>
        <w:tc>
          <w:tcPr>
            <w:tcW w:w="2502" w:type="pct"/>
            <w:shd w:val="clear" w:color="auto" w:fill="auto"/>
            <w:noWrap/>
            <w:vAlign w:val="center"/>
            <w:hideMark/>
          </w:tcPr>
          <w:p w:rsidR="003C2FCE" w:rsidRPr="00795E1F" w:rsidRDefault="003C2FCE" w:rsidP="00795E1F">
            <w:pPr>
              <w:keepNext/>
              <w:jc w:val="center"/>
              <w:rPr>
                <w:rFonts w:eastAsia="Times New Roman"/>
                <w:color w:val="auto"/>
                <w:sz w:val="24"/>
                <w:szCs w:val="24"/>
                <w:lang w:eastAsia="en-GB"/>
              </w:rPr>
            </w:pPr>
            <w:r w:rsidRPr="00795E1F">
              <w:rPr>
                <w:rFonts w:eastAsia="Times New Roman"/>
                <w:color w:val="auto"/>
                <w:sz w:val="24"/>
                <w:szCs w:val="24"/>
                <w:lang w:eastAsia="en-GB"/>
              </w:rPr>
              <w:t>528</w:t>
            </w:r>
          </w:p>
        </w:tc>
      </w:tr>
      <w:tr w:rsidR="003C2FCE" w:rsidRPr="00795E1F" w:rsidTr="005D5606">
        <w:tc>
          <w:tcPr>
            <w:tcW w:w="2498" w:type="pct"/>
            <w:shd w:val="clear" w:color="auto" w:fill="auto"/>
            <w:noWrap/>
            <w:vAlign w:val="center"/>
            <w:hideMark/>
          </w:tcPr>
          <w:p w:rsidR="003C2FCE" w:rsidRPr="00795E1F" w:rsidRDefault="003C2FCE" w:rsidP="00795E1F">
            <w:pPr>
              <w:keepNext/>
              <w:rPr>
                <w:rFonts w:eastAsia="Times New Roman"/>
                <w:color w:val="auto"/>
                <w:sz w:val="24"/>
                <w:szCs w:val="24"/>
                <w:lang w:eastAsia="en-GB"/>
              </w:rPr>
            </w:pPr>
            <w:r w:rsidRPr="00795E1F">
              <w:rPr>
                <w:rFonts w:eastAsia="Times New Roman"/>
                <w:color w:val="auto"/>
                <w:sz w:val="24"/>
                <w:szCs w:val="24"/>
                <w:lang w:eastAsia="en-GB"/>
              </w:rPr>
              <w:t>West Dorset</w:t>
            </w:r>
          </w:p>
        </w:tc>
        <w:tc>
          <w:tcPr>
            <w:tcW w:w="2502" w:type="pct"/>
            <w:shd w:val="clear" w:color="auto" w:fill="auto"/>
            <w:noWrap/>
            <w:vAlign w:val="center"/>
            <w:hideMark/>
          </w:tcPr>
          <w:p w:rsidR="003C2FCE" w:rsidRPr="00795E1F" w:rsidRDefault="003C2FCE" w:rsidP="00795E1F">
            <w:pPr>
              <w:keepNext/>
              <w:jc w:val="center"/>
              <w:rPr>
                <w:rFonts w:eastAsia="Times New Roman"/>
                <w:color w:val="auto"/>
                <w:sz w:val="24"/>
                <w:szCs w:val="24"/>
                <w:lang w:eastAsia="en-GB"/>
              </w:rPr>
            </w:pPr>
            <w:r w:rsidRPr="00795E1F">
              <w:rPr>
                <w:rFonts w:eastAsia="Times New Roman"/>
                <w:color w:val="auto"/>
                <w:sz w:val="24"/>
                <w:szCs w:val="24"/>
                <w:lang w:eastAsia="en-GB"/>
              </w:rPr>
              <w:t>516</w:t>
            </w:r>
          </w:p>
        </w:tc>
      </w:tr>
      <w:tr w:rsidR="003C2FCE" w:rsidRPr="00795E1F" w:rsidTr="005D5606">
        <w:tc>
          <w:tcPr>
            <w:tcW w:w="2498" w:type="pct"/>
            <w:shd w:val="clear" w:color="auto" w:fill="auto"/>
            <w:noWrap/>
            <w:vAlign w:val="center"/>
            <w:hideMark/>
          </w:tcPr>
          <w:p w:rsidR="003C2FCE" w:rsidRPr="00795E1F" w:rsidRDefault="003C2FCE" w:rsidP="00795E1F">
            <w:pPr>
              <w:keepNext/>
              <w:rPr>
                <w:rFonts w:eastAsia="Times New Roman"/>
                <w:color w:val="auto"/>
                <w:sz w:val="24"/>
                <w:szCs w:val="24"/>
                <w:lang w:eastAsia="en-GB"/>
              </w:rPr>
            </w:pPr>
            <w:r w:rsidRPr="00795E1F">
              <w:rPr>
                <w:rFonts w:eastAsia="Times New Roman"/>
                <w:color w:val="auto"/>
                <w:sz w:val="24"/>
                <w:szCs w:val="24"/>
                <w:lang w:eastAsia="en-GB"/>
              </w:rPr>
              <w:t>South East</w:t>
            </w:r>
          </w:p>
        </w:tc>
        <w:tc>
          <w:tcPr>
            <w:tcW w:w="2502" w:type="pct"/>
            <w:shd w:val="clear" w:color="auto" w:fill="auto"/>
            <w:noWrap/>
            <w:vAlign w:val="center"/>
            <w:hideMark/>
          </w:tcPr>
          <w:p w:rsidR="003C2FCE" w:rsidRPr="00795E1F" w:rsidRDefault="003C2FCE" w:rsidP="00795E1F">
            <w:pPr>
              <w:keepNext/>
              <w:jc w:val="center"/>
              <w:rPr>
                <w:rFonts w:eastAsia="Times New Roman"/>
                <w:color w:val="auto"/>
                <w:sz w:val="24"/>
                <w:szCs w:val="24"/>
                <w:lang w:eastAsia="en-GB"/>
              </w:rPr>
            </w:pPr>
            <w:r w:rsidRPr="00795E1F">
              <w:rPr>
                <w:rFonts w:eastAsia="Times New Roman"/>
                <w:color w:val="auto"/>
                <w:sz w:val="24"/>
                <w:szCs w:val="24"/>
                <w:lang w:eastAsia="en-GB"/>
              </w:rPr>
              <w:t>36,417</w:t>
            </w:r>
          </w:p>
        </w:tc>
      </w:tr>
      <w:tr w:rsidR="003C2FCE" w:rsidRPr="00795E1F" w:rsidTr="005D5606">
        <w:tc>
          <w:tcPr>
            <w:tcW w:w="2498" w:type="pct"/>
            <w:shd w:val="clear" w:color="auto" w:fill="auto"/>
            <w:noWrap/>
            <w:vAlign w:val="center"/>
            <w:hideMark/>
          </w:tcPr>
          <w:p w:rsidR="003C2FCE" w:rsidRPr="00795E1F" w:rsidRDefault="003C2FCE" w:rsidP="00795E1F">
            <w:pPr>
              <w:keepNext/>
              <w:rPr>
                <w:rFonts w:eastAsia="Times New Roman"/>
                <w:color w:val="auto"/>
                <w:sz w:val="24"/>
                <w:szCs w:val="24"/>
                <w:lang w:eastAsia="en-GB"/>
              </w:rPr>
            </w:pPr>
            <w:r w:rsidRPr="00795E1F">
              <w:rPr>
                <w:rFonts w:eastAsia="Times New Roman"/>
                <w:color w:val="auto"/>
                <w:sz w:val="24"/>
                <w:szCs w:val="24"/>
                <w:lang w:eastAsia="en-GB"/>
              </w:rPr>
              <w:t>England and Wales</w:t>
            </w:r>
          </w:p>
        </w:tc>
        <w:tc>
          <w:tcPr>
            <w:tcW w:w="2502" w:type="pct"/>
            <w:shd w:val="clear" w:color="auto" w:fill="auto"/>
            <w:noWrap/>
            <w:vAlign w:val="center"/>
            <w:hideMark/>
          </w:tcPr>
          <w:p w:rsidR="003C2FCE" w:rsidRPr="00795E1F" w:rsidRDefault="003C2FCE" w:rsidP="00795E1F">
            <w:pPr>
              <w:keepNext/>
              <w:jc w:val="center"/>
              <w:rPr>
                <w:rFonts w:eastAsia="Times New Roman"/>
                <w:color w:val="auto"/>
                <w:sz w:val="24"/>
                <w:szCs w:val="24"/>
                <w:lang w:eastAsia="en-GB"/>
              </w:rPr>
            </w:pPr>
            <w:r w:rsidRPr="00795E1F">
              <w:rPr>
                <w:rFonts w:eastAsia="Times New Roman"/>
                <w:color w:val="auto"/>
                <w:sz w:val="24"/>
                <w:szCs w:val="24"/>
                <w:lang w:eastAsia="en-GB"/>
              </w:rPr>
              <w:t>328,316</w:t>
            </w:r>
          </w:p>
        </w:tc>
      </w:tr>
    </w:tbl>
    <w:p w:rsidR="00B0298E" w:rsidRPr="00CA47B9" w:rsidRDefault="00B0298E" w:rsidP="005D5606">
      <w:pPr>
        <w:pStyle w:val="11Bodytext"/>
        <w:numPr>
          <w:ilvl w:val="0"/>
          <w:numId w:val="0"/>
        </w:numPr>
        <w:spacing w:before="0" w:after="0" w:line="240" w:lineRule="auto"/>
      </w:pPr>
      <w:r w:rsidRPr="00CA47B9">
        <w:t>Source</w:t>
      </w:r>
      <w:r w:rsidRPr="00CA47B9">
        <w:rPr>
          <w:i/>
        </w:rPr>
        <w:t>:</w:t>
      </w:r>
      <w:r w:rsidR="004B41A2" w:rsidRPr="00CA47B9">
        <w:rPr>
          <w:i/>
        </w:rPr>
        <w:t xml:space="preserve"> </w:t>
      </w:r>
      <w:r w:rsidRPr="00CA47B9">
        <w:t>VOA</w:t>
      </w:r>
      <w:r w:rsidR="004B41A2" w:rsidRPr="00CA47B9">
        <w:t xml:space="preserve"> </w:t>
      </w:r>
      <w:r w:rsidRPr="00CA47B9">
        <w:t>Business</w:t>
      </w:r>
      <w:r w:rsidR="004B41A2" w:rsidRPr="00CA47B9">
        <w:t xml:space="preserve"> </w:t>
      </w:r>
      <w:r w:rsidRPr="00CA47B9">
        <w:t>Floorspace</w:t>
      </w:r>
      <w:r w:rsidR="004B41A2" w:rsidRPr="00CA47B9">
        <w:t xml:space="preserve"> </w:t>
      </w:r>
      <w:r w:rsidRPr="00CA47B9">
        <w:t>Statistics</w:t>
      </w:r>
    </w:p>
    <w:p w:rsidR="0067151C" w:rsidRPr="0006168B" w:rsidRDefault="00B0298E" w:rsidP="001C73B8">
      <w:pPr>
        <w:pStyle w:val="11Bodytext"/>
        <w:tabs>
          <w:tab w:val="clear" w:pos="2212"/>
          <w:tab w:val="num" w:pos="567"/>
        </w:tabs>
        <w:ind w:left="567" w:hanging="567"/>
      </w:pPr>
      <w:r w:rsidRPr="00CA47B9">
        <w:t>Over</w:t>
      </w:r>
      <w:r w:rsidR="004B41A2" w:rsidRPr="00CA47B9">
        <w:t xml:space="preserve"> </w:t>
      </w:r>
      <w:r w:rsidRPr="00CA47B9">
        <w:t>the</w:t>
      </w:r>
      <w:r w:rsidR="004B41A2" w:rsidRPr="00CA47B9">
        <w:t xml:space="preserve"> </w:t>
      </w:r>
      <w:r w:rsidR="002835A5">
        <w:t xml:space="preserve">2000/01 to 2018/19 </w:t>
      </w:r>
      <w:r w:rsidRPr="00CA47B9">
        <w:t>period,</w:t>
      </w:r>
      <w:r w:rsidR="004B41A2" w:rsidRPr="00CA47B9">
        <w:t xml:space="preserve"> </w:t>
      </w:r>
      <w:r w:rsidRPr="00CA47B9">
        <w:t>industrial</w:t>
      </w:r>
      <w:r w:rsidR="004B41A2" w:rsidRPr="00CA47B9">
        <w:t xml:space="preserve"> </w:t>
      </w:r>
      <w:r w:rsidRPr="00CA47B9">
        <w:t>floorspace</w:t>
      </w:r>
      <w:r w:rsidR="004B41A2" w:rsidRPr="00CA47B9">
        <w:t xml:space="preserve"> </w:t>
      </w:r>
      <w:r w:rsidRPr="00CA47B9">
        <w:t>has</w:t>
      </w:r>
      <w:r w:rsidR="004B41A2" w:rsidRPr="00CA47B9">
        <w:t xml:space="preserve"> </w:t>
      </w:r>
      <w:r w:rsidRPr="00CA47B9">
        <w:t>increased</w:t>
      </w:r>
      <w:r w:rsidR="004B41A2" w:rsidRPr="00CA47B9">
        <w:t xml:space="preserve"> </w:t>
      </w:r>
      <w:r w:rsidRPr="00CA47B9">
        <w:t>by</w:t>
      </w:r>
      <w:r w:rsidR="004B41A2" w:rsidRPr="00CA47B9">
        <w:t xml:space="preserve"> </w:t>
      </w:r>
      <w:r w:rsidRPr="00CA47B9">
        <w:t>3</w:t>
      </w:r>
      <w:r w:rsidR="004F1AE6" w:rsidRPr="00CA47B9">
        <w:t>5</w:t>
      </w:r>
      <w:r w:rsidRPr="00CA47B9">
        <w:t>%</w:t>
      </w:r>
      <w:r w:rsidR="004B41A2" w:rsidRPr="00CA47B9">
        <w:t xml:space="preserve"> </w:t>
      </w:r>
      <w:r w:rsidRPr="00CA47B9">
        <w:t>in</w:t>
      </w:r>
      <w:r w:rsidR="004B41A2" w:rsidRPr="00CA47B9">
        <w:t xml:space="preserve"> </w:t>
      </w:r>
      <w:r w:rsidRPr="00CA47B9">
        <w:t>Chichester</w:t>
      </w:r>
      <w:r w:rsidR="004B41A2" w:rsidRPr="00CA47B9">
        <w:t xml:space="preserve"> </w:t>
      </w:r>
      <w:r w:rsidR="002F11AC" w:rsidRPr="00CA47B9">
        <w:t>District</w:t>
      </w:r>
      <w:r w:rsidR="00070EE9">
        <w:t xml:space="preserve">. </w:t>
      </w:r>
      <w:r w:rsidR="002835A5">
        <w:t>The largest</w:t>
      </w:r>
      <w:r w:rsidR="004B41A2" w:rsidRPr="00CA47B9">
        <w:t xml:space="preserve"> </w:t>
      </w:r>
      <w:r w:rsidR="002F11AC" w:rsidRPr="00CA47B9">
        <w:t>increase</w:t>
      </w:r>
      <w:r w:rsidR="004B41A2" w:rsidRPr="00CA47B9">
        <w:t xml:space="preserve"> </w:t>
      </w:r>
      <w:r w:rsidR="00556C1D" w:rsidRPr="00CA47B9">
        <w:t>is</w:t>
      </w:r>
      <w:r w:rsidR="004B41A2" w:rsidRPr="00CA47B9">
        <w:t xml:space="preserve"> </w:t>
      </w:r>
      <w:r w:rsidR="00556C1D" w:rsidRPr="00CA47B9">
        <w:t>largely</w:t>
      </w:r>
      <w:r w:rsidR="004B41A2" w:rsidRPr="00CA47B9">
        <w:t xml:space="preserve"> </w:t>
      </w:r>
      <w:r w:rsidR="00556C1D" w:rsidRPr="00CA47B9">
        <w:t>due</w:t>
      </w:r>
      <w:r w:rsidR="004B41A2" w:rsidRPr="00CA47B9">
        <w:t xml:space="preserve"> </w:t>
      </w:r>
      <w:r w:rsidR="00556C1D" w:rsidRPr="00CA47B9">
        <w:t>to</w:t>
      </w:r>
      <w:r w:rsidR="004B41A2" w:rsidRPr="00CA47B9">
        <w:t xml:space="preserve"> </w:t>
      </w:r>
      <w:r w:rsidR="00556C1D" w:rsidRPr="00CA47B9">
        <w:t>a</w:t>
      </w:r>
      <w:r w:rsidR="004B41A2" w:rsidRPr="00CA47B9">
        <w:t xml:space="preserve"> </w:t>
      </w:r>
      <w:r w:rsidR="00556C1D" w:rsidRPr="00CA47B9">
        <w:t>single</w:t>
      </w:r>
      <w:r w:rsidR="004B41A2" w:rsidRPr="00CA47B9">
        <w:t xml:space="preserve"> </w:t>
      </w:r>
      <w:r w:rsidR="00556C1D" w:rsidRPr="00CA47B9">
        <w:t>major</w:t>
      </w:r>
      <w:r w:rsidR="004B41A2" w:rsidRPr="00CA47B9">
        <w:t xml:space="preserve"> </w:t>
      </w:r>
      <w:r w:rsidR="00556C1D" w:rsidRPr="00CA47B9">
        <w:t>development</w:t>
      </w:r>
      <w:r w:rsidR="004B41A2" w:rsidRPr="00CA47B9">
        <w:t xml:space="preserve"> </w:t>
      </w:r>
      <w:r w:rsidR="00556C1D" w:rsidRPr="00CA47B9">
        <w:t>by</w:t>
      </w:r>
      <w:r w:rsidR="004B41A2" w:rsidRPr="00CA47B9">
        <w:t xml:space="preserve"> </w:t>
      </w:r>
      <w:r w:rsidR="00556C1D" w:rsidRPr="00CA47B9">
        <w:t>Rolls</w:t>
      </w:r>
      <w:r w:rsidR="004B41A2" w:rsidRPr="00CA47B9">
        <w:t xml:space="preserve"> </w:t>
      </w:r>
      <w:r w:rsidR="00556C1D" w:rsidRPr="00CA47B9">
        <w:t>Royce</w:t>
      </w:r>
      <w:r w:rsidR="004B41A2" w:rsidRPr="00CA47B9">
        <w:t xml:space="preserve"> </w:t>
      </w:r>
      <w:r w:rsidR="00556C1D" w:rsidRPr="00CA47B9">
        <w:t>–</w:t>
      </w:r>
      <w:r w:rsidR="004B41A2" w:rsidRPr="00CA47B9">
        <w:t xml:space="preserve"> </w:t>
      </w:r>
      <w:r w:rsidR="00556C1D" w:rsidRPr="00CA47B9">
        <w:t>see</w:t>
      </w:r>
      <w:r w:rsidR="004B41A2" w:rsidRPr="00CA47B9">
        <w:t xml:space="preserve"> </w:t>
      </w:r>
      <w:r w:rsidR="00556C1D" w:rsidRPr="00CA47B9">
        <w:t>Chapter</w:t>
      </w:r>
      <w:r w:rsidR="004B41A2" w:rsidRPr="00CA47B9">
        <w:t xml:space="preserve"> </w:t>
      </w:r>
      <w:r w:rsidR="00556C1D" w:rsidRPr="00CA47B9">
        <w:t>12</w:t>
      </w:r>
      <w:r w:rsidR="00070EE9">
        <w:t>. However</w:t>
      </w:r>
      <w:r w:rsidR="00855CA6">
        <w:t>,</w:t>
      </w:r>
      <w:r w:rsidR="00070EE9">
        <w:t xml:space="preserve"> there has been </w:t>
      </w:r>
      <w:r w:rsidR="00855CA6">
        <w:t xml:space="preserve">an </w:t>
      </w:r>
      <w:r w:rsidR="00070EE9">
        <w:t xml:space="preserve">ongoing increase in floorspace </w:t>
      </w:r>
      <w:r w:rsidR="0006168B">
        <w:t>since that time indicating the industrial strength of the area.</w:t>
      </w:r>
    </w:p>
    <w:p w:rsidR="0006168B" w:rsidRPr="00070EE9" w:rsidRDefault="0006168B" w:rsidP="005D5606">
      <w:pPr>
        <w:pStyle w:val="FigureHeading"/>
        <w:tabs>
          <w:tab w:val="clear" w:pos="794"/>
          <w:tab w:val="clear" w:pos="1843"/>
          <w:tab w:val="left" w:pos="0"/>
        </w:tabs>
        <w:spacing w:line="240" w:lineRule="auto"/>
        <w:ind w:left="0" w:firstLine="0"/>
      </w:pPr>
      <w:r>
        <w:t>Chichester Industrial Floorspace</w:t>
      </w:r>
    </w:p>
    <w:p w:rsidR="00070EE9" w:rsidRPr="00CA47B9" w:rsidRDefault="00070EE9" w:rsidP="00031E60">
      <w:pPr>
        <w:pStyle w:val="11Bodytext"/>
        <w:numPr>
          <w:ilvl w:val="0"/>
          <w:numId w:val="0"/>
        </w:numPr>
        <w:spacing w:before="0" w:after="0" w:line="240" w:lineRule="auto"/>
        <w:rPr>
          <w:color w:val="auto"/>
        </w:rPr>
      </w:pPr>
      <w:r>
        <w:rPr>
          <w:noProof/>
          <w:lang w:eastAsia="en-GB"/>
        </w:rPr>
        <w:drawing>
          <wp:inline distT="0" distB="0" distL="0" distR="0" wp14:anchorId="53785412" wp14:editId="4A3E20C9">
            <wp:extent cx="6123600" cy="3114000"/>
            <wp:effectExtent l="0" t="0" r="10795" b="10795"/>
            <wp:docPr id="1051" name="Chart 1051" descr="Line chart showing total industrial floorspace in Chichester district from 2000 to 2019" title="Figure 57: Chichester Industrial Floorspace">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96691B-E563-42F2-8F6F-F5CBB4DE32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06168B" w:rsidRDefault="0006168B" w:rsidP="005D5606">
      <w:pPr>
        <w:pStyle w:val="11Bodytext"/>
        <w:numPr>
          <w:ilvl w:val="0"/>
          <w:numId w:val="0"/>
        </w:numPr>
        <w:spacing w:before="0" w:after="0" w:line="240" w:lineRule="auto"/>
      </w:pPr>
      <w:r>
        <w:t>Source: VOA</w:t>
      </w:r>
    </w:p>
    <w:p w:rsidR="00B0298E" w:rsidRPr="00CA47B9" w:rsidRDefault="00A70FE4" w:rsidP="001C73B8">
      <w:pPr>
        <w:pStyle w:val="11Bodytext"/>
        <w:tabs>
          <w:tab w:val="clear" w:pos="2212"/>
          <w:tab w:val="num" w:pos="567"/>
        </w:tabs>
        <w:ind w:left="567" w:hanging="567"/>
      </w:pPr>
      <w:r>
        <w:lastRenderedPageBreak/>
        <w:t>The f</w:t>
      </w:r>
      <w:r w:rsidR="00B0298E" w:rsidRPr="00CA47B9">
        <w:t>igure</w:t>
      </w:r>
      <w:r w:rsidR="004B41A2" w:rsidRPr="00CA47B9">
        <w:t xml:space="preserve"> </w:t>
      </w:r>
      <w:r w:rsidR="0006168B">
        <w:t>below</w:t>
      </w:r>
      <w:r w:rsidR="004B41A2" w:rsidRPr="00CA47B9">
        <w:t xml:space="preserve"> </w:t>
      </w:r>
      <w:r w:rsidR="00B0298E" w:rsidRPr="00CA47B9">
        <w:t>presents</w:t>
      </w:r>
      <w:r w:rsidR="004B41A2" w:rsidRPr="00CA47B9">
        <w:t xml:space="preserve"> </w:t>
      </w:r>
      <w:r w:rsidR="00B0298E" w:rsidRPr="00CA47B9">
        <w:t>the</w:t>
      </w:r>
      <w:r w:rsidR="004B41A2" w:rsidRPr="00CA47B9">
        <w:t xml:space="preserve"> </w:t>
      </w:r>
      <w:r w:rsidR="00B0298E" w:rsidRPr="00CA47B9">
        <w:t>number</w:t>
      </w:r>
      <w:r w:rsidR="004B41A2" w:rsidRPr="00CA47B9">
        <w:t xml:space="preserve"> </w:t>
      </w:r>
      <w:r w:rsidR="00B0298E" w:rsidRPr="00CA47B9">
        <w:t>of</w:t>
      </w:r>
      <w:r w:rsidR="004B41A2" w:rsidRPr="00CA47B9">
        <w:t xml:space="preserve"> </w:t>
      </w:r>
      <w:r w:rsidR="00B0298E" w:rsidRPr="00CA47B9">
        <w:t>industrial</w:t>
      </w:r>
      <w:r w:rsidR="004B41A2" w:rsidRPr="00CA47B9">
        <w:t xml:space="preserve"> </w:t>
      </w:r>
      <w:r w:rsidR="00B0298E" w:rsidRPr="00CA47B9">
        <w:t>deals</w:t>
      </w:r>
      <w:r w:rsidR="004B41A2" w:rsidRPr="00CA47B9">
        <w:t xml:space="preserve"> </w:t>
      </w:r>
      <w:r w:rsidR="00B0298E" w:rsidRPr="00CA47B9">
        <w:t>by</w:t>
      </w:r>
      <w:r w:rsidR="004B41A2" w:rsidRPr="00CA47B9">
        <w:t xml:space="preserve"> </w:t>
      </w:r>
      <w:r w:rsidR="00B0298E" w:rsidRPr="00CA47B9">
        <w:t>size</w:t>
      </w:r>
      <w:r w:rsidR="004B41A2" w:rsidRPr="00CA47B9">
        <w:t xml:space="preserve"> </w:t>
      </w:r>
      <w:r w:rsidR="00B0298E" w:rsidRPr="00CA47B9">
        <w:t>and</w:t>
      </w:r>
      <w:r w:rsidR="004B41A2" w:rsidRPr="00CA47B9">
        <w:t xml:space="preserve"> </w:t>
      </w:r>
      <w:r w:rsidR="00B0298E" w:rsidRPr="00CA47B9">
        <w:t>year</w:t>
      </w:r>
      <w:r w:rsidR="004B41A2" w:rsidRPr="00CA47B9">
        <w:t xml:space="preserve"> </w:t>
      </w:r>
      <w:r w:rsidR="00B0298E" w:rsidRPr="00CA47B9">
        <w:t>in</w:t>
      </w:r>
      <w:r w:rsidR="004B41A2" w:rsidRPr="00CA47B9">
        <w:t xml:space="preserve"> </w:t>
      </w:r>
      <w:r w:rsidR="00B0298E" w:rsidRPr="00CA47B9">
        <w:t>Chichester</w:t>
      </w:r>
      <w:r w:rsidR="004B41A2" w:rsidRPr="00CA47B9">
        <w:t xml:space="preserve"> </w:t>
      </w:r>
      <w:r w:rsidR="00B0298E" w:rsidRPr="00CA47B9">
        <w:t>District.</w:t>
      </w:r>
      <w:r w:rsidR="004B41A2" w:rsidRPr="00CA47B9">
        <w:t xml:space="preserve"> </w:t>
      </w:r>
      <w:r w:rsidR="00B0298E" w:rsidRPr="00CA47B9">
        <w:t>On</w:t>
      </w:r>
      <w:r w:rsidR="004B41A2" w:rsidRPr="00CA47B9">
        <w:t xml:space="preserve"> </w:t>
      </w:r>
      <w:r w:rsidR="00B0298E" w:rsidRPr="00CA47B9">
        <w:t>average</w:t>
      </w:r>
      <w:r w:rsidR="004B41A2" w:rsidRPr="00CA47B9">
        <w:t xml:space="preserve"> </w:t>
      </w:r>
      <w:r w:rsidR="007D7918" w:rsidRPr="00CA47B9">
        <w:t>40</w:t>
      </w:r>
      <w:r w:rsidR="004B41A2" w:rsidRPr="00CA47B9">
        <w:t xml:space="preserve"> </w:t>
      </w:r>
      <w:r w:rsidR="00B0298E" w:rsidRPr="00CA47B9">
        <w:t>deals</w:t>
      </w:r>
      <w:r w:rsidR="004B41A2" w:rsidRPr="00CA47B9">
        <w:t xml:space="preserve"> </w:t>
      </w:r>
      <w:r w:rsidR="00B0298E" w:rsidRPr="00CA47B9">
        <w:t>were</w:t>
      </w:r>
      <w:r w:rsidR="004B41A2" w:rsidRPr="00CA47B9">
        <w:t xml:space="preserve"> </w:t>
      </w:r>
      <w:r w:rsidR="00B0298E" w:rsidRPr="00CA47B9">
        <w:t>recorded</w:t>
      </w:r>
      <w:r w:rsidR="004B41A2" w:rsidRPr="00CA47B9">
        <w:t xml:space="preserve"> </w:t>
      </w:r>
      <w:r w:rsidR="00B0298E" w:rsidRPr="00CA47B9">
        <w:t>per</w:t>
      </w:r>
      <w:r w:rsidR="004B41A2" w:rsidRPr="00CA47B9">
        <w:t xml:space="preserve"> </w:t>
      </w:r>
      <w:r w:rsidR="00B0298E" w:rsidRPr="00CA47B9">
        <w:t>annum</w:t>
      </w:r>
      <w:r w:rsidR="004B41A2" w:rsidRPr="00CA47B9">
        <w:t xml:space="preserve"> </w:t>
      </w:r>
      <w:r w:rsidR="00B0298E" w:rsidRPr="00CA47B9">
        <w:t>in</w:t>
      </w:r>
      <w:r w:rsidR="004B41A2" w:rsidRPr="00CA47B9">
        <w:t xml:space="preserve"> </w:t>
      </w:r>
      <w:r w:rsidR="00B0298E" w:rsidRPr="00CA47B9">
        <w:t>the</w:t>
      </w:r>
      <w:r w:rsidR="004B41A2" w:rsidRPr="00CA47B9">
        <w:t xml:space="preserve"> </w:t>
      </w:r>
      <w:r w:rsidR="00B0298E" w:rsidRPr="00CA47B9">
        <w:t>District</w:t>
      </w:r>
      <w:r>
        <w:t xml:space="preserve"> and 30 deals per annum </w:t>
      </w:r>
      <w:r w:rsidR="00033080">
        <w:t xml:space="preserve">excluding the </w:t>
      </w:r>
      <w:r>
        <w:t>SDNP</w:t>
      </w:r>
      <w:r w:rsidR="00033080">
        <w:t>.</w:t>
      </w:r>
      <w:r w:rsidR="004B41A2" w:rsidRPr="00CA47B9">
        <w:t xml:space="preserve"> </w:t>
      </w:r>
      <w:r w:rsidR="00B0298E" w:rsidRPr="00CA47B9">
        <w:t>The</w:t>
      </w:r>
      <w:r w:rsidR="004B41A2" w:rsidRPr="00CA47B9">
        <w:t xml:space="preserve"> </w:t>
      </w:r>
      <w:r w:rsidR="00B0298E" w:rsidRPr="00CA47B9">
        <w:t>highest</w:t>
      </w:r>
      <w:r w:rsidR="004B41A2" w:rsidRPr="00CA47B9">
        <w:t xml:space="preserve"> </w:t>
      </w:r>
      <w:proofErr w:type="gramStart"/>
      <w:r w:rsidR="00B0298E" w:rsidRPr="00CA47B9">
        <w:t>amount</w:t>
      </w:r>
      <w:r w:rsidR="004B41A2" w:rsidRPr="00CA47B9">
        <w:t xml:space="preserve"> </w:t>
      </w:r>
      <w:r w:rsidR="00B0298E" w:rsidRPr="00CA47B9">
        <w:t>of</w:t>
      </w:r>
      <w:r w:rsidR="004B41A2" w:rsidRPr="00CA47B9">
        <w:t xml:space="preserve"> </w:t>
      </w:r>
      <w:r w:rsidR="00B0298E" w:rsidRPr="00CA47B9">
        <w:t>deals</w:t>
      </w:r>
      <w:r w:rsidR="004B41A2" w:rsidRPr="00CA47B9">
        <w:t xml:space="preserve"> </w:t>
      </w:r>
      <w:r w:rsidR="00B0298E" w:rsidRPr="00CA47B9">
        <w:t>were</w:t>
      </w:r>
      <w:proofErr w:type="gramEnd"/>
      <w:r w:rsidR="004B41A2" w:rsidRPr="00CA47B9">
        <w:t xml:space="preserve"> </w:t>
      </w:r>
      <w:r w:rsidR="00B0298E" w:rsidRPr="00CA47B9">
        <w:t>made</w:t>
      </w:r>
      <w:r w:rsidR="004B41A2" w:rsidRPr="00CA47B9">
        <w:t xml:space="preserve"> </w:t>
      </w:r>
      <w:r w:rsidR="00B0298E" w:rsidRPr="00CA47B9">
        <w:t>on</w:t>
      </w:r>
      <w:r w:rsidR="004B41A2" w:rsidRPr="00CA47B9">
        <w:t xml:space="preserve"> </w:t>
      </w:r>
      <w:r w:rsidR="00B0298E" w:rsidRPr="00CA47B9">
        <w:t>premises</w:t>
      </w:r>
      <w:r w:rsidR="004B41A2" w:rsidRPr="00CA47B9">
        <w:t xml:space="preserve"> </w:t>
      </w:r>
      <w:r w:rsidR="00B0298E" w:rsidRPr="00CA47B9">
        <w:t>with</w:t>
      </w:r>
      <w:r w:rsidR="004B41A2" w:rsidRPr="00CA47B9">
        <w:t xml:space="preserve"> </w:t>
      </w:r>
      <w:r w:rsidR="00B0298E" w:rsidRPr="00CA47B9">
        <w:t>less</w:t>
      </w:r>
      <w:r w:rsidR="004B41A2" w:rsidRPr="00CA47B9">
        <w:t xml:space="preserve"> </w:t>
      </w:r>
      <w:r w:rsidR="00B0298E" w:rsidRPr="00CA47B9">
        <w:t>than</w:t>
      </w:r>
      <w:r w:rsidR="004B41A2" w:rsidRPr="00CA47B9">
        <w:t xml:space="preserve"> </w:t>
      </w:r>
      <w:r w:rsidR="00B0298E" w:rsidRPr="00CA47B9">
        <w:t>185</w:t>
      </w:r>
      <w:r w:rsidR="004B41A2" w:rsidRPr="00CA47B9">
        <w:t xml:space="preserve"> </w:t>
      </w:r>
      <w:r w:rsidR="00D43280" w:rsidRPr="00CA47B9">
        <w:t>sqm.</w:t>
      </w:r>
      <w:r w:rsidR="004B41A2" w:rsidRPr="00CA47B9">
        <w:t xml:space="preserve"> </w:t>
      </w:r>
      <w:r w:rsidR="00B0298E" w:rsidRPr="00CA47B9">
        <w:t>(4</w:t>
      </w:r>
      <w:r w:rsidR="007D7918" w:rsidRPr="00CA47B9">
        <w:t>7</w:t>
      </w:r>
      <w:r w:rsidR="00B0298E" w:rsidRPr="00CA47B9">
        <w:t>%),</w:t>
      </w:r>
      <w:r w:rsidR="004B41A2" w:rsidRPr="00CA47B9">
        <w:t xml:space="preserve"> </w:t>
      </w:r>
      <w:r w:rsidR="00B0298E" w:rsidRPr="00CA47B9">
        <w:t>followed</w:t>
      </w:r>
      <w:r w:rsidR="004B41A2" w:rsidRPr="00CA47B9">
        <w:t xml:space="preserve"> </w:t>
      </w:r>
      <w:r w:rsidR="00B0298E" w:rsidRPr="00CA47B9">
        <w:t>by</w:t>
      </w:r>
      <w:r w:rsidR="004B41A2" w:rsidRPr="00CA47B9">
        <w:t xml:space="preserve"> </w:t>
      </w:r>
      <w:r w:rsidR="00B0298E" w:rsidRPr="00CA47B9">
        <w:t>units</w:t>
      </w:r>
      <w:r w:rsidR="004B41A2" w:rsidRPr="00CA47B9">
        <w:t xml:space="preserve"> </w:t>
      </w:r>
      <w:r w:rsidR="00B0298E" w:rsidRPr="00CA47B9">
        <w:t>between</w:t>
      </w:r>
      <w:r w:rsidR="004B41A2" w:rsidRPr="00CA47B9">
        <w:t xml:space="preserve"> </w:t>
      </w:r>
      <w:r w:rsidR="00B0298E" w:rsidRPr="00CA47B9">
        <w:t>185</w:t>
      </w:r>
      <w:r w:rsidR="004B41A2" w:rsidRPr="00CA47B9">
        <w:t xml:space="preserve"> </w:t>
      </w:r>
      <w:r w:rsidR="00B0298E" w:rsidRPr="00CA47B9">
        <w:t>and</w:t>
      </w:r>
      <w:r w:rsidR="004B41A2" w:rsidRPr="00CA47B9">
        <w:t xml:space="preserve"> </w:t>
      </w:r>
      <w:r w:rsidR="00B0298E" w:rsidRPr="00CA47B9">
        <w:t>500</w:t>
      </w:r>
      <w:r w:rsidR="004B41A2" w:rsidRPr="00CA47B9">
        <w:t xml:space="preserve"> </w:t>
      </w:r>
      <w:r w:rsidR="00D43280" w:rsidRPr="00CA47B9">
        <w:t>s</w:t>
      </w:r>
      <w:r w:rsidR="0021576F" w:rsidRPr="00CA47B9">
        <w:t>q</w:t>
      </w:r>
      <w:r w:rsidR="00D43280" w:rsidRPr="00CA47B9">
        <w:t>m</w:t>
      </w:r>
      <w:r w:rsidR="004B41A2" w:rsidRPr="00CA47B9">
        <w:t xml:space="preserve"> </w:t>
      </w:r>
      <w:r w:rsidR="00B0298E" w:rsidRPr="00CA47B9">
        <w:t>(3</w:t>
      </w:r>
      <w:r w:rsidR="007D7918" w:rsidRPr="00CA47B9">
        <w:t>1</w:t>
      </w:r>
      <w:r w:rsidR="00B0298E" w:rsidRPr="00CA47B9">
        <w:t>%).</w:t>
      </w:r>
    </w:p>
    <w:p w:rsidR="00B0298E" w:rsidRPr="00CA47B9" w:rsidRDefault="00B0298E" w:rsidP="005D5606">
      <w:pPr>
        <w:pStyle w:val="FigureHeading"/>
        <w:tabs>
          <w:tab w:val="clear" w:pos="794"/>
          <w:tab w:val="clear" w:pos="1843"/>
          <w:tab w:val="left" w:pos="0"/>
        </w:tabs>
        <w:ind w:left="0" w:firstLine="0"/>
      </w:pPr>
      <w:bookmarkStart w:id="219" w:name="_Toc481156695"/>
      <w:r w:rsidRPr="00CA47B9">
        <w:t>Number</w:t>
      </w:r>
      <w:r w:rsidR="004B41A2" w:rsidRPr="00CA47B9">
        <w:t xml:space="preserve"> </w:t>
      </w:r>
      <w:r w:rsidRPr="00CA47B9">
        <w:t>of</w:t>
      </w:r>
      <w:r w:rsidR="004B41A2" w:rsidRPr="00CA47B9">
        <w:t xml:space="preserve"> </w:t>
      </w:r>
      <w:r w:rsidRPr="00CA47B9">
        <w:t>Industrial</w:t>
      </w:r>
      <w:r w:rsidR="004B41A2" w:rsidRPr="00CA47B9">
        <w:t xml:space="preserve"> </w:t>
      </w:r>
      <w:r w:rsidRPr="00CA47B9">
        <w:t>deals</w:t>
      </w:r>
      <w:r w:rsidR="004B41A2" w:rsidRPr="00CA47B9">
        <w:t xml:space="preserve"> </w:t>
      </w:r>
      <w:r w:rsidRPr="00CA47B9">
        <w:t>by</w:t>
      </w:r>
      <w:r w:rsidR="004B41A2" w:rsidRPr="00CA47B9">
        <w:t xml:space="preserve"> </w:t>
      </w:r>
      <w:r w:rsidRPr="00CA47B9">
        <w:t>size</w:t>
      </w:r>
      <w:r w:rsidR="004B41A2" w:rsidRPr="00CA47B9">
        <w:t xml:space="preserve"> </w:t>
      </w:r>
      <w:r w:rsidRPr="00CA47B9">
        <w:t>and</w:t>
      </w:r>
      <w:r w:rsidR="004B41A2" w:rsidRPr="00CA47B9">
        <w:t xml:space="preserve"> </w:t>
      </w:r>
      <w:r w:rsidRPr="00CA47B9">
        <w:t>year</w:t>
      </w:r>
      <w:r w:rsidR="004B41A2" w:rsidRPr="00CA47B9">
        <w:t xml:space="preserve"> </w:t>
      </w:r>
      <w:r w:rsidR="00F75AF4" w:rsidRPr="00CA47B9">
        <w:t>in</w:t>
      </w:r>
      <w:r w:rsidR="004B41A2" w:rsidRPr="00CA47B9">
        <w:t xml:space="preserve"> </w:t>
      </w:r>
      <w:r w:rsidR="00F75AF4" w:rsidRPr="00CA47B9">
        <w:t>Chichester</w:t>
      </w:r>
      <w:r w:rsidR="004B41A2" w:rsidRPr="00CA47B9">
        <w:t xml:space="preserve"> </w:t>
      </w:r>
      <w:r w:rsidR="00F75AF4" w:rsidRPr="00CA47B9">
        <w:t>District</w:t>
      </w:r>
      <w:r w:rsidRPr="00CA47B9">
        <w:t>,</w:t>
      </w:r>
      <w:r w:rsidR="004B41A2" w:rsidRPr="00CA47B9">
        <w:t xml:space="preserve"> </w:t>
      </w:r>
      <w:r w:rsidRPr="00CA47B9">
        <w:t>2007-1</w:t>
      </w:r>
      <w:bookmarkEnd w:id="219"/>
      <w:r w:rsidR="00E66276" w:rsidRPr="00CA47B9">
        <w:t>8</w:t>
      </w:r>
    </w:p>
    <w:p w:rsidR="00B0298E" w:rsidRPr="00CA47B9" w:rsidRDefault="00A23139" w:rsidP="00031E60">
      <w:pPr>
        <w:pStyle w:val="Bodytextwithindent"/>
        <w:keepNext/>
        <w:spacing w:before="0" w:after="0" w:line="240" w:lineRule="auto"/>
        <w:ind w:left="0"/>
        <w:rPr>
          <w:rFonts w:asciiTheme="minorHAnsi" w:hAnsiTheme="minorHAnsi" w:cstheme="minorHAnsi"/>
          <w:color w:val="auto"/>
          <w:highlight w:val="yellow"/>
        </w:rPr>
      </w:pPr>
      <w:r w:rsidRPr="00CA47B9">
        <w:rPr>
          <w:noProof/>
          <w:color w:val="auto"/>
          <w:lang w:eastAsia="en-GB"/>
        </w:rPr>
        <w:drawing>
          <wp:inline distT="0" distB="0" distL="0" distR="0" wp14:anchorId="4C7CAE96" wp14:editId="66429C16">
            <wp:extent cx="6120000" cy="2880000"/>
            <wp:effectExtent l="0" t="0" r="14605" b="15875"/>
            <wp:docPr id="1052" name="Chart 1052" descr="Stacked bar chart showing the number of industrial deal by size band transacted from 2007 to 2018" title="Figure 58: Number of Industrial deals by size and year in Chichester District, 2007-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B0298E" w:rsidRPr="00795E1F" w:rsidRDefault="00B0298E" w:rsidP="005D5606">
      <w:pPr>
        <w:pStyle w:val="Referencetext8pt"/>
        <w:spacing w:after="120" w:line="360" w:lineRule="auto"/>
        <w:rPr>
          <w:rFonts w:cs="Arial"/>
          <w:color w:val="auto"/>
          <w:sz w:val="24"/>
          <w:szCs w:val="24"/>
        </w:rPr>
      </w:pPr>
      <w:r w:rsidRPr="00795E1F">
        <w:rPr>
          <w:rFonts w:cs="Arial"/>
          <w:color w:val="auto"/>
          <w:sz w:val="24"/>
          <w:szCs w:val="24"/>
        </w:rPr>
        <w:t>Source:</w:t>
      </w:r>
      <w:r w:rsidR="004B41A2" w:rsidRPr="00795E1F">
        <w:rPr>
          <w:rFonts w:cs="Arial"/>
          <w:color w:val="auto"/>
          <w:sz w:val="24"/>
          <w:szCs w:val="24"/>
        </w:rPr>
        <w:t xml:space="preserve"> </w:t>
      </w:r>
      <w:r w:rsidRPr="00795E1F">
        <w:rPr>
          <w:rFonts w:cs="Arial"/>
          <w:color w:val="auto"/>
          <w:sz w:val="24"/>
          <w:szCs w:val="24"/>
        </w:rPr>
        <w:t>GL</w:t>
      </w:r>
      <w:r w:rsidR="004B41A2" w:rsidRPr="00795E1F">
        <w:rPr>
          <w:rFonts w:cs="Arial"/>
          <w:color w:val="auto"/>
          <w:sz w:val="24"/>
          <w:szCs w:val="24"/>
        </w:rPr>
        <w:t xml:space="preserve"> </w:t>
      </w:r>
      <w:r w:rsidRPr="00795E1F">
        <w:rPr>
          <w:rFonts w:cs="Arial"/>
          <w:color w:val="auto"/>
          <w:sz w:val="24"/>
          <w:szCs w:val="24"/>
        </w:rPr>
        <w:t>Hearn</w:t>
      </w:r>
      <w:r w:rsidR="004B41A2" w:rsidRPr="00795E1F">
        <w:rPr>
          <w:rFonts w:cs="Arial"/>
          <w:color w:val="auto"/>
          <w:sz w:val="24"/>
          <w:szCs w:val="24"/>
        </w:rPr>
        <w:t xml:space="preserve"> </w:t>
      </w:r>
      <w:r w:rsidRPr="00795E1F">
        <w:rPr>
          <w:rFonts w:cs="Arial"/>
          <w:color w:val="auto"/>
          <w:sz w:val="24"/>
          <w:szCs w:val="24"/>
        </w:rPr>
        <w:t>Analysis</w:t>
      </w:r>
      <w:r w:rsidR="004B41A2" w:rsidRPr="00795E1F">
        <w:rPr>
          <w:rFonts w:cs="Arial"/>
          <w:color w:val="auto"/>
          <w:sz w:val="24"/>
          <w:szCs w:val="24"/>
        </w:rPr>
        <w:t xml:space="preserve"> </w:t>
      </w:r>
      <w:r w:rsidRPr="00795E1F">
        <w:rPr>
          <w:rFonts w:cs="Arial"/>
          <w:color w:val="auto"/>
          <w:sz w:val="24"/>
          <w:szCs w:val="24"/>
        </w:rPr>
        <w:t>of</w:t>
      </w:r>
      <w:r w:rsidR="004B41A2" w:rsidRPr="00795E1F">
        <w:rPr>
          <w:rFonts w:cs="Arial"/>
          <w:color w:val="auto"/>
          <w:sz w:val="24"/>
          <w:szCs w:val="24"/>
        </w:rPr>
        <w:t xml:space="preserve"> </w:t>
      </w:r>
      <w:r w:rsidRPr="00795E1F">
        <w:rPr>
          <w:rFonts w:cs="Arial"/>
          <w:color w:val="auto"/>
          <w:sz w:val="24"/>
          <w:szCs w:val="24"/>
        </w:rPr>
        <w:t>EGi</w:t>
      </w:r>
      <w:r w:rsidR="004B41A2" w:rsidRPr="00795E1F">
        <w:rPr>
          <w:rFonts w:cs="Arial"/>
          <w:color w:val="auto"/>
          <w:sz w:val="24"/>
          <w:szCs w:val="24"/>
        </w:rPr>
        <w:t xml:space="preserve"> </w:t>
      </w:r>
      <w:r w:rsidRPr="00795E1F">
        <w:rPr>
          <w:rFonts w:cs="Arial"/>
          <w:color w:val="auto"/>
          <w:sz w:val="24"/>
          <w:szCs w:val="24"/>
        </w:rPr>
        <w:t>and</w:t>
      </w:r>
      <w:r w:rsidR="004B41A2" w:rsidRPr="00795E1F">
        <w:rPr>
          <w:rFonts w:cs="Arial"/>
          <w:color w:val="auto"/>
          <w:sz w:val="24"/>
          <w:szCs w:val="24"/>
        </w:rPr>
        <w:t xml:space="preserve"> </w:t>
      </w:r>
      <w:r w:rsidRPr="00795E1F">
        <w:rPr>
          <w:rFonts w:cs="Arial"/>
          <w:color w:val="auto"/>
          <w:sz w:val="24"/>
          <w:szCs w:val="24"/>
        </w:rPr>
        <w:t>CoStar</w:t>
      </w:r>
      <w:r w:rsidR="004B41A2" w:rsidRPr="00795E1F">
        <w:rPr>
          <w:rFonts w:cs="Arial"/>
          <w:color w:val="auto"/>
          <w:sz w:val="24"/>
          <w:szCs w:val="24"/>
        </w:rPr>
        <w:t xml:space="preserve"> </w:t>
      </w:r>
      <w:r w:rsidRPr="00795E1F">
        <w:rPr>
          <w:rFonts w:cs="Arial"/>
          <w:color w:val="auto"/>
          <w:sz w:val="24"/>
          <w:szCs w:val="24"/>
        </w:rPr>
        <w:t>Data</w:t>
      </w:r>
    </w:p>
    <w:p w:rsidR="00B0298E" w:rsidRPr="00CA47B9" w:rsidRDefault="00A70FE4" w:rsidP="001C73B8">
      <w:pPr>
        <w:pStyle w:val="11Bodytext"/>
        <w:tabs>
          <w:tab w:val="clear" w:pos="2212"/>
          <w:tab w:val="num" w:pos="567"/>
        </w:tabs>
        <w:ind w:left="567" w:hanging="567"/>
      </w:pPr>
      <w:r>
        <w:t>The f</w:t>
      </w:r>
      <w:r w:rsidR="00B0298E" w:rsidRPr="00CA47B9">
        <w:t>igure</w:t>
      </w:r>
      <w:r w:rsidR="004B41A2" w:rsidRPr="00CA47B9">
        <w:t xml:space="preserve"> </w:t>
      </w:r>
      <w:r w:rsidR="0006168B">
        <w:t>below</w:t>
      </w:r>
      <w:r w:rsidR="004B41A2" w:rsidRPr="00CA47B9">
        <w:t xml:space="preserve"> </w:t>
      </w:r>
      <w:r w:rsidR="00B0298E" w:rsidRPr="00CA47B9">
        <w:t>presents</w:t>
      </w:r>
      <w:r w:rsidR="004B41A2" w:rsidRPr="00CA47B9">
        <w:t xml:space="preserve"> </w:t>
      </w:r>
      <w:r w:rsidR="00B0298E" w:rsidRPr="00CA47B9">
        <w:t>the</w:t>
      </w:r>
      <w:r w:rsidR="004B41A2" w:rsidRPr="00CA47B9">
        <w:t xml:space="preserve"> </w:t>
      </w:r>
      <w:r w:rsidR="00B0298E" w:rsidRPr="00CA47B9">
        <w:t>number</w:t>
      </w:r>
      <w:r w:rsidR="004B41A2" w:rsidRPr="00CA47B9">
        <w:t xml:space="preserve"> </w:t>
      </w:r>
      <w:r w:rsidR="00B0298E" w:rsidRPr="00CA47B9">
        <w:t>of</w:t>
      </w:r>
      <w:r w:rsidR="004B41A2" w:rsidRPr="00CA47B9">
        <w:t xml:space="preserve"> </w:t>
      </w:r>
      <w:r w:rsidR="00B0298E" w:rsidRPr="00CA47B9">
        <w:t>deals</w:t>
      </w:r>
      <w:r w:rsidR="004B41A2" w:rsidRPr="00CA47B9">
        <w:t xml:space="preserve"> </w:t>
      </w:r>
      <w:r w:rsidR="00B0298E" w:rsidRPr="00CA47B9">
        <w:t>broken</w:t>
      </w:r>
      <w:r w:rsidR="004B41A2" w:rsidRPr="00CA47B9">
        <w:t xml:space="preserve"> </w:t>
      </w:r>
      <w:r w:rsidR="00B0298E" w:rsidRPr="00CA47B9">
        <w:t>down</w:t>
      </w:r>
      <w:r w:rsidR="004B41A2" w:rsidRPr="00CA47B9">
        <w:t xml:space="preserve"> </w:t>
      </w:r>
      <w:r w:rsidR="00B0298E" w:rsidRPr="00CA47B9">
        <w:t>by</w:t>
      </w:r>
      <w:r w:rsidR="004B41A2" w:rsidRPr="00CA47B9">
        <w:t xml:space="preserve"> </w:t>
      </w:r>
      <w:r w:rsidR="00B0298E" w:rsidRPr="00CA47B9">
        <w:t>year</w:t>
      </w:r>
      <w:r w:rsidR="004B41A2" w:rsidRPr="00CA47B9">
        <w:t xml:space="preserve"> </w:t>
      </w:r>
      <w:r w:rsidR="00B0298E" w:rsidRPr="00CA47B9">
        <w:t>and</w:t>
      </w:r>
      <w:r w:rsidR="004B41A2" w:rsidRPr="00CA47B9">
        <w:t xml:space="preserve"> </w:t>
      </w:r>
      <w:r w:rsidR="00B0298E" w:rsidRPr="00CA47B9">
        <w:t>sub-area</w:t>
      </w:r>
      <w:r w:rsidR="004B41A2" w:rsidRPr="00CA47B9">
        <w:t xml:space="preserve"> </w:t>
      </w:r>
      <w:r w:rsidR="00B0298E" w:rsidRPr="00CA47B9">
        <w:t>for</w:t>
      </w:r>
      <w:r w:rsidR="004B41A2" w:rsidRPr="00CA47B9">
        <w:t xml:space="preserve"> </w:t>
      </w:r>
      <w:r w:rsidR="00B0298E" w:rsidRPr="00CA47B9">
        <w:t>the</w:t>
      </w:r>
      <w:r w:rsidR="004B41A2" w:rsidRPr="00CA47B9">
        <w:t xml:space="preserve"> </w:t>
      </w:r>
      <w:r w:rsidR="00B0298E" w:rsidRPr="00CA47B9">
        <w:t>2007</w:t>
      </w:r>
      <w:r w:rsidR="004B41A2" w:rsidRPr="00CA47B9">
        <w:t xml:space="preserve"> </w:t>
      </w:r>
      <w:r w:rsidR="00B0298E" w:rsidRPr="00CA47B9">
        <w:t>to</w:t>
      </w:r>
      <w:r w:rsidR="004B41A2" w:rsidRPr="00CA47B9">
        <w:t xml:space="preserve"> </w:t>
      </w:r>
      <w:r w:rsidR="00B0298E" w:rsidRPr="00CA47B9">
        <w:t>201</w:t>
      </w:r>
      <w:r w:rsidR="00C1352E" w:rsidRPr="00CA47B9">
        <w:t>8</w:t>
      </w:r>
      <w:r w:rsidR="004B41A2" w:rsidRPr="00CA47B9">
        <w:t xml:space="preserve"> </w:t>
      </w:r>
      <w:r w:rsidR="00B0298E" w:rsidRPr="00CA47B9">
        <w:t>period.</w:t>
      </w:r>
      <w:r w:rsidR="004B41A2" w:rsidRPr="00CA47B9">
        <w:t xml:space="preserve"> </w:t>
      </w:r>
      <w:r w:rsidR="00B0298E" w:rsidRPr="00CA47B9">
        <w:t>The</w:t>
      </w:r>
      <w:r w:rsidR="004B41A2" w:rsidRPr="00CA47B9">
        <w:t xml:space="preserve"> </w:t>
      </w:r>
      <w:r w:rsidR="00B0298E" w:rsidRPr="00CA47B9">
        <w:t>highest</w:t>
      </w:r>
      <w:r w:rsidR="004B41A2" w:rsidRPr="00CA47B9">
        <w:t xml:space="preserve"> </w:t>
      </w:r>
      <w:r w:rsidR="00B0298E" w:rsidRPr="00CA47B9">
        <w:t>number</w:t>
      </w:r>
      <w:r w:rsidR="004B41A2" w:rsidRPr="00CA47B9">
        <w:t xml:space="preserve"> </w:t>
      </w:r>
      <w:r w:rsidR="00B0298E" w:rsidRPr="00CA47B9">
        <w:t>of</w:t>
      </w:r>
      <w:r w:rsidR="004B41A2" w:rsidRPr="00CA47B9">
        <w:t xml:space="preserve"> </w:t>
      </w:r>
      <w:r w:rsidR="00B0298E" w:rsidRPr="00CA47B9">
        <w:t>deals</w:t>
      </w:r>
      <w:r w:rsidR="004B41A2" w:rsidRPr="00CA47B9">
        <w:t xml:space="preserve"> </w:t>
      </w:r>
      <w:r w:rsidR="00B0298E" w:rsidRPr="00CA47B9">
        <w:t>were</w:t>
      </w:r>
      <w:r w:rsidR="004B41A2" w:rsidRPr="00CA47B9">
        <w:t xml:space="preserve"> </w:t>
      </w:r>
      <w:r w:rsidR="00B0298E" w:rsidRPr="00CA47B9">
        <w:t>recorded</w:t>
      </w:r>
      <w:r w:rsidR="004B41A2" w:rsidRPr="00CA47B9">
        <w:t xml:space="preserve"> </w:t>
      </w:r>
      <w:r w:rsidR="00B0298E" w:rsidRPr="00CA47B9">
        <w:t>in</w:t>
      </w:r>
      <w:r w:rsidR="004B41A2" w:rsidRPr="00CA47B9">
        <w:t xml:space="preserve"> </w:t>
      </w:r>
      <w:r w:rsidR="00B0298E" w:rsidRPr="00CA47B9">
        <w:t>the</w:t>
      </w:r>
      <w:r w:rsidR="004B41A2" w:rsidRPr="00CA47B9">
        <w:t xml:space="preserve"> </w:t>
      </w:r>
      <w:r w:rsidR="00B0298E" w:rsidRPr="00CA47B9">
        <w:t>Chichester</w:t>
      </w:r>
      <w:r w:rsidR="004B41A2" w:rsidRPr="00CA47B9">
        <w:t xml:space="preserve"> </w:t>
      </w:r>
      <w:r w:rsidR="00B0298E" w:rsidRPr="00CA47B9">
        <w:t>sub-area</w:t>
      </w:r>
      <w:r w:rsidR="004B41A2" w:rsidRPr="00CA47B9">
        <w:t xml:space="preserve"> </w:t>
      </w:r>
      <w:r w:rsidR="00B0298E" w:rsidRPr="00CA47B9">
        <w:t>(1</w:t>
      </w:r>
      <w:r w:rsidR="00C1352E" w:rsidRPr="00CA47B9">
        <w:t>65</w:t>
      </w:r>
      <w:r w:rsidR="00B0298E" w:rsidRPr="00CA47B9">
        <w:t>),</w:t>
      </w:r>
      <w:r w:rsidR="004B41A2" w:rsidRPr="00CA47B9">
        <w:t xml:space="preserve"> </w:t>
      </w:r>
      <w:r w:rsidR="00B0298E" w:rsidRPr="00CA47B9">
        <w:t>followed</w:t>
      </w:r>
      <w:r w:rsidR="004B41A2" w:rsidRPr="00CA47B9">
        <w:t xml:space="preserve"> </w:t>
      </w:r>
      <w:r w:rsidR="00B0298E" w:rsidRPr="00CA47B9">
        <w:t>by</w:t>
      </w:r>
      <w:r w:rsidR="00C1352E" w:rsidRPr="00CA47B9">
        <w:t xml:space="preserve"> the East-West Corridor (112) and</w:t>
      </w:r>
      <w:r w:rsidR="004B41A2" w:rsidRPr="00CA47B9">
        <w:t xml:space="preserve"> </w:t>
      </w:r>
      <w:r w:rsidR="00B0298E" w:rsidRPr="00CA47B9">
        <w:t>South</w:t>
      </w:r>
      <w:r w:rsidR="004B41A2" w:rsidRPr="00CA47B9">
        <w:t xml:space="preserve"> </w:t>
      </w:r>
      <w:r w:rsidR="00B0298E" w:rsidRPr="00CA47B9">
        <w:t>Downs</w:t>
      </w:r>
      <w:r w:rsidR="004B41A2" w:rsidRPr="00CA47B9">
        <w:t xml:space="preserve"> </w:t>
      </w:r>
      <w:r w:rsidR="00B0298E" w:rsidRPr="00CA47B9">
        <w:t>National</w:t>
      </w:r>
      <w:r w:rsidR="004B41A2" w:rsidRPr="00CA47B9">
        <w:t xml:space="preserve"> </w:t>
      </w:r>
      <w:r w:rsidR="00B0298E" w:rsidRPr="00CA47B9">
        <w:t>Park</w:t>
      </w:r>
      <w:r w:rsidR="004B41A2" w:rsidRPr="00CA47B9">
        <w:t xml:space="preserve"> </w:t>
      </w:r>
      <w:r w:rsidR="00B0298E" w:rsidRPr="00CA47B9">
        <w:t>(</w:t>
      </w:r>
      <w:r w:rsidR="00C1352E" w:rsidRPr="00CA47B9">
        <w:t>111</w:t>
      </w:r>
      <w:r w:rsidR="00B0298E" w:rsidRPr="00CA47B9">
        <w:t>).</w:t>
      </w:r>
      <w:r w:rsidR="004B41A2" w:rsidRPr="00CA47B9">
        <w:t xml:space="preserve"> </w:t>
      </w:r>
      <w:r w:rsidR="00B0298E" w:rsidRPr="00CA47B9">
        <w:t>The</w:t>
      </w:r>
      <w:r w:rsidR="004B41A2" w:rsidRPr="00CA47B9">
        <w:t xml:space="preserve"> </w:t>
      </w:r>
      <w:r w:rsidR="00B0298E" w:rsidRPr="00CA47B9">
        <w:t>smallest</w:t>
      </w:r>
      <w:r w:rsidR="004B41A2" w:rsidRPr="00CA47B9">
        <w:t xml:space="preserve"> </w:t>
      </w:r>
      <w:r w:rsidR="00F75AF4" w:rsidRPr="00CA47B9">
        <w:t>number</w:t>
      </w:r>
      <w:r w:rsidR="004B41A2" w:rsidRPr="00CA47B9">
        <w:t xml:space="preserve"> </w:t>
      </w:r>
      <w:r w:rsidR="00B0298E" w:rsidRPr="00CA47B9">
        <w:t>of</w:t>
      </w:r>
      <w:r w:rsidR="004B41A2" w:rsidRPr="00CA47B9">
        <w:t xml:space="preserve"> </w:t>
      </w:r>
      <w:r w:rsidR="00B0298E" w:rsidRPr="00CA47B9">
        <w:t>industrial</w:t>
      </w:r>
      <w:r w:rsidR="004B41A2" w:rsidRPr="00CA47B9">
        <w:t xml:space="preserve"> </w:t>
      </w:r>
      <w:r w:rsidR="00B0298E" w:rsidRPr="00CA47B9">
        <w:t>deals</w:t>
      </w:r>
      <w:r w:rsidR="004B41A2" w:rsidRPr="00CA47B9">
        <w:t xml:space="preserve"> </w:t>
      </w:r>
      <w:r w:rsidR="00B0298E" w:rsidRPr="00CA47B9">
        <w:t>was</w:t>
      </w:r>
      <w:r w:rsidR="004B41A2" w:rsidRPr="00CA47B9">
        <w:t xml:space="preserve"> </w:t>
      </w:r>
      <w:r w:rsidR="00B0298E" w:rsidRPr="00CA47B9">
        <w:t>recorded</w:t>
      </w:r>
      <w:r w:rsidR="004B41A2" w:rsidRPr="00CA47B9">
        <w:t xml:space="preserve"> </w:t>
      </w:r>
      <w:r w:rsidR="00B0298E" w:rsidRPr="00CA47B9">
        <w:t>in</w:t>
      </w:r>
      <w:r w:rsidR="004B41A2" w:rsidRPr="00CA47B9">
        <w:t xml:space="preserve"> </w:t>
      </w:r>
      <w:r w:rsidR="00B0298E" w:rsidRPr="00CA47B9">
        <w:t>Plan</w:t>
      </w:r>
      <w:r w:rsidR="004B41A2" w:rsidRPr="00CA47B9">
        <w:t xml:space="preserve"> </w:t>
      </w:r>
      <w:r w:rsidR="00B0298E" w:rsidRPr="00CA47B9">
        <w:t>Area</w:t>
      </w:r>
      <w:r w:rsidR="004B41A2" w:rsidRPr="00CA47B9">
        <w:t xml:space="preserve"> </w:t>
      </w:r>
      <w:r w:rsidR="00B0298E" w:rsidRPr="00CA47B9">
        <w:t>North</w:t>
      </w:r>
      <w:r w:rsidR="004B41A2" w:rsidRPr="00CA47B9">
        <w:t xml:space="preserve"> </w:t>
      </w:r>
      <w:r w:rsidR="00B0298E" w:rsidRPr="00CA47B9">
        <w:t>sub-area</w:t>
      </w:r>
      <w:r w:rsidR="004B41A2" w:rsidRPr="00CA47B9">
        <w:t xml:space="preserve"> </w:t>
      </w:r>
      <w:r w:rsidR="00B0298E" w:rsidRPr="00CA47B9">
        <w:t>(</w:t>
      </w:r>
      <w:r w:rsidR="00C1352E" w:rsidRPr="00CA47B9">
        <w:t>11</w:t>
      </w:r>
      <w:r w:rsidR="004B41A2" w:rsidRPr="00CA47B9">
        <w:t xml:space="preserve"> </w:t>
      </w:r>
      <w:r w:rsidR="00B0298E" w:rsidRPr="00CA47B9">
        <w:t>deals).</w:t>
      </w:r>
    </w:p>
    <w:p w:rsidR="00B0298E" w:rsidRPr="00CA47B9" w:rsidRDefault="00B0298E" w:rsidP="005D5606">
      <w:pPr>
        <w:pStyle w:val="FigureHeading"/>
        <w:tabs>
          <w:tab w:val="clear" w:pos="794"/>
          <w:tab w:val="clear" w:pos="1843"/>
          <w:tab w:val="left" w:pos="0"/>
        </w:tabs>
        <w:ind w:left="0" w:firstLine="0"/>
      </w:pPr>
      <w:bookmarkStart w:id="220" w:name="_Toc481156696"/>
      <w:r w:rsidRPr="00CA47B9">
        <w:lastRenderedPageBreak/>
        <w:t>Number</w:t>
      </w:r>
      <w:r w:rsidR="004B41A2" w:rsidRPr="00CA47B9">
        <w:t xml:space="preserve"> </w:t>
      </w:r>
      <w:r w:rsidRPr="00CA47B9">
        <w:t>of</w:t>
      </w:r>
      <w:r w:rsidR="004B41A2" w:rsidRPr="00CA47B9">
        <w:t xml:space="preserve"> </w:t>
      </w:r>
      <w:r w:rsidRPr="00CA47B9">
        <w:t>Industrial</w:t>
      </w:r>
      <w:r w:rsidR="004B41A2" w:rsidRPr="00CA47B9">
        <w:t xml:space="preserve"> </w:t>
      </w:r>
      <w:r w:rsidRPr="00CA47B9">
        <w:t>deals</w:t>
      </w:r>
      <w:r w:rsidR="004B41A2" w:rsidRPr="00CA47B9">
        <w:t xml:space="preserve"> </w:t>
      </w:r>
      <w:r w:rsidRPr="00CA47B9">
        <w:t>by</w:t>
      </w:r>
      <w:r w:rsidR="004B41A2" w:rsidRPr="00CA47B9">
        <w:t xml:space="preserve"> </w:t>
      </w:r>
      <w:r w:rsidRPr="00CA47B9">
        <w:t>year</w:t>
      </w:r>
      <w:r w:rsidR="004B41A2" w:rsidRPr="00CA47B9">
        <w:t xml:space="preserve"> </w:t>
      </w:r>
      <w:r w:rsidRPr="00CA47B9">
        <w:t>and</w:t>
      </w:r>
      <w:r w:rsidR="004B41A2" w:rsidRPr="00CA47B9">
        <w:t xml:space="preserve"> </w:t>
      </w:r>
      <w:r w:rsidRPr="00CA47B9">
        <w:t>sub-area,</w:t>
      </w:r>
      <w:r w:rsidR="004B41A2" w:rsidRPr="00CA47B9">
        <w:t xml:space="preserve"> </w:t>
      </w:r>
      <w:r w:rsidRPr="00CA47B9">
        <w:t>2007-1</w:t>
      </w:r>
      <w:bookmarkEnd w:id="220"/>
      <w:r w:rsidR="002D1374" w:rsidRPr="00CA47B9">
        <w:t>8</w:t>
      </w:r>
    </w:p>
    <w:p w:rsidR="00B0298E" w:rsidRPr="00CA47B9" w:rsidRDefault="00A23139" w:rsidP="00031E60">
      <w:pPr>
        <w:keepNext/>
        <w:rPr>
          <w:rFonts w:asciiTheme="minorHAnsi" w:hAnsiTheme="minorHAnsi" w:cstheme="minorHAnsi"/>
          <w:color w:val="auto"/>
        </w:rPr>
      </w:pPr>
      <w:r w:rsidRPr="00CA47B9">
        <w:rPr>
          <w:noProof/>
          <w:color w:val="auto"/>
          <w:lang w:eastAsia="en-GB"/>
        </w:rPr>
        <w:drawing>
          <wp:inline distT="0" distB="0" distL="0" distR="0" wp14:anchorId="246AF1E7" wp14:editId="35CEF2B3">
            <wp:extent cx="6120000" cy="2880000"/>
            <wp:effectExtent l="0" t="0" r="14605" b="15875"/>
            <wp:docPr id="112" name="Chart 112" descr="Stacked bar chart showing the number of industrial deals by year in each sub area of Chichester district" title="Figure 59: Number of Industrial deals by year and sub-area, 2007-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B0298E" w:rsidRPr="00795E1F" w:rsidRDefault="00B0298E" w:rsidP="005D5606">
      <w:pPr>
        <w:pStyle w:val="Referencetext8pt"/>
        <w:spacing w:after="120" w:line="360" w:lineRule="auto"/>
        <w:rPr>
          <w:rFonts w:asciiTheme="minorHAnsi" w:hAnsiTheme="minorHAnsi" w:cstheme="minorHAnsi"/>
          <w:color w:val="auto"/>
          <w:sz w:val="24"/>
          <w:szCs w:val="22"/>
        </w:rPr>
      </w:pPr>
      <w:r w:rsidRPr="00795E1F">
        <w:rPr>
          <w:rFonts w:asciiTheme="minorHAnsi" w:hAnsiTheme="minorHAnsi" w:cstheme="minorHAnsi"/>
          <w:color w:val="auto"/>
          <w:sz w:val="24"/>
          <w:szCs w:val="22"/>
        </w:rPr>
        <w:t>Source:</w:t>
      </w:r>
      <w:r w:rsidR="004B41A2" w:rsidRPr="00795E1F">
        <w:rPr>
          <w:rFonts w:asciiTheme="minorHAnsi" w:hAnsiTheme="minorHAnsi" w:cstheme="minorHAnsi"/>
          <w:color w:val="auto"/>
          <w:sz w:val="24"/>
          <w:szCs w:val="22"/>
        </w:rPr>
        <w:t xml:space="preserve"> </w:t>
      </w:r>
      <w:r w:rsidRPr="00795E1F">
        <w:rPr>
          <w:rFonts w:asciiTheme="minorHAnsi" w:hAnsiTheme="minorHAnsi" w:cstheme="minorHAnsi"/>
          <w:color w:val="auto"/>
          <w:sz w:val="24"/>
          <w:szCs w:val="22"/>
        </w:rPr>
        <w:t>GL</w:t>
      </w:r>
      <w:r w:rsidR="004B41A2" w:rsidRPr="00795E1F">
        <w:rPr>
          <w:rFonts w:asciiTheme="minorHAnsi" w:hAnsiTheme="minorHAnsi" w:cstheme="minorHAnsi"/>
          <w:color w:val="auto"/>
          <w:sz w:val="24"/>
          <w:szCs w:val="22"/>
        </w:rPr>
        <w:t xml:space="preserve"> </w:t>
      </w:r>
      <w:r w:rsidRPr="00795E1F">
        <w:rPr>
          <w:rFonts w:asciiTheme="minorHAnsi" w:hAnsiTheme="minorHAnsi" w:cstheme="minorHAnsi"/>
          <w:color w:val="auto"/>
          <w:sz w:val="24"/>
          <w:szCs w:val="22"/>
        </w:rPr>
        <w:t>Hearn</w:t>
      </w:r>
      <w:r w:rsidR="004B41A2" w:rsidRPr="00795E1F">
        <w:rPr>
          <w:rFonts w:asciiTheme="minorHAnsi" w:hAnsiTheme="minorHAnsi" w:cstheme="minorHAnsi"/>
          <w:color w:val="auto"/>
          <w:sz w:val="24"/>
          <w:szCs w:val="22"/>
        </w:rPr>
        <w:t xml:space="preserve"> </w:t>
      </w:r>
      <w:r w:rsidRPr="00795E1F">
        <w:rPr>
          <w:rFonts w:asciiTheme="minorHAnsi" w:hAnsiTheme="minorHAnsi" w:cstheme="minorHAnsi"/>
          <w:color w:val="auto"/>
          <w:sz w:val="24"/>
          <w:szCs w:val="22"/>
        </w:rPr>
        <w:t>Analysis</w:t>
      </w:r>
      <w:r w:rsidR="004B41A2" w:rsidRPr="00795E1F">
        <w:rPr>
          <w:rFonts w:asciiTheme="minorHAnsi" w:hAnsiTheme="minorHAnsi" w:cstheme="minorHAnsi"/>
          <w:color w:val="auto"/>
          <w:sz w:val="24"/>
          <w:szCs w:val="22"/>
        </w:rPr>
        <w:t xml:space="preserve"> </w:t>
      </w:r>
      <w:r w:rsidRPr="00795E1F">
        <w:rPr>
          <w:rFonts w:asciiTheme="minorHAnsi" w:hAnsiTheme="minorHAnsi" w:cstheme="minorHAnsi"/>
          <w:color w:val="auto"/>
          <w:sz w:val="24"/>
          <w:szCs w:val="22"/>
        </w:rPr>
        <w:t>of</w:t>
      </w:r>
      <w:r w:rsidR="004B41A2" w:rsidRPr="00795E1F">
        <w:rPr>
          <w:rFonts w:asciiTheme="minorHAnsi" w:hAnsiTheme="minorHAnsi" w:cstheme="minorHAnsi"/>
          <w:color w:val="auto"/>
          <w:sz w:val="24"/>
          <w:szCs w:val="22"/>
        </w:rPr>
        <w:t xml:space="preserve"> </w:t>
      </w:r>
      <w:r w:rsidRPr="00795E1F">
        <w:rPr>
          <w:rFonts w:asciiTheme="minorHAnsi" w:hAnsiTheme="minorHAnsi" w:cstheme="minorHAnsi"/>
          <w:color w:val="auto"/>
          <w:sz w:val="24"/>
          <w:szCs w:val="22"/>
        </w:rPr>
        <w:t>EGi</w:t>
      </w:r>
      <w:r w:rsidR="004B41A2" w:rsidRPr="00795E1F">
        <w:rPr>
          <w:rFonts w:asciiTheme="minorHAnsi" w:hAnsiTheme="minorHAnsi" w:cstheme="minorHAnsi"/>
          <w:color w:val="auto"/>
          <w:sz w:val="24"/>
          <w:szCs w:val="22"/>
        </w:rPr>
        <w:t xml:space="preserve"> </w:t>
      </w:r>
      <w:r w:rsidRPr="00795E1F">
        <w:rPr>
          <w:rFonts w:asciiTheme="minorHAnsi" w:hAnsiTheme="minorHAnsi" w:cstheme="minorHAnsi"/>
          <w:color w:val="auto"/>
          <w:sz w:val="24"/>
          <w:szCs w:val="22"/>
        </w:rPr>
        <w:t>and</w:t>
      </w:r>
      <w:r w:rsidR="004B41A2" w:rsidRPr="00795E1F">
        <w:rPr>
          <w:rFonts w:asciiTheme="minorHAnsi" w:hAnsiTheme="minorHAnsi" w:cstheme="minorHAnsi"/>
          <w:color w:val="auto"/>
          <w:sz w:val="24"/>
          <w:szCs w:val="22"/>
        </w:rPr>
        <w:t xml:space="preserve"> </w:t>
      </w:r>
      <w:r w:rsidRPr="00795E1F">
        <w:rPr>
          <w:rFonts w:asciiTheme="minorHAnsi" w:hAnsiTheme="minorHAnsi" w:cstheme="minorHAnsi"/>
          <w:color w:val="auto"/>
          <w:sz w:val="24"/>
          <w:szCs w:val="22"/>
        </w:rPr>
        <w:t>CoStar</w:t>
      </w:r>
      <w:r w:rsidR="004B41A2" w:rsidRPr="00795E1F">
        <w:rPr>
          <w:rFonts w:asciiTheme="minorHAnsi" w:hAnsiTheme="minorHAnsi" w:cstheme="minorHAnsi"/>
          <w:color w:val="auto"/>
          <w:sz w:val="24"/>
          <w:szCs w:val="22"/>
        </w:rPr>
        <w:t xml:space="preserve"> </w:t>
      </w:r>
      <w:r w:rsidRPr="00795E1F">
        <w:rPr>
          <w:rFonts w:asciiTheme="minorHAnsi" w:hAnsiTheme="minorHAnsi" w:cstheme="minorHAnsi"/>
          <w:color w:val="auto"/>
          <w:sz w:val="24"/>
          <w:szCs w:val="22"/>
        </w:rPr>
        <w:t>Data</w:t>
      </w:r>
    </w:p>
    <w:p w:rsidR="00B0298E" w:rsidRPr="00CA47B9" w:rsidRDefault="00A70FE4" w:rsidP="001C73B8">
      <w:pPr>
        <w:pStyle w:val="11Bodytext"/>
        <w:tabs>
          <w:tab w:val="clear" w:pos="2212"/>
          <w:tab w:val="num" w:pos="567"/>
        </w:tabs>
        <w:ind w:left="567" w:hanging="567"/>
      </w:pPr>
      <w:r>
        <w:t>The f</w:t>
      </w:r>
      <w:r w:rsidR="00B0298E" w:rsidRPr="00CA47B9">
        <w:t>igure</w:t>
      </w:r>
      <w:r w:rsidR="004B41A2" w:rsidRPr="00CA47B9">
        <w:t xml:space="preserve"> </w:t>
      </w:r>
      <w:r w:rsidR="0006168B">
        <w:t>below</w:t>
      </w:r>
      <w:r w:rsidR="004B41A2" w:rsidRPr="00CA47B9">
        <w:t xml:space="preserve"> </w:t>
      </w:r>
      <w:r w:rsidR="00B0298E" w:rsidRPr="00CA47B9">
        <w:t>presents</w:t>
      </w:r>
      <w:r w:rsidR="004B41A2" w:rsidRPr="00CA47B9">
        <w:t xml:space="preserve"> </w:t>
      </w:r>
      <w:r w:rsidR="00B0298E" w:rsidRPr="00CA47B9">
        <w:t>the</w:t>
      </w:r>
      <w:r w:rsidR="004B41A2" w:rsidRPr="00CA47B9">
        <w:t xml:space="preserve"> </w:t>
      </w:r>
      <w:r w:rsidR="00B0298E" w:rsidRPr="00CA47B9">
        <w:t>spatial</w:t>
      </w:r>
      <w:r w:rsidR="004B41A2" w:rsidRPr="00CA47B9">
        <w:t xml:space="preserve"> </w:t>
      </w:r>
      <w:r w:rsidR="00B0298E" w:rsidRPr="00CA47B9">
        <w:t>distribution</w:t>
      </w:r>
      <w:r w:rsidR="004B41A2" w:rsidRPr="00CA47B9">
        <w:t xml:space="preserve"> </w:t>
      </w:r>
      <w:r w:rsidR="00B0298E" w:rsidRPr="00CA47B9">
        <w:t>of</w:t>
      </w:r>
      <w:r w:rsidR="004B41A2" w:rsidRPr="00CA47B9">
        <w:t xml:space="preserve"> </w:t>
      </w:r>
      <w:r w:rsidR="00B0298E" w:rsidRPr="00CA47B9">
        <w:t>the</w:t>
      </w:r>
      <w:r w:rsidR="004B41A2" w:rsidRPr="00CA47B9">
        <w:t xml:space="preserve"> </w:t>
      </w:r>
      <w:r w:rsidR="00B0298E" w:rsidRPr="00CA47B9">
        <w:t>industrial</w:t>
      </w:r>
      <w:r w:rsidR="004B41A2" w:rsidRPr="00CA47B9">
        <w:t xml:space="preserve"> </w:t>
      </w:r>
      <w:r w:rsidR="00B0298E" w:rsidRPr="00CA47B9">
        <w:t>floorspace</w:t>
      </w:r>
      <w:r w:rsidR="004B41A2" w:rsidRPr="00CA47B9">
        <w:t xml:space="preserve"> </w:t>
      </w:r>
      <w:r w:rsidR="00B0298E" w:rsidRPr="00CA47B9">
        <w:t>take-up</w:t>
      </w:r>
      <w:r w:rsidR="004B41A2" w:rsidRPr="00CA47B9">
        <w:t xml:space="preserve"> </w:t>
      </w:r>
      <w:r w:rsidR="00B0298E" w:rsidRPr="00CA47B9">
        <w:t>by</w:t>
      </w:r>
      <w:r w:rsidR="004B41A2" w:rsidRPr="00CA47B9">
        <w:t xml:space="preserve"> </w:t>
      </w:r>
      <w:r w:rsidR="00B0298E" w:rsidRPr="00CA47B9">
        <w:t>sub-area.</w:t>
      </w:r>
      <w:r w:rsidR="004B41A2" w:rsidRPr="00CA47B9">
        <w:t xml:space="preserve"> </w:t>
      </w:r>
      <w:r w:rsidR="00B0298E" w:rsidRPr="00CA47B9">
        <w:t>The</w:t>
      </w:r>
      <w:r w:rsidR="004B41A2" w:rsidRPr="00CA47B9">
        <w:t xml:space="preserve"> </w:t>
      </w:r>
      <w:r w:rsidR="00B0298E" w:rsidRPr="00CA47B9">
        <w:t>highest</w:t>
      </w:r>
      <w:r w:rsidR="004B41A2" w:rsidRPr="00CA47B9">
        <w:t xml:space="preserve"> </w:t>
      </w:r>
      <w:r w:rsidR="00B0298E" w:rsidRPr="00CA47B9">
        <w:t>volume</w:t>
      </w:r>
      <w:r w:rsidR="004B41A2" w:rsidRPr="00CA47B9">
        <w:t xml:space="preserve"> </w:t>
      </w:r>
      <w:r w:rsidR="00B0298E" w:rsidRPr="00CA47B9">
        <w:t>of</w:t>
      </w:r>
      <w:r w:rsidR="004B41A2" w:rsidRPr="00CA47B9">
        <w:t xml:space="preserve"> </w:t>
      </w:r>
      <w:r w:rsidR="00B0298E" w:rsidRPr="00CA47B9">
        <w:t>industrial</w:t>
      </w:r>
      <w:r w:rsidR="004B41A2" w:rsidRPr="00CA47B9">
        <w:t xml:space="preserve"> </w:t>
      </w:r>
      <w:r w:rsidR="00B0298E" w:rsidRPr="00CA47B9">
        <w:t>floorspace</w:t>
      </w:r>
      <w:r w:rsidR="004B41A2" w:rsidRPr="00CA47B9">
        <w:t xml:space="preserve"> </w:t>
      </w:r>
      <w:r w:rsidR="00B0298E" w:rsidRPr="00CA47B9">
        <w:t>transactions</w:t>
      </w:r>
      <w:r w:rsidR="004B41A2" w:rsidRPr="00CA47B9">
        <w:t xml:space="preserve"> </w:t>
      </w:r>
      <w:r w:rsidR="00B0298E" w:rsidRPr="00CA47B9">
        <w:t>was</w:t>
      </w:r>
      <w:r w:rsidR="004B41A2" w:rsidRPr="00CA47B9">
        <w:t xml:space="preserve"> </w:t>
      </w:r>
      <w:r w:rsidR="00B0298E" w:rsidRPr="00CA47B9">
        <w:t>recorded</w:t>
      </w:r>
      <w:r w:rsidR="004B41A2" w:rsidRPr="00CA47B9">
        <w:t xml:space="preserve"> </w:t>
      </w:r>
      <w:r w:rsidR="00B0298E" w:rsidRPr="00CA47B9">
        <w:t>in</w:t>
      </w:r>
      <w:r w:rsidR="004B41A2" w:rsidRPr="00CA47B9">
        <w:t xml:space="preserve"> </w:t>
      </w:r>
      <w:r w:rsidR="00B0298E" w:rsidRPr="00CA47B9">
        <w:t>Chichester</w:t>
      </w:r>
      <w:r w:rsidR="004B41A2" w:rsidRPr="00CA47B9">
        <w:t xml:space="preserve"> </w:t>
      </w:r>
      <w:r w:rsidR="00F75AF4" w:rsidRPr="00CA47B9">
        <w:t>City</w:t>
      </w:r>
      <w:r w:rsidR="004B41A2" w:rsidRPr="00CA47B9">
        <w:t xml:space="preserve"> </w:t>
      </w:r>
      <w:r w:rsidR="00855CA6">
        <w:t>sub-area</w:t>
      </w:r>
      <w:r w:rsidR="004B41A2" w:rsidRPr="00CA47B9">
        <w:t xml:space="preserve"> </w:t>
      </w:r>
      <w:r w:rsidR="00B0298E" w:rsidRPr="00CA47B9">
        <w:t>(3</w:t>
      </w:r>
      <w:r w:rsidR="00F053FA" w:rsidRPr="00CA47B9">
        <w:t>6</w:t>
      </w:r>
      <w:r w:rsidR="00B0298E" w:rsidRPr="00CA47B9">
        <w:t>%),</w:t>
      </w:r>
      <w:r w:rsidR="004B41A2" w:rsidRPr="00CA47B9">
        <w:t xml:space="preserve"> </w:t>
      </w:r>
      <w:r w:rsidR="00B0298E" w:rsidRPr="00CA47B9">
        <w:t>followed</w:t>
      </w:r>
      <w:r w:rsidR="004B41A2" w:rsidRPr="00CA47B9">
        <w:t xml:space="preserve"> </w:t>
      </w:r>
      <w:r w:rsidR="00B0298E" w:rsidRPr="00CA47B9">
        <w:t>by</w:t>
      </w:r>
      <w:r w:rsidR="00F053FA" w:rsidRPr="00CA47B9">
        <w:t xml:space="preserve"> East-West corridor (26%) and</w:t>
      </w:r>
      <w:r w:rsidR="004B41A2" w:rsidRPr="00CA47B9">
        <w:t xml:space="preserve"> </w:t>
      </w:r>
      <w:r w:rsidR="00B0298E" w:rsidRPr="00CA47B9">
        <w:t>Manhood</w:t>
      </w:r>
      <w:r w:rsidR="004B41A2" w:rsidRPr="00CA47B9">
        <w:t xml:space="preserve"> </w:t>
      </w:r>
      <w:r w:rsidR="00B0298E" w:rsidRPr="00CA47B9">
        <w:t>Peninsula</w:t>
      </w:r>
      <w:r w:rsidR="004B41A2" w:rsidRPr="00CA47B9">
        <w:t xml:space="preserve"> </w:t>
      </w:r>
      <w:r w:rsidR="00B0298E" w:rsidRPr="00CA47B9">
        <w:t>(24%).</w:t>
      </w:r>
    </w:p>
    <w:p w:rsidR="00B0298E" w:rsidRPr="00CA47B9" w:rsidRDefault="00B0298E" w:rsidP="005D5606">
      <w:pPr>
        <w:pStyle w:val="FigureHeading"/>
        <w:tabs>
          <w:tab w:val="clear" w:pos="794"/>
          <w:tab w:val="clear" w:pos="1843"/>
          <w:tab w:val="left" w:pos="0"/>
        </w:tabs>
        <w:ind w:left="0" w:firstLine="0"/>
      </w:pPr>
      <w:bookmarkStart w:id="221" w:name="_Toc481156697"/>
      <w:r w:rsidRPr="00CA47B9">
        <w:t>Industrial</w:t>
      </w:r>
      <w:r w:rsidR="004B41A2" w:rsidRPr="00CA47B9">
        <w:t xml:space="preserve"> </w:t>
      </w:r>
      <w:r w:rsidRPr="00CA47B9">
        <w:t>floorspace</w:t>
      </w:r>
      <w:r w:rsidR="004B41A2" w:rsidRPr="00CA47B9">
        <w:t xml:space="preserve"> </w:t>
      </w:r>
      <w:r w:rsidRPr="00CA47B9">
        <w:t>by</w:t>
      </w:r>
      <w:r w:rsidR="004B41A2" w:rsidRPr="00CA47B9">
        <w:t xml:space="preserve"> </w:t>
      </w:r>
      <w:r w:rsidRPr="00CA47B9">
        <w:t>year</w:t>
      </w:r>
      <w:r w:rsidR="004B41A2" w:rsidRPr="00CA47B9">
        <w:t xml:space="preserve"> </w:t>
      </w:r>
      <w:r w:rsidRPr="00CA47B9">
        <w:t>and</w:t>
      </w:r>
      <w:r w:rsidR="004B41A2" w:rsidRPr="00CA47B9">
        <w:t xml:space="preserve"> </w:t>
      </w:r>
      <w:r w:rsidRPr="00CA47B9">
        <w:t>sub-area,</w:t>
      </w:r>
      <w:r w:rsidR="004B41A2" w:rsidRPr="00CA47B9">
        <w:t xml:space="preserve"> </w:t>
      </w:r>
      <w:r w:rsidRPr="00CA47B9">
        <w:t>2007-1</w:t>
      </w:r>
      <w:bookmarkEnd w:id="221"/>
      <w:r w:rsidR="002D1374" w:rsidRPr="00CA47B9">
        <w:t>8</w:t>
      </w:r>
      <w:r w:rsidR="004B41A2" w:rsidRPr="00CA47B9">
        <w:t xml:space="preserve"> </w:t>
      </w:r>
      <w:r w:rsidRPr="00CA47B9">
        <w:t>(</w:t>
      </w:r>
      <w:r w:rsidR="00D43280" w:rsidRPr="00CA47B9">
        <w:t>s</w:t>
      </w:r>
      <w:r w:rsidR="002D1374" w:rsidRPr="00CA47B9">
        <w:t>q</w:t>
      </w:r>
      <w:r w:rsidR="00D43280" w:rsidRPr="00CA47B9">
        <w:t>m</w:t>
      </w:r>
      <w:r w:rsidRPr="00CA47B9">
        <w:t>)</w:t>
      </w:r>
    </w:p>
    <w:p w:rsidR="00B0298E" w:rsidRPr="00CA47B9" w:rsidRDefault="00A23139" w:rsidP="00031E60">
      <w:pPr>
        <w:pStyle w:val="11Bodytext"/>
        <w:numPr>
          <w:ilvl w:val="0"/>
          <w:numId w:val="0"/>
        </w:numPr>
        <w:spacing w:before="0" w:after="0" w:line="240" w:lineRule="auto"/>
      </w:pPr>
      <w:r w:rsidRPr="00CA47B9">
        <w:rPr>
          <w:noProof/>
          <w:lang w:eastAsia="en-GB"/>
        </w:rPr>
        <w:drawing>
          <wp:inline distT="0" distB="0" distL="0" distR="0" wp14:anchorId="5F419750" wp14:editId="7256D38B">
            <wp:extent cx="6120000" cy="2880000"/>
            <wp:effectExtent l="0" t="0" r="14605" b="15875"/>
            <wp:docPr id="1054" name="Chart 1054" descr="Stacked bar chart showing the total floorspace transacted in a year according to each sub area of Chichester district" title="Figure 60: Industrial floorspace by year and sub-area, 2007-18 (sqm)">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B0298E" w:rsidRPr="00CA47B9" w:rsidRDefault="00B0298E" w:rsidP="005D5606">
      <w:pPr>
        <w:pStyle w:val="Referencetext8pt"/>
        <w:spacing w:after="120" w:line="360" w:lineRule="auto"/>
        <w:rPr>
          <w:rFonts w:asciiTheme="minorHAnsi" w:hAnsiTheme="minorHAnsi" w:cstheme="minorHAnsi"/>
          <w:color w:val="auto"/>
          <w:sz w:val="20"/>
        </w:rPr>
      </w:pPr>
      <w:r w:rsidRPr="00CA47B9">
        <w:rPr>
          <w:rFonts w:asciiTheme="minorHAnsi" w:hAnsiTheme="minorHAnsi" w:cstheme="minorHAnsi"/>
          <w:color w:val="auto"/>
          <w:sz w:val="20"/>
        </w:rPr>
        <w:t>Source:</w:t>
      </w:r>
      <w:r w:rsidR="004B41A2" w:rsidRPr="00CA47B9">
        <w:rPr>
          <w:rFonts w:asciiTheme="minorHAnsi" w:hAnsiTheme="minorHAnsi" w:cstheme="minorHAnsi"/>
          <w:color w:val="auto"/>
          <w:sz w:val="20"/>
        </w:rPr>
        <w:t xml:space="preserve"> </w:t>
      </w:r>
      <w:r w:rsidRPr="00CA47B9">
        <w:rPr>
          <w:rFonts w:asciiTheme="minorHAnsi" w:hAnsiTheme="minorHAnsi" w:cstheme="minorHAnsi"/>
          <w:color w:val="auto"/>
          <w:sz w:val="20"/>
        </w:rPr>
        <w:t>GL</w:t>
      </w:r>
      <w:r w:rsidR="004B41A2" w:rsidRPr="00CA47B9">
        <w:rPr>
          <w:rFonts w:asciiTheme="minorHAnsi" w:hAnsiTheme="minorHAnsi" w:cstheme="minorHAnsi"/>
          <w:color w:val="auto"/>
          <w:sz w:val="20"/>
        </w:rPr>
        <w:t xml:space="preserve"> </w:t>
      </w:r>
      <w:r w:rsidRPr="00CA47B9">
        <w:rPr>
          <w:rFonts w:asciiTheme="minorHAnsi" w:hAnsiTheme="minorHAnsi" w:cstheme="minorHAnsi"/>
          <w:color w:val="auto"/>
          <w:sz w:val="20"/>
        </w:rPr>
        <w:t>Hearn</w:t>
      </w:r>
      <w:r w:rsidR="004B41A2" w:rsidRPr="00CA47B9">
        <w:rPr>
          <w:rFonts w:asciiTheme="minorHAnsi" w:hAnsiTheme="minorHAnsi" w:cstheme="minorHAnsi"/>
          <w:color w:val="auto"/>
          <w:sz w:val="20"/>
        </w:rPr>
        <w:t xml:space="preserve"> </w:t>
      </w:r>
      <w:r w:rsidRPr="00CA47B9">
        <w:rPr>
          <w:rFonts w:asciiTheme="minorHAnsi" w:hAnsiTheme="minorHAnsi" w:cstheme="minorHAnsi"/>
          <w:color w:val="auto"/>
          <w:sz w:val="20"/>
        </w:rPr>
        <w:t>Analysis</w:t>
      </w:r>
      <w:r w:rsidR="004B41A2" w:rsidRPr="00CA47B9">
        <w:rPr>
          <w:rFonts w:asciiTheme="minorHAnsi" w:hAnsiTheme="minorHAnsi" w:cstheme="minorHAnsi"/>
          <w:color w:val="auto"/>
          <w:sz w:val="20"/>
        </w:rPr>
        <w:t xml:space="preserve"> </w:t>
      </w:r>
      <w:r w:rsidRPr="00CA47B9">
        <w:rPr>
          <w:rFonts w:asciiTheme="minorHAnsi" w:hAnsiTheme="minorHAnsi" w:cstheme="minorHAnsi"/>
          <w:color w:val="auto"/>
          <w:sz w:val="20"/>
        </w:rPr>
        <w:t>of</w:t>
      </w:r>
      <w:r w:rsidR="004B41A2" w:rsidRPr="00CA47B9">
        <w:rPr>
          <w:rFonts w:asciiTheme="minorHAnsi" w:hAnsiTheme="minorHAnsi" w:cstheme="minorHAnsi"/>
          <w:color w:val="auto"/>
          <w:sz w:val="20"/>
        </w:rPr>
        <w:t xml:space="preserve"> </w:t>
      </w:r>
      <w:r w:rsidRPr="00CA47B9">
        <w:rPr>
          <w:rFonts w:asciiTheme="minorHAnsi" w:hAnsiTheme="minorHAnsi" w:cstheme="minorHAnsi"/>
          <w:color w:val="auto"/>
          <w:sz w:val="20"/>
        </w:rPr>
        <w:t>EGi</w:t>
      </w:r>
      <w:r w:rsidR="004B41A2" w:rsidRPr="00CA47B9">
        <w:rPr>
          <w:rFonts w:asciiTheme="minorHAnsi" w:hAnsiTheme="minorHAnsi" w:cstheme="minorHAnsi"/>
          <w:color w:val="auto"/>
          <w:sz w:val="20"/>
        </w:rPr>
        <w:t xml:space="preserve"> </w:t>
      </w:r>
      <w:r w:rsidRPr="00CA47B9">
        <w:rPr>
          <w:rFonts w:asciiTheme="minorHAnsi" w:hAnsiTheme="minorHAnsi" w:cstheme="minorHAnsi"/>
          <w:color w:val="auto"/>
          <w:sz w:val="20"/>
        </w:rPr>
        <w:t>and</w:t>
      </w:r>
      <w:r w:rsidR="004B41A2" w:rsidRPr="00CA47B9">
        <w:rPr>
          <w:rFonts w:asciiTheme="minorHAnsi" w:hAnsiTheme="minorHAnsi" w:cstheme="minorHAnsi"/>
          <w:color w:val="auto"/>
          <w:sz w:val="20"/>
        </w:rPr>
        <w:t xml:space="preserve"> </w:t>
      </w:r>
      <w:r w:rsidRPr="00CA47B9">
        <w:rPr>
          <w:rFonts w:asciiTheme="minorHAnsi" w:hAnsiTheme="minorHAnsi" w:cstheme="minorHAnsi"/>
          <w:color w:val="auto"/>
          <w:sz w:val="20"/>
        </w:rPr>
        <w:t>CoStar</w:t>
      </w:r>
      <w:r w:rsidR="004B41A2" w:rsidRPr="00CA47B9">
        <w:rPr>
          <w:rFonts w:asciiTheme="minorHAnsi" w:hAnsiTheme="minorHAnsi" w:cstheme="minorHAnsi"/>
          <w:color w:val="auto"/>
          <w:sz w:val="20"/>
        </w:rPr>
        <w:t xml:space="preserve"> </w:t>
      </w:r>
      <w:r w:rsidRPr="00CA47B9">
        <w:rPr>
          <w:rFonts w:asciiTheme="minorHAnsi" w:hAnsiTheme="minorHAnsi" w:cstheme="minorHAnsi"/>
          <w:color w:val="auto"/>
          <w:sz w:val="20"/>
        </w:rPr>
        <w:t>Data</w:t>
      </w:r>
    </w:p>
    <w:p w:rsidR="00B0298E" w:rsidRPr="00CA47B9" w:rsidRDefault="00B0298E" w:rsidP="001C73B8">
      <w:pPr>
        <w:pStyle w:val="11Bodytext"/>
        <w:tabs>
          <w:tab w:val="clear" w:pos="2212"/>
          <w:tab w:val="num" w:pos="567"/>
        </w:tabs>
        <w:ind w:left="567" w:hanging="567"/>
      </w:pPr>
      <w:r w:rsidRPr="00CA47B9">
        <w:lastRenderedPageBreak/>
        <w:t>Figure</w:t>
      </w:r>
      <w:r w:rsidR="004B41A2" w:rsidRPr="00CA47B9">
        <w:t xml:space="preserve"> </w:t>
      </w:r>
      <w:r w:rsidR="00442CA7">
        <w:t>61</w:t>
      </w:r>
      <w:r w:rsidR="004B41A2" w:rsidRPr="00CA47B9">
        <w:t xml:space="preserve"> </w:t>
      </w:r>
      <w:r w:rsidRPr="00CA47B9">
        <w:t>presents</w:t>
      </w:r>
      <w:r w:rsidR="004B41A2" w:rsidRPr="00CA47B9">
        <w:t xml:space="preserve"> </w:t>
      </w:r>
      <w:r w:rsidRPr="00CA47B9">
        <w:t>the</w:t>
      </w:r>
      <w:r w:rsidR="004B41A2" w:rsidRPr="00CA47B9">
        <w:t xml:space="preserve"> </w:t>
      </w:r>
      <w:r w:rsidRPr="00CA47B9">
        <w:t>industrial</w:t>
      </w:r>
      <w:r w:rsidR="004B41A2" w:rsidRPr="00CA47B9">
        <w:t xml:space="preserve"> </w:t>
      </w:r>
      <w:r w:rsidRPr="00CA47B9">
        <w:t>floorspace</w:t>
      </w:r>
      <w:r w:rsidR="004B41A2" w:rsidRPr="00CA47B9">
        <w:t xml:space="preserve"> </w:t>
      </w:r>
      <w:r w:rsidRPr="00CA47B9">
        <w:t>take-up</w:t>
      </w:r>
      <w:r w:rsidR="004B41A2" w:rsidRPr="00CA47B9">
        <w:t xml:space="preserve"> </w:t>
      </w:r>
      <w:r w:rsidRPr="00CA47B9">
        <w:t>by</w:t>
      </w:r>
      <w:r w:rsidR="004B41A2" w:rsidRPr="00CA47B9">
        <w:t xml:space="preserve"> </w:t>
      </w:r>
      <w:r w:rsidRPr="00CA47B9">
        <w:t>size</w:t>
      </w:r>
      <w:r w:rsidR="004B41A2" w:rsidRPr="00CA47B9">
        <w:t xml:space="preserve"> </w:t>
      </w:r>
      <w:r w:rsidRPr="00CA47B9">
        <w:t>band.</w:t>
      </w:r>
      <w:r w:rsidR="004B41A2" w:rsidRPr="00CA47B9">
        <w:t xml:space="preserve"> </w:t>
      </w:r>
      <w:r w:rsidRPr="00CA47B9">
        <w:t>Over</w:t>
      </w:r>
      <w:r w:rsidR="004B41A2" w:rsidRPr="00CA47B9">
        <w:t xml:space="preserve"> </w:t>
      </w:r>
      <w:r w:rsidRPr="00CA47B9">
        <w:t>the</w:t>
      </w:r>
      <w:r w:rsidR="004B41A2" w:rsidRPr="00CA47B9">
        <w:t xml:space="preserve"> </w:t>
      </w:r>
      <w:r w:rsidR="00CA47B9" w:rsidRPr="00CA47B9">
        <w:t>12</w:t>
      </w:r>
      <w:r w:rsidR="00855CA6">
        <w:t xml:space="preserve"> years</w:t>
      </w:r>
      <w:r w:rsidRPr="00CA47B9">
        <w:t>,</w:t>
      </w:r>
      <w:r w:rsidR="004B41A2" w:rsidRPr="00CA47B9">
        <w:t xml:space="preserve"> </w:t>
      </w:r>
      <w:r w:rsidRPr="00CA47B9">
        <w:t>the</w:t>
      </w:r>
      <w:r w:rsidR="004B41A2" w:rsidRPr="00CA47B9">
        <w:t xml:space="preserve"> </w:t>
      </w:r>
      <w:r w:rsidRPr="00CA47B9">
        <w:t>highest</w:t>
      </w:r>
      <w:r w:rsidR="004B41A2" w:rsidRPr="00CA47B9">
        <w:t xml:space="preserve"> </w:t>
      </w:r>
      <w:r w:rsidRPr="00CA47B9">
        <w:t>volume</w:t>
      </w:r>
      <w:r w:rsidR="004B41A2" w:rsidRPr="00CA47B9">
        <w:t xml:space="preserve"> </w:t>
      </w:r>
      <w:r w:rsidRPr="00CA47B9">
        <w:t>of</w:t>
      </w:r>
      <w:r w:rsidR="004B41A2" w:rsidRPr="00CA47B9">
        <w:t xml:space="preserve"> </w:t>
      </w:r>
      <w:r w:rsidRPr="00CA47B9">
        <w:t>floorspace</w:t>
      </w:r>
      <w:r w:rsidR="004B41A2" w:rsidRPr="00CA47B9">
        <w:t xml:space="preserve"> </w:t>
      </w:r>
      <w:r w:rsidRPr="00CA47B9">
        <w:t>was</w:t>
      </w:r>
      <w:r w:rsidR="004B41A2" w:rsidRPr="00CA47B9">
        <w:t xml:space="preserve"> </w:t>
      </w:r>
      <w:r w:rsidRPr="00CA47B9">
        <w:t>recorded</w:t>
      </w:r>
      <w:r w:rsidR="004B41A2" w:rsidRPr="00CA47B9">
        <w:t xml:space="preserve"> </w:t>
      </w:r>
      <w:r w:rsidRPr="00CA47B9">
        <w:t>for</w:t>
      </w:r>
      <w:r w:rsidR="004B41A2" w:rsidRPr="00CA47B9">
        <w:t xml:space="preserve"> </w:t>
      </w:r>
      <w:r w:rsidRPr="00CA47B9">
        <w:t>units</w:t>
      </w:r>
      <w:r w:rsidR="004B41A2" w:rsidRPr="00CA47B9">
        <w:t xml:space="preserve"> </w:t>
      </w:r>
      <w:r w:rsidRPr="00CA47B9">
        <w:t>between</w:t>
      </w:r>
      <w:r w:rsidR="004B41A2" w:rsidRPr="00CA47B9">
        <w:t xml:space="preserve"> </w:t>
      </w:r>
      <w:r w:rsidRPr="00CA47B9">
        <w:t>1,000</w:t>
      </w:r>
      <w:r w:rsidR="004B41A2" w:rsidRPr="00CA47B9">
        <w:t xml:space="preserve"> </w:t>
      </w:r>
      <w:r w:rsidRPr="00CA47B9">
        <w:t>and</w:t>
      </w:r>
      <w:r w:rsidR="004B41A2" w:rsidRPr="00CA47B9">
        <w:t xml:space="preserve"> </w:t>
      </w:r>
      <w:r w:rsidRPr="00CA47B9">
        <w:t>10,000</w:t>
      </w:r>
      <w:r w:rsidR="004B41A2" w:rsidRPr="00CA47B9">
        <w:t xml:space="preserve"> </w:t>
      </w:r>
      <w:r w:rsidR="0021576F" w:rsidRPr="00CA47B9">
        <w:t>sqm</w:t>
      </w:r>
      <w:r w:rsidR="004B41A2" w:rsidRPr="00CA47B9">
        <w:t xml:space="preserve"> </w:t>
      </w:r>
      <w:r w:rsidRPr="00CA47B9">
        <w:t>(5</w:t>
      </w:r>
      <w:r w:rsidR="006F2A4B" w:rsidRPr="00CA47B9">
        <w:t>6</w:t>
      </w:r>
      <w:r w:rsidRPr="00CA47B9">
        <w:t>%),</w:t>
      </w:r>
      <w:r w:rsidR="004B41A2" w:rsidRPr="00CA47B9">
        <w:t xml:space="preserve"> </w:t>
      </w:r>
      <w:r w:rsidRPr="00CA47B9">
        <w:t>followed</w:t>
      </w:r>
      <w:r w:rsidR="004B41A2" w:rsidRPr="00CA47B9">
        <w:t xml:space="preserve"> </w:t>
      </w:r>
      <w:r w:rsidRPr="00CA47B9">
        <w:t>by</w:t>
      </w:r>
      <w:r w:rsidR="004B41A2" w:rsidRPr="00CA47B9">
        <w:t xml:space="preserve"> </w:t>
      </w:r>
      <w:r w:rsidRPr="00CA47B9">
        <w:t>units</w:t>
      </w:r>
      <w:r w:rsidR="004B41A2" w:rsidRPr="00CA47B9">
        <w:t xml:space="preserve"> </w:t>
      </w:r>
      <w:r w:rsidRPr="00CA47B9">
        <w:t>between</w:t>
      </w:r>
      <w:r w:rsidR="004B41A2" w:rsidRPr="00CA47B9">
        <w:t xml:space="preserve"> </w:t>
      </w:r>
      <w:r w:rsidRPr="00CA47B9">
        <w:t>185</w:t>
      </w:r>
      <w:r w:rsidR="004B41A2" w:rsidRPr="00CA47B9">
        <w:t xml:space="preserve"> </w:t>
      </w:r>
      <w:r w:rsidRPr="00CA47B9">
        <w:t>and</w:t>
      </w:r>
      <w:r w:rsidR="004B41A2" w:rsidRPr="00CA47B9">
        <w:t xml:space="preserve"> </w:t>
      </w:r>
      <w:r w:rsidRPr="00CA47B9">
        <w:t>500</w:t>
      </w:r>
      <w:r w:rsidR="004B41A2" w:rsidRPr="00CA47B9">
        <w:t xml:space="preserve"> </w:t>
      </w:r>
      <w:r w:rsidR="0021576F" w:rsidRPr="00CA47B9">
        <w:t>sqm</w:t>
      </w:r>
      <w:r w:rsidR="004B41A2" w:rsidRPr="00CA47B9">
        <w:t xml:space="preserve"> </w:t>
      </w:r>
      <w:r w:rsidRPr="00CA47B9">
        <w:t>(</w:t>
      </w:r>
      <w:r w:rsidR="006F2A4B" w:rsidRPr="00CA47B9">
        <w:t>18</w:t>
      </w:r>
      <w:r w:rsidRPr="00CA47B9">
        <w:t>%).</w:t>
      </w:r>
      <w:r w:rsidR="004B41A2" w:rsidRPr="00CA47B9">
        <w:t xml:space="preserve"> </w:t>
      </w:r>
    </w:p>
    <w:p w:rsidR="00B0298E" w:rsidRPr="00CA47B9" w:rsidRDefault="00B0298E" w:rsidP="005D5606">
      <w:pPr>
        <w:pStyle w:val="FigureHeading"/>
        <w:tabs>
          <w:tab w:val="clear" w:pos="794"/>
          <w:tab w:val="clear" w:pos="1843"/>
          <w:tab w:val="left" w:pos="0"/>
        </w:tabs>
        <w:ind w:left="0" w:firstLine="0"/>
      </w:pPr>
      <w:bookmarkStart w:id="222" w:name="_Toc481156698"/>
      <w:r w:rsidRPr="00CA47B9">
        <w:t>Industrial</w:t>
      </w:r>
      <w:r w:rsidR="004B41A2" w:rsidRPr="00CA47B9">
        <w:t xml:space="preserve"> </w:t>
      </w:r>
      <w:r w:rsidRPr="00CA47B9">
        <w:t>floorspace</w:t>
      </w:r>
      <w:r w:rsidR="004B41A2" w:rsidRPr="00CA47B9">
        <w:t xml:space="preserve"> </w:t>
      </w:r>
      <w:r w:rsidRPr="00CA47B9">
        <w:t>by</w:t>
      </w:r>
      <w:r w:rsidR="004B41A2" w:rsidRPr="00CA47B9">
        <w:t xml:space="preserve"> </w:t>
      </w:r>
      <w:r w:rsidRPr="00CA47B9">
        <w:t>year</w:t>
      </w:r>
      <w:r w:rsidR="004B41A2" w:rsidRPr="00CA47B9">
        <w:t xml:space="preserve"> </w:t>
      </w:r>
      <w:r w:rsidRPr="00CA47B9">
        <w:t>and</w:t>
      </w:r>
      <w:r w:rsidR="004B41A2" w:rsidRPr="00CA47B9">
        <w:t xml:space="preserve"> </w:t>
      </w:r>
      <w:r w:rsidRPr="00CA47B9">
        <w:t>size</w:t>
      </w:r>
      <w:r w:rsidR="004B41A2" w:rsidRPr="00CA47B9">
        <w:t xml:space="preserve"> </w:t>
      </w:r>
      <w:r w:rsidR="00F75AF4" w:rsidRPr="00CA47B9">
        <w:t>in</w:t>
      </w:r>
      <w:r w:rsidR="004B41A2" w:rsidRPr="00CA47B9">
        <w:t xml:space="preserve"> </w:t>
      </w:r>
      <w:r w:rsidR="00F75AF4" w:rsidRPr="00CA47B9">
        <w:t>Chichester</w:t>
      </w:r>
      <w:r w:rsidR="004B41A2" w:rsidRPr="00CA47B9">
        <w:t xml:space="preserve"> </w:t>
      </w:r>
      <w:r w:rsidR="00F75AF4" w:rsidRPr="00CA47B9">
        <w:t>District</w:t>
      </w:r>
      <w:r w:rsidRPr="00CA47B9">
        <w:t>,</w:t>
      </w:r>
      <w:r w:rsidR="004B41A2" w:rsidRPr="00CA47B9">
        <w:t xml:space="preserve"> </w:t>
      </w:r>
      <w:r w:rsidRPr="00CA47B9">
        <w:t>2007-1</w:t>
      </w:r>
      <w:bookmarkEnd w:id="222"/>
      <w:r w:rsidR="00A23139" w:rsidRPr="00CA47B9">
        <w:t>8</w:t>
      </w:r>
      <w:r w:rsidR="004B41A2" w:rsidRPr="00CA47B9">
        <w:t xml:space="preserve"> </w:t>
      </w:r>
      <w:r w:rsidRPr="00CA47B9">
        <w:t>(</w:t>
      </w:r>
      <w:r w:rsidR="00D43280" w:rsidRPr="00CA47B9">
        <w:t>sqm</w:t>
      </w:r>
      <w:r w:rsidRPr="00CA47B9">
        <w:t>)</w:t>
      </w:r>
    </w:p>
    <w:p w:rsidR="00B0298E" w:rsidRPr="00795E1F" w:rsidRDefault="00A23139" w:rsidP="00031E60">
      <w:pPr>
        <w:pStyle w:val="11Bodytext"/>
        <w:numPr>
          <w:ilvl w:val="0"/>
          <w:numId w:val="0"/>
        </w:numPr>
        <w:spacing w:before="0" w:after="0" w:line="240" w:lineRule="auto"/>
        <w:rPr>
          <w:sz w:val="32"/>
          <w:szCs w:val="32"/>
        </w:rPr>
      </w:pPr>
      <w:r w:rsidRPr="00795E1F">
        <w:rPr>
          <w:noProof/>
          <w:sz w:val="32"/>
          <w:szCs w:val="32"/>
          <w:lang w:eastAsia="en-GB"/>
        </w:rPr>
        <w:drawing>
          <wp:inline distT="0" distB="0" distL="0" distR="0" wp14:anchorId="07FE6287" wp14:editId="45167F3A">
            <wp:extent cx="6120000" cy="2880000"/>
            <wp:effectExtent l="0" t="0" r="14605" b="15875"/>
            <wp:docPr id="1055" name="Chart 1055" descr="Stacked bar chart showing the total floorspace take up by size band from 2007 to 2018" title="Figure 61: Industrial floorspace by year and size in Chichester District, 2007-18 (sqm)">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B0298E" w:rsidRPr="00795E1F" w:rsidRDefault="00B0298E" w:rsidP="005D5606">
      <w:pPr>
        <w:pStyle w:val="Referencetext8pt"/>
        <w:spacing w:after="120" w:line="360" w:lineRule="auto"/>
        <w:rPr>
          <w:rFonts w:asciiTheme="minorHAnsi" w:hAnsiTheme="minorHAnsi" w:cstheme="minorHAnsi"/>
          <w:color w:val="auto"/>
          <w:sz w:val="24"/>
          <w:szCs w:val="22"/>
        </w:rPr>
      </w:pPr>
      <w:r w:rsidRPr="00795E1F">
        <w:rPr>
          <w:rFonts w:asciiTheme="minorHAnsi" w:hAnsiTheme="minorHAnsi" w:cstheme="minorHAnsi"/>
          <w:color w:val="auto"/>
          <w:sz w:val="24"/>
          <w:szCs w:val="22"/>
        </w:rPr>
        <w:t>Source:</w:t>
      </w:r>
      <w:r w:rsidR="004B41A2" w:rsidRPr="00795E1F">
        <w:rPr>
          <w:rFonts w:asciiTheme="minorHAnsi" w:hAnsiTheme="minorHAnsi" w:cstheme="minorHAnsi"/>
          <w:color w:val="auto"/>
          <w:sz w:val="24"/>
          <w:szCs w:val="22"/>
        </w:rPr>
        <w:t xml:space="preserve"> </w:t>
      </w:r>
      <w:r w:rsidRPr="00795E1F">
        <w:rPr>
          <w:rFonts w:asciiTheme="minorHAnsi" w:hAnsiTheme="minorHAnsi" w:cstheme="minorHAnsi"/>
          <w:color w:val="auto"/>
          <w:sz w:val="24"/>
          <w:szCs w:val="22"/>
        </w:rPr>
        <w:t>GL</w:t>
      </w:r>
      <w:r w:rsidR="004B41A2" w:rsidRPr="00795E1F">
        <w:rPr>
          <w:rFonts w:asciiTheme="minorHAnsi" w:hAnsiTheme="minorHAnsi" w:cstheme="minorHAnsi"/>
          <w:color w:val="auto"/>
          <w:sz w:val="24"/>
          <w:szCs w:val="22"/>
        </w:rPr>
        <w:t xml:space="preserve"> </w:t>
      </w:r>
      <w:r w:rsidRPr="00795E1F">
        <w:rPr>
          <w:rFonts w:asciiTheme="minorHAnsi" w:hAnsiTheme="minorHAnsi" w:cstheme="minorHAnsi"/>
          <w:color w:val="auto"/>
          <w:sz w:val="24"/>
          <w:szCs w:val="22"/>
        </w:rPr>
        <w:t>Hearn</w:t>
      </w:r>
      <w:r w:rsidR="004B41A2" w:rsidRPr="00795E1F">
        <w:rPr>
          <w:rFonts w:asciiTheme="minorHAnsi" w:hAnsiTheme="minorHAnsi" w:cstheme="minorHAnsi"/>
          <w:color w:val="auto"/>
          <w:sz w:val="24"/>
          <w:szCs w:val="22"/>
        </w:rPr>
        <w:t xml:space="preserve"> </w:t>
      </w:r>
      <w:r w:rsidRPr="00795E1F">
        <w:rPr>
          <w:rFonts w:asciiTheme="minorHAnsi" w:hAnsiTheme="minorHAnsi" w:cstheme="minorHAnsi"/>
          <w:color w:val="auto"/>
          <w:sz w:val="24"/>
          <w:szCs w:val="22"/>
        </w:rPr>
        <w:t>Analysis</w:t>
      </w:r>
      <w:r w:rsidR="004B41A2" w:rsidRPr="00795E1F">
        <w:rPr>
          <w:rFonts w:asciiTheme="minorHAnsi" w:hAnsiTheme="minorHAnsi" w:cstheme="minorHAnsi"/>
          <w:color w:val="auto"/>
          <w:sz w:val="24"/>
          <w:szCs w:val="22"/>
        </w:rPr>
        <w:t xml:space="preserve"> </w:t>
      </w:r>
      <w:r w:rsidRPr="00795E1F">
        <w:rPr>
          <w:rFonts w:asciiTheme="minorHAnsi" w:hAnsiTheme="minorHAnsi" w:cstheme="minorHAnsi"/>
          <w:color w:val="auto"/>
          <w:sz w:val="24"/>
          <w:szCs w:val="22"/>
        </w:rPr>
        <w:t>of</w:t>
      </w:r>
      <w:r w:rsidR="004B41A2" w:rsidRPr="00795E1F">
        <w:rPr>
          <w:rFonts w:asciiTheme="minorHAnsi" w:hAnsiTheme="minorHAnsi" w:cstheme="minorHAnsi"/>
          <w:color w:val="auto"/>
          <w:sz w:val="24"/>
          <w:szCs w:val="22"/>
        </w:rPr>
        <w:t xml:space="preserve"> </w:t>
      </w:r>
      <w:r w:rsidRPr="00795E1F">
        <w:rPr>
          <w:rFonts w:asciiTheme="minorHAnsi" w:hAnsiTheme="minorHAnsi" w:cstheme="minorHAnsi"/>
          <w:color w:val="auto"/>
          <w:sz w:val="24"/>
          <w:szCs w:val="22"/>
        </w:rPr>
        <w:t>EGi</w:t>
      </w:r>
      <w:r w:rsidR="004B41A2" w:rsidRPr="00795E1F">
        <w:rPr>
          <w:rFonts w:asciiTheme="minorHAnsi" w:hAnsiTheme="minorHAnsi" w:cstheme="minorHAnsi"/>
          <w:color w:val="auto"/>
          <w:sz w:val="24"/>
          <w:szCs w:val="22"/>
        </w:rPr>
        <w:t xml:space="preserve"> </w:t>
      </w:r>
      <w:r w:rsidRPr="00795E1F">
        <w:rPr>
          <w:rFonts w:asciiTheme="minorHAnsi" w:hAnsiTheme="minorHAnsi" w:cstheme="minorHAnsi"/>
          <w:color w:val="auto"/>
          <w:sz w:val="24"/>
          <w:szCs w:val="22"/>
        </w:rPr>
        <w:t>and</w:t>
      </w:r>
      <w:r w:rsidR="004B41A2" w:rsidRPr="00795E1F">
        <w:rPr>
          <w:rFonts w:asciiTheme="minorHAnsi" w:hAnsiTheme="minorHAnsi" w:cstheme="minorHAnsi"/>
          <w:color w:val="auto"/>
          <w:sz w:val="24"/>
          <w:szCs w:val="22"/>
        </w:rPr>
        <w:t xml:space="preserve"> </w:t>
      </w:r>
      <w:r w:rsidRPr="00795E1F">
        <w:rPr>
          <w:rFonts w:asciiTheme="minorHAnsi" w:hAnsiTheme="minorHAnsi" w:cstheme="minorHAnsi"/>
          <w:color w:val="auto"/>
          <w:sz w:val="24"/>
          <w:szCs w:val="22"/>
        </w:rPr>
        <w:t>CoStar</w:t>
      </w:r>
      <w:r w:rsidR="004B41A2" w:rsidRPr="00795E1F">
        <w:rPr>
          <w:rFonts w:asciiTheme="minorHAnsi" w:hAnsiTheme="minorHAnsi" w:cstheme="minorHAnsi"/>
          <w:color w:val="auto"/>
          <w:sz w:val="24"/>
          <w:szCs w:val="22"/>
        </w:rPr>
        <w:t xml:space="preserve"> </w:t>
      </w:r>
      <w:r w:rsidRPr="00795E1F">
        <w:rPr>
          <w:rFonts w:asciiTheme="minorHAnsi" w:hAnsiTheme="minorHAnsi" w:cstheme="minorHAnsi"/>
          <w:color w:val="auto"/>
          <w:sz w:val="24"/>
          <w:szCs w:val="22"/>
        </w:rPr>
        <w:t>Data</w:t>
      </w:r>
    </w:p>
    <w:p w:rsidR="00B0298E" w:rsidRPr="00CA47B9" w:rsidRDefault="00B0298E" w:rsidP="006765B7">
      <w:pPr>
        <w:pStyle w:val="Subheadingbold"/>
        <w:ind w:left="567" w:firstLine="0"/>
      </w:pPr>
      <w:r w:rsidRPr="00CA47B9">
        <w:t>Available</w:t>
      </w:r>
      <w:r w:rsidR="004B41A2" w:rsidRPr="00CA47B9">
        <w:t xml:space="preserve"> </w:t>
      </w:r>
      <w:r w:rsidRPr="00CA47B9">
        <w:t>Industrial</w:t>
      </w:r>
      <w:r w:rsidR="004B41A2" w:rsidRPr="00CA47B9">
        <w:t xml:space="preserve"> </w:t>
      </w:r>
      <w:r w:rsidRPr="00CA47B9">
        <w:t>Floorspace</w:t>
      </w:r>
    </w:p>
    <w:p w:rsidR="00B0298E" w:rsidRPr="00CA47B9" w:rsidRDefault="00B0298E" w:rsidP="001C73B8">
      <w:pPr>
        <w:pStyle w:val="11Bodytext"/>
        <w:tabs>
          <w:tab w:val="clear" w:pos="2212"/>
          <w:tab w:val="num" w:pos="567"/>
        </w:tabs>
        <w:ind w:left="567" w:hanging="567"/>
      </w:pPr>
      <w:r w:rsidRPr="00CA47B9">
        <w:t>As</w:t>
      </w:r>
      <w:r w:rsidR="004B41A2" w:rsidRPr="00CA47B9">
        <w:t xml:space="preserve"> </w:t>
      </w:r>
      <w:r w:rsidRPr="00CA47B9">
        <w:t>of</w:t>
      </w:r>
      <w:r w:rsidR="004B41A2" w:rsidRPr="00CA47B9">
        <w:t xml:space="preserve"> </w:t>
      </w:r>
      <w:r w:rsidR="0006168B">
        <w:t>August 2019</w:t>
      </w:r>
      <w:r w:rsidRPr="00CA47B9">
        <w:t>,</w:t>
      </w:r>
      <w:r w:rsidR="004B41A2" w:rsidRPr="00CA47B9">
        <w:t xml:space="preserve"> </w:t>
      </w:r>
      <w:r w:rsidRPr="00CA47B9">
        <w:t>there</w:t>
      </w:r>
      <w:r w:rsidR="004B41A2" w:rsidRPr="00CA47B9">
        <w:t xml:space="preserve"> </w:t>
      </w:r>
      <w:r w:rsidRPr="00CA47B9">
        <w:t>was</w:t>
      </w:r>
      <w:r w:rsidR="004B41A2" w:rsidRPr="00CA47B9">
        <w:t xml:space="preserve"> </w:t>
      </w:r>
      <w:r w:rsidR="009B7358" w:rsidRPr="00CA47B9">
        <w:t>32</w:t>
      </w:r>
      <w:r w:rsidRPr="00CA47B9">
        <w:t>,6</w:t>
      </w:r>
      <w:r w:rsidR="009B7358" w:rsidRPr="00CA47B9">
        <w:t>95</w:t>
      </w:r>
      <w:r w:rsidR="004B41A2" w:rsidRPr="00CA47B9">
        <w:t xml:space="preserve"> </w:t>
      </w:r>
      <w:r w:rsidR="0021576F" w:rsidRPr="00CA47B9">
        <w:t>sqm</w:t>
      </w:r>
      <w:r w:rsidR="004B41A2" w:rsidRPr="00CA47B9">
        <w:t xml:space="preserve"> </w:t>
      </w:r>
      <w:r w:rsidRPr="00CA47B9">
        <w:t>of</w:t>
      </w:r>
      <w:r w:rsidR="004B41A2" w:rsidRPr="00CA47B9">
        <w:t xml:space="preserve"> </w:t>
      </w:r>
      <w:r w:rsidRPr="00CA47B9">
        <w:t>available</w:t>
      </w:r>
      <w:r w:rsidR="004B41A2" w:rsidRPr="00CA47B9">
        <w:t xml:space="preserve"> </w:t>
      </w:r>
      <w:r w:rsidRPr="00CA47B9">
        <w:t>industrial</w:t>
      </w:r>
      <w:r w:rsidR="004B41A2" w:rsidRPr="00CA47B9">
        <w:t xml:space="preserve"> </w:t>
      </w:r>
      <w:r w:rsidRPr="00CA47B9">
        <w:t>floorspace</w:t>
      </w:r>
      <w:r w:rsidR="004B41A2" w:rsidRPr="00CA47B9">
        <w:t xml:space="preserve"> </w:t>
      </w:r>
      <w:r w:rsidRPr="00CA47B9">
        <w:t>in</w:t>
      </w:r>
      <w:r w:rsidR="004B41A2" w:rsidRPr="00CA47B9">
        <w:t xml:space="preserve"> </w:t>
      </w:r>
      <w:r w:rsidRPr="00CA47B9">
        <w:t>Chichester</w:t>
      </w:r>
      <w:r w:rsidR="004B41A2" w:rsidRPr="00CA47B9">
        <w:t xml:space="preserve"> </w:t>
      </w:r>
      <w:r w:rsidR="00F75AF4" w:rsidRPr="00CA47B9">
        <w:t>District</w:t>
      </w:r>
      <w:r w:rsidR="00A70FE4">
        <w:t xml:space="preserve"> </w:t>
      </w:r>
      <w:r w:rsidR="00AB7313">
        <w:t>of which</w:t>
      </w:r>
      <w:r w:rsidR="00A70FE4">
        <w:t xml:space="preserve"> 26,758 sqm of space </w:t>
      </w:r>
      <w:r w:rsidR="00AB7313">
        <w:t>was located</w:t>
      </w:r>
      <w:r w:rsidR="00A70FE4">
        <w:t xml:space="preserve"> in the Plan Area</w:t>
      </w:r>
      <w:r w:rsidRPr="00CA47B9">
        <w:t>.</w:t>
      </w:r>
      <w:r w:rsidR="004B41A2" w:rsidRPr="00CA47B9">
        <w:t xml:space="preserve"> </w:t>
      </w:r>
      <w:r w:rsidRPr="00CA47B9">
        <w:t>The</w:t>
      </w:r>
      <w:r w:rsidR="004B41A2" w:rsidRPr="00CA47B9">
        <w:t xml:space="preserve"> </w:t>
      </w:r>
      <w:r w:rsidRPr="00CA47B9">
        <w:t>highest</w:t>
      </w:r>
      <w:r w:rsidR="004B41A2" w:rsidRPr="00CA47B9">
        <w:t xml:space="preserve"> </w:t>
      </w:r>
      <w:r w:rsidRPr="00CA47B9">
        <w:t>concentration</w:t>
      </w:r>
      <w:r w:rsidR="004B41A2" w:rsidRPr="00CA47B9">
        <w:t xml:space="preserve"> </w:t>
      </w:r>
      <w:r w:rsidRPr="00CA47B9">
        <w:t>of</w:t>
      </w:r>
      <w:r w:rsidR="004B41A2" w:rsidRPr="00CA47B9">
        <w:t xml:space="preserve"> </w:t>
      </w:r>
      <w:r w:rsidRPr="00CA47B9">
        <w:t>available</w:t>
      </w:r>
      <w:r w:rsidR="004B41A2" w:rsidRPr="00CA47B9">
        <w:t xml:space="preserve"> </w:t>
      </w:r>
      <w:r w:rsidRPr="00CA47B9">
        <w:t>industrial</w:t>
      </w:r>
      <w:r w:rsidR="004B41A2" w:rsidRPr="00CA47B9">
        <w:t xml:space="preserve"> </w:t>
      </w:r>
      <w:r w:rsidRPr="00CA47B9">
        <w:t>floorspace</w:t>
      </w:r>
      <w:r w:rsidR="004B41A2" w:rsidRPr="00CA47B9">
        <w:t xml:space="preserve"> </w:t>
      </w:r>
      <w:r w:rsidRPr="00CA47B9">
        <w:t>can</w:t>
      </w:r>
      <w:r w:rsidR="004B41A2" w:rsidRPr="00CA47B9">
        <w:t xml:space="preserve"> </w:t>
      </w:r>
      <w:r w:rsidRPr="00CA47B9">
        <w:t>be</w:t>
      </w:r>
      <w:r w:rsidR="004B41A2" w:rsidRPr="00CA47B9">
        <w:t xml:space="preserve"> </w:t>
      </w:r>
      <w:r w:rsidRPr="00CA47B9">
        <w:t>observed</w:t>
      </w:r>
      <w:r w:rsidR="004B41A2" w:rsidRPr="00CA47B9">
        <w:t xml:space="preserve"> </w:t>
      </w:r>
      <w:r w:rsidRPr="00CA47B9">
        <w:t>in</w:t>
      </w:r>
      <w:r w:rsidR="004B41A2" w:rsidRPr="00CA47B9">
        <w:t xml:space="preserve"> </w:t>
      </w:r>
      <w:r w:rsidRPr="00CA47B9">
        <w:t>Chichester</w:t>
      </w:r>
      <w:r w:rsidR="00DC023F" w:rsidRPr="00CA47B9">
        <w:t xml:space="preserve"> primarily</w:t>
      </w:r>
      <w:r w:rsidRPr="00CA47B9">
        <w:t>,</w:t>
      </w:r>
      <w:r w:rsidR="00DC023F" w:rsidRPr="00CA47B9">
        <w:t xml:space="preserve"> followed by</w:t>
      </w:r>
      <w:r w:rsidR="004B41A2" w:rsidRPr="00CA47B9">
        <w:t xml:space="preserve"> </w:t>
      </w:r>
      <w:r w:rsidRPr="00CA47B9">
        <w:t>Manhood</w:t>
      </w:r>
      <w:r w:rsidR="004B41A2" w:rsidRPr="00CA47B9">
        <w:t xml:space="preserve"> </w:t>
      </w:r>
      <w:r w:rsidRPr="00CA47B9">
        <w:t>Peninsula</w:t>
      </w:r>
      <w:r w:rsidR="00DC023F" w:rsidRPr="00CA47B9">
        <w:t>, South Downs National Park</w:t>
      </w:r>
      <w:r w:rsidR="004B41A2" w:rsidRPr="00CA47B9">
        <w:t xml:space="preserve"> </w:t>
      </w:r>
      <w:r w:rsidRPr="00CA47B9">
        <w:t>and</w:t>
      </w:r>
      <w:r w:rsidR="004B41A2" w:rsidRPr="00CA47B9">
        <w:t xml:space="preserve"> </w:t>
      </w:r>
      <w:r w:rsidRPr="00CA47B9">
        <w:t>East-West</w:t>
      </w:r>
      <w:r w:rsidR="004B41A2" w:rsidRPr="00CA47B9">
        <w:t xml:space="preserve"> </w:t>
      </w:r>
      <w:r w:rsidRPr="00CA47B9">
        <w:t>Corridor</w:t>
      </w:r>
      <w:r w:rsidR="004B41A2" w:rsidRPr="00CA47B9">
        <w:t xml:space="preserve"> </w:t>
      </w:r>
      <w:r w:rsidRPr="00CA47B9">
        <w:t>sub-areas</w:t>
      </w:r>
      <w:r w:rsidR="00AB7313">
        <w:t>.</w:t>
      </w:r>
    </w:p>
    <w:p w:rsidR="00B0298E" w:rsidRPr="00CA47B9" w:rsidRDefault="00A70FE4" w:rsidP="001C73B8">
      <w:pPr>
        <w:pStyle w:val="11Bodytext"/>
        <w:tabs>
          <w:tab w:val="clear" w:pos="2212"/>
          <w:tab w:val="num" w:pos="567"/>
        </w:tabs>
        <w:ind w:left="567" w:hanging="567"/>
      </w:pPr>
      <w:r>
        <w:t>The f</w:t>
      </w:r>
      <w:r w:rsidR="00B0298E" w:rsidRPr="00CA47B9">
        <w:t>igure</w:t>
      </w:r>
      <w:r w:rsidR="004B41A2" w:rsidRPr="00CA47B9">
        <w:t xml:space="preserve"> </w:t>
      </w:r>
      <w:r w:rsidR="0006168B">
        <w:t>below</w:t>
      </w:r>
      <w:r w:rsidR="004B41A2" w:rsidRPr="00CA47B9">
        <w:t xml:space="preserve"> </w:t>
      </w:r>
      <w:r w:rsidR="00B0298E" w:rsidRPr="00CA47B9">
        <w:t>presents</w:t>
      </w:r>
      <w:r w:rsidR="004B41A2" w:rsidRPr="00CA47B9">
        <w:t xml:space="preserve"> </w:t>
      </w:r>
      <w:r w:rsidR="00B0298E" w:rsidRPr="00CA47B9">
        <w:t>the</w:t>
      </w:r>
      <w:r w:rsidR="004B41A2" w:rsidRPr="00CA47B9">
        <w:t xml:space="preserve"> </w:t>
      </w:r>
      <w:r w:rsidR="00B0298E" w:rsidRPr="00CA47B9">
        <w:t>available</w:t>
      </w:r>
      <w:r w:rsidR="004B41A2" w:rsidRPr="00CA47B9">
        <w:t xml:space="preserve"> </w:t>
      </w:r>
      <w:r w:rsidR="00B0298E" w:rsidRPr="00CA47B9">
        <w:t>industrial</w:t>
      </w:r>
      <w:r w:rsidR="004B41A2" w:rsidRPr="00CA47B9">
        <w:t xml:space="preserve"> </w:t>
      </w:r>
      <w:r w:rsidR="00B0298E" w:rsidRPr="00CA47B9">
        <w:t>properties</w:t>
      </w:r>
      <w:r w:rsidR="004B41A2" w:rsidRPr="00CA47B9">
        <w:t xml:space="preserve"> </w:t>
      </w:r>
      <w:r w:rsidR="00B0298E" w:rsidRPr="00CA47B9">
        <w:t>by</w:t>
      </w:r>
      <w:r w:rsidR="004B41A2" w:rsidRPr="00CA47B9">
        <w:t xml:space="preserve"> </w:t>
      </w:r>
      <w:r w:rsidR="00B0298E" w:rsidRPr="00CA47B9">
        <w:t>size</w:t>
      </w:r>
      <w:r w:rsidR="004B41A2" w:rsidRPr="00CA47B9">
        <w:t xml:space="preserve"> </w:t>
      </w:r>
      <w:r w:rsidR="00B0298E" w:rsidRPr="00CA47B9">
        <w:t>and</w:t>
      </w:r>
      <w:r w:rsidR="004B41A2" w:rsidRPr="00CA47B9">
        <w:t xml:space="preserve"> </w:t>
      </w:r>
      <w:r w:rsidR="00B0298E" w:rsidRPr="00CA47B9">
        <w:t>sub-area</w:t>
      </w:r>
      <w:r w:rsidR="004B41A2" w:rsidRPr="00CA47B9">
        <w:t xml:space="preserve"> </w:t>
      </w:r>
      <w:r w:rsidR="00B0298E" w:rsidRPr="00CA47B9">
        <w:t>within</w:t>
      </w:r>
      <w:r w:rsidR="004B41A2" w:rsidRPr="00CA47B9">
        <w:t xml:space="preserve"> </w:t>
      </w:r>
      <w:r w:rsidR="00B0298E" w:rsidRPr="00CA47B9">
        <w:t>the</w:t>
      </w:r>
      <w:r w:rsidR="004B41A2" w:rsidRPr="00CA47B9">
        <w:t xml:space="preserve"> </w:t>
      </w:r>
      <w:r w:rsidR="00B0298E" w:rsidRPr="00CA47B9">
        <w:t>District.</w:t>
      </w:r>
      <w:r w:rsidR="004B41A2" w:rsidRPr="00CA47B9">
        <w:t xml:space="preserve"> </w:t>
      </w:r>
      <w:r w:rsidR="00B0298E" w:rsidRPr="00CA47B9">
        <w:t>The</w:t>
      </w:r>
      <w:r w:rsidR="004B41A2" w:rsidRPr="00CA47B9">
        <w:t xml:space="preserve"> </w:t>
      </w:r>
      <w:r w:rsidR="00B0298E" w:rsidRPr="00CA47B9">
        <w:t>highest</w:t>
      </w:r>
      <w:r w:rsidR="004B41A2" w:rsidRPr="00CA47B9">
        <w:t xml:space="preserve"> </w:t>
      </w:r>
      <w:r w:rsidR="00B0298E" w:rsidRPr="00CA47B9">
        <w:t>number</w:t>
      </w:r>
      <w:r w:rsidR="004B41A2" w:rsidRPr="00CA47B9">
        <w:t xml:space="preserve"> </w:t>
      </w:r>
      <w:r w:rsidR="00B0298E" w:rsidRPr="00CA47B9">
        <w:t>of</w:t>
      </w:r>
      <w:r w:rsidR="004B41A2" w:rsidRPr="00CA47B9">
        <w:t xml:space="preserve"> </w:t>
      </w:r>
      <w:r w:rsidR="00B0298E" w:rsidRPr="00CA47B9">
        <w:t>available</w:t>
      </w:r>
      <w:r w:rsidR="004B41A2" w:rsidRPr="00CA47B9">
        <w:t xml:space="preserve"> </w:t>
      </w:r>
      <w:r w:rsidR="00B0298E" w:rsidRPr="00CA47B9">
        <w:t>industrial</w:t>
      </w:r>
      <w:r w:rsidR="004B41A2" w:rsidRPr="00CA47B9">
        <w:t xml:space="preserve"> </w:t>
      </w:r>
      <w:r w:rsidR="00B0298E" w:rsidRPr="00CA47B9">
        <w:t>properties</w:t>
      </w:r>
      <w:r w:rsidR="004B41A2" w:rsidRPr="00CA47B9">
        <w:t xml:space="preserve"> </w:t>
      </w:r>
      <w:r w:rsidR="00B0298E" w:rsidRPr="00CA47B9">
        <w:t>is</w:t>
      </w:r>
      <w:r w:rsidR="004B41A2" w:rsidRPr="00CA47B9">
        <w:t xml:space="preserve"> </w:t>
      </w:r>
      <w:r w:rsidR="00B0298E" w:rsidRPr="00CA47B9">
        <w:t>in</w:t>
      </w:r>
      <w:r w:rsidR="004B41A2" w:rsidRPr="00CA47B9">
        <w:t xml:space="preserve"> </w:t>
      </w:r>
      <w:r w:rsidR="00B0298E" w:rsidRPr="00CA47B9">
        <w:t>the</w:t>
      </w:r>
      <w:r w:rsidR="004B41A2" w:rsidRPr="00CA47B9">
        <w:t xml:space="preserve"> </w:t>
      </w:r>
      <w:r w:rsidR="00B0298E" w:rsidRPr="00CA47B9">
        <w:t>Chichester</w:t>
      </w:r>
      <w:r w:rsidR="004B41A2" w:rsidRPr="00CA47B9">
        <w:t xml:space="preserve"> </w:t>
      </w:r>
      <w:r w:rsidR="00F75AF4" w:rsidRPr="00CA47B9">
        <w:t>City</w:t>
      </w:r>
      <w:r w:rsidR="004B41A2" w:rsidRPr="00CA47B9">
        <w:t xml:space="preserve"> </w:t>
      </w:r>
      <w:r w:rsidR="00855CA6">
        <w:t>sub-area</w:t>
      </w:r>
      <w:r w:rsidR="004B41A2" w:rsidRPr="00CA47B9">
        <w:t xml:space="preserve"> </w:t>
      </w:r>
      <w:r w:rsidR="00B0298E" w:rsidRPr="00CA47B9">
        <w:t>(</w:t>
      </w:r>
      <w:r w:rsidR="00DC023F" w:rsidRPr="00CA47B9">
        <w:t>52</w:t>
      </w:r>
      <w:r w:rsidR="00B0298E" w:rsidRPr="00CA47B9">
        <w:t>%),</w:t>
      </w:r>
      <w:r w:rsidR="007E4529">
        <w:t xml:space="preserve"> followed by SDNP (20%) and</w:t>
      </w:r>
      <w:r w:rsidR="004B41A2" w:rsidRPr="00CA47B9">
        <w:t xml:space="preserve"> </w:t>
      </w:r>
      <w:r w:rsidR="00B0298E" w:rsidRPr="00CA47B9">
        <w:t>the</w:t>
      </w:r>
      <w:r w:rsidR="004B41A2" w:rsidRPr="00CA47B9">
        <w:t xml:space="preserve"> </w:t>
      </w:r>
      <w:r w:rsidR="00B0298E" w:rsidRPr="00CA47B9">
        <w:t>East-West</w:t>
      </w:r>
      <w:r w:rsidR="004B41A2" w:rsidRPr="00CA47B9">
        <w:t xml:space="preserve"> </w:t>
      </w:r>
      <w:r w:rsidR="00B0298E" w:rsidRPr="00CA47B9">
        <w:t>Corridor</w:t>
      </w:r>
      <w:r w:rsidR="004B41A2" w:rsidRPr="00CA47B9">
        <w:t xml:space="preserve"> </w:t>
      </w:r>
      <w:r w:rsidR="00B0298E" w:rsidRPr="00CA47B9">
        <w:t>sub-area</w:t>
      </w:r>
      <w:r w:rsidR="004B41A2" w:rsidRPr="00CA47B9">
        <w:t xml:space="preserve"> </w:t>
      </w:r>
      <w:r w:rsidR="00B0298E" w:rsidRPr="00CA47B9">
        <w:t>(</w:t>
      </w:r>
      <w:r w:rsidR="00DC023F" w:rsidRPr="00CA47B9">
        <w:t>18</w:t>
      </w:r>
      <w:r w:rsidR="00B0298E" w:rsidRPr="00CA47B9">
        <w:t>%).</w:t>
      </w:r>
      <w:r w:rsidR="004B41A2" w:rsidRPr="00CA47B9">
        <w:t xml:space="preserve"> </w:t>
      </w:r>
      <w:r w:rsidR="00B0298E" w:rsidRPr="00CA47B9">
        <w:t>The</w:t>
      </w:r>
      <w:r w:rsidR="004B41A2" w:rsidRPr="00CA47B9">
        <w:t xml:space="preserve"> </w:t>
      </w:r>
      <w:r w:rsidR="00B0298E" w:rsidRPr="00CA47B9">
        <w:t>smallest</w:t>
      </w:r>
      <w:r w:rsidR="004B41A2" w:rsidRPr="00CA47B9">
        <w:t xml:space="preserve"> </w:t>
      </w:r>
      <w:r w:rsidR="00B0298E" w:rsidRPr="00CA47B9">
        <w:t>amount</w:t>
      </w:r>
      <w:r w:rsidR="004B41A2" w:rsidRPr="00CA47B9">
        <w:t xml:space="preserve"> </w:t>
      </w:r>
      <w:r w:rsidR="00B0298E" w:rsidRPr="00CA47B9">
        <w:t>of</w:t>
      </w:r>
      <w:r w:rsidR="004B41A2" w:rsidRPr="00CA47B9">
        <w:t xml:space="preserve"> </w:t>
      </w:r>
      <w:r w:rsidR="00B0298E" w:rsidRPr="00CA47B9">
        <w:t>available</w:t>
      </w:r>
      <w:r w:rsidR="004B41A2" w:rsidRPr="00CA47B9">
        <w:t xml:space="preserve"> </w:t>
      </w:r>
      <w:r w:rsidR="00B0298E" w:rsidRPr="00CA47B9">
        <w:t>industrial</w:t>
      </w:r>
      <w:r w:rsidR="004B41A2" w:rsidRPr="00CA47B9">
        <w:t xml:space="preserve"> </w:t>
      </w:r>
      <w:r w:rsidR="00B0298E" w:rsidRPr="00CA47B9">
        <w:t>properties</w:t>
      </w:r>
      <w:r w:rsidR="004B41A2" w:rsidRPr="00CA47B9">
        <w:t xml:space="preserve"> </w:t>
      </w:r>
      <w:r w:rsidR="00B0298E" w:rsidRPr="00CA47B9">
        <w:t>is</w:t>
      </w:r>
      <w:r w:rsidR="004B41A2" w:rsidRPr="00CA47B9">
        <w:t xml:space="preserve"> </w:t>
      </w:r>
      <w:r w:rsidR="00B0298E" w:rsidRPr="00CA47B9">
        <w:t>recorded</w:t>
      </w:r>
      <w:r w:rsidR="004B41A2" w:rsidRPr="00CA47B9">
        <w:t xml:space="preserve"> </w:t>
      </w:r>
      <w:r w:rsidR="00B0298E" w:rsidRPr="00CA47B9">
        <w:t>in</w:t>
      </w:r>
      <w:r w:rsidR="004B41A2" w:rsidRPr="00CA47B9">
        <w:t xml:space="preserve"> </w:t>
      </w:r>
      <w:r w:rsidR="00B0298E" w:rsidRPr="00CA47B9">
        <w:t>the</w:t>
      </w:r>
      <w:r w:rsidR="004B41A2" w:rsidRPr="00CA47B9">
        <w:t xml:space="preserve"> </w:t>
      </w:r>
      <w:r w:rsidR="00B0298E" w:rsidRPr="00CA47B9">
        <w:t>Plan</w:t>
      </w:r>
      <w:r w:rsidR="004B41A2" w:rsidRPr="00CA47B9">
        <w:t xml:space="preserve"> </w:t>
      </w:r>
      <w:r w:rsidR="00B0298E" w:rsidRPr="00CA47B9">
        <w:t>Area</w:t>
      </w:r>
      <w:r w:rsidR="004B41A2" w:rsidRPr="00CA47B9">
        <w:t xml:space="preserve"> </w:t>
      </w:r>
      <w:r w:rsidR="00B0298E" w:rsidRPr="00CA47B9">
        <w:t>North</w:t>
      </w:r>
      <w:r w:rsidR="004B41A2" w:rsidRPr="00CA47B9">
        <w:t xml:space="preserve"> </w:t>
      </w:r>
      <w:r w:rsidR="00B0298E" w:rsidRPr="00CA47B9">
        <w:t>sub-area</w:t>
      </w:r>
      <w:r w:rsidR="004B41A2" w:rsidRPr="00CA47B9">
        <w:t xml:space="preserve"> </w:t>
      </w:r>
      <w:r w:rsidR="00BD1572" w:rsidRPr="00CA47B9">
        <w:t xml:space="preserve">with no current listed properties on either </w:t>
      </w:r>
      <w:r w:rsidR="00CA47B9" w:rsidRPr="00CA47B9">
        <w:t>database</w:t>
      </w:r>
      <w:r w:rsidR="00B0298E" w:rsidRPr="00CA47B9">
        <w:t>.</w:t>
      </w:r>
    </w:p>
    <w:p w:rsidR="00B0298E" w:rsidRPr="00CA47B9" w:rsidRDefault="004B41A2" w:rsidP="00FA02C9">
      <w:pPr>
        <w:pStyle w:val="FigureHeading"/>
        <w:tabs>
          <w:tab w:val="clear" w:pos="794"/>
          <w:tab w:val="clear" w:pos="1843"/>
          <w:tab w:val="left" w:pos="0"/>
        </w:tabs>
        <w:ind w:left="0" w:firstLine="0"/>
      </w:pPr>
      <w:bookmarkStart w:id="223" w:name="_Toc481156700"/>
      <w:r w:rsidRPr="00CA47B9">
        <w:lastRenderedPageBreak/>
        <w:t xml:space="preserve"> </w:t>
      </w:r>
      <w:r w:rsidR="00B0298E" w:rsidRPr="00CA47B9">
        <w:t>Number</w:t>
      </w:r>
      <w:r w:rsidRPr="00CA47B9">
        <w:t xml:space="preserve"> </w:t>
      </w:r>
      <w:r w:rsidR="00B0298E" w:rsidRPr="00CA47B9">
        <w:t>of</w:t>
      </w:r>
      <w:r w:rsidRPr="00CA47B9">
        <w:t xml:space="preserve"> </w:t>
      </w:r>
      <w:r w:rsidR="00B0298E" w:rsidRPr="00CA47B9">
        <w:t>available</w:t>
      </w:r>
      <w:r w:rsidRPr="00CA47B9">
        <w:t xml:space="preserve"> </w:t>
      </w:r>
      <w:r w:rsidR="00B0298E" w:rsidRPr="00CA47B9">
        <w:t>industrial</w:t>
      </w:r>
      <w:r w:rsidRPr="00CA47B9">
        <w:t xml:space="preserve"> </w:t>
      </w:r>
      <w:r w:rsidR="00B0298E" w:rsidRPr="00CA47B9">
        <w:t>properties</w:t>
      </w:r>
      <w:r w:rsidRPr="00CA47B9">
        <w:t xml:space="preserve"> </w:t>
      </w:r>
      <w:r w:rsidR="00B0298E" w:rsidRPr="00CA47B9">
        <w:t>by</w:t>
      </w:r>
      <w:r w:rsidRPr="00CA47B9">
        <w:t xml:space="preserve"> </w:t>
      </w:r>
      <w:r w:rsidR="00B0298E" w:rsidRPr="00CA47B9">
        <w:t>size</w:t>
      </w:r>
      <w:r w:rsidRPr="00CA47B9">
        <w:t xml:space="preserve"> </w:t>
      </w:r>
      <w:r w:rsidR="00B0298E" w:rsidRPr="00CA47B9">
        <w:t>and</w:t>
      </w:r>
      <w:r w:rsidRPr="00CA47B9">
        <w:t xml:space="preserve"> </w:t>
      </w:r>
      <w:r w:rsidR="00B0298E" w:rsidRPr="00CA47B9">
        <w:t>sub-area</w:t>
      </w:r>
      <w:bookmarkEnd w:id="223"/>
    </w:p>
    <w:p w:rsidR="00B0298E" w:rsidRPr="00CA47B9" w:rsidRDefault="004211BF" w:rsidP="00031E60">
      <w:pPr>
        <w:pStyle w:val="Bodytextwithindent"/>
        <w:keepNext/>
        <w:spacing w:before="0" w:after="0" w:line="240" w:lineRule="auto"/>
        <w:ind w:left="0"/>
        <w:rPr>
          <w:rFonts w:asciiTheme="minorHAnsi" w:hAnsiTheme="minorHAnsi" w:cstheme="minorHAnsi"/>
          <w:color w:val="auto"/>
        </w:rPr>
      </w:pPr>
      <w:r w:rsidRPr="00CA47B9">
        <w:rPr>
          <w:noProof/>
          <w:color w:val="auto"/>
          <w:lang w:eastAsia="en-GB"/>
        </w:rPr>
        <w:drawing>
          <wp:inline distT="0" distB="0" distL="0" distR="0" wp14:anchorId="0B1BB807" wp14:editId="416FA3DC">
            <wp:extent cx="6120000" cy="2880000"/>
            <wp:effectExtent l="0" t="0" r="14605" b="15875"/>
            <wp:docPr id="1056" name="Chart 1056" descr="Stacked bar chart showing the number of deals by size band in each sub-area of Chichester district" title="Figure 62:  Number of available industrial properties by size and sub-area">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B0298E" w:rsidRPr="00795E1F" w:rsidRDefault="00B0298E" w:rsidP="00FA02C9">
      <w:pPr>
        <w:pStyle w:val="Referencetext8pt"/>
        <w:spacing w:after="120" w:line="360" w:lineRule="auto"/>
        <w:rPr>
          <w:rFonts w:asciiTheme="minorHAnsi" w:hAnsiTheme="minorHAnsi" w:cstheme="minorHAnsi"/>
          <w:color w:val="auto"/>
          <w:sz w:val="24"/>
          <w:szCs w:val="22"/>
        </w:rPr>
      </w:pPr>
      <w:r w:rsidRPr="00795E1F">
        <w:rPr>
          <w:rFonts w:asciiTheme="minorHAnsi" w:hAnsiTheme="minorHAnsi" w:cstheme="minorHAnsi"/>
          <w:color w:val="auto"/>
          <w:sz w:val="24"/>
          <w:szCs w:val="22"/>
        </w:rPr>
        <w:t>Source:</w:t>
      </w:r>
      <w:r w:rsidR="004B41A2" w:rsidRPr="00795E1F">
        <w:rPr>
          <w:rFonts w:asciiTheme="minorHAnsi" w:hAnsiTheme="minorHAnsi" w:cstheme="minorHAnsi"/>
          <w:color w:val="auto"/>
          <w:sz w:val="24"/>
          <w:szCs w:val="22"/>
        </w:rPr>
        <w:t xml:space="preserve"> </w:t>
      </w:r>
      <w:r w:rsidRPr="00795E1F">
        <w:rPr>
          <w:rFonts w:asciiTheme="minorHAnsi" w:hAnsiTheme="minorHAnsi" w:cstheme="minorHAnsi"/>
          <w:color w:val="auto"/>
          <w:sz w:val="24"/>
          <w:szCs w:val="22"/>
        </w:rPr>
        <w:t>GL</w:t>
      </w:r>
      <w:r w:rsidR="004B41A2" w:rsidRPr="00795E1F">
        <w:rPr>
          <w:rFonts w:asciiTheme="minorHAnsi" w:hAnsiTheme="minorHAnsi" w:cstheme="minorHAnsi"/>
          <w:color w:val="auto"/>
          <w:sz w:val="24"/>
          <w:szCs w:val="22"/>
        </w:rPr>
        <w:t xml:space="preserve"> </w:t>
      </w:r>
      <w:r w:rsidRPr="00795E1F">
        <w:rPr>
          <w:rFonts w:asciiTheme="minorHAnsi" w:hAnsiTheme="minorHAnsi" w:cstheme="minorHAnsi"/>
          <w:color w:val="auto"/>
          <w:sz w:val="24"/>
          <w:szCs w:val="22"/>
        </w:rPr>
        <w:t>Hearn</w:t>
      </w:r>
      <w:r w:rsidR="004B41A2" w:rsidRPr="00795E1F">
        <w:rPr>
          <w:rFonts w:asciiTheme="minorHAnsi" w:hAnsiTheme="minorHAnsi" w:cstheme="minorHAnsi"/>
          <w:color w:val="auto"/>
          <w:sz w:val="24"/>
          <w:szCs w:val="22"/>
        </w:rPr>
        <w:t xml:space="preserve"> </w:t>
      </w:r>
      <w:r w:rsidRPr="00795E1F">
        <w:rPr>
          <w:rFonts w:asciiTheme="minorHAnsi" w:hAnsiTheme="minorHAnsi" w:cstheme="minorHAnsi"/>
          <w:color w:val="auto"/>
          <w:sz w:val="24"/>
          <w:szCs w:val="22"/>
        </w:rPr>
        <w:t>Analysis</w:t>
      </w:r>
      <w:r w:rsidR="004B41A2" w:rsidRPr="00795E1F">
        <w:rPr>
          <w:rFonts w:asciiTheme="minorHAnsi" w:hAnsiTheme="minorHAnsi" w:cstheme="minorHAnsi"/>
          <w:color w:val="auto"/>
          <w:sz w:val="24"/>
          <w:szCs w:val="22"/>
        </w:rPr>
        <w:t xml:space="preserve"> </w:t>
      </w:r>
      <w:r w:rsidRPr="00795E1F">
        <w:rPr>
          <w:rFonts w:asciiTheme="minorHAnsi" w:hAnsiTheme="minorHAnsi" w:cstheme="minorHAnsi"/>
          <w:color w:val="auto"/>
          <w:sz w:val="24"/>
          <w:szCs w:val="22"/>
        </w:rPr>
        <w:t>of</w:t>
      </w:r>
      <w:r w:rsidR="004B41A2" w:rsidRPr="00795E1F">
        <w:rPr>
          <w:rFonts w:asciiTheme="minorHAnsi" w:hAnsiTheme="minorHAnsi" w:cstheme="minorHAnsi"/>
          <w:color w:val="auto"/>
          <w:sz w:val="24"/>
          <w:szCs w:val="22"/>
        </w:rPr>
        <w:t xml:space="preserve"> </w:t>
      </w:r>
      <w:r w:rsidRPr="00795E1F">
        <w:rPr>
          <w:rFonts w:asciiTheme="minorHAnsi" w:hAnsiTheme="minorHAnsi" w:cstheme="minorHAnsi"/>
          <w:color w:val="auto"/>
          <w:sz w:val="24"/>
          <w:szCs w:val="22"/>
        </w:rPr>
        <w:t>EGi</w:t>
      </w:r>
      <w:r w:rsidR="004B41A2" w:rsidRPr="00795E1F">
        <w:rPr>
          <w:rFonts w:asciiTheme="minorHAnsi" w:hAnsiTheme="minorHAnsi" w:cstheme="minorHAnsi"/>
          <w:color w:val="auto"/>
          <w:sz w:val="24"/>
          <w:szCs w:val="22"/>
        </w:rPr>
        <w:t xml:space="preserve"> </w:t>
      </w:r>
      <w:r w:rsidRPr="00795E1F">
        <w:rPr>
          <w:rFonts w:asciiTheme="minorHAnsi" w:hAnsiTheme="minorHAnsi" w:cstheme="minorHAnsi"/>
          <w:color w:val="auto"/>
          <w:sz w:val="24"/>
          <w:szCs w:val="22"/>
        </w:rPr>
        <w:t>and</w:t>
      </w:r>
      <w:r w:rsidR="004B41A2" w:rsidRPr="00795E1F">
        <w:rPr>
          <w:rFonts w:asciiTheme="minorHAnsi" w:hAnsiTheme="minorHAnsi" w:cstheme="minorHAnsi"/>
          <w:color w:val="auto"/>
          <w:sz w:val="24"/>
          <w:szCs w:val="22"/>
        </w:rPr>
        <w:t xml:space="preserve"> </w:t>
      </w:r>
      <w:r w:rsidRPr="00795E1F">
        <w:rPr>
          <w:rFonts w:asciiTheme="minorHAnsi" w:hAnsiTheme="minorHAnsi" w:cstheme="minorHAnsi"/>
          <w:color w:val="auto"/>
          <w:sz w:val="24"/>
          <w:szCs w:val="22"/>
        </w:rPr>
        <w:t>CoStar</w:t>
      </w:r>
      <w:r w:rsidR="004B41A2" w:rsidRPr="00795E1F">
        <w:rPr>
          <w:rFonts w:asciiTheme="minorHAnsi" w:hAnsiTheme="minorHAnsi" w:cstheme="minorHAnsi"/>
          <w:color w:val="auto"/>
          <w:sz w:val="24"/>
          <w:szCs w:val="22"/>
        </w:rPr>
        <w:t xml:space="preserve"> </w:t>
      </w:r>
      <w:r w:rsidRPr="00795E1F">
        <w:rPr>
          <w:rFonts w:asciiTheme="minorHAnsi" w:hAnsiTheme="minorHAnsi" w:cstheme="minorHAnsi"/>
          <w:color w:val="auto"/>
          <w:sz w:val="24"/>
          <w:szCs w:val="22"/>
        </w:rPr>
        <w:t>Data</w:t>
      </w:r>
    </w:p>
    <w:p w:rsidR="00B0298E" w:rsidRPr="00CA47B9" w:rsidRDefault="00B0298E" w:rsidP="001C73B8">
      <w:pPr>
        <w:pStyle w:val="11Bodytext"/>
        <w:tabs>
          <w:tab w:val="clear" w:pos="2212"/>
          <w:tab w:val="num" w:pos="567"/>
        </w:tabs>
        <w:ind w:left="567" w:hanging="567"/>
      </w:pPr>
      <w:r w:rsidRPr="00CA47B9">
        <w:t>Figure</w:t>
      </w:r>
      <w:r w:rsidR="004B41A2" w:rsidRPr="00CA47B9">
        <w:t xml:space="preserve"> </w:t>
      </w:r>
      <w:r w:rsidR="0035301B" w:rsidRPr="00CA47B9">
        <w:t>6</w:t>
      </w:r>
      <w:r w:rsidR="00442CA7">
        <w:t>3</w:t>
      </w:r>
      <w:r w:rsidR="004B41A2" w:rsidRPr="00CA47B9">
        <w:t xml:space="preserve"> </w:t>
      </w:r>
      <w:r w:rsidRPr="00CA47B9">
        <w:t>shows</w:t>
      </w:r>
      <w:r w:rsidR="004B41A2" w:rsidRPr="00CA47B9">
        <w:t xml:space="preserve"> </w:t>
      </w:r>
      <w:r w:rsidRPr="00CA47B9">
        <w:t>the</w:t>
      </w:r>
      <w:r w:rsidR="004B41A2" w:rsidRPr="00CA47B9">
        <w:t xml:space="preserve"> </w:t>
      </w:r>
      <w:r w:rsidRPr="00CA47B9">
        <w:t>available</w:t>
      </w:r>
      <w:r w:rsidR="004B41A2" w:rsidRPr="00CA47B9">
        <w:t xml:space="preserve"> </w:t>
      </w:r>
      <w:r w:rsidRPr="00CA47B9">
        <w:t>industrial</w:t>
      </w:r>
      <w:r w:rsidR="004B41A2" w:rsidRPr="00CA47B9">
        <w:t xml:space="preserve"> </w:t>
      </w:r>
      <w:r w:rsidRPr="00CA47B9">
        <w:t>floorspace</w:t>
      </w:r>
      <w:r w:rsidR="004B41A2" w:rsidRPr="00CA47B9">
        <w:t xml:space="preserve"> </w:t>
      </w:r>
      <w:r w:rsidRPr="00CA47B9">
        <w:t>by</w:t>
      </w:r>
      <w:r w:rsidR="004B41A2" w:rsidRPr="00CA47B9">
        <w:t xml:space="preserve"> </w:t>
      </w:r>
      <w:r w:rsidRPr="00CA47B9">
        <w:t>size</w:t>
      </w:r>
      <w:r w:rsidR="004B41A2" w:rsidRPr="00CA47B9">
        <w:t xml:space="preserve"> </w:t>
      </w:r>
      <w:r w:rsidRPr="00CA47B9">
        <w:t>and</w:t>
      </w:r>
      <w:r w:rsidR="004B41A2" w:rsidRPr="00CA47B9">
        <w:t xml:space="preserve"> </w:t>
      </w:r>
      <w:r w:rsidRPr="00CA47B9">
        <w:t>sub-area.</w:t>
      </w:r>
      <w:r w:rsidR="004B41A2" w:rsidRPr="00CA47B9">
        <w:t xml:space="preserve"> </w:t>
      </w:r>
      <w:r w:rsidRPr="00CA47B9">
        <w:t>According</w:t>
      </w:r>
      <w:r w:rsidR="004B41A2" w:rsidRPr="00CA47B9">
        <w:t xml:space="preserve"> </w:t>
      </w:r>
      <w:r w:rsidRPr="00CA47B9">
        <w:t>to</w:t>
      </w:r>
      <w:r w:rsidR="004B41A2" w:rsidRPr="00CA47B9">
        <w:t xml:space="preserve"> </w:t>
      </w:r>
      <w:r w:rsidRPr="00CA47B9">
        <w:t>data</w:t>
      </w:r>
      <w:r w:rsidR="004B41A2" w:rsidRPr="00CA47B9">
        <w:t xml:space="preserve"> </w:t>
      </w:r>
      <w:r w:rsidRPr="00CA47B9">
        <w:t>recorded</w:t>
      </w:r>
      <w:r w:rsidR="004B41A2" w:rsidRPr="00CA47B9">
        <w:t xml:space="preserve"> </w:t>
      </w:r>
      <w:r w:rsidRPr="00CA47B9">
        <w:t>by</w:t>
      </w:r>
      <w:r w:rsidR="004B41A2" w:rsidRPr="00CA47B9">
        <w:t xml:space="preserve"> </w:t>
      </w:r>
      <w:r w:rsidRPr="00CA47B9">
        <w:t>EGi</w:t>
      </w:r>
      <w:r w:rsidR="004B41A2" w:rsidRPr="00CA47B9">
        <w:t xml:space="preserve"> </w:t>
      </w:r>
      <w:r w:rsidRPr="00CA47B9">
        <w:t>and</w:t>
      </w:r>
      <w:r w:rsidR="004B41A2" w:rsidRPr="00CA47B9">
        <w:t xml:space="preserve"> </w:t>
      </w:r>
      <w:r w:rsidRPr="00CA47B9">
        <w:t>CoStar,</w:t>
      </w:r>
      <w:r w:rsidR="004B41A2" w:rsidRPr="00CA47B9">
        <w:t xml:space="preserve"> </w:t>
      </w:r>
      <w:r w:rsidRPr="00CA47B9">
        <w:t>in</w:t>
      </w:r>
      <w:r w:rsidR="004B41A2" w:rsidRPr="00CA47B9">
        <w:t xml:space="preserve"> </w:t>
      </w:r>
      <w:r w:rsidR="0006168B">
        <w:t xml:space="preserve">August </w:t>
      </w:r>
      <w:r w:rsidR="008C6759" w:rsidRPr="00CA47B9">
        <w:t>2019</w:t>
      </w:r>
      <w:r w:rsidR="004B41A2" w:rsidRPr="00CA47B9">
        <w:t xml:space="preserve"> </w:t>
      </w:r>
      <w:r w:rsidRPr="00CA47B9">
        <w:t>the</w:t>
      </w:r>
      <w:r w:rsidR="004B41A2" w:rsidRPr="00CA47B9">
        <w:t xml:space="preserve"> </w:t>
      </w:r>
      <w:r w:rsidRPr="00CA47B9">
        <w:t>highest</w:t>
      </w:r>
      <w:r w:rsidR="004B41A2" w:rsidRPr="00CA47B9">
        <w:t xml:space="preserve"> </w:t>
      </w:r>
      <w:r w:rsidRPr="00CA47B9">
        <w:t>amount</w:t>
      </w:r>
      <w:r w:rsidR="004B41A2" w:rsidRPr="00CA47B9">
        <w:t xml:space="preserve"> </w:t>
      </w:r>
      <w:r w:rsidRPr="00CA47B9">
        <w:t>of</w:t>
      </w:r>
      <w:r w:rsidR="004B41A2" w:rsidRPr="00CA47B9">
        <w:t xml:space="preserve"> </w:t>
      </w:r>
      <w:r w:rsidRPr="00CA47B9">
        <w:t>available</w:t>
      </w:r>
      <w:r w:rsidR="004B41A2" w:rsidRPr="00CA47B9">
        <w:t xml:space="preserve"> </w:t>
      </w:r>
      <w:r w:rsidRPr="00CA47B9">
        <w:t>industrial</w:t>
      </w:r>
      <w:r w:rsidR="004B41A2" w:rsidRPr="00CA47B9">
        <w:t xml:space="preserve"> </w:t>
      </w:r>
      <w:r w:rsidRPr="00CA47B9">
        <w:t>floorspace</w:t>
      </w:r>
      <w:r w:rsidR="004B41A2" w:rsidRPr="00CA47B9">
        <w:t xml:space="preserve"> </w:t>
      </w:r>
      <w:r w:rsidRPr="00CA47B9">
        <w:t>was</w:t>
      </w:r>
      <w:r w:rsidR="004B41A2" w:rsidRPr="00CA47B9">
        <w:t xml:space="preserve"> </w:t>
      </w:r>
      <w:r w:rsidRPr="00CA47B9">
        <w:t>located</w:t>
      </w:r>
      <w:r w:rsidR="004B41A2" w:rsidRPr="00CA47B9">
        <w:t xml:space="preserve"> </w:t>
      </w:r>
      <w:r w:rsidRPr="00CA47B9">
        <w:t>in</w:t>
      </w:r>
      <w:r w:rsidR="008C6759" w:rsidRPr="00CA47B9">
        <w:t xml:space="preserve"> Chichester City (53%) followed by South Downs National Park (18%) and Manhood Peninsula (17%).</w:t>
      </w:r>
      <w:r w:rsidR="00A70FE4">
        <w:t xml:space="preserve"> </w:t>
      </w:r>
    </w:p>
    <w:p w:rsidR="00B0298E" w:rsidRPr="00CA47B9" w:rsidRDefault="00A70FE4" w:rsidP="001C73B8">
      <w:pPr>
        <w:pStyle w:val="11Bodytext"/>
        <w:tabs>
          <w:tab w:val="clear" w:pos="2212"/>
          <w:tab w:val="num" w:pos="567"/>
        </w:tabs>
        <w:ind w:left="567" w:hanging="567"/>
      </w:pPr>
      <w:r>
        <w:t xml:space="preserve">This equates to 17,201 sqm in Chichester City, 4,139 sqm in East-West Corridor, 5,418 sqm in the Manhood Peninsula, 0 sqm in the Plan Area North and 5,937 sqm in the SDNP and is demonstrated in the figure below. </w:t>
      </w:r>
      <w:r w:rsidR="00B0298E" w:rsidRPr="00CA47B9">
        <w:t>The</w:t>
      </w:r>
      <w:r w:rsidR="004B41A2" w:rsidRPr="00CA47B9">
        <w:t xml:space="preserve"> </w:t>
      </w:r>
      <w:r w:rsidR="00B0298E" w:rsidRPr="00CA47B9">
        <w:t>largest</w:t>
      </w:r>
      <w:r w:rsidR="004B41A2" w:rsidRPr="00CA47B9">
        <w:t xml:space="preserve"> </w:t>
      </w:r>
      <w:r w:rsidR="00B0298E" w:rsidRPr="00CA47B9">
        <w:t>industrial</w:t>
      </w:r>
      <w:r w:rsidR="004B41A2" w:rsidRPr="00CA47B9">
        <w:t xml:space="preserve"> </w:t>
      </w:r>
      <w:r w:rsidR="00F75AF4" w:rsidRPr="00CA47B9">
        <w:t>development</w:t>
      </w:r>
      <w:r w:rsidR="004B41A2" w:rsidRPr="00CA47B9">
        <w:t xml:space="preserve"> </w:t>
      </w:r>
      <w:r w:rsidR="00B0298E" w:rsidRPr="00CA47B9">
        <w:t>which</w:t>
      </w:r>
      <w:r w:rsidR="004B41A2" w:rsidRPr="00CA47B9">
        <w:t xml:space="preserve"> </w:t>
      </w:r>
      <w:r w:rsidR="00B0298E" w:rsidRPr="00CA47B9">
        <w:t>is</w:t>
      </w:r>
      <w:r w:rsidR="004B41A2" w:rsidRPr="00CA47B9">
        <w:t xml:space="preserve"> </w:t>
      </w:r>
      <w:r w:rsidR="00B0298E" w:rsidRPr="00CA47B9">
        <w:t>advertised</w:t>
      </w:r>
      <w:r w:rsidR="004B41A2" w:rsidRPr="00CA47B9">
        <w:t xml:space="preserve"> </w:t>
      </w:r>
      <w:r w:rsidR="00B0298E" w:rsidRPr="00CA47B9">
        <w:t>as</w:t>
      </w:r>
      <w:r w:rsidR="004B41A2" w:rsidRPr="00CA47B9">
        <w:t xml:space="preserve"> </w:t>
      </w:r>
      <w:r w:rsidR="00B0298E" w:rsidRPr="00CA47B9">
        <w:t>available</w:t>
      </w:r>
      <w:r w:rsidR="004B41A2" w:rsidRPr="00CA47B9">
        <w:t xml:space="preserve"> </w:t>
      </w:r>
      <w:r w:rsidR="00EB260A" w:rsidRPr="00CA47B9">
        <w:t>is</w:t>
      </w:r>
      <w:r w:rsidR="004B41A2" w:rsidRPr="00CA47B9">
        <w:t xml:space="preserve"> </w:t>
      </w:r>
      <w:r w:rsidR="00EB260A" w:rsidRPr="00CA47B9">
        <w:t>the</w:t>
      </w:r>
      <w:r w:rsidR="004B41A2" w:rsidRPr="00CA47B9">
        <w:t xml:space="preserve"> </w:t>
      </w:r>
      <w:r w:rsidR="00EB260A" w:rsidRPr="00CA47B9">
        <w:t>City</w:t>
      </w:r>
      <w:r w:rsidR="004B41A2" w:rsidRPr="00CA47B9">
        <w:t xml:space="preserve"> </w:t>
      </w:r>
      <w:r w:rsidR="00EB260A" w:rsidRPr="00CA47B9">
        <w:t>Fields</w:t>
      </w:r>
      <w:r w:rsidR="004B41A2" w:rsidRPr="00CA47B9">
        <w:t xml:space="preserve"> </w:t>
      </w:r>
      <w:r w:rsidR="00EB260A" w:rsidRPr="00CA47B9">
        <w:t>Way</w:t>
      </w:r>
      <w:r w:rsidR="004B41A2" w:rsidRPr="00CA47B9">
        <w:t xml:space="preserve"> </w:t>
      </w:r>
      <w:r w:rsidR="00EB260A" w:rsidRPr="00CA47B9">
        <w:t>development</w:t>
      </w:r>
      <w:r w:rsidR="004B41A2" w:rsidRPr="00CA47B9">
        <w:t xml:space="preserve"> </w:t>
      </w:r>
      <w:r w:rsidR="00EB260A" w:rsidRPr="00CA47B9">
        <w:t>in</w:t>
      </w:r>
      <w:r w:rsidR="004B41A2" w:rsidRPr="00CA47B9">
        <w:t xml:space="preserve"> </w:t>
      </w:r>
      <w:r w:rsidR="00EB260A" w:rsidRPr="00CA47B9">
        <w:t>the</w:t>
      </w:r>
      <w:r w:rsidR="004B41A2" w:rsidRPr="00CA47B9">
        <w:t xml:space="preserve"> </w:t>
      </w:r>
      <w:r w:rsidR="00855CA6" w:rsidRPr="00CA47B9">
        <w:t>East</w:t>
      </w:r>
      <w:r w:rsidR="00855CA6">
        <w:t>-</w:t>
      </w:r>
      <w:r w:rsidR="00EB260A" w:rsidRPr="00CA47B9">
        <w:t>West</w:t>
      </w:r>
      <w:r w:rsidR="004B41A2" w:rsidRPr="00CA47B9">
        <w:t xml:space="preserve"> </w:t>
      </w:r>
      <w:r w:rsidR="00EB260A" w:rsidRPr="00CA47B9">
        <w:t>Corridor</w:t>
      </w:r>
      <w:r w:rsidR="004B41A2" w:rsidRPr="00CA47B9">
        <w:t xml:space="preserve"> </w:t>
      </w:r>
      <w:r w:rsidR="00EB260A" w:rsidRPr="00CA47B9">
        <w:t>which</w:t>
      </w:r>
      <w:r w:rsidR="004B41A2" w:rsidRPr="00CA47B9">
        <w:t xml:space="preserve"> </w:t>
      </w:r>
      <w:r w:rsidR="00EB260A" w:rsidRPr="00CA47B9">
        <w:t>is</w:t>
      </w:r>
      <w:r w:rsidR="004B41A2" w:rsidRPr="00CA47B9">
        <w:t xml:space="preserve"> </w:t>
      </w:r>
      <w:r w:rsidR="00EB260A" w:rsidRPr="00CA47B9">
        <w:t>just</w:t>
      </w:r>
      <w:r w:rsidR="004B41A2" w:rsidRPr="00CA47B9">
        <w:t xml:space="preserve"> </w:t>
      </w:r>
      <w:r w:rsidR="00EB260A" w:rsidRPr="00CA47B9">
        <w:t>over</w:t>
      </w:r>
      <w:r w:rsidR="004B41A2" w:rsidRPr="00CA47B9">
        <w:t xml:space="preserve"> </w:t>
      </w:r>
      <w:r w:rsidR="00EB260A" w:rsidRPr="00CA47B9">
        <w:t>3,700</w:t>
      </w:r>
      <w:r w:rsidR="004B41A2" w:rsidRPr="00CA47B9">
        <w:t xml:space="preserve"> </w:t>
      </w:r>
      <w:r w:rsidR="0021576F" w:rsidRPr="00CA47B9">
        <w:t>sqm</w:t>
      </w:r>
      <w:r w:rsidR="009D5641" w:rsidRPr="00CA47B9">
        <w:t>.</w:t>
      </w:r>
    </w:p>
    <w:p w:rsidR="00B0298E" w:rsidRPr="00CA47B9" w:rsidRDefault="00B0298E" w:rsidP="00FA02C9">
      <w:pPr>
        <w:pStyle w:val="FigureHeading"/>
        <w:tabs>
          <w:tab w:val="clear" w:pos="794"/>
          <w:tab w:val="clear" w:pos="1843"/>
          <w:tab w:val="left" w:pos="0"/>
        </w:tabs>
        <w:ind w:left="0" w:firstLine="0"/>
      </w:pPr>
      <w:bookmarkStart w:id="224" w:name="_Toc481156702"/>
      <w:r w:rsidRPr="00CA47B9">
        <w:lastRenderedPageBreak/>
        <w:t>Industrial</w:t>
      </w:r>
      <w:r w:rsidR="004B41A2" w:rsidRPr="00CA47B9">
        <w:t xml:space="preserve"> </w:t>
      </w:r>
      <w:r w:rsidRPr="00CA47B9">
        <w:t>Floorspace</w:t>
      </w:r>
      <w:r w:rsidR="004B41A2" w:rsidRPr="00CA47B9">
        <w:t xml:space="preserve"> </w:t>
      </w:r>
      <w:r w:rsidRPr="00CA47B9">
        <w:t>Availability</w:t>
      </w:r>
      <w:r w:rsidR="004B41A2" w:rsidRPr="00CA47B9">
        <w:t xml:space="preserve"> </w:t>
      </w:r>
      <w:r w:rsidRPr="00CA47B9">
        <w:t>by</w:t>
      </w:r>
      <w:r w:rsidR="004B41A2" w:rsidRPr="00CA47B9">
        <w:t xml:space="preserve"> </w:t>
      </w:r>
      <w:r w:rsidRPr="00CA47B9">
        <w:t>size</w:t>
      </w:r>
      <w:r w:rsidR="004B41A2" w:rsidRPr="00CA47B9">
        <w:t xml:space="preserve"> </w:t>
      </w:r>
      <w:r w:rsidRPr="00CA47B9">
        <w:t>and</w:t>
      </w:r>
      <w:r w:rsidR="004B41A2" w:rsidRPr="00CA47B9">
        <w:t xml:space="preserve"> </w:t>
      </w:r>
      <w:r w:rsidRPr="00CA47B9">
        <w:t>sub-area</w:t>
      </w:r>
      <w:r w:rsidR="004B41A2" w:rsidRPr="00CA47B9">
        <w:t xml:space="preserve"> </w:t>
      </w:r>
      <w:bookmarkEnd w:id="224"/>
      <w:r w:rsidR="004211BF" w:rsidRPr="00CA47B9">
        <w:t>(sqm)</w:t>
      </w:r>
    </w:p>
    <w:p w:rsidR="00B0298E" w:rsidRPr="00CA47B9" w:rsidRDefault="004211BF" w:rsidP="00031E60">
      <w:pPr>
        <w:pStyle w:val="Bodytextwithindent"/>
        <w:keepNext/>
        <w:spacing w:before="0" w:after="0" w:line="240" w:lineRule="auto"/>
        <w:ind w:left="0"/>
        <w:rPr>
          <w:rFonts w:asciiTheme="minorHAnsi" w:hAnsiTheme="minorHAnsi" w:cstheme="minorHAnsi"/>
          <w:color w:val="FF0000"/>
        </w:rPr>
      </w:pPr>
      <w:r w:rsidRPr="00CA47B9">
        <w:rPr>
          <w:noProof/>
          <w:lang w:eastAsia="en-GB"/>
        </w:rPr>
        <w:drawing>
          <wp:inline distT="0" distB="0" distL="0" distR="0" wp14:anchorId="72EDF50D" wp14:editId="2DDEF487">
            <wp:extent cx="6120000" cy="2880000"/>
            <wp:effectExtent l="0" t="0" r="14605" b="15875"/>
            <wp:docPr id="1057" name="Chart 1057" descr="Stacked bar chart showing the floorspace transacted by size band in each sub-area of Chichester District" title="Figure 63: Industrial Floorspace Availability by size and sub-area (sqm)">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B0298E" w:rsidRPr="007E7A18" w:rsidRDefault="00B0298E" w:rsidP="00FA02C9">
      <w:pPr>
        <w:pStyle w:val="Referencetext8pt"/>
        <w:spacing w:after="120" w:line="360" w:lineRule="auto"/>
        <w:rPr>
          <w:rFonts w:asciiTheme="minorHAnsi" w:hAnsiTheme="minorHAnsi" w:cstheme="minorHAnsi"/>
          <w:color w:val="auto"/>
          <w:sz w:val="24"/>
          <w:szCs w:val="22"/>
        </w:rPr>
      </w:pPr>
      <w:r w:rsidRPr="007E7A18">
        <w:rPr>
          <w:rFonts w:asciiTheme="minorHAnsi" w:hAnsiTheme="minorHAnsi" w:cstheme="minorHAnsi"/>
          <w:color w:val="auto"/>
          <w:sz w:val="24"/>
          <w:szCs w:val="22"/>
        </w:rPr>
        <w:t>Source:</w:t>
      </w:r>
      <w:r w:rsidR="004B41A2" w:rsidRPr="007E7A18">
        <w:rPr>
          <w:rFonts w:asciiTheme="minorHAnsi" w:hAnsiTheme="minorHAnsi" w:cstheme="minorHAnsi"/>
          <w:color w:val="auto"/>
          <w:sz w:val="24"/>
          <w:szCs w:val="22"/>
        </w:rPr>
        <w:t xml:space="preserve"> </w:t>
      </w:r>
      <w:r w:rsidRPr="007E7A18">
        <w:rPr>
          <w:rFonts w:asciiTheme="minorHAnsi" w:hAnsiTheme="minorHAnsi" w:cstheme="minorHAnsi"/>
          <w:color w:val="auto"/>
          <w:sz w:val="24"/>
          <w:szCs w:val="22"/>
        </w:rPr>
        <w:t>GL</w:t>
      </w:r>
      <w:r w:rsidR="004B41A2" w:rsidRPr="007E7A18">
        <w:rPr>
          <w:rFonts w:asciiTheme="minorHAnsi" w:hAnsiTheme="minorHAnsi" w:cstheme="minorHAnsi"/>
          <w:color w:val="auto"/>
          <w:sz w:val="24"/>
          <w:szCs w:val="22"/>
        </w:rPr>
        <w:t xml:space="preserve"> </w:t>
      </w:r>
      <w:r w:rsidRPr="007E7A18">
        <w:rPr>
          <w:rFonts w:asciiTheme="minorHAnsi" w:hAnsiTheme="minorHAnsi" w:cstheme="minorHAnsi"/>
          <w:color w:val="auto"/>
          <w:sz w:val="24"/>
          <w:szCs w:val="22"/>
        </w:rPr>
        <w:t>Hearn</w:t>
      </w:r>
      <w:r w:rsidR="004B41A2" w:rsidRPr="007E7A18">
        <w:rPr>
          <w:rFonts w:asciiTheme="minorHAnsi" w:hAnsiTheme="minorHAnsi" w:cstheme="minorHAnsi"/>
          <w:color w:val="auto"/>
          <w:sz w:val="24"/>
          <w:szCs w:val="22"/>
        </w:rPr>
        <w:t xml:space="preserve"> </w:t>
      </w:r>
      <w:r w:rsidRPr="007E7A18">
        <w:rPr>
          <w:rFonts w:asciiTheme="minorHAnsi" w:hAnsiTheme="minorHAnsi" w:cstheme="minorHAnsi"/>
          <w:color w:val="auto"/>
          <w:sz w:val="24"/>
          <w:szCs w:val="22"/>
        </w:rPr>
        <w:t>Analysis</w:t>
      </w:r>
      <w:r w:rsidR="004B41A2" w:rsidRPr="007E7A18">
        <w:rPr>
          <w:rFonts w:asciiTheme="minorHAnsi" w:hAnsiTheme="minorHAnsi" w:cstheme="minorHAnsi"/>
          <w:color w:val="auto"/>
          <w:sz w:val="24"/>
          <w:szCs w:val="22"/>
        </w:rPr>
        <w:t xml:space="preserve"> </w:t>
      </w:r>
      <w:r w:rsidRPr="007E7A18">
        <w:rPr>
          <w:rFonts w:asciiTheme="minorHAnsi" w:hAnsiTheme="minorHAnsi" w:cstheme="minorHAnsi"/>
          <w:color w:val="auto"/>
          <w:sz w:val="24"/>
          <w:szCs w:val="22"/>
        </w:rPr>
        <w:t>of</w:t>
      </w:r>
      <w:r w:rsidR="004B41A2" w:rsidRPr="007E7A18">
        <w:rPr>
          <w:rFonts w:asciiTheme="minorHAnsi" w:hAnsiTheme="minorHAnsi" w:cstheme="minorHAnsi"/>
          <w:color w:val="auto"/>
          <w:sz w:val="24"/>
          <w:szCs w:val="22"/>
        </w:rPr>
        <w:t xml:space="preserve"> </w:t>
      </w:r>
      <w:r w:rsidRPr="007E7A18">
        <w:rPr>
          <w:rFonts w:asciiTheme="minorHAnsi" w:hAnsiTheme="minorHAnsi" w:cstheme="minorHAnsi"/>
          <w:color w:val="auto"/>
          <w:sz w:val="24"/>
          <w:szCs w:val="22"/>
        </w:rPr>
        <w:t>EGi</w:t>
      </w:r>
      <w:r w:rsidR="004B41A2" w:rsidRPr="007E7A18">
        <w:rPr>
          <w:rFonts w:asciiTheme="minorHAnsi" w:hAnsiTheme="minorHAnsi" w:cstheme="minorHAnsi"/>
          <w:color w:val="auto"/>
          <w:sz w:val="24"/>
          <w:szCs w:val="22"/>
        </w:rPr>
        <w:t xml:space="preserve"> </w:t>
      </w:r>
      <w:r w:rsidRPr="007E7A18">
        <w:rPr>
          <w:rFonts w:asciiTheme="minorHAnsi" w:hAnsiTheme="minorHAnsi" w:cstheme="minorHAnsi"/>
          <w:color w:val="auto"/>
          <w:sz w:val="24"/>
          <w:szCs w:val="22"/>
        </w:rPr>
        <w:t>and</w:t>
      </w:r>
      <w:r w:rsidR="004B41A2" w:rsidRPr="007E7A18">
        <w:rPr>
          <w:rFonts w:asciiTheme="minorHAnsi" w:hAnsiTheme="minorHAnsi" w:cstheme="minorHAnsi"/>
          <w:color w:val="auto"/>
          <w:sz w:val="24"/>
          <w:szCs w:val="22"/>
        </w:rPr>
        <w:t xml:space="preserve"> </w:t>
      </w:r>
      <w:r w:rsidRPr="007E7A18">
        <w:rPr>
          <w:rFonts w:asciiTheme="minorHAnsi" w:hAnsiTheme="minorHAnsi" w:cstheme="minorHAnsi"/>
          <w:color w:val="auto"/>
          <w:sz w:val="24"/>
          <w:szCs w:val="22"/>
        </w:rPr>
        <w:t>CoStar</w:t>
      </w:r>
      <w:r w:rsidR="004B41A2" w:rsidRPr="007E7A18">
        <w:rPr>
          <w:rFonts w:asciiTheme="minorHAnsi" w:hAnsiTheme="minorHAnsi" w:cstheme="minorHAnsi"/>
          <w:color w:val="auto"/>
          <w:sz w:val="24"/>
          <w:szCs w:val="22"/>
        </w:rPr>
        <w:t xml:space="preserve"> </w:t>
      </w:r>
      <w:r w:rsidRPr="007E7A18">
        <w:rPr>
          <w:rFonts w:asciiTheme="minorHAnsi" w:hAnsiTheme="minorHAnsi" w:cstheme="minorHAnsi"/>
          <w:color w:val="auto"/>
          <w:sz w:val="24"/>
          <w:szCs w:val="22"/>
        </w:rPr>
        <w:t>Data</w:t>
      </w:r>
      <w:r w:rsidR="0006168B" w:rsidRPr="007E7A18">
        <w:rPr>
          <w:rFonts w:asciiTheme="minorHAnsi" w:hAnsiTheme="minorHAnsi" w:cstheme="minorHAnsi"/>
          <w:color w:val="auto"/>
          <w:sz w:val="24"/>
          <w:szCs w:val="22"/>
        </w:rPr>
        <w:t xml:space="preserve"> 2019</w:t>
      </w:r>
    </w:p>
    <w:p w:rsidR="00B0298E" w:rsidRPr="00CA47B9" w:rsidRDefault="00B0298E" w:rsidP="001C73B8">
      <w:pPr>
        <w:pStyle w:val="11Bodytext"/>
        <w:tabs>
          <w:tab w:val="clear" w:pos="2212"/>
          <w:tab w:val="num" w:pos="567"/>
        </w:tabs>
        <w:ind w:left="567" w:hanging="567"/>
      </w:pPr>
      <w:r w:rsidRPr="00CA47B9">
        <w:t>In</w:t>
      </w:r>
      <w:r w:rsidR="004B41A2" w:rsidRPr="00CA47B9">
        <w:t xml:space="preserve"> </w:t>
      </w:r>
      <w:r w:rsidRPr="00CA47B9">
        <w:t>terms</w:t>
      </w:r>
      <w:r w:rsidR="004B41A2" w:rsidRPr="00CA47B9">
        <w:t xml:space="preserve"> </w:t>
      </w:r>
      <w:r w:rsidRPr="00CA47B9">
        <w:t>of</w:t>
      </w:r>
      <w:r w:rsidR="004B41A2" w:rsidRPr="00CA47B9">
        <w:t xml:space="preserve"> </w:t>
      </w:r>
      <w:r w:rsidRPr="00CA47B9">
        <w:t>status,</w:t>
      </w:r>
      <w:r w:rsidR="004B41A2" w:rsidRPr="00CA47B9">
        <w:t xml:space="preserve"> </w:t>
      </w:r>
      <w:r w:rsidRPr="00CA47B9">
        <w:t>the</w:t>
      </w:r>
      <w:r w:rsidR="004B41A2" w:rsidRPr="00CA47B9">
        <w:t xml:space="preserve"> </w:t>
      </w:r>
      <w:r w:rsidRPr="00CA47B9">
        <w:t>highest</w:t>
      </w:r>
      <w:r w:rsidR="004B41A2" w:rsidRPr="00CA47B9">
        <w:t xml:space="preserve"> </w:t>
      </w:r>
      <w:r w:rsidRPr="00CA47B9">
        <w:t>amount</w:t>
      </w:r>
      <w:r w:rsidR="004B41A2" w:rsidRPr="00CA47B9">
        <w:t xml:space="preserve"> </w:t>
      </w:r>
      <w:r w:rsidRPr="00CA47B9">
        <w:t>of</w:t>
      </w:r>
      <w:r w:rsidR="004B41A2" w:rsidRPr="00CA47B9">
        <w:t xml:space="preserve"> </w:t>
      </w:r>
      <w:r w:rsidRPr="00CA47B9">
        <w:t>industrial</w:t>
      </w:r>
      <w:r w:rsidR="004B41A2" w:rsidRPr="00CA47B9">
        <w:t xml:space="preserve"> </w:t>
      </w:r>
      <w:r w:rsidRPr="00CA47B9">
        <w:t>floorspace</w:t>
      </w:r>
      <w:r w:rsidR="004B41A2" w:rsidRPr="00CA47B9">
        <w:t xml:space="preserve"> </w:t>
      </w:r>
      <w:r w:rsidRPr="00CA47B9">
        <w:t>has</w:t>
      </w:r>
      <w:r w:rsidR="004B41A2" w:rsidRPr="00CA47B9">
        <w:t xml:space="preserve"> </w:t>
      </w:r>
      <w:r w:rsidRPr="00CA47B9">
        <w:t>been</w:t>
      </w:r>
      <w:r w:rsidR="004B41A2" w:rsidRPr="00CA47B9">
        <w:t xml:space="preserve"> </w:t>
      </w:r>
      <w:r w:rsidRPr="00CA47B9">
        <w:t>advertised</w:t>
      </w:r>
      <w:r w:rsidR="004B41A2" w:rsidRPr="00CA47B9">
        <w:t xml:space="preserve"> </w:t>
      </w:r>
      <w:r w:rsidRPr="00CA47B9">
        <w:t>as</w:t>
      </w:r>
      <w:r w:rsidR="004B41A2" w:rsidRPr="00CA47B9">
        <w:t xml:space="preserve"> </w:t>
      </w:r>
      <w:r w:rsidRPr="00CA47B9">
        <w:t>Second-hand</w:t>
      </w:r>
      <w:r w:rsidR="004B41A2" w:rsidRPr="00CA47B9">
        <w:t xml:space="preserve"> </w:t>
      </w:r>
      <w:r w:rsidRPr="00CA47B9">
        <w:t>Grade</w:t>
      </w:r>
      <w:r w:rsidR="004B41A2" w:rsidRPr="00CA47B9">
        <w:t xml:space="preserve"> </w:t>
      </w:r>
      <w:r w:rsidRPr="00CA47B9">
        <w:t>B</w:t>
      </w:r>
      <w:r w:rsidR="004B41A2" w:rsidRPr="00CA47B9">
        <w:t xml:space="preserve"> </w:t>
      </w:r>
      <w:r w:rsidRPr="00CA47B9">
        <w:t>(8</w:t>
      </w:r>
      <w:r w:rsidR="002032B1" w:rsidRPr="00CA47B9">
        <w:t>2</w:t>
      </w:r>
      <w:r w:rsidRPr="00CA47B9">
        <w:t>%),</w:t>
      </w:r>
      <w:r w:rsidR="004B41A2" w:rsidRPr="00CA47B9">
        <w:t xml:space="preserve"> </w:t>
      </w:r>
      <w:r w:rsidRPr="00CA47B9">
        <w:t>followed</w:t>
      </w:r>
      <w:r w:rsidR="004B41A2" w:rsidRPr="00CA47B9">
        <w:t xml:space="preserve"> </w:t>
      </w:r>
      <w:r w:rsidRPr="00CA47B9">
        <w:t>by</w:t>
      </w:r>
      <w:r w:rsidR="002032B1" w:rsidRPr="00CA47B9">
        <w:t xml:space="preserve"> New Build (Under Construction) at 9% and</w:t>
      </w:r>
      <w:r w:rsidR="004B41A2" w:rsidRPr="00CA47B9">
        <w:t xml:space="preserve"> </w:t>
      </w:r>
      <w:r w:rsidR="002032B1" w:rsidRPr="00CA47B9">
        <w:t>New Build (Pre-construction) at</w:t>
      </w:r>
      <w:r w:rsidR="004B41A2" w:rsidRPr="00CA47B9">
        <w:t xml:space="preserve"> </w:t>
      </w:r>
      <w:r w:rsidR="002032B1" w:rsidRPr="00CA47B9">
        <w:t>4</w:t>
      </w:r>
      <w:r w:rsidRPr="00CA47B9">
        <w:t>%.</w:t>
      </w:r>
      <w:r w:rsidR="004B41A2" w:rsidRPr="00CA47B9">
        <w:t xml:space="preserve"> </w:t>
      </w:r>
      <w:r w:rsidRPr="00CA47B9">
        <w:t>When</w:t>
      </w:r>
      <w:r w:rsidR="004B41A2" w:rsidRPr="00CA47B9">
        <w:t xml:space="preserve"> </w:t>
      </w:r>
      <w:r w:rsidRPr="00CA47B9">
        <w:t>broken</w:t>
      </w:r>
      <w:r w:rsidR="004B41A2" w:rsidRPr="00CA47B9">
        <w:t xml:space="preserve"> </w:t>
      </w:r>
      <w:r w:rsidRPr="00CA47B9">
        <w:t>down</w:t>
      </w:r>
      <w:r w:rsidR="004B41A2" w:rsidRPr="00CA47B9">
        <w:t xml:space="preserve"> </w:t>
      </w:r>
      <w:r w:rsidRPr="00CA47B9">
        <w:t>by</w:t>
      </w:r>
      <w:r w:rsidR="004B41A2" w:rsidRPr="00CA47B9">
        <w:t xml:space="preserve"> </w:t>
      </w:r>
      <w:r w:rsidRPr="00CA47B9">
        <w:t>sub-area,</w:t>
      </w:r>
      <w:r w:rsidR="004B41A2" w:rsidRPr="00CA47B9">
        <w:t xml:space="preserve"> </w:t>
      </w:r>
      <w:r w:rsidRPr="00CA47B9">
        <w:t>Figure</w:t>
      </w:r>
      <w:r w:rsidR="004B41A2" w:rsidRPr="00CA47B9">
        <w:t xml:space="preserve"> </w:t>
      </w:r>
      <w:r w:rsidR="00AE0222" w:rsidRPr="00CA47B9">
        <w:t>6</w:t>
      </w:r>
      <w:r w:rsidR="00442CA7">
        <w:t>4</w:t>
      </w:r>
      <w:r w:rsidR="004B41A2" w:rsidRPr="00CA47B9">
        <w:t xml:space="preserve"> </w:t>
      </w:r>
      <w:r w:rsidRPr="00CA47B9">
        <w:t>demonstrates</w:t>
      </w:r>
      <w:r w:rsidR="004B41A2" w:rsidRPr="00CA47B9">
        <w:t xml:space="preserve"> </w:t>
      </w:r>
      <w:r w:rsidRPr="00CA47B9">
        <w:t>the</w:t>
      </w:r>
      <w:r w:rsidR="004B41A2" w:rsidRPr="00CA47B9">
        <w:t xml:space="preserve"> </w:t>
      </w:r>
      <w:r w:rsidRPr="00CA47B9">
        <w:t>distribution</w:t>
      </w:r>
      <w:r w:rsidR="004B41A2" w:rsidRPr="00CA47B9">
        <w:t xml:space="preserve"> </w:t>
      </w:r>
      <w:r w:rsidRPr="00CA47B9">
        <w:t>is</w:t>
      </w:r>
      <w:r w:rsidR="004B41A2" w:rsidRPr="00CA47B9">
        <w:t xml:space="preserve"> </w:t>
      </w:r>
      <w:r w:rsidRPr="00CA47B9">
        <w:t>uneven</w:t>
      </w:r>
      <w:r w:rsidR="004B41A2" w:rsidRPr="00CA47B9">
        <w:t xml:space="preserve"> </w:t>
      </w:r>
      <w:r w:rsidRPr="00CA47B9">
        <w:t>in</w:t>
      </w:r>
      <w:r w:rsidR="004B41A2" w:rsidRPr="00CA47B9">
        <w:t xml:space="preserve"> </w:t>
      </w:r>
      <w:r w:rsidRPr="00CA47B9">
        <w:t>terms</w:t>
      </w:r>
      <w:r w:rsidR="004B41A2" w:rsidRPr="00CA47B9">
        <w:t xml:space="preserve"> </w:t>
      </w:r>
      <w:r w:rsidRPr="00CA47B9">
        <w:t>of</w:t>
      </w:r>
      <w:r w:rsidR="004B41A2" w:rsidRPr="00CA47B9">
        <w:t xml:space="preserve"> </w:t>
      </w:r>
      <w:r w:rsidRPr="00CA47B9">
        <w:t>types</w:t>
      </w:r>
      <w:r w:rsidR="004B41A2" w:rsidRPr="00CA47B9">
        <w:t xml:space="preserve"> </w:t>
      </w:r>
      <w:r w:rsidRPr="00CA47B9">
        <w:t>of</w:t>
      </w:r>
      <w:r w:rsidR="004B41A2" w:rsidRPr="00CA47B9">
        <w:t xml:space="preserve"> </w:t>
      </w:r>
      <w:r w:rsidRPr="00CA47B9">
        <w:t>properties,</w:t>
      </w:r>
      <w:r w:rsidR="004B41A2" w:rsidRPr="00CA47B9">
        <w:t xml:space="preserve"> </w:t>
      </w:r>
      <w:r w:rsidRPr="00CA47B9">
        <w:t>with</w:t>
      </w:r>
      <w:r w:rsidR="004B41A2" w:rsidRPr="00CA47B9">
        <w:t xml:space="preserve"> </w:t>
      </w:r>
      <w:r w:rsidR="000B0877" w:rsidRPr="00CA47B9">
        <w:t>the</w:t>
      </w:r>
      <w:r w:rsidR="004B41A2" w:rsidRPr="00CA47B9">
        <w:t xml:space="preserve"> </w:t>
      </w:r>
      <w:r w:rsidRPr="00CA47B9">
        <w:t>East-West</w:t>
      </w:r>
      <w:r w:rsidR="004B41A2" w:rsidRPr="00CA47B9">
        <w:t xml:space="preserve"> </w:t>
      </w:r>
      <w:r w:rsidRPr="00CA47B9">
        <w:t>Corridor</w:t>
      </w:r>
      <w:r w:rsidR="004B41A2" w:rsidRPr="00CA47B9">
        <w:t xml:space="preserve"> </w:t>
      </w:r>
      <w:r w:rsidR="000B0877" w:rsidRPr="00CA47B9">
        <w:t>sub-area</w:t>
      </w:r>
      <w:r w:rsidR="004B41A2" w:rsidRPr="00CA47B9">
        <w:t xml:space="preserve"> </w:t>
      </w:r>
      <w:r w:rsidRPr="00CA47B9">
        <w:t>demonstrating</w:t>
      </w:r>
      <w:r w:rsidR="004B41A2" w:rsidRPr="00CA47B9">
        <w:t xml:space="preserve"> </w:t>
      </w:r>
      <w:r w:rsidRPr="00CA47B9">
        <w:t>the</w:t>
      </w:r>
      <w:r w:rsidR="004B41A2" w:rsidRPr="00CA47B9">
        <w:t xml:space="preserve"> </w:t>
      </w:r>
      <w:r w:rsidRPr="00CA47B9">
        <w:t>only</w:t>
      </w:r>
      <w:r w:rsidR="004B41A2" w:rsidRPr="00CA47B9">
        <w:t xml:space="preserve"> </w:t>
      </w:r>
      <w:r w:rsidRPr="00CA47B9">
        <w:t>supply</w:t>
      </w:r>
      <w:r w:rsidR="004B41A2" w:rsidRPr="00CA47B9">
        <w:t xml:space="preserve"> </w:t>
      </w:r>
      <w:r w:rsidRPr="00CA47B9">
        <w:t>in</w:t>
      </w:r>
      <w:r w:rsidR="004B41A2" w:rsidRPr="00CA47B9">
        <w:t xml:space="preserve"> </w:t>
      </w:r>
      <w:r w:rsidRPr="00CA47B9">
        <w:t>terms</w:t>
      </w:r>
      <w:r w:rsidR="004B41A2" w:rsidRPr="00CA47B9">
        <w:t xml:space="preserve"> </w:t>
      </w:r>
      <w:r w:rsidRPr="00CA47B9">
        <w:t>of</w:t>
      </w:r>
      <w:r w:rsidR="004B41A2" w:rsidRPr="00CA47B9">
        <w:t xml:space="preserve"> </w:t>
      </w:r>
      <w:r w:rsidRPr="00CA47B9">
        <w:t>Design</w:t>
      </w:r>
      <w:r w:rsidR="004B41A2" w:rsidRPr="00CA47B9">
        <w:t xml:space="preserve"> </w:t>
      </w:r>
      <w:r w:rsidRPr="00CA47B9">
        <w:t>&amp;</w:t>
      </w:r>
      <w:r w:rsidR="004B41A2" w:rsidRPr="00CA47B9">
        <w:t xml:space="preserve"> </w:t>
      </w:r>
      <w:r w:rsidRPr="00CA47B9">
        <w:t>Build</w:t>
      </w:r>
      <w:r w:rsidR="00C64839" w:rsidRPr="00CA47B9">
        <w:t xml:space="preserve"> ND New Build (pre-construction)</w:t>
      </w:r>
      <w:r w:rsidRPr="00CA47B9">
        <w:t>,</w:t>
      </w:r>
      <w:r w:rsidR="004B41A2" w:rsidRPr="00CA47B9">
        <w:t xml:space="preserve"> </w:t>
      </w:r>
      <w:r w:rsidRPr="00CA47B9">
        <w:t>Chichester</w:t>
      </w:r>
      <w:r w:rsidR="004B41A2" w:rsidRPr="00CA47B9">
        <w:t xml:space="preserve"> </w:t>
      </w:r>
      <w:r w:rsidR="000B0877" w:rsidRPr="00CA47B9">
        <w:t>City</w:t>
      </w:r>
      <w:r w:rsidR="004B41A2" w:rsidRPr="00CA47B9">
        <w:t xml:space="preserve"> </w:t>
      </w:r>
      <w:r w:rsidRPr="00CA47B9">
        <w:t>in</w:t>
      </w:r>
      <w:r w:rsidR="004B41A2" w:rsidRPr="00CA47B9">
        <w:t xml:space="preserve"> </w:t>
      </w:r>
      <w:r w:rsidRPr="00CA47B9">
        <w:t>New</w:t>
      </w:r>
      <w:r w:rsidR="004B41A2" w:rsidRPr="00CA47B9">
        <w:t xml:space="preserve"> </w:t>
      </w:r>
      <w:r w:rsidRPr="00CA47B9">
        <w:t>Build</w:t>
      </w:r>
      <w:r w:rsidR="004B41A2" w:rsidRPr="00CA47B9">
        <w:t xml:space="preserve"> </w:t>
      </w:r>
      <w:r w:rsidRPr="00CA47B9">
        <w:t>(Under</w:t>
      </w:r>
      <w:r w:rsidR="004B41A2" w:rsidRPr="00CA47B9">
        <w:t xml:space="preserve"> </w:t>
      </w:r>
      <w:r w:rsidRPr="00CA47B9">
        <w:t>Construction)</w:t>
      </w:r>
      <w:r w:rsidR="004B41A2" w:rsidRPr="00CA47B9">
        <w:t xml:space="preserve"> </w:t>
      </w:r>
      <w:r w:rsidRPr="00CA47B9">
        <w:t>and</w:t>
      </w:r>
      <w:r w:rsidR="004B41A2" w:rsidRPr="00CA47B9">
        <w:t xml:space="preserve"> </w:t>
      </w:r>
      <w:r w:rsidRPr="00CA47B9">
        <w:t>Refurb</w:t>
      </w:r>
      <w:r w:rsidR="00033080">
        <w:t>ishment</w:t>
      </w:r>
      <w:r w:rsidR="004B41A2" w:rsidRPr="00CA47B9">
        <w:t xml:space="preserve"> </w:t>
      </w:r>
      <w:r w:rsidRPr="00CA47B9">
        <w:t>(pre-construction).</w:t>
      </w:r>
      <w:r w:rsidR="004B41A2" w:rsidRPr="00CA47B9">
        <w:t xml:space="preserve"> </w:t>
      </w:r>
    </w:p>
    <w:p w:rsidR="00B0298E" w:rsidRPr="00CA47B9" w:rsidRDefault="00B0298E" w:rsidP="00FA02C9">
      <w:pPr>
        <w:pStyle w:val="FigureHeading"/>
        <w:tabs>
          <w:tab w:val="clear" w:pos="794"/>
          <w:tab w:val="clear" w:pos="1843"/>
          <w:tab w:val="left" w:pos="0"/>
        </w:tabs>
        <w:ind w:left="0" w:firstLine="0"/>
      </w:pPr>
      <w:r w:rsidRPr="00CA47B9">
        <w:t>Industrial</w:t>
      </w:r>
      <w:r w:rsidR="004B41A2" w:rsidRPr="00CA47B9">
        <w:t xml:space="preserve"> </w:t>
      </w:r>
      <w:r w:rsidRPr="00CA47B9">
        <w:t>floorspace</w:t>
      </w:r>
      <w:r w:rsidR="004B41A2" w:rsidRPr="00CA47B9">
        <w:t xml:space="preserve"> </w:t>
      </w:r>
      <w:r w:rsidRPr="00CA47B9">
        <w:t>by</w:t>
      </w:r>
      <w:r w:rsidR="004B41A2" w:rsidRPr="00CA47B9">
        <w:t xml:space="preserve"> </w:t>
      </w:r>
      <w:r w:rsidRPr="00CA47B9">
        <w:t>status</w:t>
      </w:r>
      <w:r w:rsidR="000E5772" w:rsidRPr="00CA47B9">
        <w:t xml:space="preserve"> </w:t>
      </w:r>
      <w:r w:rsidRPr="00CA47B9">
        <w:t>(</w:t>
      </w:r>
      <w:r w:rsidR="00D43280" w:rsidRPr="00CA47B9">
        <w:t>sqm</w:t>
      </w:r>
      <w:r w:rsidR="002629BE" w:rsidRPr="00CA47B9">
        <w:t>)</w:t>
      </w:r>
    </w:p>
    <w:p w:rsidR="00B0298E" w:rsidRPr="007E7A18" w:rsidRDefault="004211BF" w:rsidP="00031E60">
      <w:pPr>
        <w:pStyle w:val="Bodytextwithindent"/>
        <w:keepNext/>
        <w:spacing w:before="0" w:after="0" w:line="240" w:lineRule="auto"/>
        <w:ind w:left="0"/>
        <w:rPr>
          <w:rFonts w:asciiTheme="minorHAnsi" w:hAnsiTheme="minorHAnsi" w:cstheme="minorHAnsi"/>
          <w:color w:val="auto"/>
          <w:sz w:val="24"/>
          <w:szCs w:val="22"/>
        </w:rPr>
      </w:pPr>
      <w:r w:rsidRPr="007E7A18">
        <w:rPr>
          <w:noProof/>
          <w:color w:val="auto"/>
          <w:sz w:val="24"/>
          <w:szCs w:val="22"/>
          <w:lang w:eastAsia="en-GB"/>
        </w:rPr>
        <w:drawing>
          <wp:inline distT="0" distB="0" distL="0" distR="0" wp14:anchorId="5D579BCF" wp14:editId="050139F5">
            <wp:extent cx="6120000" cy="2880000"/>
            <wp:effectExtent l="0" t="0" r="14605" b="15875"/>
            <wp:docPr id="1058" name="Chart 1058" descr="Total available floorspace by type across Chichester district sub areas" title="Figure 64: Industrial floorspace by status (sqm)">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B0298E" w:rsidRPr="007E7A18" w:rsidRDefault="00B0298E" w:rsidP="00FA02C9">
      <w:pPr>
        <w:pStyle w:val="Referencetext8pt"/>
        <w:spacing w:after="120" w:line="360" w:lineRule="auto"/>
        <w:rPr>
          <w:rFonts w:asciiTheme="minorHAnsi" w:hAnsiTheme="minorHAnsi" w:cstheme="minorHAnsi"/>
          <w:color w:val="auto"/>
          <w:sz w:val="24"/>
          <w:szCs w:val="22"/>
        </w:rPr>
      </w:pPr>
      <w:r w:rsidRPr="007E7A18">
        <w:rPr>
          <w:rFonts w:asciiTheme="minorHAnsi" w:hAnsiTheme="minorHAnsi" w:cstheme="minorHAnsi"/>
          <w:color w:val="auto"/>
          <w:sz w:val="24"/>
          <w:szCs w:val="22"/>
        </w:rPr>
        <w:t>Source:</w:t>
      </w:r>
      <w:r w:rsidR="004B41A2" w:rsidRPr="007E7A18">
        <w:rPr>
          <w:rFonts w:asciiTheme="minorHAnsi" w:hAnsiTheme="minorHAnsi" w:cstheme="minorHAnsi"/>
          <w:color w:val="auto"/>
          <w:sz w:val="24"/>
          <w:szCs w:val="22"/>
        </w:rPr>
        <w:t xml:space="preserve"> </w:t>
      </w:r>
      <w:r w:rsidRPr="007E7A18">
        <w:rPr>
          <w:rFonts w:asciiTheme="minorHAnsi" w:hAnsiTheme="minorHAnsi" w:cstheme="minorHAnsi"/>
          <w:color w:val="auto"/>
          <w:sz w:val="24"/>
          <w:szCs w:val="22"/>
        </w:rPr>
        <w:t>GL</w:t>
      </w:r>
      <w:r w:rsidR="004B41A2" w:rsidRPr="007E7A18">
        <w:rPr>
          <w:rFonts w:asciiTheme="minorHAnsi" w:hAnsiTheme="minorHAnsi" w:cstheme="minorHAnsi"/>
          <w:color w:val="auto"/>
          <w:sz w:val="24"/>
          <w:szCs w:val="22"/>
        </w:rPr>
        <w:t xml:space="preserve"> </w:t>
      </w:r>
      <w:r w:rsidRPr="007E7A18">
        <w:rPr>
          <w:rFonts w:asciiTheme="minorHAnsi" w:hAnsiTheme="minorHAnsi" w:cstheme="minorHAnsi"/>
          <w:color w:val="auto"/>
          <w:sz w:val="24"/>
          <w:szCs w:val="22"/>
        </w:rPr>
        <w:t>Hearn</w:t>
      </w:r>
      <w:r w:rsidR="004B41A2" w:rsidRPr="007E7A18">
        <w:rPr>
          <w:rFonts w:asciiTheme="minorHAnsi" w:hAnsiTheme="minorHAnsi" w:cstheme="minorHAnsi"/>
          <w:color w:val="auto"/>
          <w:sz w:val="24"/>
          <w:szCs w:val="22"/>
        </w:rPr>
        <w:t xml:space="preserve"> </w:t>
      </w:r>
      <w:r w:rsidRPr="007E7A18">
        <w:rPr>
          <w:rFonts w:asciiTheme="minorHAnsi" w:hAnsiTheme="minorHAnsi" w:cstheme="minorHAnsi"/>
          <w:color w:val="auto"/>
          <w:sz w:val="24"/>
          <w:szCs w:val="22"/>
        </w:rPr>
        <w:t>Analysis</w:t>
      </w:r>
      <w:r w:rsidR="004B41A2" w:rsidRPr="007E7A18">
        <w:rPr>
          <w:rFonts w:asciiTheme="minorHAnsi" w:hAnsiTheme="minorHAnsi" w:cstheme="minorHAnsi"/>
          <w:color w:val="auto"/>
          <w:sz w:val="24"/>
          <w:szCs w:val="22"/>
        </w:rPr>
        <w:t xml:space="preserve"> </w:t>
      </w:r>
      <w:r w:rsidRPr="007E7A18">
        <w:rPr>
          <w:rFonts w:asciiTheme="minorHAnsi" w:hAnsiTheme="minorHAnsi" w:cstheme="minorHAnsi"/>
          <w:color w:val="auto"/>
          <w:sz w:val="24"/>
          <w:szCs w:val="22"/>
        </w:rPr>
        <w:t>of</w:t>
      </w:r>
      <w:r w:rsidR="004B41A2" w:rsidRPr="007E7A18">
        <w:rPr>
          <w:rFonts w:asciiTheme="minorHAnsi" w:hAnsiTheme="minorHAnsi" w:cstheme="minorHAnsi"/>
          <w:color w:val="auto"/>
          <w:sz w:val="24"/>
          <w:szCs w:val="22"/>
        </w:rPr>
        <w:t xml:space="preserve"> </w:t>
      </w:r>
      <w:r w:rsidRPr="007E7A18">
        <w:rPr>
          <w:rFonts w:asciiTheme="minorHAnsi" w:hAnsiTheme="minorHAnsi" w:cstheme="minorHAnsi"/>
          <w:color w:val="auto"/>
          <w:sz w:val="24"/>
          <w:szCs w:val="22"/>
        </w:rPr>
        <w:t>EGi</w:t>
      </w:r>
      <w:r w:rsidR="004B41A2" w:rsidRPr="007E7A18">
        <w:rPr>
          <w:rFonts w:asciiTheme="minorHAnsi" w:hAnsiTheme="minorHAnsi" w:cstheme="minorHAnsi"/>
          <w:color w:val="auto"/>
          <w:sz w:val="24"/>
          <w:szCs w:val="22"/>
        </w:rPr>
        <w:t xml:space="preserve"> </w:t>
      </w:r>
      <w:r w:rsidRPr="007E7A18">
        <w:rPr>
          <w:rFonts w:asciiTheme="minorHAnsi" w:hAnsiTheme="minorHAnsi" w:cstheme="minorHAnsi"/>
          <w:color w:val="auto"/>
          <w:sz w:val="24"/>
          <w:szCs w:val="22"/>
        </w:rPr>
        <w:t>and</w:t>
      </w:r>
      <w:r w:rsidR="004B41A2" w:rsidRPr="007E7A18">
        <w:rPr>
          <w:rFonts w:asciiTheme="minorHAnsi" w:hAnsiTheme="minorHAnsi" w:cstheme="minorHAnsi"/>
          <w:color w:val="auto"/>
          <w:sz w:val="24"/>
          <w:szCs w:val="22"/>
        </w:rPr>
        <w:t xml:space="preserve"> </w:t>
      </w:r>
      <w:r w:rsidRPr="007E7A18">
        <w:rPr>
          <w:rFonts w:asciiTheme="minorHAnsi" w:hAnsiTheme="minorHAnsi" w:cstheme="minorHAnsi"/>
          <w:color w:val="auto"/>
          <w:sz w:val="24"/>
          <w:szCs w:val="22"/>
        </w:rPr>
        <w:t>CoStar</w:t>
      </w:r>
      <w:r w:rsidR="004B41A2" w:rsidRPr="007E7A18">
        <w:rPr>
          <w:rFonts w:asciiTheme="minorHAnsi" w:hAnsiTheme="minorHAnsi" w:cstheme="minorHAnsi"/>
          <w:color w:val="auto"/>
          <w:sz w:val="24"/>
          <w:szCs w:val="22"/>
        </w:rPr>
        <w:t xml:space="preserve"> </w:t>
      </w:r>
      <w:r w:rsidRPr="007E7A18">
        <w:rPr>
          <w:rFonts w:asciiTheme="minorHAnsi" w:hAnsiTheme="minorHAnsi" w:cstheme="minorHAnsi"/>
          <w:color w:val="auto"/>
          <w:sz w:val="24"/>
          <w:szCs w:val="22"/>
        </w:rPr>
        <w:t>Data</w:t>
      </w:r>
    </w:p>
    <w:p w:rsidR="00B0298E" w:rsidRPr="00CA47B9" w:rsidRDefault="00B0298E" w:rsidP="001C73B8">
      <w:pPr>
        <w:pStyle w:val="11Bodytext"/>
        <w:tabs>
          <w:tab w:val="clear" w:pos="2212"/>
          <w:tab w:val="num" w:pos="567"/>
        </w:tabs>
        <w:ind w:left="567" w:hanging="567"/>
      </w:pPr>
      <w:r w:rsidRPr="00CA47B9">
        <w:lastRenderedPageBreak/>
        <w:t>In</w:t>
      </w:r>
      <w:r w:rsidR="004B41A2" w:rsidRPr="00CA47B9">
        <w:t xml:space="preserve"> </w:t>
      </w:r>
      <w:r w:rsidRPr="00CA47B9">
        <w:t>terms</w:t>
      </w:r>
      <w:r w:rsidR="004B41A2" w:rsidRPr="00CA47B9">
        <w:t xml:space="preserve"> </w:t>
      </w:r>
      <w:r w:rsidRPr="00CA47B9">
        <w:t>of</w:t>
      </w:r>
      <w:r w:rsidR="004B41A2" w:rsidRPr="00CA47B9">
        <w:t xml:space="preserve"> </w:t>
      </w:r>
      <w:r w:rsidRPr="00CA47B9">
        <w:t>sizes,</w:t>
      </w:r>
      <w:r w:rsidR="004B41A2" w:rsidRPr="00CA47B9">
        <w:t xml:space="preserve"> </w:t>
      </w:r>
      <w:r w:rsidRPr="00CA47B9">
        <w:t>it</w:t>
      </w:r>
      <w:r w:rsidR="004B41A2" w:rsidRPr="00CA47B9">
        <w:t xml:space="preserve"> </w:t>
      </w:r>
      <w:r w:rsidRPr="00CA47B9">
        <w:t>can</w:t>
      </w:r>
      <w:r w:rsidR="004B41A2" w:rsidRPr="00CA47B9">
        <w:t xml:space="preserve"> </w:t>
      </w:r>
      <w:r w:rsidRPr="00CA47B9">
        <w:t>be</w:t>
      </w:r>
      <w:r w:rsidR="004B41A2" w:rsidRPr="00CA47B9">
        <w:t xml:space="preserve"> </w:t>
      </w:r>
      <w:r w:rsidR="000B0877" w:rsidRPr="00CA47B9">
        <w:t>seen</w:t>
      </w:r>
      <w:r w:rsidR="004B41A2" w:rsidRPr="00CA47B9">
        <w:t xml:space="preserve"> </w:t>
      </w:r>
      <w:r w:rsidRPr="00CA47B9">
        <w:t>that</w:t>
      </w:r>
      <w:r w:rsidR="004B41A2" w:rsidRPr="00CA47B9">
        <w:t xml:space="preserve"> </w:t>
      </w:r>
      <w:r w:rsidRPr="00CA47B9">
        <w:t>Second-hand</w:t>
      </w:r>
      <w:r w:rsidR="004B41A2" w:rsidRPr="00CA47B9">
        <w:t xml:space="preserve"> </w:t>
      </w:r>
      <w:r w:rsidRPr="00CA47B9">
        <w:t>Grade</w:t>
      </w:r>
      <w:r w:rsidR="004B41A2" w:rsidRPr="00CA47B9">
        <w:t xml:space="preserve"> </w:t>
      </w:r>
      <w:r w:rsidRPr="00CA47B9">
        <w:t>B</w:t>
      </w:r>
      <w:r w:rsidR="004B41A2" w:rsidRPr="00CA47B9">
        <w:t xml:space="preserve"> </w:t>
      </w:r>
      <w:r w:rsidRPr="00CA47B9">
        <w:t>dominates</w:t>
      </w:r>
      <w:r w:rsidR="004B41A2" w:rsidRPr="00CA47B9">
        <w:t xml:space="preserve"> </w:t>
      </w:r>
      <w:r w:rsidRPr="00CA47B9">
        <w:t>in</w:t>
      </w:r>
      <w:r w:rsidR="004B41A2" w:rsidRPr="00CA47B9">
        <w:t xml:space="preserve"> </w:t>
      </w:r>
      <w:r w:rsidRPr="00CA47B9">
        <w:t>all</w:t>
      </w:r>
      <w:r w:rsidR="004B41A2" w:rsidRPr="00CA47B9">
        <w:t xml:space="preserve"> </w:t>
      </w:r>
      <w:r w:rsidRPr="00CA47B9">
        <w:t>size</w:t>
      </w:r>
      <w:r w:rsidR="004B41A2" w:rsidRPr="00CA47B9">
        <w:t xml:space="preserve"> </w:t>
      </w:r>
      <w:r w:rsidRPr="00CA47B9">
        <w:t>bands,</w:t>
      </w:r>
      <w:r w:rsidR="004B41A2" w:rsidRPr="00CA47B9">
        <w:t xml:space="preserve"> </w:t>
      </w:r>
      <w:r w:rsidRPr="00CA47B9">
        <w:t>with</w:t>
      </w:r>
      <w:r w:rsidR="004B41A2" w:rsidRPr="00CA47B9">
        <w:t xml:space="preserve"> </w:t>
      </w:r>
      <w:r w:rsidRPr="00CA47B9">
        <w:t>some</w:t>
      </w:r>
      <w:r w:rsidR="004B41A2" w:rsidRPr="00CA47B9">
        <w:t xml:space="preserve"> </w:t>
      </w:r>
      <w:r w:rsidRPr="00CA47B9">
        <w:t>Refurb</w:t>
      </w:r>
      <w:r w:rsidR="00033080">
        <w:t>ishment</w:t>
      </w:r>
      <w:r w:rsidR="004B41A2" w:rsidRPr="00CA47B9">
        <w:t xml:space="preserve"> </w:t>
      </w:r>
      <w:r w:rsidRPr="00CA47B9">
        <w:t>(existing)</w:t>
      </w:r>
      <w:r w:rsidR="004B41A2" w:rsidRPr="00CA47B9">
        <w:t xml:space="preserve"> </w:t>
      </w:r>
      <w:r w:rsidRPr="00CA47B9">
        <w:t>within</w:t>
      </w:r>
      <w:r w:rsidR="004B41A2" w:rsidRPr="00CA47B9">
        <w:t xml:space="preserve"> </w:t>
      </w:r>
      <w:r w:rsidRPr="00CA47B9">
        <w:t>the</w:t>
      </w:r>
      <w:r w:rsidR="004B41A2" w:rsidRPr="00CA47B9">
        <w:t xml:space="preserve"> </w:t>
      </w:r>
      <w:r w:rsidRPr="00CA47B9">
        <w:t>1,000-10,000</w:t>
      </w:r>
      <w:r w:rsidR="004B41A2" w:rsidRPr="00CA47B9">
        <w:t xml:space="preserve"> </w:t>
      </w:r>
      <w:r w:rsidR="0021576F" w:rsidRPr="00CA47B9">
        <w:t>sqm</w:t>
      </w:r>
      <w:r w:rsidR="004B41A2" w:rsidRPr="00CA47B9">
        <w:t xml:space="preserve"> </w:t>
      </w:r>
      <w:r w:rsidRPr="00CA47B9">
        <w:t>band,</w:t>
      </w:r>
      <w:r w:rsidR="004B41A2" w:rsidRPr="00CA47B9">
        <w:t xml:space="preserve"> </w:t>
      </w:r>
      <w:r w:rsidRPr="00CA47B9">
        <w:t>and</w:t>
      </w:r>
      <w:r w:rsidR="004B41A2" w:rsidRPr="00CA47B9">
        <w:t xml:space="preserve"> </w:t>
      </w:r>
      <w:r w:rsidRPr="00CA47B9">
        <w:t>some</w:t>
      </w:r>
      <w:r w:rsidR="004B41A2" w:rsidRPr="00CA47B9">
        <w:t xml:space="preserve"> </w:t>
      </w:r>
      <w:r w:rsidRPr="00CA47B9">
        <w:t>New</w:t>
      </w:r>
      <w:r w:rsidR="004B41A2" w:rsidRPr="00CA47B9">
        <w:t xml:space="preserve"> </w:t>
      </w:r>
      <w:r w:rsidRPr="00CA47B9">
        <w:t>Build</w:t>
      </w:r>
      <w:r w:rsidR="004B41A2" w:rsidRPr="00CA47B9">
        <w:t xml:space="preserve"> </w:t>
      </w:r>
      <w:r w:rsidRPr="00CA47B9">
        <w:t>(pre-construction)</w:t>
      </w:r>
      <w:r w:rsidR="004B41A2" w:rsidRPr="00CA47B9">
        <w:t xml:space="preserve"> </w:t>
      </w:r>
      <w:r w:rsidRPr="00CA47B9">
        <w:t>in</w:t>
      </w:r>
      <w:r w:rsidR="004B41A2" w:rsidRPr="00CA47B9">
        <w:t xml:space="preserve"> </w:t>
      </w:r>
      <w:r w:rsidRPr="00CA47B9">
        <w:t>units</w:t>
      </w:r>
      <w:r w:rsidR="004B41A2" w:rsidRPr="00CA47B9">
        <w:t xml:space="preserve"> </w:t>
      </w:r>
      <w:r w:rsidRPr="00CA47B9">
        <w:t>less</w:t>
      </w:r>
      <w:r w:rsidR="004B41A2" w:rsidRPr="00CA47B9">
        <w:t xml:space="preserve"> </w:t>
      </w:r>
      <w:r w:rsidRPr="00CA47B9">
        <w:t>than</w:t>
      </w:r>
      <w:r w:rsidR="004B41A2" w:rsidRPr="00CA47B9">
        <w:t xml:space="preserve"> </w:t>
      </w:r>
      <w:r w:rsidRPr="00CA47B9">
        <w:t>500</w:t>
      </w:r>
      <w:r w:rsidR="004B41A2" w:rsidRPr="00CA47B9">
        <w:t xml:space="preserve"> </w:t>
      </w:r>
      <w:r w:rsidR="0021576F" w:rsidRPr="00CA47B9">
        <w:t>sqm</w:t>
      </w:r>
      <w:r w:rsidR="0099459B" w:rsidRPr="00CA47B9">
        <w:t>.</w:t>
      </w:r>
    </w:p>
    <w:p w:rsidR="00B0298E" w:rsidRPr="00CA47B9" w:rsidRDefault="00B0298E" w:rsidP="00FA02C9">
      <w:pPr>
        <w:pStyle w:val="FigureHeading"/>
        <w:tabs>
          <w:tab w:val="clear" w:pos="794"/>
          <w:tab w:val="clear" w:pos="1843"/>
          <w:tab w:val="left" w:pos="0"/>
        </w:tabs>
        <w:ind w:left="0" w:firstLine="0"/>
      </w:pPr>
      <w:r w:rsidRPr="00CA47B9">
        <w:t>Industrial</w:t>
      </w:r>
      <w:r w:rsidR="004B41A2" w:rsidRPr="00CA47B9">
        <w:t xml:space="preserve"> </w:t>
      </w:r>
      <w:r w:rsidRPr="00CA47B9">
        <w:t>floorspace</w:t>
      </w:r>
      <w:r w:rsidR="004B41A2" w:rsidRPr="00CA47B9">
        <w:t xml:space="preserve"> </w:t>
      </w:r>
      <w:r w:rsidRPr="00CA47B9">
        <w:t>by</w:t>
      </w:r>
      <w:r w:rsidR="004B41A2" w:rsidRPr="00CA47B9">
        <w:t xml:space="preserve"> </w:t>
      </w:r>
      <w:r w:rsidRPr="00CA47B9">
        <w:t>status</w:t>
      </w:r>
      <w:r w:rsidR="004B41A2" w:rsidRPr="00CA47B9">
        <w:t xml:space="preserve"> </w:t>
      </w:r>
      <w:r w:rsidRPr="00CA47B9">
        <w:t>and</w:t>
      </w:r>
      <w:r w:rsidR="004B41A2" w:rsidRPr="00CA47B9">
        <w:t xml:space="preserve"> </w:t>
      </w:r>
      <w:r w:rsidRPr="00CA47B9">
        <w:t>size</w:t>
      </w:r>
      <w:r w:rsidR="004B41A2" w:rsidRPr="00CA47B9">
        <w:t xml:space="preserve"> </w:t>
      </w:r>
      <w:r w:rsidR="000B0877" w:rsidRPr="00CA47B9">
        <w:t>in</w:t>
      </w:r>
      <w:r w:rsidR="004B41A2" w:rsidRPr="00CA47B9">
        <w:t xml:space="preserve"> </w:t>
      </w:r>
      <w:r w:rsidR="000B0877" w:rsidRPr="00CA47B9">
        <w:t>Chichester</w:t>
      </w:r>
      <w:r w:rsidR="004B41A2" w:rsidRPr="00CA47B9">
        <w:t xml:space="preserve"> </w:t>
      </w:r>
      <w:r w:rsidR="000B0877" w:rsidRPr="00CA47B9">
        <w:t>District</w:t>
      </w:r>
      <w:r w:rsidR="009A6AB9" w:rsidRPr="00CA47B9">
        <w:t xml:space="preserve"> </w:t>
      </w:r>
      <w:r w:rsidRPr="00CA47B9">
        <w:t>(</w:t>
      </w:r>
      <w:r w:rsidR="00D43280" w:rsidRPr="00CA47B9">
        <w:t>sqm</w:t>
      </w:r>
      <w:r w:rsidRPr="00CA47B9">
        <w:t>)</w:t>
      </w:r>
    </w:p>
    <w:p w:rsidR="000E5772" w:rsidRPr="00CA47B9" w:rsidRDefault="009A6AB9" w:rsidP="00AD1AAD">
      <w:pPr>
        <w:rPr>
          <w:rFonts w:asciiTheme="minorHAnsi" w:hAnsiTheme="minorHAnsi" w:cstheme="minorHAnsi"/>
        </w:rPr>
      </w:pPr>
      <w:r w:rsidRPr="00CA47B9">
        <w:rPr>
          <w:noProof/>
          <w:lang w:eastAsia="en-GB"/>
        </w:rPr>
        <w:drawing>
          <wp:inline distT="0" distB="0" distL="0" distR="0" wp14:anchorId="1B1912BF" wp14:editId="2BF0D958">
            <wp:extent cx="6120000" cy="2880000"/>
            <wp:effectExtent l="0" t="0" r="14605" b="15875"/>
            <wp:docPr id="285" name="Chart 285" descr="Stacked bar chart showing total available floorspace by type and size band in Chichester district" title="Figure 65: Industrial floorspace by status and size in Chichester District (sqm)">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B0298E" w:rsidRPr="007E7A18" w:rsidRDefault="00B0298E" w:rsidP="00FA02C9">
      <w:pPr>
        <w:pStyle w:val="Bodytextwithindent"/>
        <w:spacing w:before="0" w:after="120"/>
        <w:ind w:left="0"/>
        <w:rPr>
          <w:rFonts w:asciiTheme="minorHAnsi" w:hAnsiTheme="minorHAnsi" w:cstheme="minorHAnsi"/>
          <w:color w:val="auto"/>
          <w:sz w:val="24"/>
          <w:szCs w:val="22"/>
        </w:rPr>
      </w:pPr>
      <w:r w:rsidRPr="007E7A18">
        <w:rPr>
          <w:rFonts w:asciiTheme="minorHAnsi" w:hAnsiTheme="minorHAnsi" w:cstheme="minorHAnsi"/>
          <w:color w:val="auto"/>
          <w:sz w:val="24"/>
          <w:szCs w:val="22"/>
        </w:rPr>
        <w:t>Source:</w:t>
      </w:r>
      <w:r w:rsidR="004B41A2" w:rsidRPr="007E7A18">
        <w:rPr>
          <w:rFonts w:asciiTheme="minorHAnsi" w:hAnsiTheme="minorHAnsi" w:cstheme="minorHAnsi"/>
          <w:color w:val="auto"/>
          <w:sz w:val="24"/>
          <w:szCs w:val="22"/>
        </w:rPr>
        <w:t xml:space="preserve"> </w:t>
      </w:r>
      <w:r w:rsidRPr="007E7A18">
        <w:rPr>
          <w:rFonts w:asciiTheme="minorHAnsi" w:hAnsiTheme="minorHAnsi" w:cstheme="minorHAnsi"/>
          <w:color w:val="auto"/>
          <w:sz w:val="24"/>
          <w:szCs w:val="22"/>
        </w:rPr>
        <w:t>GL</w:t>
      </w:r>
      <w:r w:rsidR="004B41A2" w:rsidRPr="007E7A18">
        <w:rPr>
          <w:rFonts w:asciiTheme="minorHAnsi" w:hAnsiTheme="minorHAnsi" w:cstheme="minorHAnsi"/>
          <w:color w:val="auto"/>
          <w:sz w:val="24"/>
          <w:szCs w:val="22"/>
        </w:rPr>
        <w:t xml:space="preserve"> </w:t>
      </w:r>
      <w:r w:rsidRPr="007E7A18">
        <w:rPr>
          <w:rFonts w:asciiTheme="minorHAnsi" w:hAnsiTheme="minorHAnsi" w:cstheme="minorHAnsi"/>
          <w:color w:val="auto"/>
          <w:sz w:val="24"/>
          <w:szCs w:val="22"/>
        </w:rPr>
        <w:t>Hearn</w:t>
      </w:r>
      <w:r w:rsidR="004B41A2" w:rsidRPr="007E7A18">
        <w:rPr>
          <w:rFonts w:asciiTheme="minorHAnsi" w:hAnsiTheme="minorHAnsi" w:cstheme="minorHAnsi"/>
          <w:color w:val="auto"/>
          <w:sz w:val="24"/>
          <w:szCs w:val="22"/>
        </w:rPr>
        <w:t xml:space="preserve"> </w:t>
      </w:r>
      <w:r w:rsidRPr="007E7A18">
        <w:rPr>
          <w:rFonts w:asciiTheme="minorHAnsi" w:hAnsiTheme="minorHAnsi" w:cstheme="minorHAnsi"/>
          <w:color w:val="auto"/>
          <w:sz w:val="24"/>
          <w:szCs w:val="22"/>
        </w:rPr>
        <w:t>Analysis</w:t>
      </w:r>
      <w:r w:rsidR="004B41A2" w:rsidRPr="007E7A18">
        <w:rPr>
          <w:rFonts w:asciiTheme="minorHAnsi" w:hAnsiTheme="minorHAnsi" w:cstheme="minorHAnsi"/>
          <w:color w:val="auto"/>
          <w:sz w:val="24"/>
          <w:szCs w:val="22"/>
        </w:rPr>
        <w:t xml:space="preserve"> </w:t>
      </w:r>
      <w:r w:rsidRPr="007E7A18">
        <w:rPr>
          <w:rFonts w:asciiTheme="minorHAnsi" w:hAnsiTheme="minorHAnsi" w:cstheme="minorHAnsi"/>
          <w:color w:val="auto"/>
          <w:sz w:val="24"/>
          <w:szCs w:val="22"/>
        </w:rPr>
        <w:t>of</w:t>
      </w:r>
      <w:r w:rsidR="004B41A2" w:rsidRPr="007E7A18">
        <w:rPr>
          <w:rFonts w:asciiTheme="minorHAnsi" w:hAnsiTheme="minorHAnsi" w:cstheme="minorHAnsi"/>
          <w:color w:val="auto"/>
          <w:sz w:val="24"/>
          <w:szCs w:val="22"/>
        </w:rPr>
        <w:t xml:space="preserve"> </w:t>
      </w:r>
      <w:r w:rsidRPr="007E7A18">
        <w:rPr>
          <w:rFonts w:asciiTheme="minorHAnsi" w:hAnsiTheme="minorHAnsi" w:cstheme="minorHAnsi"/>
          <w:color w:val="auto"/>
          <w:sz w:val="24"/>
          <w:szCs w:val="22"/>
        </w:rPr>
        <w:t>EGi</w:t>
      </w:r>
      <w:r w:rsidR="004B41A2" w:rsidRPr="007E7A18">
        <w:rPr>
          <w:rFonts w:asciiTheme="minorHAnsi" w:hAnsiTheme="minorHAnsi" w:cstheme="minorHAnsi"/>
          <w:color w:val="auto"/>
          <w:sz w:val="24"/>
          <w:szCs w:val="22"/>
        </w:rPr>
        <w:t xml:space="preserve"> </w:t>
      </w:r>
      <w:r w:rsidRPr="007E7A18">
        <w:rPr>
          <w:rFonts w:asciiTheme="minorHAnsi" w:hAnsiTheme="minorHAnsi" w:cstheme="minorHAnsi"/>
          <w:color w:val="auto"/>
          <w:sz w:val="24"/>
          <w:szCs w:val="22"/>
        </w:rPr>
        <w:t>and</w:t>
      </w:r>
      <w:r w:rsidR="004B41A2" w:rsidRPr="007E7A18">
        <w:rPr>
          <w:rFonts w:asciiTheme="minorHAnsi" w:hAnsiTheme="minorHAnsi" w:cstheme="minorHAnsi"/>
          <w:color w:val="auto"/>
          <w:sz w:val="24"/>
          <w:szCs w:val="22"/>
        </w:rPr>
        <w:t xml:space="preserve"> </w:t>
      </w:r>
      <w:r w:rsidRPr="007E7A18">
        <w:rPr>
          <w:rFonts w:asciiTheme="minorHAnsi" w:hAnsiTheme="minorHAnsi" w:cstheme="minorHAnsi"/>
          <w:color w:val="auto"/>
          <w:sz w:val="24"/>
          <w:szCs w:val="22"/>
        </w:rPr>
        <w:t>CoStar</w:t>
      </w:r>
      <w:r w:rsidR="004B41A2" w:rsidRPr="007E7A18">
        <w:rPr>
          <w:rFonts w:asciiTheme="minorHAnsi" w:hAnsiTheme="minorHAnsi" w:cstheme="minorHAnsi"/>
          <w:color w:val="auto"/>
          <w:sz w:val="24"/>
          <w:szCs w:val="22"/>
        </w:rPr>
        <w:t xml:space="preserve"> </w:t>
      </w:r>
      <w:r w:rsidRPr="007E7A18">
        <w:rPr>
          <w:rFonts w:asciiTheme="minorHAnsi" w:hAnsiTheme="minorHAnsi" w:cstheme="minorHAnsi"/>
          <w:color w:val="auto"/>
          <w:sz w:val="24"/>
          <w:szCs w:val="22"/>
        </w:rPr>
        <w:t>Data</w:t>
      </w:r>
    </w:p>
    <w:p w:rsidR="00B0298E" w:rsidRPr="00CA47B9" w:rsidRDefault="0067151C" w:rsidP="006765B7">
      <w:pPr>
        <w:pStyle w:val="Subheadingbold"/>
        <w:keepNext/>
        <w:ind w:left="567" w:firstLine="0"/>
      </w:pPr>
      <w:r w:rsidRPr="00AE3215">
        <w:t>Commercial</w:t>
      </w:r>
      <w:r w:rsidR="004B41A2" w:rsidRPr="00AE3215">
        <w:t xml:space="preserve"> </w:t>
      </w:r>
      <w:r w:rsidR="00B0298E" w:rsidRPr="00AE3215">
        <w:t>Agent</w:t>
      </w:r>
      <w:r w:rsidR="004B41A2" w:rsidRPr="00AE3215">
        <w:t xml:space="preserve"> </w:t>
      </w:r>
      <w:r w:rsidR="00B0298E" w:rsidRPr="00AE3215">
        <w:t>Consultation</w:t>
      </w:r>
    </w:p>
    <w:p w:rsidR="00AE3215" w:rsidRDefault="00B0298E" w:rsidP="001C73B8">
      <w:pPr>
        <w:pStyle w:val="11Bodytext"/>
        <w:tabs>
          <w:tab w:val="clear" w:pos="2212"/>
          <w:tab w:val="num" w:pos="567"/>
        </w:tabs>
        <w:ind w:left="567" w:hanging="567"/>
      </w:pPr>
      <w:r w:rsidRPr="00AE3215">
        <w:t>GL</w:t>
      </w:r>
      <w:r w:rsidR="004B41A2" w:rsidRPr="00AE3215">
        <w:t xml:space="preserve"> </w:t>
      </w:r>
      <w:r w:rsidRPr="00AE3215">
        <w:t>Hearn</w:t>
      </w:r>
      <w:r w:rsidR="004B41A2" w:rsidRPr="00AE3215">
        <w:t xml:space="preserve"> </w:t>
      </w:r>
      <w:r w:rsidR="00AE10DF" w:rsidRPr="00AE3215">
        <w:t>has</w:t>
      </w:r>
      <w:r w:rsidR="004B41A2" w:rsidRPr="00AE3215">
        <w:t xml:space="preserve"> </w:t>
      </w:r>
      <w:r w:rsidRPr="00AE3215">
        <w:t>conducted</w:t>
      </w:r>
      <w:r w:rsidR="004B41A2" w:rsidRPr="00AE3215">
        <w:t xml:space="preserve"> </w:t>
      </w:r>
      <w:r w:rsidR="00855CA6">
        <w:t xml:space="preserve">a </w:t>
      </w:r>
      <w:r w:rsidRPr="00AE3215">
        <w:t>consultation</w:t>
      </w:r>
      <w:r w:rsidR="004B41A2" w:rsidRPr="00AE3215">
        <w:t xml:space="preserve"> </w:t>
      </w:r>
      <w:r w:rsidRPr="00AE3215">
        <w:t>with</w:t>
      </w:r>
      <w:r w:rsidR="004B41A2" w:rsidRPr="00AE3215">
        <w:t xml:space="preserve"> </w:t>
      </w:r>
      <w:r w:rsidRPr="00AE3215">
        <w:t>local</w:t>
      </w:r>
      <w:r w:rsidR="004B41A2" w:rsidRPr="00AE3215">
        <w:t xml:space="preserve"> </w:t>
      </w:r>
      <w:r w:rsidRPr="00AE3215">
        <w:t>commercial</w:t>
      </w:r>
      <w:r w:rsidR="004B41A2" w:rsidRPr="00AE3215">
        <w:t xml:space="preserve"> </w:t>
      </w:r>
      <w:r w:rsidRPr="00AE3215">
        <w:t>estate</w:t>
      </w:r>
      <w:r w:rsidR="004B41A2" w:rsidRPr="00AE3215">
        <w:t xml:space="preserve"> </w:t>
      </w:r>
      <w:r w:rsidRPr="00AE3215">
        <w:t>agents</w:t>
      </w:r>
      <w:r w:rsidR="004B41A2" w:rsidRPr="00AE3215">
        <w:t xml:space="preserve"> </w:t>
      </w:r>
      <w:r w:rsidR="00C71A39" w:rsidRPr="00AE3215">
        <w:t>operating</w:t>
      </w:r>
      <w:r w:rsidR="004B41A2" w:rsidRPr="00AE3215">
        <w:t xml:space="preserve"> </w:t>
      </w:r>
      <w:r w:rsidRPr="00AE3215">
        <w:t>within</w:t>
      </w:r>
      <w:r w:rsidR="004B41A2" w:rsidRPr="00AE3215">
        <w:t xml:space="preserve"> </w:t>
      </w:r>
      <w:r w:rsidRPr="00AE3215">
        <w:t>the</w:t>
      </w:r>
      <w:r w:rsidR="004B41A2" w:rsidRPr="00AE3215">
        <w:t xml:space="preserve"> </w:t>
      </w:r>
      <w:r w:rsidRPr="00AE3215">
        <w:t>District</w:t>
      </w:r>
      <w:r w:rsidR="004B41A2" w:rsidRPr="00AE3215">
        <w:t xml:space="preserve"> </w:t>
      </w:r>
      <w:r w:rsidR="00C71A39" w:rsidRPr="00AE3215">
        <w:t>and</w:t>
      </w:r>
      <w:r w:rsidR="004B41A2" w:rsidRPr="00AE3215">
        <w:t xml:space="preserve"> </w:t>
      </w:r>
      <w:r w:rsidR="00C71A39" w:rsidRPr="00AE3215">
        <w:t>surrounding</w:t>
      </w:r>
      <w:r w:rsidR="004B41A2" w:rsidRPr="00AE3215">
        <w:t xml:space="preserve"> </w:t>
      </w:r>
      <w:r w:rsidR="00C71A39" w:rsidRPr="00AE3215">
        <w:t>areas</w:t>
      </w:r>
      <w:r w:rsidR="004B41A2" w:rsidRPr="00AE3215">
        <w:t xml:space="preserve"> </w:t>
      </w:r>
      <w:r w:rsidRPr="00AE3215">
        <w:t>to</w:t>
      </w:r>
      <w:r w:rsidR="004B41A2" w:rsidRPr="00AE3215">
        <w:t xml:space="preserve"> </w:t>
      </w:r>
      <w:r w:rsidRPr="00AE3215">
        <w:t>understand</w:t>
      </w:r>
      <w:r w:rsidR="004B41A2" w:rsidRPr="00AE3215">
        <w:t xml:space="preserve"> </w:t>
      </w:r>
      <w:r w:rsidRPr="00AE3215">
        <w:t>local</w:t>
      </w:r>
      <w:r w:rsidR="004B41A2" w:rsidRPr="00AE3215">
        <w:t xml:space="preserve"> </w:t>
      </w:r>
      <w:r w:rsidRPr="00AE3215">
        <w:t>dynamics</w:t>
      </w:r>
      <w:r w:rsidR="004B41A2" w:rsidRPr="00AE3215">
        <w:t xml:space="preserve"> </w:t>
      </w:r>
      <w:r w:rsidRPr="00AE3215">
        <w:t>and</w:t>
      </w:r>
      <w:r w:rsidR="004B41A2" w:rsidRPr="00AE3215">
        <w:t xml:space="preserve"> </w:t>
      </w:r>
      <w:r w:rsidRPr="00AE3215">
        <w:t>trends</w:t>
      </w:r>
      <w:r w:rsidR="004B41A2" w:rsidRPr="00AE3215">
        <w:t xml:space="preserve"> </w:t>
      </w:r>
      <w:r w:rsidRPr="00AE3215">
        <w:t>in</w:t>
      </w:r>
      <w:r w:rsidR="004B41A2" w:rsidRPr="00AE3215">
        <w:t xml:space="preserve"> </w:t>
      </w:r>
      <w:r w:rsidRPr="00AE3215">
        <w:t>commercial</w:t>
      </w:r>
      <w:r w:rsidR="004B41A2" w:rsidRPr="00AE3215">
        <w:t xml:space="preserve"> </w:t>
      </w:r>
      <w:r w:rsidRPr="00AE3215">
        <w:t>property.</w:t>
      </w:r>
      <w:r w:rsidR="004B41A2" w:rsidRPr="00AE3215">
        <w:t xml:space="preserve"> </w:t>
      </w:r>
      <w:r w:rsidR="00AE3215" w:rsidRPr="00AE3215">
        <w:t xml:space="preserve">Many of </w:t>
      </w:r>
      <w:r w:rsidR="00AE3215">
        <w:t>the views raised reinforce those from the 2018 HEDNA. For ease</w:t>
      </w:r>
      <w:r w:rsidR="00855CA6">
        <w:t>,</w:t>
      </w:r>
      <w:r w:rsidR="00AE3215">
        <w:t xml:space="preserve"> these have been included and updated with new findings.</w:t>
      </w:r>
    </w:p>
    <w:p w:rsidR="00AE3215" w:rsidRDefault="00AE3215" w:rsidP="001C73B8">
      <w:pPr>
        <w:pStyle w:val="11Bodytext"/>
        <w:tabs>
          <w:tab w:val="clear" w:pos="2212"/>
          <w:tab w:val="num" w:pos="567"/>
        </w:tabs>
        <w:ind w:left="567" w:hanging="567"/>
      </w:pPr>
      <w:r>
        <w:t xml:space="preserve">Industrial agents noted that since 2016, a reasonable amount of development had occurred and that there is a notable amount of industrial </w:t>
      </w:r>
      <w:proofErr w:type="gramStart"/>
      <w:r>
        <w:t>supply  in</w:t>
      </w:r>
      <w:proofErr w:type="gramEnd"/>
      <w:r>
        <w:t xml:space="preserve"> the pipeline. The</w:t>
      </w:r>
      <w:r w:rsidR="00A65D60">
        <w:t xml:space="preserve"> agents</w:t>
      </w:r>
      <w:r>
        <w:t xml:space="preserve"> noted that the Glenmore Business Park has released more available freehold supply, somewhat saturating the market for that type of product in the short term. They also noted that the district typically saw roughly 100,000 sqft (9,290 sqm) of take-up per annum</w:t>
      </w:r>
      <w:r w:rsidR="00821677">
        <w:t>. However</w:t>
      </w:r>
      <w:r w:rsidR="00855CA6">
        <w:t>,</w:t>
      </w:r>
      <w:r w:rsidR="00821677">
        <w:t xml:space="preserve"> they noted there is</w:t>
      </w:r>
      <w:r>
        <w:t xml:space="preserve"> 120,000 sqft (11,150 sqm) of supply and more </w:t>
      </w:r>
      <w:r w:rsidR="00DA4DF1">
        <w:t xml:space="preserve">developments are </w:t>
      </w:r>
      <w:r w:rsidR="002835A5">
        <w:t xml:space="preserve">expected to come forward in the near future. </w:t>
      </w:r>
    </w:p>
    <w:p w:rsidR="00AE3215" w:rsidRDefault="00AE3215" w:rsidP="001C73B8">
      <w:pPr>
        <w:pStyle w:val="11Bodytext"/>
        <w:tabs>
          <w:tab w:val="clear" w:pos="2212"/>
          <w:tab w:val="num" w:pos="567"/>
        </w:tabs>
        <w:ind w:left="567" w:hanging="567"/>
      </w:pPr>
      <w:r>
        <w:t>According to agents, new industrial buildings above 1,500 sqft (140 sqm) tend to achieve rents of around £10 psf</w:t>
      </w:r>
      <w:r w:rsidR="00855CA6">
        <w:t>t</w:t>
      </w:r>
      <w:r>
        <w:t xml:space="preserve"> (approx. £108 psm) whereas smaller new floorplates achieve rents of around £12 psf</w:t>
      </w:r>
      <w:r w:rsidR="0027580D">
        <w:t>t</w:t>
      </w:r>
      <w:r>
        <w:t xml:space="preserve"> (approx. £130 psm).</w:t>
      </w:r>
    </w:p>
    <w:p w:rsidR="00ED1CE5" w:rsidRDefault="00ED1CE5" w:rsidP="001C73B8">
      <w:pPr>
        <w:pStyle w:val="11Bodytext"/>
        <w:tabs>
          <w:tab w:val="clear" w:pos="2212"/>
          <w:tab w:val="num" w:pos="567"/>
        </w:tabs>
        <w:ind w:left="567" w:hanging="567"/>
      </w:pPr>
      <w:r>
        <w:lastRenderedPageBreak/>
        <w:t>Stakeholders considered there to be potential to expand the food industry</w:t>
      </w:r>
      <w:r w:rsidR="008908CB">
        <w:t>,</w:t>
      </w:r>
      <w:r>
        <w:t xml:space="preserve"> for example</w:t>
      </w:r>
      <w:r w:rsidR="00855CA6">
        <w:t>,</w:t>
      </w:r>
      <w:r>
        <w:t xml:space="preserve"> diversification of activities at Chichester Food Park to include</w:t>
      </w:r>
      <w:r w:rsidR="00880A7F">
        <w:t xml:space="preserve"> </w:t>
      </w:r>
      <w:r w:rsidR="00AB7313">
        <w:t>food manufacturing businesses</w:t>
      </w:r>
      <w:r>
        <w:t xml:space="preserve">. Enquiries have been reported for such occupiers </w:t>
      </w:r>
      <w:r w:rsidR="008908CB">
        <w:t xml:space="preserve">interested in </w:t>
      </w:r>
      <w:r>
        <w:t>building on the food production agglomeration.</w:t>
      </w:r>
    </w:p>
    <w:p w:rsidR="00687F17" w:rsidRDefault="00B0298E" w:rsidP="001C73B8">
      <w:pPr>
        <w:pStyle w:val="11Bodytext"/>
        <w:tabs>
          <w:tab w:val="clear" w:pos="2212"/>
          <w:tab w:val="num" w:pos="567"/>
        </w:tabs>
        <w:ind w:left="567" w:hanging="567"/>
      </w:pPr>
      <w:r w:rsidRPr="00CA47B9">
        <w:t>Some</w:t>
      </w:r>
      <w:r w:rsidR="004B41A2" w:rsidRPr="00CA47B9">
        <w:t xml:space="preserve"> </w:t>
      </w:r>
      <w:r w:rsidRPr="00CA47B9">
        <w:t>agents</w:t>
      </w:r>
      <w:r w:rsidR="004B41A2" w:rsidRPr="00CA47B9">
        <w:t xml:space="preserve"> </w:t>
      </w:r>
      <w:r w:rsidR="00173522" w:rsidRPr="00CA47B9">
        <w:t>stated</w:t>
      </w:r>
      <w:r w:rsidR="004B41A2" w:rsidRPr="00CA47B9">
        <w:t xml:space="preserve"> </w:t>
      </w:r>
      <w:r w:rsidR="00173522" w:rsidRPr="00CA47B9">
        <w:t>that</w:t>
      </w:r>
      <w:r w:rsidR="004B41A2" w:rsidRPr="00CA47B9">
        <w:t xml:space="preserve"> </w:t>
      </w:r>
      <w:r w:rsidRPr="00CA47B9">
        <w:t>there</w:t>
      </w:r>
      <w:r w:rsidR="004B41A2" w:rsidRPr="00CA47B9">
        <w:t xml:space="preserve"> </w:t>
      </w:r>
      <w:r w:rsidRPr="00CA47B9">
        <w:t>is</w:t>
      </w:r>
      <w:r w:rsidR="004B41A2" w:rsidRPr="00CA47B9">
        <w:t xml:space="preserve"> </w:t>
      </w:r>
      <w:r w:rsidRPr="00CA47B9">
        <w:t>a</w:t>
      </w:r>
      <w:r w:rsidR="004B41A2" w:rsidRPr="00CA47B9">
        <w:t xml:space="preserve"> </w:t>
      </w:r>
      <w:r w:rsidRPr="00CA47B9">
        <w:t>demand</w:t>
      </w:r>
      <w:r w:rsidR="004B41A2" w:rsidRPr="00CA47B9">
        <w:t xml:space="preserve"> </w:t>
      </w:r>
      <w:r w:rsidRPr="00CA47B9">
        <w:t>for</w:t>
      </w:r>
      <w:r w:rsidR="004B41A2" w:rsidRPr="00CA47B9">
        <w:t xml:space="preserve"> </w:t>
      </w:r>
      <w:r w:rsidRPr="00CA47B9">
        <w:t>good</w:t>
      </w:r>
      <w:r w:rsidR="004B41A2" w:rsidRPr="00CA47B9">
        <w:t xml:space="preserve"> </w:t>
      </w:r>
      <w:r w:rsidRPr="00CA47B9">
        <w:t>quality</w:t>
      </w:r>
      <w:r w:rsidR="004B41A2" w:rsidRPr="00CA47B9">
        <w:t xml:space="preserve"> </w:t>
      </w:r>
      <w:r w:rsidRPr="00CA47B9">
        <w:t>office</w:t>
      </w:r>
      <w:r w:rsidR="004B41A2" w:rsidRPr="00CA47B9">
        <w:t xml:space="preserve"> </w:t>
      </w:r>
      <w:r w:rsidRPr="00CA47B9">
        <w:t>space,</w:t>
      </w:r>
      <w:r w:rsidR="004B41A2" w:rsidRPr="00CA47B9">
        <w:t xml:space="preserve"> </w:t>
      </w:r>
      <w:r w:rsidRPr="00CA47B9">
        <w:t>small</w:t>
      </w:r>
      <w:r w:rsidR="004B41A2" w:rsidRPr="00CA47B9">
        <w:t xml:space="preserve"> </w:t>
      </w:r>
      <w:r w:rsidRPr="00CA47B9">
        <w:t>units</w:t>
      </w:r>
      <w:r w:rsidR="004B41A2" w:rsidRPr="00CA47B9">
        <w:t xml:space="preserve"> </w:t>
      </w:r>
      <w:r w:rsidRPr="00CA47B9">
        <w:t>ranging</w:t>
      </w:r>
      <w:r w:rsidR="004B41A2" w:rsidRPr="00CA47B9">
        <w:t xml:space="preserve"> </w:t>
      </w:r>
      <w:r w:rsidRPr="00CA47B9">
        <w:t>from</w:t>
      </w:r>
      <w:r w:rsidR="004B41A2" w:rsidRPr="00CA47B9">
        <w:t xml:space="preserve"> </w:t>
      </w:r>
      <w:r w:rsidRPr="00CA47B9">
        <w:t>500</w:t>
      </w:r>
      <w:r w:rsidR="004B41A2" w:rsidRPr="00CA47B9">
        <w:t xml:space="preserve"> </w:t>
      </w:r>
      <w:proofErr w:type="gramStart"/>
      <w:r w:rsidRPr="00CA47B9">
        <w:t>to</w:t>
      </w:r>
      <w:r w:rsidR="004B41A2" w:rsidRPr="00CA47B9">
        <w:t xml:space="preserve"> </w:t>
      </w:r>
      <w:r w:rsidRPr="00CA47B9">
        <w:t>2,000</w:t>
      </w:r>
      <w:r w:rsidR="004B41A2" w:rsidRPr="00CA47B9">
        <w:t xml:space="preserve"> </w:t>
      </w:r>
      <w:r w:rsidR="00D43280" w:rsidRPr="00CA47B9">
        <w:t>sq.ft</w:t>
      </w:r>
      <w:proofErr w:type="gramEnd"/>
      <w:r w:rsidR="00AE0222" w:rsidRPr="00CA47B9">
        <w:t>.</w:t>
      </w:r>
      <w:r w:rsidR="004B41A2" w:rsidRPr="00CA47B9">
        <w:t xml:space="preserve"> </w:t>
      </w:r>
      <w:r w:rsidRPr="00CA47B9">
        <w:t>for</w:t>
      </w:r>
      <w:r w:rsidR="004B41A2" w:rsidRPr="00CA47B9">
        <w:t xml:space="preserve"> </w:t>
      </w:r>
      <w:r w:rsidRPr="00CA47B9">
        <w:t>sale</w:t>
      </w:r>
      <w:r w:rsidR="004B41A2" w:rsidRPr="00CA47B9">
        <w:t xml:space="preserve"> </w:t>
      </w:r>
      <w:r w:rsidRPr="00CA47B9">
        <w:t>and</w:t>
      </w:r>
      <w:r w:rsidR="004B41A2" w:rsidRPr="00CA47B9">
        <w:t xml:space="preserve"> </w:t>
      </w:r>
      <w:r w:rsidR="00687F17">
        <w:t>there is</w:t>
      </w:r>
      <w:r w:rsidR="004B41A2" w:rsidRPr="00CA47B9">
        <w:t xml:space="preserve"> </w:t>
      </w:r>
      <w:r w:rsidR="004A39B2" w:rsidRPr="00CA47B9">
        <w:t>a</w:t>
      </w:r>
      <w:r w:rsidR="004B41A2" w:rsidRPr="00CA47B9">
        <w:t xml:space="preserve"> </w:t>
      </w:r>
      <w:r w:rsidR="004A39B2" w:rsidRPr="00CA47B9">
        <w:t>lack</w:t>
      </w:r>
      <w:r w:rsidR="004B41A2" w:rsidRPr="00CA47B9">
        <w:t xml:space="preserve"> </w:t>
      </w:r>
      <w:r w:rsidR="004A39B2" w:rsidRPr="00CA47B9">
        <w:t>of</w:t>
      </w:r>
      <w:r w:rsidR="004B41A2" w:rsidRPr="00CA47B9">
        <w:t xml:space="preserve"> </w:t>
      </w:r>
      <w:r w:rsidR="004A39B2" w:rsidRPr="00CA47B9">
        <w:t>supply</w:t>
      </w:r>
      <w:r w:rsidR="00687F17">
        <w:t xml:space="preserve"> as an increasing number have been converted to residential including:</w:t>
      </w:r>
    </w:p>
    <w:p w:rsidR="00687F17" w:rsidRDefault="00687F17" w:rsidP="00901C92">
      <w:pPr>
        <w:pStyle w:val="Bulletblueplain"/>
      </w:pPr>
      <w:r>
        <w:t>Offices above the Southgate jobcentre</w:t>
      </w:r>
    </w:p>
    <w:p w:rsidR="00687F17" w:rsidRDefault="00687F17" w:rsidP="00901C92">
      <w:pPr>
        <w:pStyle w:val="Bulletblueplain"/>
      </w:pPr>
      <w:r>
        <w:t>Former NHS office at West St</w:t>
      </w:r>
    </w:p>
    <w:p w:rsidR="00687F17" w:rsidRDefault="00687F17" w:rsidP="00901C92">
      <w:pPr>
        <w:pStyle w:val="Bulletblueplain"/>
      </w:pPr>
      <w:r>
        <w:t>Opposite County Hall</w:t>
      </w:r>
    </w:p>
    <w:p w:rsidR="00687F17" w:rsidRDefault="00687F17" w:rsidP="00901C92">
      <w:pPr>
        <w:pStyle w:val="Bulletblueplain"/>
      </w:pPr>
      <w:r>
        <w:t>North St above the Cooperative Bank</w:t>
      </w:r>
    </w:p>
    <w:p w:rsidR="00687F17" w:rsidRDefault="00687F17" w:rsidP="00901C92">
      <w:pPr>
        <w:pStyle w:val="Bulletblueplain"/>
      </w:pPr>
      <w:r>
        <w:t xml:space="preserve">Boardwalk on top of North Street </w:t>
      </w:r>
    </w:p>
    <w:p w:rsidR="00CB623D" w:rsidRDefault="00CB623D" w:rsidP="00901C92">
      <w:pPr>
        <w:pStyle w:val="Bulletblueplain"/>
      </w:pPr>
      <w:r>
        <w:t>Offices above retail unit at 19/22 Southgate</w:t>
      </w:r>
    </w:p>
    <w:p w:rsidR="00C0031A" w:rsidRPr="00C0031A" w:rsidRDefault="00C0031A" w:rsidP="001C73B8">
      <w:pPr>
        <w:pStyle w:val="11Bodytext"/>
        <w:tabs>
          <w:tab w:val="clear" w:pos="2212"/>
          <w:tab w:val="num" w:pos="567"/>
        </w:tabs>
        <w:ind w:left="567" w:hanging="567"/>
        <w:rPr>
          <w:color w:val="auto"/>
        </w:rPr>
      </w:pPr>
      <w:r>
        <w:rPr>
          <w:color w:val="auto"/>
        </w:rPr>
        <w:t xml:space="preserve">It is noted that the </w:t>
      </w:r>
      <w:r>
        <w:t>County Council Office consolidated and applied to convert their former sites around Chichester, specifically Tannery in West Gate</w:t>
      </w:r>
      <w:r w:rsidR="008908CB">
        <w:t>, to residential</w:t>
      </w:r>
      <w:r w:rsidR="00855CA6">
        <w:t>,</w:t>
      </w:r>
      <w:r>
        <w:t xml:space="preserve"> however</w:t>
      </w:r>
      <w:r w:rsidR="00855CA6">
        <w:t>,</w:t>
      </w:r>
      <w:r>
        <w:t xml:space="preserve"> it is contaminated – this is now sitting vacant.</w:t>
      </w:r>
    </w:p>
    <w:p w:rsidR="00C0031A" w:rsidRPr="00C0031A" w:rsidRDefault="00C0031A" w:rsidP="001C73B8">
      <w:pPr>
        <w:pStyle w:val="11Bodytext"/>
        <w:tabs>
          <w:tab w:val="clear" w:pos="2212"/>
          <w:tab w:val="num" w:pos="567"/>
        </w:tabs>
        <w:ind w:left="567" w:hanging="567"/>
        <w:rPr>
          <w:color w:val="auto"/>
        </w:rPr>
      </w:pPr>
      <w:r>
        <w:t>Occupiers looking for town centre office stock have failed and had to look elsewhere. Those looking to expand face</w:t>
      </w:r>
      <w:r w:rsidR="00033080">
        <w:t>d</w:t>
      </w:r>
      <w:r>
        <w:t xml:space="preserve"> similar issue</w:t>
      </w:r>
      <w:r w:rsidR="00033080">
        <w:t>s</w:t>
      </w:r>
      <w:r>
        <w:t xml:space="preserve">. </w:t>
      </w:r>
      <w:r w:rsidR="00033080">
        <w:t>T</w:t>
      </w:r>
      <w:r>
        <w:t>hey eventually gave up searching for anything of value because there was no good office stock.</w:t>
      </w:r>
    </w:p>
    <w:p w:rsidR="00841217" w:rsidRPr="00CA47B9" w:rsidRDefault="004A39B2" w:rsidP="001C73B8">
      <w:pPr>
        <w:pStyle w:val="11Bodytext"/>
        <w:tabs>
          <w:tab w:val="clear" w:pos="2212"/>
          <w:tab w:val="num" w:pos="567"/>
        </w:tabs>
        <w:ind w:left="567" w:hanging="567"/>
      </w:pPr>
      <w:r w:rsidRPr="00CA47B9">
        <w:t>The</w:t>
      </w:r>
      <w:r w:rsidR="004B41A2" w:rsidRPr="00CA47B9">
        <w:t xml:space="preserve"> </w:t>
      </w:r>
      <w:r w:rsidRPr="00CA47B9">
        <w:t>agents</w:t>
      </w:r>
      <w:r w:rsidR="004B41A2" w:rsidRPr="00CA47B9">
        <w:t xml:space="preserve"> </w:t>
      </w:r>
      <w:r w:rsidRPr="00CA47B9">
        <w:t>also</w:t>
      </w:r>
      <w:r w:rsidR="004B41A2" w:rsidRPr="00CA47B9">
        <w:t xml:space="preserve"> </w:t>
      </w:r>
      <w:r w:rsidRPr="00CA47B9">
        <w:t>noted</w:t>
      </w:r>
      <w:r w:rsidR="004B41A2" w:rsidRPr="00CA47B9">
        <w:t xml:space="preserve"> </w:t>
      </w:r>
      <w:r w:rsidRPr="00CA47B9">
        <w:t>that</w:t>
      </w:r>
      <w:r w:rsidR="004B41A2" w:rsidRPr="00CA47B9">
        <w:t xml:space="preserve"> </w:t>
      </w:r>
      <w:r w:rsidR="00B0298E" w:rsidRPr="00CA47B9">
        <w:t>there</w:t>
      </w:r>
      <w:r w:rsidR="004B41A2" w:rsidRPr="00CA47B9">
        <w:t xml:space="preserve"> </w:t>
      </w:r>
      <w:r w:rsidR="00B0298E" w:rsidRPr="00CA47B9">
        <w:t>is</w:t>
      </w:r>
      <w:r w:rsidR="004B41A2" w:rsidRPr="00CA47B9">
        <w:t xml:space="preserve"> </w:t>
      </w:r>
      <w:r w:rsidR="00B0298E" w:rsidRPr="00CA47B9">
        <w:t>currently</w:t>
      </w:r>
      <w:r w:rsidR="004B41A2" w:rsidRPr="00CA47B9">
        <w:t xml:space="preserve"> </w:t>
      </w:r>
      <w:r w:rsidR="00B0298E" w:rsidRPr="00CA47B9">
        <w:t>a</w:t>
      </w:r>
      <w:r w:rsidR="004B41A2" w:rsidRPr="00CA47B9">
        <w:t xml:space="preserve"> </w:t>
      </w:r>
      <w:r w:rsidR="00B0298E" w:rsidRPr="00CA47B9">
        <w:t>limited</w:t>
      </w:r>
      <w:r w:rsidR="004B41A2" w:rsidRPr="00CA47B9">
        <w:t xml:space="preserve"> </w:t>
      </w:r>
      <w:r w:rsidR="00B0298E" w:rsidRPr="00CA47B9">
        <w:t>supply</w:t>
      </w:r>
      <w:r w:rsidR="004B41A2" w:rsidRPr="00CA47B9">
        <w:t xml:space="preserve"> </w:t>
      </w:r>
      <w:r w:rsidR="00B0298E" w:rsidRPr="00CA47B9">
        <w:t>of</w:t>
      </w:r>
      <w:r w:rsidR="004B41A2" w:rsidRPr="00CA47B9">
        <w:t xml:space="preserve"> </w:t>
      </w:r>
      <w:r w:rsidR="00B0298E" w:rsidRPr="00CA47B9">
        <w:t>good</w:t>
      </w:r>
      <w:r w:rsidR="004B41A2" w:rsidRPr="00CA47B9">
        <w:t xml:space="preserve"> </w:t>
      </w:r>
      <w:r w:rsidR="00B0298E" w:rsidRPr="00CA47B9">
        <w:t>quality</w:t>
      </w:r>
      <w:r w:rsidR="004B41A2" w:rsidRPr="00CA47B9">
        <w:t xml:space="preserve"> </w:t>
      </w:r>
      <w:r w:rsidR="00B0298E" w:rsidRPr="00CA47B9">
        <w:t>B8</w:t>
      </w:r>
      <w:r w:rsidR="004B41A2" w:rsidRPr="00CA47B9">
        <w:t xml:space="preserve"> </w:t>
      </w:r>
      <w:r w:rsidR="00B0298E" w:rsidRPr="00CA47B9">
        <w:t>premises</w:t>
      </w:r>
      <w:r w:rsidR="00821677">
        <w:t>, however</w:t>
      </w:r>
      <w:r w:rsidR="00855CA6">
        <w:t>,</w:t>
      </w:r>
      <w:r w:rsidR="00821677">
        <w:t xml:space="preserve"> this demand is assumed to be met by the increase in supply coming forward</w:t>
      </w:r>
      <w:r w:rsidR="00B0298E" w:rsidRPr="00CA47B9">
        <w:t>.</w:t>
      </w:r>
      <w:r w:rsidR="004B41A2" w:rsidRPr="00CA47B9">
        <w:t xml:space="preserve"> </w:t>
      </w:r>
      <w:r w:rsidR="00173522" w:rsidRPr="00CA47B9">
        <w:t>The</w:t>
      </w:r>
      <w:r w:rsidR="004B41A2" w:rsidRPr="00CA47B9">
        <w:t xml:space="preserve"> </w:t>
      </w:r>
      <w:r w:rsidR="00173522" w:rsidRPr="00CA47B9">
        <w:t>highest</w:t>
      </w:r>
      <w:r w:rsidR="004B41A2" w:rsidRPr="00CA47B9">
        <w:t xml:space="preserve"> </w:t>
      </w:r>
      <w:r w:rsidR="00B0298E" w:rsidRPr="00CA47B9">
        <w:t>demand</w:t>
      </w:r>
      <w:r w:rsidR="004B41A2" w:rsidRPr="00CA47B9">
        <w:t xml:space="preserve"> </w:t>
      </w:r>
      <w:r w:rsidR="00B0298E" w:rsidRPr="00CA47B9">
        <w:t>is</w:t>
      </w:r>
      <w:r w:rsidR="004B41A2" w:rsidRPr="00CA47B9">
        <w:t xml:space="preserve"> </w:t>
      </w:r>
      <w:r w:rsidR="00B0298E" w:rsidRPr="00CA47B9">
        <w:t>coming</w:t>
      </w:r>
      <w:r w:rsidR="004B41A2" w:rsidRPr="00CA47B9">
        <w:t xml:space="preserve"> </w:t>
      </w:r>
      <w:r w:rsidR="00B0298E" w:rsidRPr="00CA47B9">
        <w:t>from</w:t>
      </w:r>
      <w:r w:rsidR="004B41A2" w:rsidRPr="00CA47B9">
        <w:t xml:space="preserve"> </w:t>
      </w:r>
      <w:r w:rsidR="00B0298E" w:rsidRPr="00CA47B9">
        <w:t>existing</w:t>
      </w:r>
      <w:r w:rsidR="004B41A2" w:rsidRPr="00CA47B9">
        <w:t xml:space="preserve"> </w:t>
      </w:r>
      <w:r w:rsidR="00B0298E" w:rsidRPr="00CA47B9">
        <w:t>companies</w:t>
      </w:r>
      <w:r w:rsidR="004B41A2" w:rsidRPr="00CA47B9">
        <w:t xml:space="preserve"> </w:t>
      </w:r>
      <w:r w:rsidR="00B0298E" w:rsidRPr="00CA47B9">
        <w:t>within</w:t>
      </w:r>
      <w:r w:rsidR="004B41A2" w:rsidRPr="00CA47B9">
        <w:t xml:space="preserve"> </w:t>
      </w:r>
      <w:r w:rsidR="00B0298E" w:rsidRPr="00CA47B9">
        <w:t>the</w:t>
      </w:r>
      <w:r w:rsidR="004B41A2" w:rsidRPr="00CA47B9">
        <w:t xml:space="preserve"> </w:t>
      </w:r>
      <w:r w:rsidR="00B0298E" w:rsidRPr="00CA47B9">
        <w:t>District</w:t>
      </w:r>
      <w:r w:rsidR="004B41A2" w:rsidRPr="00CA47B9">
        <w:t xml:space="preserve"> </w:t>
      </w:r>
      <w:r w:rsidR="00CE615F">
        <w:t>who</w:t>
      </w:r>
      <w:r w:rsidR="00CE615F" w:rsidRPr="00CA47B9">
        <w:t xml:space="preserve"> </w:t>
      </w:r>
      <w:r w:rsidR="00B0298E" w:rsidRPr="00CA47B9">
        <w:t>are</w:t>
      </w:r>
      <w:r w:rsidR="004B41A2" w:rsidRPr="00CA47B9">
        <w:t xml:space="preserve"> </w:t>
      </w:r>
      <w:r w:rsidR="00B0298E" w:rsidRPr="00CA47B9">
        <w:t>expanding</w:t>
      </w:r>
      <w:r w:rsidR="004B41A2" w:rsidRPr="00CA47B9">
        <w:t xml:space="preserve"> </w:t>
      </w:r>
      <w:r w:rsidR="00173522" w:rsidRPr="00CA47B9">
        <w:t>their</w:t>
      </w:r>
      <w:r w:rsidR="004B41A2" w:rsidRPr="00CA47B9">
        <w:t xml:space="preserve"> </w:t>
      </w:r>
      <w:r w:rsidR="00B0298E" w:rsidRPr="00CA47B9">
        <w:t>current</w:t>
      </w:r>
      <w:r w:rsidR="004B41A2" w:rsidRPr="00CA47B9">
        <w:t xml:space="preserve"> </w:t>
      </w:r>
      <w:r w:rsidR="00B0298E" w:rsidRPr="00CA47B9">
        <w:t>units</w:t>
      </w:r>
      <w:r w:rsidR="004B41A2" w:rsidRPr="00CA47B9">
        <w:t xml:space="preserve"> </w:t>
      </w:r>
      <w:r w:rsidR="00B0298E" w:rsidRPr="00CA47B9">
        <w:t>due</w:t>
      </w:r>
      <w:r w:rsidR="004B41A2" w:rsidRPr="00CA47B9">
        <w:t xml:space="preserve"> </w:t>
      </w:r>
      <w:r w:rsidR="00B0298E" w:rsidRPr="00CA47B9">
        <w:t>to</w:t>
      </w:r>
      <w:r w:rsidR="004B41A2" w:rsidRPr="00CA47B9">
        <w:t xml:space="preserve"> </w:t>
      </w:r>
      <w:r w:rsidR="00B0298E" w:rsidRPr="00CA47B9">
        <w:t>lack</w:t>
      </w:r>
      <w:r w:rsidR="004B41A2" w:rsidRPr="00CA47B9">
        <w:t xml:space="preserve"> </w:t>
      </w:r>
      <w:r w:rsidR="00B0298E" w:rsidRPr="00CA47B9">
        <w:t>of</w:t>
      </w:r>
      <w:r w:rsidR="004B41A2" w:rsidRPr="00CA47B9">
        <w:t xml:space="preserve"> </w:t>
      </w:r>
      <w:r w:rsidR="00B0298E" w:rsidRPr="00CA47B9">
        <w:t>new</w:t>
      </w:r>
      <w:r w:rsidR="004B41A2" w:rsidRPr="00CA47B9">
        <w:t xml:space="preserve"> </w:t>
      </w:r>
      <w:r w:rsidR="00B0298E" w:rsidRPr="00CA47B9">
        <w:t>premises.</w:t>
      </w:r>
      <w:r w:rsidR="004B41A2" w:rsidRPr="00CA47B9">
        <w:t xml:space="preserve"> </w:t>
      </w:r>
      <w:r w:rsidR="00B0298E" w:rsidRPr="00CA47B9">
        <w:t>The</w:t>
      </w:r>
      <w:r w:rsidR="004B41A2" w:rsidRPr="00CA47B9">
        <w:t xml:space="preserve"> </w:t>
      </w:r>
      <w:r w:rsidR="00B0298E" w:rsidRPr="00CA47B9">
        <w:t>District</w:t>
      </w:r>
      <w:r w:rsidR="004B41A2" w:rsidRPr="00CA47B9">
        <w:t xml:space="preserve"> </w:t>
      </w:r>
      <w:r w:rsidR="00B0298E" w:rsidRPr="00CA47B9">
        <w:t>has</w:t>
      </w:r>
      <w:r w:rsidR="004B41A2" w:rsidRPr="00CA47B9">
        <w:t xml:space="preserve"> </w:t>
      </w:r>
      <w:r w:rsidR="00AE3215">
        <w:t>limited</w:t>
      </w:r>
      <w:r w:rsidR="004B41A2" w:rsidRPr="00CA47B9">
        <w:t xml:space="preserve"> </w:t>
      </w:r>
      <w:r w:rsidR="00B0298E" w:rsidRPr="00CA47B9">
        <w:t>wider</w:t>
      </w:r>
      <w:r w:rsidR="004B41A2" w:rsidRPr="00CA47B9">
        <w:t xml:space="preserve"> </w:t>
      </w:r>
      <w:r w:rsidR="00B0298E" w:rsidRPr="00CA47B9">
        <w:t>catchment;</w:t>
      </w:r>
      <w:r w:rsidR="004B41A2" w:rsidRPr="00CA47B9">
        <w:t xml:space="preserve"> </w:t>
      </w:r>
      <w:r w:rsidR="00B0298E" w:rsidRPr="00CA47B9">
        <w:t>however</w:t>
      </w:r>
      <w:r w:rsidR="00A33D96" w:rsidRPr="00CA47B9">
        <w:t>,</w:t>
      </w:r>
      <w:r w:rsidR="004B41A2" w:rsidRPr="00CA47B9">
        <w:t xml:space="preserve"> </w:t>
      </w:r>
      <w:r w:rsidR="00B0298E" w:rsidRPr="00CA47B9">
        <w:t>this</w:t>
      </w:r>
      <w:r w:rsidR="004B41A2" w:rsidRPr="00CA47B9">
        <w:t xml:space="preserve"> </w:t>
      </w:r>
      <w:r w:rsidR="00B0298E" w:rsidRPr="00CA47B9">
        <w:t>is</w:t>
      </w:r>
      <w:r w:rsidR="004B41A2" w:rsidRPr="00CA47B9">
        <w:t xml:space="preserve"> </w:t>
      </w:r>
      <w:r w:rsidR="00B0298E" w:rsidRPr="00CA47B9">
        <w:t>starting</w:t>
      </w:r>
      <w:r w:rsidR="004B41A2" w:rsidRPr="00CA47B9">
        <w:t xml:space="preserve"> </w:t>
      </w:r>
      <w:r w:rsidR="00B0298E" w:rsidRPr="00CA47B9">
        <w:t>to</w:t>
      </w:r>
      <w:r w:rsidR="004B41A2" w:rsidRPr="00CA47B9">
        <w:t xml:space="preserve"> </w:t>
      </w:r>
      <w:r w:rsidR="00B0298E" w:rsidRPr="00CA47B9">
        <w:t>change</w:t>
      </w:r>
      <w:r w:rsidR="004B41A2" w:rsidRPr="00CA47B9">
        <w:t xml:space="preserve"> </w:t>
      </w:r>
      <w:r w:rsidR="00B0298E" w:rsidRPr="00CA47B9">
        <w:t>gradually,</w:t>
      </w:r>
      <w:r w:rsidR="004B41A2" w:rsidRPr="00CA47B9">
        <w:t xml:space="preserve"> </w:t>
      </w:r>
      <w:r w:rsidR="00B0298E" w:rsidRPr="00CA47B9">
        <w:t>with</w:t>
      </w:r>
      <w:r w:rsidR="004B41A2" w:rsidRPr="00CA47B9">
        <w:t xml:space="preserve"> </w:t>
      </w:r>
      <w:r w:rsidR="00B0298E" w:rsidRPr="00CA47B9">
        <w:t>some</w:t>
      </w:r>
      <w:r w:rsidR="004B41A2" w:rsidRPr="00CA47B9">
        <w:t xml:space="preserve"> </w:t>
      </w:r>
      <w:r w:rsidR="00B0298E" w:rsidRPr="00CA47B9">
        <w:t>speculative</w:t>
      </w:r>
      <w:r w:rsidR="004B41A2" w:rsidRPr="00CA47B9">
        <w:t xml:space="preserve"> </w:t>
      </w:r>
      <w:r w:rsidR="00B0298E" w:rsidRPr="00CA47B9">
        <w:t>developments</w:t>
      </w:r>
      <w:r w:rsidR="004B41A2" w:rsidRPr="00CA47B9">
        <w:t xml:space="preserve"> </w:t>
      </w:r>
      <w:r w:rsidR="00B0298E" w:rsidRPr="00CA47B9">
        <w:t>happening</w:t>
      </w:r>
      <w:r w:rsidR="004B41A2" w:rsidRPr="00CA47B9">
        <w:t xml:space="preserve"> </w:t>
      </w:r>
      <w:r w:rsidR="00B0298E" w:rsidRPr="00CA47B9">
        <w:t>along</w:t>
      </w:r>
      <w:r w:rsidR="004B41A2" w:rsidRPr="00CA47B9">
        <w:t xml:space="preserve"> </w:t>
      </w:r>
      <w:r w:rsidR="00B0298E" w:rsidRPr="00CA47B9">
        <w:t>the</w:t>
      </w:r>
      <w:r w:rsidR="004B41A2" w:rsidRPr="00CA47B9">
        <w:t xml:space="preserve"> </w:t>
      </w:r>
      <w:r w:rsidR="00B0298E" w:rsidRPr="00CA47B9">
        <w:t>A27.</w:t>
      </w:r>
      <w:r w:rsidR="004B41A2" w:rsidRPr="00CA47B9">
        <w:t xml:space="preserve"> </w:t>
      </w:r>
    </w:p>
    <w:p w:rsidR="00B0298E" w:rsidRPr="00CA47B9" w:rsidRDefault="00B0298E" w:rsidP="001C73B8">
      <w:pPr>
        <w:pStyle w:val="11Bodytext"/>
        <w:tabs>
          <w:tab w:val="clear" w:pos="2212"/>
          <w:tab w:val="num" w:pos="567"/>
        </w:tabs>
        <w:ind w:left="567" w:hanging="567"/>
      </w:pPr>
      <w:r w:rsidRPr="00CA47B9">
        <w:t>Agents</w:t>
      </w:r>
      <w:r w:rsidR="004B41A2" w:rsidRPr="00CA47B9">
        <w:t xml:space="preserve"> </w:t>
      </w:r>
      <w:r w:rsidRPr="00CA47B9">
        <w:t>recognise</w:t>
      </w:r>
      <w:r w:rsidR="004B41A2" w:rsidRPr="00CA47B9">
        <w:t xml:space="preserve"> </w:t>
      </w:r>
      <w:r w:rsidRPr="00CA47B9">
        <w:t>there</w:t>
      </w:r>
      <w:r w:rsidR="004B41A2" w:rsidRPr="00CA47B9">
        <w:t xml:space="preserve"> </w:t>
      </w:r>
      <w:r w:rsidRPr="00CA47B9">
        <w:t>are</w:t>
      </w:r>
      <w:r w:rsidR="004B41A2" w:rsidRPr="00CA47B9">
        <w:t xml:space="preserve"> </w:t>
      </w:r>
      <w:r w:rsidRPr="00CA47B9">
        <w:t>various</w:t>
      </w:r>
      <w:r w:rsidR="004B41A2" w:rsidRPr="00CA47B9">
        <w:t xml:space="preserve"> </w:t>
      </w:r>
      <w:r w:rsidRPr="00CA47B9">
        <w:t>viability</w:t>
      </w:r>
      <w:r w:rsidR="004B41A2" w:rsidRPr="00CA47B9">
        <w:t xml:space="preserve"> </w:t>
      </w:r>
      <w:r w:rsidRPr="00CA47B9">
        <w:t>issues</w:t>
      </w:r>
      <w:r w:rsidR="004B41A2" w:rsidRPr="00CA47B9">
        <w:t xml:space="preserve"> </w:t>
      </w:r>
      <w:r w:rsidRPr="00CA47B9">
        <w:t>connected</w:t>
      </w:r>
      <w:r w:rsidR="004B41A2" w:rsidRPr="00CA47B9">
        <w:t xml:space="preserve"> </w:t>
      </w:r>
      <w:r w:rsidRPr="00CA47B9">
        <w:t>with</w:t>
      </w:r>
      <w:r w:rsidR="004B41A2" w:rsidRPr="00CA47B9">
        <w:t xml:space="preserve"> </w:t>
      </w:r>
      <w:r w:rsidRPr="00CA47B9">
        <w:t>rents</w:t>
      </w:r>
      <w:r w:rsidR="004B41A2" w:rsidRPr="00CA47B9">
        <w:t xml:space="preserve"> </w:t>
      </w:r>
      <w:r w:rsidRPr="00CA47B9">
        <w:t>and</w:t>
      </w:r>
      <w:r w:rsidR="004B41A2" w:rsidRPr="00CA47B9">
        <w:t xml:space="preserve"> </w:t>
      </w:r>
      <w:r w:rsidRPr="00CA47B9">
        <w:t>current</w:t>
      </w:r>
      <w:r w:rsidR="004B41A2" w:rsidRPr="00CA47B9">
        <w:t xml:space="preserve"> </w:t>
      </w:r>
      <w:r w:rsidRPr="00CA47B9">
        <w:t>values,</w:t>
      </w:r>
      <w:r w:rsidR="004B41A2" w:rsidRPr="00CA47B9">
        <w:t xml:space="preserve"> </w:t>
      </w:r>
      <w:r w:rsidRPr="00CA47B9">
        <w:t>which</w:t>
      </w:r>
      <w:r w:rsidR="004B41A2" w:rsidRPr="00CA47B9">
        <w:t xml:space="preserve"> </w:t>
      </w:r>
      <w:r w:rsidR="00965735" w:rsidRPr="00CA47B9">
        <w:t>have</w:t>
      </w:r>
      <w:r w:rsidR="004B41A2" w:rsidRPr="00CA47B9">
        <w:t xml:space="preserve"> </w:t>
      </w:r>
      <w:r w:rsidRPr="00CA47B9">
        <w:t>been</w:t>
      </w:r>
      <w:r w:rsidR="004B41A2" w:rsidRPr="00CA47B9">
        <w:t xml:space="preserve"> </w:t>
      </w:r>
      <w:r w:rsidRPr="00CA47B9">
        <w:t>restricting</w:t>
      </w:r>
      <w:r w:rsidR="004B41A2" w:rsidRPr="00CA47B9">
        <w:t xml:space="preserve"> </w:t>
      </w:r>
      <w:r w:rsidRPr="00CA47B9">
        <w:t>speculative</w:t>
      </w:r>
      <w:r w:rsidR="004B41A2" w:rsidRPr="00CA47B9">
        <w:t xml:space="preserve"> </w:t>
      </w:r>
      <w:r w:rsidRPr="00CA47B9">
        <w:t>development.</w:t>
      </w:r>
      <w:r w:rsidR="004B41A2" w:rsidRPr="00CA47B9">
        <w:t xml:space="preserve"> </w:t>
      </w:r>
      <w:r w:rsidRPr="00CA47B9">
        <w:t>Some</w:t>
      </w:r>
      <w:r w:rsidR="004B41A2" w:rsidRPr="00CA47B9">
        <w:t xml:space="preserve"> </w:t>
      </w:r>
      <w:r w:rsidRPr="00CA47B9">
        <w:t>of</w:t>
      </w:r>
      <w:r w:rsidR="004B41A2" w:rsidRPr="00CA47B9">
        <w:t xml:space="preserve"> </w:t>
      </w:r>
      <w:r w:rsidRPr="00CA47B9">
        <w:t>the</w:t>
      </w:r>
      <w:r w:rsidR="004B41A2" w:rsidRPr="00CA47B9">
        <w:t xml:space="preserve"> </w:t>
      </w:r>
      <w:r w:rsidRPr="00CA47B9">
        <w:t>main</w:t>
      </w:r>
      <w:r w:rsidR="004B41A2" w:rsidRPr="00CA47B9">
        <w:t xml:space="preserve"> </w:t>
      </w:r>
      <w:r w:rsidRPr="00CA47B9">
        <w:t>sectors</w:t>
      </w:r>
      <w:r w:rsidR="004B41A2" w:rsidRPr="00CA47B9">
        <w:t xml:space="preserve"> </w:t>
      </w:r>
      <w:r w:rsidRPr="00CA47B9">
        <w:t>which</w:t>
      </w:r>
      <w:r w:rsidR="004B41A2" w:rsidRPr="00CA47B9">
        <w:t xml:space="preserve"> </w:t>
      </w:r>
      <w:r w:rsidRPr="00CA47B9">
        <w:t>have</w:t>
      </w:r>
      <w:r w:rsidR="004B41A2" w:rsidRPr="00CA47B9">
        <w:t xml:space="preserve"> </w:t>
      </w:r>
      <w:r w:rsidRPr="00CA47B9">
        <w:t>been</w:t>
      </w:r>
      <w:r w:rsidR="004B41A2" w:rsidRPr="00CA47B9">
        <w:t xml:space="preserve"> </w:t>
      </w:r>
      <w:r w:rsidRPr="00CA47B9">
        <w:t>experiencing</w:t>
      </w:r>
      <w:r w:rsidR="004B41A2" w:rsidRPr="00CA47B9">
        <w:t xml:space="preserve"> </w:t>
      </w:r>
      <w:r w:rsidRPr="00CA47B9">
        <w:t>growth</w:t>
      </w:r>
      <w:r w:rsidR="004B41A2" w:rsidRPr="00CA47B9">
        <w:t xml:space="preserve"> </w:t>
      </w:r>
      <w:r w:rsidRPr="00CA47B9">
        <w:t>in</w:t>
      </w:r>
      <w:r w:rsidR="004B41A2" w:rsidRPr="00CA47B9">
        <w:t xml:space="preserve"> </w:t>
      </w:r>
      <w:r w:rsidRPr="00CA47B9">
        <w:t>the</w:t>
      </w:r>
      <w:r w:rsidR="004B41A2" w:rsidRPr="00CA47B9">
        <w:t xml:space="preserve"> </w:t>
      </w:r>
      <w:r w:rsidRPr="00CA47B9">
        <w:t>District</w:t>
      </w:r>
      <w:r w:rsidR="004B41A2" w:rsidRPr="00CA47B9">
        <w:t xml:space="preserve"> </w:t>
      </w:r>
      <w:r w:rsidRPr="00CA47B9">
        <w:t>include</w:t>
      </w:r>
      <w:r w:rsidR="004B41A2" w:rsidRPr="00CA47B9">
        <w:t xml:space="preserve"> </w:t>
      </w:r>
      <w:r w:rsidRPr="00CA47B9">
        <w:t>Storage,</w:t>
      </w:r>
      <w:r w:rsidR="004B41A2" w:rsidRPr="00CA47B9">
        <w:t xml:space="preserve"> </w:t>
      </w:r>
      <w:r w:rsidRPr="00CA47B9">
        <w:t>Wholesale,</w:t>
      </w:r>
      <w:r w:rsidR="004B41A2" w:rsidRPr="00CA47B9">
        <w:t xml:space="preserve"> </w:t>
      </w:r>
      <w:r w:rsidRPr="00CA47B9">
        <w:t>Services,</w:t>
      </w:r>
      <w:r w:rsidR="004B41A2" w:rsidRPr="00CA47B9">
        <w:t xml:space="preserve"> </w:t>
      </w:r>
      <w:r w:rsidRPr="00CA47B9">
        <w:t>Real</w:t>
      </w:r>
      <w:r w:rsidR="004B41A2" w:rsidRPr="00CA47B9">
        <w:t xml:space="preserve"> </w:t>
      </w:r>
      <w:r w:rsidRPr="00CA47B9">
        <w:t>Estate</w:t>
      </w:r>
      <w:r w:rsidR="004B41A2" w:rsidRPr="00CA47B9">
        <w:t xml:space="preserve"> </w:t>
      </w:r>
      <w:r w:rsidR="00965735" w:rsidRPr="00CA47B9">
        <w:t>and</w:t>
      </w:r>
      <w:r w:rsidR="004B41A2" w:rsidRPr="00CA47B9">
        <w:t xml:space="preserve"> </w:t>
      </w:r>
      <w:r w:rsidR="00CA47B9" w:rsidRPr="00CA47B9">
        <w:t>small-scale</w:t>
      </w:r>
      <w:r w:rsidR="004B41A2" w:rsidRPr="00CA47B9">
        <w:t xml:space="preserve"> </w:t>
      </w:r>
      <w:r w:rsidRPr="00CA47B9">
        <w:t>manufacturing,</w:t>
      </w:r>
      <w:r w:rsidR="004B41A2" w:rsidRPr="00CA47B9">
        <w:t xml:space="preserve"> </w:t>
      </w:r>
      <w:r w:rsidR="00965735" w:rsidRPr="00CA47B9">
        <w:t>which</w:t>
      </w:r>
      <w:r w:rsidR="004B41A2" w:rsidRPr="00CA47B9">
        <w:t xml:space="preserve"> </w:t>
      </w:r>
      <w:r w:rsidRPr="00CA47B9">
        <w:t>generally</w:t>
      </w:r>
      <w:r w:rsidR="004B41A2" w:rsidRPr="00CA47B9">
        <w:t xml:space="preserve"> </w:t>
      </w:r>
      <w:r w:rsidRPr="00CA47B9">
        <w:t>would</w:t>
      </w:r>
      <w:r w:rsidR="004B41A2" w:rsidRPr="00CA47B9">
        <w:t xml:space="preserve"> </w:t>
      </w:r>
      <w:r w:rsidRPr="00CA47B9">
        <w:t>require</w:t>
      </w:r>
      <w:r w:rsidR="004B41A2" w:rsidRPr="00CA47B9">
        <w:t xml:space="preserve"> </w:t>
      </w:r>
      <w:r w:rsidRPr="00CA47B9">
        <w:t>B1,</w:t>
      </w:r>
      <w:r w:rsidR="004B41A2" w:rsidRPr="00CA47B9">
        <w:t xml:space="preserve"> </w:t>
      </w:r>
      <w:r w:rsidRPr="00CA47B9">
        <w:t>B2</w:t>
      </w:r>
      <w:r w:rsidR="004B41A2" w:rsidRPr="00CA47B9">
        <w:t xml:space="preserve"> </w:t>
      </w:r>
      <w:r w:rsidRPr="00CA47B9">
        <w:t>and</w:t>
      </w:r>
      <w:r w:rsidR="004B41A2" w:rsidRPr="00CA47B9">
        <w:t xml:space="preserve"> </w:t>
      </w:r>
      <w:r w:rsidRPr="00CA47B9">
        <w:t>B8</w:t>
      </w:r>
      <w:r w:rsidR="004B41A2" w:rsidRPr="00CA47B9">
        <w:t xml:space="preserve"> </w:t>
      </w:r>
      <w:r w:rsidR="00965735" w:rsidRPr="00CA47B9">
        <w:t>floorspace.</w:t>
      </w:r>
      <w:r w:rsidR="004B41A2" w:rsidRPr="00CA47B9">
        <w:t xml:space="preserve"> </w:t>
      </w:r>
      <w:r w:rsidR="00965735" w:rsidRPr="00CA47B9">
        <w:t>However,</w:t>
      </w:r>
      <w:r w:rsidR="004B41A2" w:rsidRPr="00CA47B9">
        <w:t xml:space="preserve"> </w:t>
      </w:r>
      <w:r w:rsidR="00965735" w:rsidRPr="00CA47B9">
        <w:t>there</w:t>
      </w:r>
      <w:r w:rsidR="004B41A2" w:rsidRPr="00CA47B9">
        <w:t xml:space="preserve"> </w:t>
      </w:r>
      <w:r w:rsidR="00965735" w:rsidRPr="00CA47B9">
        <w:t>is</w:t>
      </w:r>
      <w:r w:rsidR="004B41A2" w:rsidRPr="00CA47B9">
        <w:t xml:space="preserve"> </w:t>
      </w:r>
      <w:r w:rsidRPr="00CA47B9">
        <w:t>not</w:t>
      </w:r>
      <w:r w:rsidR="004B41A2" w:rsidRPr="00CA47B9">
        <w:t xml:space="preserve"> </w:t>
      </w:r>
      <w:r w:rsidRPr="00CA47B9">
        <w:t>much</w:t>
      </w:r>
      <w:r w:rsidR="004B41A2" w:rsidRPr="00CA47B9">
        <w:t xml:space="preserve"> </w:t>
      </w:r>
      <w:r w:rsidRPr="00CA47B9">
        <w:t>demand</w:t>
      </w:r>
      <w:r w:rsidR="004B41A2" w:rsidRPr="00CA47B9">
        <w:t xml:space="preserve"> </w:t>
      </w:r>
      <w:r w:rsidR="009F2562">
        <w:t>for</w:t>
      </w:r>
      <w:r w:rsidR="009F2562" w:rsidRPr="00CA47B9">
        <w:t xml:space="preserve"> </w:t>
      </w:r>
      <w:r w:rsidRPr="00CA47B9">
        <w:t>“dirty”</w:t>
      </w:r>
      <w:r w:rsidR="004B41A2" w:rsidRPr="00CA47B9">
        <w:t xml:space="preserve"> </w:t>
      </w:r>
      <w:r w:rsidRPr="00CA47B9">
        <w:t>industrial</w:t>
      </w:r>
      <w:r w:rsidR="004B41A2" w:rsidRPr="00CA47B9">
        <w:t xml:space="preserve"> </w:t>
      </w:r>
      <w:r w:rsidRPr="00CA47B9">
        <w:t>uses.</w:t>
      </w:r>
      <w:r w:rsidR="004B41A2" w:rsidRPr="00CA47B9">
        <w:t xml:space="preserve"> </w:t>
      </w:r>
    </w:p>
    <w:p w:rsidR="00B0298E" w:rsidRDefault="00B0298E" w:rsidP="001C73B8">
      <w:pPr>
        <w:pStyle w:val="11Bodytext"/>
        <w:tabs>
          <w:tab w:val="clear" w:pos="2212"/>
          <w:tab w:val="num" w:pos="567"/>
        </w:tabs>
        <w:ind w:left="567" w:hanging="567"/>
      </w:pPr>
      <w:r w:rsidRPr="00CA47B9">
        <w:lastRenderedPageBreak/>
        <w:t>Some</w:t>
      </w:r>
      <w:r w:rsidR="004B41A2" w:rsidRPr="00CA47B9">
        <w:t xml:space="preserve"> </w:t>
      </w:r>
      <w:r w:rsidRPr="00CA47B9">
        <w:t>of</w:t>
      </w:r>
      <w:r w:rsidR="004B41A2" w:rsidRPr="00CA47B9">
        <w:t xml:space="preserve"> </w:t>
      </w:r>
      <w:r w:rsidRPr="00CA47B9">
        <w:t>the</w:t>
      </w:r>
      <w:r w:rsidR="004B41A2" w:rsidRPr="00CA47B9">
        <w:t xml:space="preserve"> </w:t>
      </w:r>
      <w:r w:rsidRPr="00CA47B9">
        <w:t>main</w:t>
      </w:r>
      <w:r w:rsidR="004B41A2" w:rsidRPr="00CA47B9">
        <w:t xml:space="preserve"> </w:t>
      </w:r>
      <w:r w:rsidRPr="00CA47B9">
        <w:t>restrictions</w:t>
      </w:r>
      <w:r w:rsidR="004B41A2" w:rsidRPr="00CA47B9">
        <w:t xml:space="preserve"> </w:t>
      </w:r>
      <w:r w:rsidRPr="00CA47B9">
        <w:t>to</w:t>
      </w:r>
      <w:r w:rsidR="004B41A2" w:rsidRPr="00CA47B9">
        <w:t xml:space="preserve"> </w:t>
      </w:r>
      <w:r w:rsidRPr="00CA47B9">
        <w:t>growth</w:t>
      </w:r>
      <w:r w:rsidR="004B41A2" w:rsidRPr="00CA47B9">
        <w:t xml:space="preserve"> </w:t>
      </w:r>
      <w:r w:rsidRPr="00CA47B9">
        <w:t>and</w:t>
      </w:r>
      <w:r w:rsidR="004B41A2" w:rsidRPr="00CA47B9">
        <w:t xml:space="preserve"> </w:t>
      </w:r>
      <w:r w:rsidRPr="00CA47B9">
        <w:t>development</w:t>
      </w:r>
      <w:r w:rsidR="004B41A2" w:rsidRPr="00CA47B9">
        <w:t xml:space="preserve"> </w:t>
      </w:r>
      <w:r w:rsidR="00965735" w:rsidRPr="00CA47B9">
        <w:t>of</w:t>
      </w:r>
      <w:r w:rsidR="004B41A2" w:rsidRPr="00CA47B9">
        <w:t xml:space="preserve"> </w:t>
      </w:r>
      <w:r w:rsidRPr="00CA47B9">
        <w:t>commercial</w:t>
      </w:r>
      <w:r w:rsidR="004B41A2" w:rsidRPr="00CA47B9">
        <w:t xml:space="preserve"> </w:t>
      </w:r>
      <w:r w:rsidRPr="00CA47B9">
        <w:t>premises</w:t>
      </w:r>
      <w:r w:rsidR="004B41A2" w:rsidRPr="00CA47B9">
        <w:t xml:space="preserve"> </w:t>
      </w:r>
      <w:r w:rsidRPr="00CA47B9">
        <w:t>in</w:t>
      </w:r>
      <w:r w:rsidR="004B41A2" w:rsidRPr="00CA47B9">
        <w:t xml:space="preserve"> </w:t>
      </w:r>
      <w:r w:rsidRPr="00CA47B9">
        <w:t>the</w:t>
      </w:r>
      <w:r w:rsidR="004B41A2" w:rsidRPr="00CA47B9">
        <w:t xml:space="preserve"> </w:t>
      </w:r>
      <w:r w:rsidR="00965735" w:rsidRPr="00CA47B9">
        <w:t>district</w:t>
      </w:r>
      <w:r w:rsidR="004B41A2" w:rsidRPr="00CA47B9">
        <w:t xml:space="preserve"> </w:t>
      </w:r>
      <w:r w:rsidR="00965735" w:rsidRPr="00CA47B9">
        <w:t>mentioned</w:t>
      </w:r>
      <w:r w:rsidR="004B41A2" w:rsidRPr="00CA47B9">
        <w:t xml:space="preserve"> </w:t>
      </w:r>
      <w:r w:rsidR="00965735" w:rsidRPr="00CA47B9">
        <w:t>by</w:t>
      </w:r>
      <w:r w:rsidR="004B41A2" w:rsidRPr="00CA47B9">
        <w:t xml:space="preserve"> </w:t>
      </w:r>
      <w:r w:rsidR="00965735" w:rsidRPr="00CA47B9">
        <w:t>the</w:t>
      </w:r>
      <w:r w:rsidR="004B41A2" w:rsidRPr="00CA47B9">
        <w:t xml:space="preserve"> </w:t>
      </w:r>
      <w:r w:rsidR="00965735" w:rsidRPr="00CA47B9">
        <w:t>commercial</w:t>
      </w:r>
      <w:r w:rsidR="004B41A2" w:rsidRPr="00CA47B9">
        <w:t xml:space="preserve"> </w:t>
      </w:r>
      <w:r w:rsidR="00965735" w:rsidRPr="00CA47B9">
        <w:t>agents</w:t>
      </w:r>
      <w:r w:rsidR="004B41A2" w:rsidRPr="00CA47B9">
        <w:t xml:space="preserve"> </w:t>
      </w:r>
      <w:r w:rsidRPr="00CA47B9">
        <w:t>include</w:t>
      </w:r>
      <w:r w:rsidR="00965735" w:rsidRPr="00CA47B9">
        <w:t>d</w:t>
      </w:r>
      <w:r w:rsidR="004B41A2" w:rsidRPr="00CA47B9">
        <w:t xml:space="preserve"> </w:t>
      </w:r>
      <w:r w:rsidR="00965735" w:rsidRPr="00CA47B9">
        <w:t>lack</w:t>
      </w:r>
      <w:r w:rsidR="004B41A2" w:rsidRPr="00CA47B9">
        <w:t xml:space="preserve"> </w:t>
      </w:r>
      <w:r w:rsidR="00965735" w:rsidRPr="00CA47B9">
        <w:t>of</w:t>
      </w:r>
      <w:r w:rsidR="004B41A2" w:rsidRPr="00CA47B9">
        <w:t xml:space="preserve"> </w:t>
      </w:r>
      <w:r w:rsidR="00965735" w:rsidRPr="00CA47B9">
        <w:t>or</w:t>
      </w:r>
      <w:r w:rsidR="004B41A2" w:rsidRPr="00CA47B9">
        <w:t xml:space="preserve"> </w:t>
      </w:r>
      <w:r w:rsidR="00170922" w:rsidRPr="00CA47B9">
        <w:t>good</w:t>
      </w:r>
      <w:r w:rsidR="004B41A2" w:rsidRPr="00CA47B9">
        <w:t xml:space="preserve"> </w:t>
      </w:r>
      <w:r w:rsidR="00965735" w:rsidRPr="00CA47B9">
        <w:t>quality</w:t>
      </w:r>
      <w:r w:rsidR="004B41A2" w:rsidRPr="00CA47B9">
        <w:t xml:space="preserve"> </w:t>
      </w:r>
      <w:r w:rsidRPr="00CA47B9">
        <w:t>broadband</w:t>
      </w:r>
      <w:r w:rsidR="004B41A2" w:rsidRPr="00CA47B9">
        <w:t xml:space="preserve"> </w:t>
      </w:r>
      <w:r w:rsidRPr="00CA47B9">
        <w:t>in</w:t>
      </w:r>
      <w:r w:rsidR="004B41A2" w:rsidRPr="00CA47B9">
        <w:t xml:space="preserve"> </w:t>
      </w:r>
      <w:r w:rsidRPr="00CA47B9">
        <w:t>rural</w:t>
      </w:r>
      <w:r w:rsidR="004B41A2" w:rsidRPr="00CA47B9">
        <w:t xml:space="preserve"> </w:t>
      </w:r>
      <w:r w:rsidRPr="00CA47B9">
        <w:t>areas,</w:t>
      </w:r>
      <w:r w:rsidR="004B41A2" w:rsidRPr="00CA47B9">
        <w:t xml:space="preserve"> </w:t>
      </w:r>
      <w:r w:rsidRPr="00CA47B9">
        <w:t>planning</w:t>
      </w:r>
      <w:r w:rsidR="004B41A2" w:rsidRPr="00CA47B9">
        <w:t xml:space="preserve"> </w:t>
      </w:r>
      <w:r w:rsidRPr="00CA47B9">
        <w:t>restrictions</w:t>
      </w:r>
      <w:r w:rsidR="004B41A2" w:rsidRPr="00CA47B9">
        <w:t xml:space="preserve"> </w:t>
      </w:r>
      <w:r w:rsidR="00965735" w:rsidRPr="00CA47B9">
        <w:t>which</w:t>
      </w:r>
      <w:r w:rsidR="004B41A2" w:rsidRPr="00CA47B9">
        <w:t xml:space="preserve"> </w:t>
      </w:r>
      <w:r w:rsidR="00965735" w:rsidRPr="00CA47B9">
        <w:t>can</w:t>
      </w:r>
      <w:r w:rsidR="004B41A2" w:rsidRPr="00CA47B9">
        <w:t xml:space="preserve"> </w:t>
      </w:r>
      <w:r w:rsidR="00965735" w:rsidRPr="00CA47B9">
        <w:t>delay</w:t>
      </w:r>
      <w:r w:rsidR="004B41A2" w:rsidRPr="00CA47B9">
        <w:t xml:space="preserve"> </w:t>
      </w:r>
      <w:r w:rsidR="00965735" w:rsidRPr="00CA47B9">
        <w:t>or</w:t>
      </w:r>
      <w:r w:rsidR="004B41A2" w:rsidRPr="00CA47B9">
        <w:t xml:space="preserve"> </w:t>
      </w:r>
      <w:r w:rsidR="00965735" w:rsidRPr="00CA47B9">
        <w:t>prevent</w:t>
      </w:r>
      <w:r w:rsidR="004B41A2" w:rsidRPr="00CA47B9">
        <w:t xml:space="preserve"> </w:t>
      </w:r>
      <w:r w:rsidR="00965735" w:rsidRPr="00CA47B9">
        <w:t>development</w:t>
      </w:r>
      <w:r w:rsidRPr="00CA47B9">
        <w:t>,</w:t>
      </w:r>
      <w:r w:rsidR="004B41A2" w:rsidRPr="00CA47B9">
        <w:t xml:space="preserve"> </w:t>
      </w:r>
      <w:r w:rsidR="00965735" w:rsidRPr="00CA47B9">
        <w:t>limited</w:t>
      </w:r>
      <w:r w:rsidR="004B41A2" w:rsidRPr="00CA47B9">
        <w:t xml:space="preserve"> </w:t>
      </w:r>
      <w:r w:rsidR="00965735" w:rsidRPr="00CA47B9">
        <w:t>available</w:t>
      </w:r>
      <w:r w:rsidR="004B41A2" w:rsidRPr="00CA47B9">
        <w:t xml:space="preserve"> </w:t>
      </w:r>
      <w:r w:rsidRPr="00CA47B9">
        <w:t>employment</w:t>
      </w:r>
      <w:r w:rsidR="004B41A2" w:rsidRPr="00CA47B9">
        <w:t xml:space="preserve"> </w:t>
      </w:r>
      <w:r w:rsidRPr="00CA47B9">
        <w:t>land</w:t>
      </w:r>
      <w:r w:rsidR="004B41A2" w:rsidRPr="00CA47B9">
        <w:t xml:space="preserve"> </w:t>
      </w:r>
      <w:r w:rsidR="00965735" w:rsidRPr="00CA47B9">
        <w:t>due</w:t>
      </w:r>
      <w:r w:rsidR="004B41A2" w:rsidRPr="00CA47B9">
        <w:t xml:space="preserve"> </w:t>
      </w:r>
      <w:r w:rsidR="00965735" w:rsidRPr="00CA47B9">
        <w:t>to</w:t>
      </w:r>
      <w:r w:rsidR="004B41A2" w:rsidRPr="00CA47B9">
        <w:t xml:space="preserve"> </w:t>
      </w:r>
      <w:r w:rsidRPr="00CA47B9">
        <w:t>competition</w:t>
      </w:r>
      <w:r w:rsidR="004B41A2" w:rsidRPr="00CA47B9">
        <w:t xml:space="preserve"> </w:t>
      </w:r>
      <w:r w:rsidRPr="00CA47B9">
        <w:t>with</w:t>
      </w:r>
      <w:r w:rsidR="004B41A2" w:rsidRPr="00CA47B9">
        <w:t xml:space="preserve"> </w:t>
      </w:r>
      <w:r w:rsidRPr="00CA47B9">
        <w:t>residential</w:t>
      </w:r>
      <w:r w:rsidR="004B41A2" w:rsidRPr="00CA47B9">
        <w:t xml:space="preserve"> </w:t>
      </w:r>
      <w:r w:rsidRPr="00CA47B9">
        <w:t>development,</w:t>
      </w:r>
      <w:r w:rsidR="004B41A2" w:rsidRPr="00CA47B9">
        <w:t xml:space="preserve"> </w:t>
      </w:r>
      <w:r w:rsidRPr="00CA47B9">
        <w:t>the</w:t>
      </w:r>
      <w:r w:rsidR="004B41A2" w:rsidRPr="00CA47B9">
        <w:t xml:space="preserve"> </w:t>
      </w:r>
      <w:r w:rsidRPr="00CA47B9">
        <w:t>quality</w:t>
      </w:r>
      <w:r w:rsidR="004B41A2" w:rsidRPr="00CA47B9">
        <w:t xml:space="preserve"> </w:t>
      </w:r>
      <w:r w:rsidRPr="00CA47B9">
        <w:t>of</w:t>
      </w:r>
      <w:r w:rsidR="004B41A2" w:rsidRPr="00CA47B9">
        <w:t xml:space="preserve"> </w:t>
      </w:r>
      <w:r w:rsidRPr="00CA47B9">
        <w:t>employment</w:t>
      </w:r>
      <w:r w:rsidR="004B41A2" w:rsidRPr="00CA47B9">
        <w:t xml:space="preserve"> </w:t>
      </w:r>
      <w:r w:rsidRPr="00CA47B9">
        <w:t>floorspace</w:t>
      </w:r>
      <w:r w:rsidR="004B41A2" w:rsidRPr="00CA47B9">
        <w:t xml:space="preserve"> </w:t>
      </w:r>
      <w:r w:rsidR="00965735" w:rsidRPr="00CA47B9">
        <w:t>available,</w:t>
      </w:r>
      <w:r w:rsidR="004B41A2" w:rsidRPr="00CA47B9">
        <w:t xml:space="preserve"> </w:t>
      </w:r>
      <w:r w:rsidRPr="00CA47B9">
        <w:t>and</w:t>
      </w:r>
      <w:r w:rsidR="004B41A2" w:rsidRPr="00CA47B9">
        <w:t xml:space="preserve"> </w:t>
      </w:r>
      <w:r w:rsidRPr="00CA47B9">
        <w:t>recruitment</w:t>
      </w:r>
      <w:r w:rsidR="004B41A2" w:rsidRPr="00CA47B9">
        <w:t xml:space="preserve"> </w:t>
      </w:r>
      <w:r w:rsidRPr="00CA47B9">
        <w:t>issues.</w:t>
      </w:r>
      <w:r w:rsidR="004B41A2" w:rsidRPr="00CA47B9">
        <w:t xml:space="preserve"> </w:t>
      </w:r>
      <w:r w:rsidRPr="00CA47B9">
        <w:t>Some</w:t>
      </w:r>
      <w:r w:rsidR="004B41A2" w:rsidRPr="00CA47B9">
        <w:t xml:space="preserve"> </w:t>
      </w:r>
      <w:r w:rsidRPr="00CA47B9">
        <w:t>agents</w:t>
      </w:r>
      <w:r w:rsidR="004B41A2" w:rsidRPr="00CA47B9">
        <w:t xml:space="preserve"> </w:t>
      </w:r>
      <w:r w:rsidRPr="00CA47B9">
        <w:t>expressed</w:t>
      </w:r>
      <w:r w:rsidR="004B41A2" w:rsidRPr="00CA47B9">
        <w:t xml:space="preserve"> </w:t>
      </w:r>
      <w:r w:rsidR="00E37871" w:rsidRPr="00CA47B9">
        <w:t>the</w:t>
      </w:r>
      <w:r w:rsidR="004B41A2" w:rsidRPr="00CA47B9">
        <w:t xml:space="preserve"> </w:t>
      </w:r>
      <w:r w:rsidR="00E37871" w:rsidRPr="00CA47B9">
        <w:t>view</w:t>
      </w:r>
      <w:r w:rsidR="004B41A2" w:rsidRPr="00CA47B9">
        <w:t xml:space="preserve"> </w:t>
      </w:r>
      <w:r w:rsidR="00E37871" w:rsidRPr="00CA47B9">
        <w:t>that</w:t>
      </w:r>
      <w:r w:rsidR="004B41A2" w:rsidRPr="00CA47B9">
        <w:t xml:space="preserve"> </w:t>
      </w:r>
      <w:r w:rsidRPr="00CA47B9">
        <w:t>it</w:t>
      </w:r>
      <w:r w:rsidR="004B41A2" w:rsidRPr="00CA47B9">
        <w:t xml:space="preserve"> </w:t>
      </w:r>
      <w:r w:rsidRPr="00CA47B9">
        <w:t>is</w:t>
      </w:r>
      <w:r w:rsidR="004B41A2" w:rsidRPr="00CA47B9">
        <w:t xml:space="preserve"> </w:t>
      </w:r>
      <w:r w:rsidRPr="00CA47B9">
        <w:t>difficult</w:t>
      </w:r>
      <w:r w:rsidR="004B41A2" w:rsidRPr="00CA47B9">
        <w:t xml:space="preserve"> </w:t>
      </w:r>
      <w:r w:rsidRPr="00CA47B9">
        <w:t>to</w:t>
      </w:r>
      <w:r w:rsidR="004B41A2" w:rsidRPr="00CA47B9">
        <w:t xml:space="preserve"> </w:t>
      </w:r>
      <w:r w:rsidRPr="00CA47B9">
        <w:t>attract</w:t>
      </w:r>
      <w:r w:rsidR="004B41A2" w:rsidRPr="00CA47B9">
        <w:t xml:space="preserve"> </w:t>
      </w:r>
      <w:r w:rsidRPr="00CA47B9">
        <w:t>labour</w:t>
      </w:r>
      <w:r w:rsidR="004B41A2" w:rsidRPr="00CA47B9">
        <w:t xml:space="preserve"> </w:t>
      </w:r>
      <w:r w:rsidRPr="00CA47B9">
        <w:t>from</w:t>
      </w:r>
      <w:r w:rsidR="004B41A2" w:rsidRPr="00CA47B9">
        <w:t xml:space="preserve"> </w:t>
      </w:r>
      <w:r w:rsidR="00E37871" w:rsidRPr="00CA47B9">
        <w:t>the</w:t>
      </w:r>
      <w:r w:rsidR="004B41A2" w:rsidRPr="00CA47B9">
        <w:t xml:space="preserve"> </w:t>
      </w:r>
      <w:r w:rsidRPr="00CA47B9">
        <w:t>Brighton</w:t>
      </w:r>
      <w:r w:rsidR="004B41A2" w:rsidRPr="00CA47B9">
        <w:t xml:space="preserve"> </w:t>
      </w:r>
      <w:r w:rsidR="00E37871" w:rsidRPr="00CA47B9">
        <w:t>area</w:t>
      </w:r>
      <w:r w:rsidR="004B41A2" w:rsidRPr="00CA47B9">
        <w:t xml:space="preserve"> </w:t>
      </w:r>
      <w:r w:rsidRPr="00CA47B9">
        <w:t>due</w:t>
      </w:r>
      <w:r w:rsidR="004B41A2" w:rsidRPr="00CA47B9">
        <w:t xml:space="preserve"> </w:t>
      </w:r>
      <w:r w:rsidRPr="00CA47B9">
        <w:t>to</w:t>
      </w:r>
      <w:r w:rsidR="004B41A2" w:rsidRPr="00CA47B9">
        <w:t xml:space="preserve"> </w:t>
      </w:r>
      <w:r w:rsidRPr="00CA47B9">
        <w:t>problems</w:t>
      </w:r>
      <w:r w:rsidR="004B41A2" w:rsidRPr="00CA47B9">
        <w:t xml:space="preserve"> </w:t>
      </w:r>
      <w:r w:rsidRPr="00CA47B9">
        <w:t>getting</w:t>
      </w:r>
      <w:r w:rsidR="004B41A2" w:rsidRPr="00CA47B9">
        <w:t xml:space="preserve"> </w:t>
      </w:r>
      <w:r w:rsidRPr="00CA47B9">
        <w:t>to</w:t>
      </w:r>
      <w:r w:rsidR="004B41A2" w:rsidRPr="00CA47B9">
        <w:t xml:space="preserve"> </w:t>
      </w:r>
      <w:r w:rsidRPr="00CA47B9">
        <w:t>Chichester</w:t>
      </w:r>
      <w:r w:rsidR="004B41A2" w:rsidRPr="00CA47B9">
        <w:t xml:space="preserve"> </w:t>
      </w:r>
      <w:r w:rsidRPr="00CA47B9">
        <w:t>via</w:t>
      </w:r>
      <w:r w:rsidR="004B41A2" w:rsidRPr="00CA47B9">
        <w:t xml:space="preserve"> </w:t>
      </w:r>
      <w:r w:rsidRPr="00CA47B9">
        <w:t>Southern</w:t>
      </w:r>
      <w:r w:rsidR="004B41A2" w:rsidRPr="00CA47B9">
        <w:t xml:space="preserve"> </w:t>
      </w:r>
      <w:r w:rsidRPr="00CA47B9">
        <w:t>Rail.</w:t>
      </w:r>
      <w:r w:rsidR="004B41A2" w:rsidRPr="00CA47B9">
        <w:t xml:space="preserve"> </w:t>
      </w:r>
      <w:r w:rsidR="00E37871" w:rsidRPr="00CA47B9">
        <w:t>Another</w:t>
      </w:r>
      <w:r w:rsidR="004B41A2" w:rsidRPr="00CA47B9">
        <w:t xml:space="preserve"> </w:t>
      </w:r>
      <w:r w:rsidR="00E37871" w:rsidRPr="00CA47B9">
        <w:t>issue</w:t>
      </w:r>
      <w:r w:rsidR="004B41A2" w:rsidRPr="00CA47B9">
        <w:t xml:space="preserve"> </w:t>
      </w:r>
      <w:r w:rsidR="00E37871" w:rsidRPr="00CA47B9">
        <w:t>mentioned</w:t>
      </w:r>
      <w:r w:rsidR="004B41A2" w:rsidRPr="00CA47B9">
        <w:t xml:space="preserve"> </w:t>
      </w:r>
      <w:r w:rsidR="00E37871" w:rsidRPr="00CA47B9">
        <w:t>was</w:t>
      </w:r>
      <w:r w:rsidR="004B41A2" w:rsidRPr="00CA47B9">
        <w:t xml:space="preserve"> </w:t>
      </w:r>
      <w:r w:rsidR="00855CA6">
        <w:t xml:space="preserve">the </w:t>
      </w:r>
      <w:r w:rsidRPr="00CA47B9">
        <w:t>demand</w:t>
      </w:r>
      <w:r w:rsidR="004B41A2" w:rsidRPr="00CA47B9">
        <w:t xml:space="preserve"> </w:t>
      </w:r>
      <w:r w:rsidRPr="00CA47B9">
        <w:t>for</w:t>
      </w:r>
      <w:r w:rsidR="004B41A2" w:rsidRPr="00CA47B9">
        <w:t xml:space="preserve"> </w:t>
      </w:r>
      <w:r w:rsidRPr="00CA47B9">
        <w:t>senior</w:t>
      </w:r>
      <w:r w:rsidR="004B41A2" w:rsidRPr="00CA47B9">
        <w:t xml:space="preserve"> </w:t>
      </w:r>
      <w:r w:rsidRPr="00CA47B9">
        <w:t>staff</w:t>
      </w:r>
      <w:r w:rsidR="004B41A2" w:rsidRPr="00CA47B9">
        <w:t xml:space="preserve"> </w:t>
      </w:r>
      <w:r w:rsidRPr="00CA47B9">
        <w:t>in</w:t>
      </w:r>
      <w:r w:rsidR="004B41A2" w:rsidRPr="00CA47B9">
        <w:t xml:space="preserve"> </w:t>
      </w:r>
      <w:r w:rsidRPr="00CA47B9">
        <w:t>Chichester</w:t>
      </w:r>
      <w:r w:rsidR="004B41A2" w:rsidRPr="00CA47B9">
        <w:t xml:space="preserve"> </w:t>
      </w:r>
      <w:r w:rsidRPr="00CA47B9">
        <w:t>as</w:t>
      </w:r>
      <w:r w:rsidR="004B41A2" w:rsidRPr="00CA47B9">
        <w:t xml:space="preserve"> </w:t>
      </w:r>
      <w:r w:rsidRPr="00CA47B9">
        <w:t>it</w:t>
      </w:r>
      <w:r w:rsidR="004B41A2" w:rsidRPr="00CA47B9">
        <w:t xml:space="preserve"> </w:t>
      </w:r>
      <w:r w:rsidRPr="00CA47B9">
        <w:t>is</w:t>
      </w:r>
      <w:r w:rsidR="004B41A2" w:rsidRPr="00CA47B9">
        <w:t xml:space="preserve"> </w:t>
      </w:r>
      <w:r w:rsidRPr="00CA47B9">
        <w:t>in</w:t>
      </w:r>
      <w:r w:rsidR="004B41A2" w:rsidRPr="00CA47B9">
        <w:t xml:space="preserve"> </w:t>
      </w:r>
      <w:r w:rsidRPr="00CA47B9">
        <w:t>direct</w:t>
      </w:r>
      <w:r w:rsidR="004B41A2" w:rsidRPr="00CA47B9">
        <w:t xml:space="preserve"> </w:t>
      </w:r>
      <w:r w:rsidRPr="00CA47B9">
        <w:t>competition</w:t>
      </w:r>
      <w:r w:rsidR="004B41A2" w:rsidRPr="00CA47B9">
        <w:t xml:space="preserve"> </w:t>
      </w:r>
      <w:r w:rsidRPr="00CA47B9">
        <w:t>with</w:t>
      </w:r>
      <w:r w:rsidR="004B41A2" w:rsidRPr="00CA47B9">
        <w:t xml:space="preserve"> </w:t>
      </w:r>
      <w:r w:rsidRPr="00CA47B9">
        <w:t>Guildford,</w:t>
      </w:r>
      <w:r w:rsidR="004B41A2" w:rsidRPr="00CA47B9">
        <w:t xml:space="preserve"> </w:t>
      </w:r>
      <w:r w:rsidRPr="00CA47B9">
        <w:t>Brighton</w:t>
      </w:r>
      <w:r w:rsidR="004B41A2" w:rsidRPr="00CA47B9">
        <w:t xml:space="preserve"> </w:t>
      </w:r>
      <w:r w:rsidRPr="00CA47B9">
        <w:t>and</w:t>
      </w:r>
      <w:r w:rsidR="004B41A2" w:rsidRPr="00CA47B9">
        <w:t xml:space="preserve"> </w:t>
      </w:r>
      <w:r w:rsidRPr="00CA47B9">
        <w:t>Horsham.</w:t>
      </w:r>
    </w:p>
    <w:tbl>
      <w:tblPr>
        <w:tblStyle w:val="TableGrid"/>
        <w:tblW w:w="5000" w:type="pct"/>
        <w:tblBorders>
          <w:top w:val="single" w:sz="18" w:space="0" w:color="0093D5" w:themeColor="accent2"/>
          <w:left w:val="single" w:sz="18" w:space="0" w:color="0093D5" w:themeColor="accent2"/>
          <w:bottom w:val="single" w:sz="18" w:space="0" w:color="0093D5" w:themeColor="accent2"/>
          <w:right w:val="single" w:sz="18" w:space="0" w:color="0093D5" w:themeColor="accent2"/>
          <w:insideH w:val="single" w:sz="18" w:space="0" w:color="0093D5" w:themeColor="accent2"/>
          <w:insideV w:val="single" w:sz="18" w:space="0" w:color="0093D5" w:themeColor="accent2"/>
        </w:tblBorders>
        <w:tblLook w:val="04A0" w:firstRow="1" w:lastRow="0" w:firstColumn="1" w:lastColumn="0" w:noHBand="0" w:noVBand="1"/>
        <w:tblCaption w:val="Key Points: Commercial Property Market"/>
      </w:tblPr>
      <w:tblGrid>
        <w:gridCol w:w="9847"/>
      </w:tblGrid>
      <w:tr w:rsidR="00F74225" w:rsidRPr="00CA47B9" w:rsidTr="00D30252">
        <w:trPr>
          <w:cantSplit/>
          <w:tblHeader/>
        </w:trPr>
        <w:tc>
          <w:tcPr>
            <w:tcW w:w="5000" w:type="pct"/>
          </w:tcPr>
          <w:p w:rsidR="000E5772" w:rsidRPr="00CA47B9" w:rsidRDefault="000E5772" w:rsidP="000E5772">
            <w:pPr>
              <w:rPr>
                <w:b/>
                <w:color w:val="auto"/>
              </w:rPr>
            </w:pPr>
          </w:p>
          <w:p w:rsidR="000E5772" w:rsidRPr="007E7A18" w:rsidRDefault="000E5772" w:rsidP="000E5772">
            <w:pPr>
              <w:rPr>
                <w:b/>
                <w:color w:val="auto"/>
                <w:sz w:val="24"/>
                <w:szCs w:val="24"/>
              </w:rPr>
            </w:pPr>
            <w:r w:rsidRPr="007E7A18">
              <w:rPr>
                <w:b/>
                <w:color w:val="auto"/>
                <w:sz w:val="24"/>
                <w:szCs w:val="24"/>
              </w:rPr>
              <w:t>Key Points</w:t>
            </w:r>
          </w:p>
          <w:p w:rsidR="000E5772" w:rsidRPr="00CA47B9" w:rsidRDefault="000E5772" w:rsidP="00CF79F7">
            <w:pPr>
              <w:rPr>
                <w:color w:val="auto"/>
              </w:rPr>
            </w:pPr>
          </w:p>
          <w:p w:rsidR="000E5772" w:rsidRPr="00CA47B9" w:rsidRDefault="000E5772" w:rsidP="00AF0118">
            <w:pPr>
              <w:pStyle w:val="ListParagraph"/>
              <w:numPr>
                <w:ilvl w:val="0"/>
                <w:numId w:val="28"/>
              </w:numPr>
              <w:ind w:left="482"/>
            </w:pPr>
            <w:r w:rsidRPr="00CA47B9">
              <w:t xml:space="preserve">Commercial activity in the </w:t>
            </w:r>
            <w:r w:rsidR="003A2A5A">
              <w:t>D</w:t>
            </w:r>
            <w:r w:rsidRPr="00CA47B9">
              <w:t xml:space="preserve">istrict is focused in areas around Chichester City, the East-West Corridor and Manhood Peninsula, with more moderate activity across South Downs National Park. </w:t>
            </w:r>
          </w:p>
          <w:p w:rsidR="000E5772" w:rsidRPr="00CA47B9" w:rsidRDefault="000E5772" w:rsidP="000E5772">
            <w:pPr>
              <w:rPr>
                <w:b/>
                <w:color w:val="auto"/>
              </w:rPr>
            </w:pPr>
          </w:p>
          <w:p w:rsidR="000E5772" w:rsidRPr="007E7A18" w:rsidRDefault="000E5772" w:rsidP="000E5772">
            <w:pPr>
              <w:rPr>
                <w:b/>
                <w:color w:val="auto"/>
                <w:sz w:val="24"/>
                <w:szCs w:val="24"/>
              </w:rPr>
            </w:pPr>
            <w:r w:rsidRPr="007E7A18">
              <w:rPr>
                <w:b/>
                <w:color w:val="auto"/>
                <w:sz w:val="24"/>
                <w:szCs w:val="24"/>
              </w:rPr>
              <w:t>Offices</w:t>
            </w:r>
          </w:p>
          <w:p w:rsidR="000E5772" w:rsidRPr="00CA47B9" w:rsidRDefault="000E5772" w:rsidP="00A33D96">
            <w:pPr>
              <w:rPr>
                <w:color w:val="auto"/>
              </w:rPr>
            </w:pPr>
          </w:p>
          <w:p w:rsidR="000E5772" w:rsidRPr="00CA47B9" w:rsidRDefault="000E5772" w:rsidP="00AF0118">
            <w:pPr>
              <w:pStyle w:val="ListParagraph"/>
              <w:numPr>
                <w:ilvl w:val="0"/>
                <w:numId w:val="29"/>
              </w:numPr>
              <w:ind w:left="482"/>
            </w:pPr>
            <w:r w:rsidRPr="00CA47B9">
              <w:t>The vast majority (</w:t>
            </w:r>
            <w:r w:rsidR="00284F20" w:rsidRPr="00CA47B9">
              <w:t>64</w:t>
            </w:r>
            <w:r w:rsidRPr="00CA47B9">
              <w:t xml:space="preserve">%) of office take-up </w:t>
            </w:r>
            <w:r w:rsidR="0008646B">
              <w:t xml:space="preserve">in the District </w:t>
            </w:r>
            <w:r w:rsidRPr="00CA47B9">
              <w:t xml:space="preserve">has been in Chichester City and the surrounding area. There has been a smaller level of commercial activity in South Downs National Park and Manhood Peninsula. </w:t>
            </w:r>
          </w:p>
          <w:p w:rsidR="000E5772" w:rsidRDefault="000E5772" w:rsidP="00AF0118">
            <w:pPr>
              <w:pStyle w:val="ListParagraph"/>
              <w:numPr>
                <w:ilvl w:val="0"/>
                <w:numId w:val="29"/>
              </w:numPr>
              <w:ind w:left="482"/>
            </w:pPr>
            <w:r w:rsidRPr="00CA47B9">
              <w:t>The majority of the District’s office availability is in Chichester City and the surrounding area. The available office floorspace is 2</w:t>
            </w:r>
            <w:r w:rsidR="00284F20" w:rsidRPr="00CA47B9">
              <w:t>6,115</w:t>
            </w:r>
            <w:r w:rsidRPr="00CA47B9">
              <w:t xml:space="preserve"> </w:t>
            </w:r>
            <w:r w:rsidR="0021576F" w:rsidRPr="00CA47B9">
              <w:t>sqm</w:t>
            </w:r>
            <w:r w:rsidR="00B8111A">
              <w:t xml:space="preserve"> in the District,</w:t>
            </w:r>
            <w:r w:rsidR="00E14334">
              <w:t xml:space="preserve"> and 22,000 sqm in the Plan Area</w:t>
            </w:r>
            <w:r w:rsidR="00284F20" w:rsidRPr="00CA47B9">
              <w:t>.</w:t>
            </w:r>
          </w:p>
          <w:p w:rsidR="00C0031A" w:rsidRPr="00CA47B9" w:rsidRDefault="00C0031A" w:rsidP="00AF0118">
            <w:pPr>
              <w:pStyle w:val="ListParagraph"/>
              <w:numPr>
                <w:ilvl w:val="0"/>
                <w:numId w:val="29"/>
              </w:numPr>
              <w:ind w:left="482"/>
            </w:pPr>
            <w:r>
              <w:t>Constraint on office supply due to permitted development – demand is evident.</w:t>
            </w:r>
          </w:p>
          <w:p w:rsidR="000E5772" w:rsidRPr="00CA47B9" w:rsidRDefault="000E5772" w:rsidP="00A33D96">
            <w:pPr>
              <w:rPr>
                <w:color w:val="auto"/>
              </w:rPr>
            </w:pPr>
          </w:p>
          <w:p w:rsidR="000E5772" w:rsidRPr="007E7A18" w:rsidRDefault="000E5772" w:rsidP="000E5772">
            <w:pPr>
              <w:rPr>
                <w:b/>
                <w:color w:val="auto"/>
                <w:sz w:val="24"/>
                <w:szCs w:val="24"/>
              </w:rPr>
            </w:pPr>
            <w:r w:rsidRPr="007E7A18">
              <w:rPr>
                <w:b/>
                <w:color w:val="auto"/>
                <w:sz w:val="24"/>
                <w:szCs w:val="24"/>
              </w:rPr>
              <w:t>Industry/Warehousing</w:t>
            </w:r>
          </w:p>
          <w:p w:rsidR="000E5772" w:rsidRPr="00CA47B9" w:rsidRDefault="000E5772" w:rsidP="00A33D96">
            <w:pPr>
              <w:rPr>
                <w:color w:val="auto"/>
              </w:rPr>
            </w:pPr>
          </w:p>
          <w:p w:rsidR="000E5772" w:rsidRPr="00CA47B9" w:rsidRDefault="000E5772" w:rsidP="00AF0118">
            <w:pPr>
              <w:pStyle w:val="ListParagraph"/>
              <w:numPr>
                <w:ilvl w:val="0"/>
                <w:numId w:val="30"/>
              </w:numPr>
              <w:ind w:left="482"/>
            </w:pPr>
            <w:r w:rsidRPr="00CA47B9">
              <w:t xml:space="preserve">There has been </w:t>
            </w:r>
            <w:r w:rsidR="00A27807" w:rsidRPr="00CA47B9">
              <w:t>230,330</w:t>
            </w:r>
            <w:r w:rsidRPr="00CA47B9">
              <w:t xml:space="preserve"> </w:t>
            </w:r>
            <w:r w:rsidR="0021576F" w:rsidRPr="00CA47B9">
              <w:t>sqm</w:t>
            </w:r>
            <w:r w:rsidRPr="00CA47B9">
              <w:t xml:space="preserve"> of industrial floorspace transacted in the District for the last 1</w:t>
            </w:r>
            <w:r w:rsidR="00A27807" w:rsidRPr="00CA47B9">
              <w:t>2</w:t>
            </w:r>
            <w:r w:rsidRPr="00CA47B9">
              <w:t xml:space="preserve"> years. The majority of this has been focused in Chichester City and the surrounding area and to a lesser degree the East-West Corridor. </w:t>
            </w:r>
          </w:p>
          <w:p w:rsidR="00C0031A" w:rsidRDefault="000E5772" w:rsidP="00AF0118">
            <w:pPr>
              <w:pStyle w:val="ListParagraph"/>
              <w:numPr>
                <w:ilvl w:val="0"/>
                <w:numId w:val="30"/>
              </w:numPr>
              <w:ind w:left="482"/>
            </w:pPr>
            <w:r w:rsidRPr="00CA47B9">
              <w:t xml:space="preserve">As of </w:t>
            </w:r>
            <w:r w:rsidR="00A27807" w:rsidRPr="00CA47B9">
              <w:t>September 2019</w:t>
            </w:r>
            <w:r w:rsidRPr="00CA47B9">
              <w:t xml:space="preserve">, there was </w:t>
            </w:r>
            <w:r w:rsidR="00A27807" w:rsidRPr="00CA47B9">
              <w:t>32</w:t>
            </w:r>
            <w:r w:rsidRPr="00CA47B9">
              <w:t>,6</w:t>
            </w:r>
            <w:r w:rsidR="00A27807" w:rsidRPr="00CA47B9">
              <w:t>95</w:t>
            </w:r>
            <w:r w:rsidRPr="00CA47B9">
              <w:t xml:space="preserve"> </w:t>
            </w:r>
            <w:r w:rsidR="0021576F" w:rsidRPr="00CA47B9">
              <w:t>sqm</w:t>
            </w:r>
            <w:r w:rsidRPr="00CA47B9">
              <w:t xml:space="preserve"> of available industrial floorspace in Chichester</w:t>
            </w:r>
            <w:r w:rsidR="00E14334">
              <w:t xml:space="preserve"> </w:t>
            </w:r>
            <w:r w:rsidR="003A2A5A">
              <w:t xml:space="preserve">District </w:t>
            </w:r>
            <w:r w:rsidR="00E14334">
              <w:t>and 26,758 sqm</w:t>
            </w:r>
            <w:r w:rsidR="003A2A5A">
              <w:t xml:space="preserve"> in the Plan area</w:t>
            </w:r>
            <w:r w:rsidRPr="00CA47B9">
              <w:t xml:space="preserve">. The highest amount of available industrial floorspace was located in Chichester City, followed by </w:t>
            </w:r>
            <w:r w:rsidR="00855CA6">
              <w:t xml:space="preserve">the </w:t>
            </w:r>
            <w:r w:rsidR="00A27807" w:rsidRPr="00CA47B9">
              <w:t xml:space="preserve">Manhood Peninsula and </w:t>
            </w:r>
            <w:r w:rsidRPr="00CA47B9">
              <w:t>East-West Corridor</w:t>
            </w:r>
            <w:r w:rsidR="00A27807" w:rsidRPr="00CA47B9">
              <w:t>.</w:t>
            </w:r>
          </w:p>
          <w:p w:rsidR="00C0031A" w:rsidRPr="00C0031A" w:rsidRDefault="00C0031A" w:rsidP="00AF0118">
            <w:pPr>
              <w:pStyle w:val="ListParagraph"/>
              <w:numPr>
                <w:ilvl w:val="0"/>
                <w:numId w:val="30"/>
              </w:numPr>
              <w:ind w:left="482"/>
            </w:pPr>
            <w:r w:rsidRPr="00C0031A">
              <w:t>St</w:t>
            </w:r>
            <w:r>
              <w:t>r</w:t>
            </w:r>
            <w:r w:rsidRPr="00C0031A">
              <w:t xml:space="preserve">ong recent </w:t>
            </w:r>
            <w:r>
              <w:t xml:space="preserve">supply and </w:t>
            </w:r>
            <w:r w:rsidR="00855CA6">
              <w:t>take-</w:t>
            </w:r>
            <w:r>
              <w:t>up of industrial premises.</w:t>
            </w:r>
          </w:p>
          <w:p w:rsidR="000E5772" w:rsidRPr="00CA47B9" w:rsidRDefault="000E5772" w:rsidP="00CF79F7">
            <w:pPr>
              <w:rPr>
                <w:rFonts w:asciiTheme="minorHAnsi" w:hAnsiTheme="minorHAnsi" w:cstheme="minorHAnsi"/>
                <w:color w:val="auto"/>
              </w:rPr>
            </w:pPr>
          </w:p>
        </w:tc>
      </w:tr>
    </w:tbl>
    <w:p w:rsidR="002B7CD2" w:rsidRPr="00CA47B9" w:rsidRDefault="002B7CD2" w:rsidP="00ED1C06">
      <w:pPr>
        <w:pStyle w:val="11Bodytext"/>
        <w:numPr>
          <w:ilvl w:val="0"/>
          <w:numId w:val="0"/>
        </w:numPr>
        <w:ind w:left="709"/>
      </w:pPr>
      <w:bookmarkStart w:id="225" w:name="_Toc491780977"/>
      <w:bookmarkStart w:id="226" w:name="_Toc485718387"/>
      <w:bookmarkEnd w:id="209"/>
      <w:bookmarkEnd w:id="225"/>
      <w:r w:rsidRPr="00CA47B9">
        <w:br w:type="page"/>
      </w:r>
    </w:p>
    <w:p w:rsidR="00B0298E" w:rsidRPr="00CA47B9" w:rsidRDefault="00B0298E" w:rsidP="00766669">
      <w:pPr>
        <w:pStyle w:val="1Bodytext"/>
        <w:tabs>
          <w:tab w:val="clear" w:pos="794"/>
          <w:tab w:val="num" w:pos="567"/>
        </w:tabs>
        <w:spacing w:before="0" w:after="120" w:line="360" w:lineRule="auto"/>
        <w:ind w:left="567" w:hanging="567"/>
      </w:pPr>
      <w:bookmarkStart w:id="227" w:name="_Toc51600019"/>
      <w:r w:rsidRPr="00CA47B9">
        <w:lastRenderedPageBreak/>
        <w:t>Employment</w:t>
      </w:r>
      <w:r w:rsidR="004B41A2" w:rsidRPr="00CA47B9">
        <w:t xml:space="preserve"> </w:t>
      </w:r>
      <w:r w:rsidRPr="00CA47B9">
        <w:t>L</w:t>
      </w:r>
      <w:r w:rsidR="00E57E48" w:rsidRPr="00CA47B9">
        <w:t>a</w:t>
      </w:r>
      <w:r w:rsidRPr="00CA47B9">
        <w:t>nd</w:t>
      </w:r>
      <w:r w:rsidR="004B41A2" w:rsidRPr="00CA47B9">
        <w:t xml:space="preserve"> </w:t>
      </w:r>
      <w:r w:rsidRPr="00CA47B9">
        <w:t>Requirements</w:t>
      </w:r>
      <w:bookmarkEnd w:id="226"/>
      <w:bookmarkEnd w:id="227"/>
    </w:p>
    <w:bookmarkEnd w:id="210"/>
    <w:p w:rsidR="00B0298E" w:rsidRPr="00CA47B9" w:rsidRDefault="00B0298E" w:rsidP="001C73B8">
      <w:pPr>
        <w:pStyle w:val="11Bodytext"/>
        <w:tabs>
          <w:tab w:val="clear" w:pos="2212"/>
          <w:tab w:val="num" w:pos="567"/>
        </w:tabs>
        <w:ind w:left="567" w:hanging="567"/>
      </w:pPr>
      <w:r w:rsidRPr="00CA47B9">
        <w:t>In</w:t>
      </w:r>
      <w:r w:rsidR="004B41A2" w:rsidRPr="00CA47B9">
        <w:t xml:space="preserve"> </w:t>
      </w:r>
      <w:r w:rsidRPr="00CA47B9">
        <w:t>this</w:t>
      </w:r>
      <w:r w:rsidR="004B41A2" w:rsidRPr="00CA47B9">
        <w:t xml:space="preserve"> </w:t>
      </w:r>
      <w:r w:rsidRPr="00CA47B9">
        <w:t>section</w:t>
      </w:r>
      <w:r w:rsidR="00855CA6">
        <w:t>,</w:t>
      </w:r>
      <w:r w:rsidR="004B41A2" w:rsidRPr="00CA47B9">
        <w:t xml:space="preserve"> </w:t>
      </w:r>
      <w:r w:rsidRPr="00CA47B9">
        <w:t>we</w:t>
      </w:r>
      <w:r w:rsidR="004B41A2" w:rsidRPr="00CA47B9">
        <w:t xml:space="preserve"> </w:t>
      </w:r>
      <w:r w:rsidRPr="00CA47B9">
        <w:t>consider</w:t>
      </w:r>
      <w:r w:rsidR="004B41A2" w:rsidRPr="00CA47B9">
        <w:t xml:space="preserve"> </w:t>
      </w:r>
      <w:r w:rsidR="00855CA6">
        <w:t xml:space="preserve">the </w:t>
      </w:r>
      <w:r w:rsidRPr="00CA47B9">
        <w:t>demand</w:t>
      </w:r>
      <w:r w:rsidR="004B41A2" w:rsidRPr="00CA47B9">
        <w:t xml:space="preserve"> </w:t>
      </w:r>
      <w:r w:rsidRPr="00CA47B9">
        <w:t>for</w:t>
      </w:r>
      <w:r w:rsidR="004B41A2" w:rsidRPr="00CA47B9">
        <w:t xml:space="preserve"> </w:t>
      </w:r>
      <w:r w:rsidRPr="00CA47B9">
        <w:t>employment</w:t>
      </w:r>
      <w:r w:rsidR="004B41A2" w:rsidRPr="00CA47B9">
        <w:t xml:space="preserve"> </w:t>
      </w:r>
      <w:r w:rsidRPr="00CA47B9">
        <w:t>land</w:t>
      </w:r>
      <w:r w:rsidR="004B41A2" w:rsidRPr="00CA47B9">
        <w:t xml:space="preserve"> </w:t>
      </w:r>
      <w:r w:rsidRPr="00CA47B9">
        <w:t>and</w:t>
      </w:r>
      <w:r w:rsidR="004B41A2" w:rsidRPr="00CA47B9">
        <w:t xml:space="preserve"> </w:t>
      </w:r>
      <w:r w:rsidRPr="00CA47B9">
        <w:t>floorspace</w:t>
      </w:r>
      <w:r w:rsidR="004B41A2" w:rsidRPr="00CA47B9">
        <w:t xml:space="preserve"> </w:t>
      </w:r>
      <w:r w:rsidRPr="00CA47B9">
        <w:t>over</w:t>
      </w:r>
      <w:r w:rsidR="004B41A2" w:rsidRPr="00CA47B9">
        <w:t xml:space="preserve"> </w:t>
      </w:r>
      <w:r w:rsidRPr="00CA47B9">
        <w:t>the</w:t>
      </w:r>
      <w:r w:rsidR="004B41A2" w:rsidRPr="00CA47B9">
        <w:t xml:space="preserve"> </w:t>
      </w:r>
      <w:r w:rsidRPr="00CA47B9">
        <w:t>period</w:t>
      </w:r>
      <w:r w:rsidR="004B41A2" w:rsidRPr="00CA47B9">
        <w:t xml:space="preserve"> </w:t>
      </w:r>
      <w:r w:rsidRPr="00CA47B9">
        <w:t>from</w:t>
      </w:r>
      <w:r w:rsidR="004B41A2" w:rsidRPr="00CA47B9">
        <w:t xml:space="preserve"> </w:t>
      </w:r>
      <w:r w:rsidR="002B7CD2" w:rsidRPr="00CA47B9">
        <w:t>201</w:t>
      </w:r>
      <w:r w:rsidR="00A65D60">
        <w:t>9</w:t>
      </w:r>
      <w:r w:rsidRPr="00CA47B9">
        <w:t>-36.</w:t>
      </w:r>
      <w:r w:rsidR="004B41A2" w:rsidRPr="00CA47B9">
        <w:t xml:space="preserve"> </w:t>
      </w:r>
      <w:r w:rsidRPr="00CA47B9">
        <w:t>The</w:t>
      </w:r>
      <w:r w:rsidR="004B41A2" w:rsidRPr="00CA47B9">
        <w:t xml:space="preserve"> </w:t>
      </w:r>
      <w:r w:rsidRPr="00CA47B9">
        <w:t>section</w:t>
      </w:r>
      <w:r w:rsidR="004B41A2" w:rsidRPr="00CA47B9">
        <w:t xml:space="preserve"> </w:t>
      </w:r>
      <w:r w:rsidRPr="00CA47B9">
        <w:t>considers</w:t>
      </w:r>
      <w:r w:rsidR="004B41A2" w:rsidRPr="00CA47B9">
        <w:t xml:space="preserve"> </w:t>
      </w:r>
      <w:r w:rsidRPr="00CA47B9">
        <w:t>requirements</w:t>
      </w:r>
      <w:r w:rsidR="004B41A2" w:rsidRPr="00CA47B9">
        <w:t xml:space="preserve"> </w:t>
      </w:r>
      <w:r w:rsidRPr="00CA47B9">
        <w:t>for</w:t>
      </w:r>
      <w:r w:rsidR="004B41A2" w:rsidRPr="00CA47B9">
        <w:t xml:space="preserve"> </w:t>
      </w:r>
      <w:r w:rsidRPr="00CA47B9">
        <w:t>employment</w:t>
      </w:r>
      <w:r w:rsidR="004B41A2" w:rsidRPr="00CA47B9">
        <w:t xml:space="preserve"> </w:t>
      </w:r>
      <w:r w:rsidRPr="00CA47B9">
        <w:t>land</w:t>
      </w:r>
      <w:r w:rsidR="004B41A2" w:rsidRPr="00CA47B9">
        <w:t xml:space="preserve"> </w:t>
      </w:r>
      <w:r w:rsidRPr="00CA47B9">
        <w:t>in</w:t>
      </w:r>
      <w:r w:rsidR="004B41A2" w:rsidRPr="00CA47B9">
        <w:t xml:space="preserve"> </w:t>
      </w:r>
      <w:r w:rsidRPr="00CA47B9">
        <w:t>the</w:t>
      </w:r>
      <w:r w:rsidR="004B41A2" w:rsidRPr="00CA47B9">
        <w:t xml:space="preserve"> </w:t>
      </w:r>
      <w:r w:rsidRPr="00CA47B9">
        <w:t>B1,</w:t>
      </w:r>
      <w:r w:rsidR="004B41A2" w:rsidRPr="00CA47B9">
        <w:t xml:space="preserve"> </w:t>
      </w:r>
      <w:r w:rsidRPr="00CA47B9">
        <w:t>B2</w:t>
      </w:r>
      <w:r w:rsidR="004B41A2" w:rsidRPr="00CA47B9">
        <w:t xml:space="preserve"> </w:t>
      </w:r>
      <w:r w:rsidRPr="00CA47B9">
        <w:t>and</w:t>
      </w:r>
      <w:r w:rsidR="004B41A2" w:rsidRPr="00CA47B9">
        <w:t xml:space="preserve"> </w:t>
      </w:r>
      <w:r w:rsidRPr="00CA47B9">
        <w:t>B8</w:t>
      </w:r>
      <w:r w:rsidR="004B41A2" w:rsidRPr="00CA47B9">
        <w:t xml:space="preserve"> </w:t>
      </w:r>
      <w:r w:rsidRPr="00CA47B9">
        <w:t>use</w:t>
      </w:r>
      <w:r w:rsidR="004B41A2" w:rsidRPr="00CA47B9">
        <w:t xml:space="preserve"> </w:t>
      </w:r>
      <w:r w:rsidRPr="00CA47B9">
        <w:t>classes.</w:t>
      </w:r>
      <w:r w:rsidR="004B41A2" w:rsidRPr="00CA47B9">
        <w:t xml:space="preserve"> </w:t>
      </w:r>
      <w:r w:rsidRPr="00CA47B9">
        <w:t>The</w:t>
      </w:r>
      <w:r w:rsidR="004B41A2" w:rsidRPr="00CA47B9">
        <w:t xml:space="preserve"> </w:t>
      </w:r>
      <w:r w:rsidRPr="00CA47B9">
        <w:t>analysis</w:t>
      </w:r>
      <w:r w:rsidR="004B41A2" w:rsidRPr="00CA47B9">
        <w:t xml:space="preserve"> </w:t>
      </w:r>
      <w:r w:rsidRPr="00CA47B9">
        <w:t>is</w:t>
      </w:r>
      <w:r w:rsidR="004B41A2" w:rsidRPr="00CA47B9">
        <w:t xml:space="preserve"> </w:t>
      </w:r>
      <w:r w:rsidRPr="00CA47B9">
        <w:t>of</w:t>
      </w:r>
      <w:r w:rsidR="004B41A2" w:rsidRPr="00CA47B9">
        <w:t xml:space="preserve"> </w:t>
      </w:r>
      <w:r w:rsidRPr="00CA47B9">
        <w:t>‘demand’</w:t>
      </w:r>
      <w:r w:rsidR="004B41A2" w:rsidRPr="00CA47B9">
        <w:t xml:space="preserve"> </w:t>
      </w:r>
      <w:r w:rsidRPr="00CA47B9">
        <w:t>for</w:t>
      </w:r>
      <w:r w:rsidR="004B41A2" w:rsidRPr="00CA47B9">
        <w:t xml:space="preserve"> </w:t>
      </w:r>
      <w:r w:rsidRPr="00CA47B9">
        <w:t>employment</w:t>
      </w:r>
      <w:r w:rsidR="004B41A2" w:rsidRPr="00CA47B9">
        <w:t xml:space="preserve"> </w:t>
      </w:r>
      <w:r w:rsidRPr="00CA47B9">
        <w:t>land</w:t>
      </w:r>
      <w:r w:rsidR="004B41A2" w:rsidRPr="00CA47B9">
        <w:t xml:space="preserve"> </w:t>
      </w:r>
      <w:r w:rsidRPr="00CA47B9">
        <w:t>and</w:t>
      </w:r>
      <w:r w:rsidR="004B41A2" w:rsidRPr="00CA47B9">
        <w:t xml:space="preserve"> </w:t>
      </w:r>
      <w:r w:rsidRPr="00CA47B9">
        <w:t>therefore</w:t>
      </w:r>
      <w:r w:rsidR="004B41A2" w:rsidRPr="00CA47B9">
        <w:t xml:space="preserve"> </w:t>
      </w:r>
      <w:r w:rsidRPr="00CA47B9">
        <w:t>does</w:t>
      </w:r>
      <w:r w:rsidR="004B41A2" w:rsidRPr="00CA47B9">
        <w:t xml:space="preserve"> </w:t>
      </w:r>
      <w:r w:rsidRPr="00CA47B9">
        <w:t>not</w:t>
      </w:r>
      <w:r w:rsidR="004B41A2" w:rsidRPr="00CA47B9">
        <w:t xml:space="preserve"> </w:t>
      </w:r>
      <w:r w:rsidRPr="00CA47B9">
        <w:t>take</w:t>
      </w:r>
      <w:r w:rsidR="004B41A2" w:rsidRPr="00CA47B9">
        <w:t xml:space="preserve"> </w:t>
      </w:r>
      <w:r w:rsidRPr="00CA47B9">
        <w:t>account</w:t>
      </w:r>
      <w:r w:rsidR="004B41A2" w:rsidRPr="00CA47B9">
        <w:t xml:space="preserve"> </w:t>
      </w:r>
      <w:r w:rsidRPr="00CA47B9">
        <w:t>of</w:t>
      </w:r>
      <w:r w:rsidR="004B41A2" w:rsidRPr="00CA47B9">
        <w:t xml:space="preserve"> </w:t>
      </w:r>
      <w:r w:rsidRPr="00CA47B9">
        <w:t>any</w:t>
      </w:r>
      <w:r w:rsidR="004B41A2" w:rsidRPr="00CA47B9">
        <w:t xml:space="preserve"> </w:t>
      </w:r>
      <w:r w:rsidRPr="00CA47B9">
        <w:t>supply-side</w:t>
      </w:r>
      <w:r w:rsidR="004B41A2" w:rsidRPr="00CA47B9">
        <w:t xml:space="preserve"> </w:t>
      </w:r>
      <w:r w:rsidRPr="00CA47B9">
        <w:t>factors</w:t>
      </w:r>
      <w:r w:rsidR="004B41A2" w:rsidRPr="00CA47B9">
        <w:t xml:space="preserve"> </w:t>
      </w:r>
      <w:r w:rsidRPr="00CA47B9">
        <w:t>such</w:t>
      </w:r>
      <w:r w:rsidR="004B41A2" w:rsidRPr="00CA47B9">
        <w:t xml:space="preserve"> </w:t>
      </w:r>
      <w:r w:rsidRPr="00CA47B9">
        <w:t>as</w:t>
      </w:r>
      <w:r w:rsidR="004B41A2" w:rsidRPr="00CA47B9">
        <w:t xml:space="preserve"> </w:t>
      </w:r>
      <w:r w:rsidRPr="00CA47B9">
        <w:t>existing</w:t>
      </w:r>
      <w:r w:rsidR="004B41A2" w:rsidRPr="00CA47B9">
        <w:t xml:space="preserve"> </w:t>
      </w:r>
      <w:r w:rsidRPr="00CA47B9">
        <w:t>employment</w:t>
      </w:r>
      <w:r w:rsidR="004B41A2" w:rsidRPr="00CA47B9">
        <w:t xml:space="preserve"> </w:t>
      </w:r>
      <w:r w:rsidRPr="00CA47B9">
        <w:t>land</w:t>
      </w:r>
      <w:r w:rsidR="004B41A2" w:rsidRPr="00CA47B9">
        <w:t xml:space="preserve"> </w:t>
      </w:r>
      <w:r w:rsidRPr="00CA47B9">
        <w:t>allocations</w:t>
      </w:r>
      <w:r w:rsidR="004B41A2" w:rsidRPr="00CA47B9">
        <w:t xml:space="preserve"> </w:t>
      </w:r>
      <w:r w:rsidRPr="00CA47B9">
        <w:t>or</w:t>
      </w:r>
      <w:r w:rsidR="004B41A2" w:rsidRPr="00CA47B9">
        <w:t xml:space="preserve"> </w:t>
      </w:r>
      <w:r w:rsidRPr="00CA47B9">
        <w:t>commitments.</w:t>
      </w:r>
      <w:r w:rsidR="004B41A2" w:rsidRPr="00CA47B9">
        <w:t xml:space="preserve"> </w:t>
      </w:r>
      <w:r w:rsidR="004E093B">
        <w:t>Figures for the extended plan period to 2037 are given in the appendices.</w:t>
      </w:r>
      <w:r w:rsidR="00855CA6">
        <w:t xml:space="preserve"> </w:t>
      </w:r>
    </w:p>
    <w:p w:rsidR="00B0298E" w:rsidRPr="00CA47B9" w:rsidRDefault="00B0298E" w:rsidP="001C73B8">
      <w:pPr>
        <w:pStyle w:val="11Bodytext"/>
        <w:tabs>
          <w:tab w:val="clear" w:pos="2212"/>
          <w:tab w:val="num" w:pos="567"/>
        </w:tabs>
        <w:ind w:left="567" w:hanging="567"/>
      </w:pPr>
      <w:r w:rsidRPr="00CA47B9">
        <w:t>When</w:t>
      </w:r>
      <w:r w:rsidR="004B41A2" w:rsidRPr="00CA47B9">
        <w:t xml:space="preserve"> </w:t>
      </w:r>
      <w:r w:rsidRPr="00CA47B9">
        <w:t>considering</w:t>
      </w:r>
      <w:r w:rsidR="004B41A2" w:rsidRPr="00CA47B9">
        <w:t xml:space="preserve"> </w:t>
      </w:r>
      <w:r w:rsidRPr="00CA47B9">
        <w:t>the</w:t>
      </w:r>
      <w:r w:rsidR="004B41A2" w:rsidRPr="00CA47B9">
        <w:t xml:space="preserve"> </w:t>
      </w:r>
      <w:r w:rsidRPr="00CA47B9">
        <w:t>scale</w:t>
      </w:r>
      <w:r w:rsidR="004B41A2" w:rsidRPr="00CA47B9">
        <w:t xml:space="preserve"> </w:t>
      </w:r>
      <w:r w:rsidRPr="00CA47B9">
        <w:t>of</w:t>
      </w:r>
      <w:r w:rsidR="004B41A2" w:rsidRPr="00CA47B9">
        <w:t xml:space="preserve"> </w:t>
      </w:r>
      <w:r w:rsidRPr="00CA47B9">
        <w:t>future</w:t>
      </w:r>
      <w:r w:rsidR="004B41A2" w:rsidRPr="00CA47B9">
        <w:t xml:space="preserve"> </w:t>
      </w:r>
      <w:r w:rsidRPr="00CA47B9">
        <w:t>needs</w:t>
      </w:r>
      <w:r w:rsidR="004B41A2" w:rsidRPr="00CA47B9">
        <w:t xml:space="preserve"> </w:t>
      </w:r>
      <w:r w:rsidRPr="00CA47B9">
        <w:t>the</w:t>
      </w:r>
      <w:r w:rsidR="004B41A2" w:rsidRPr="00CA47B9">
        <w:t xml:space="preserve"> </w:t>
      </w:r>
      <w:r w:rsidRPr="00CA47B9">
        <w:t>Planning</w:t>
      </w:r>
      <w:r w:rsidR="004B41A2" w:rsidRPr="00CA47B9">
        <w:t xml:space="preserve"> </w:t>
      </w:r>
      <w:r w:rsidRPr="00CA47B9">
        <w:t>Practice</w:t>
      </w:r>
      <w:r w:rsidR="004B41A2" w:rsidRPr="00CA47B9">
        <w:t xml:space="preserve"> </w:t>
      </w:r>
      <w:r w:rsidRPr="00CA47B9">
        <w:t>Guidance</w:t>
      </w:r>
      <w:r w:rsidR="004B41A2" w:rsidRPr="00CA47B9">
        <w:t xml:space="preserve"> </w:t>
      </w:r>
      <w:r w:rsidRPr="00CA47B9">
        <w:t>(PPG,</w:t>
      </w:r>
      <w:r w:rsidR="004B41A2" w:rsidRPr="00CA47B9">
        <w:t xml:space="preserve"> </w:t>
      </w:r>
      <w:r w:rsidRPr="00CA47B9">
        <w:t>201</w:t>
      </w:r>
      <w:r w:rsidR="003A2A5A">
        <w:t>9</w:t>
      </w:r>
      <w:r w:rsidRPr="00CA47B9">
        <w:t>)</w:t>
      </w:r>
      <w:r w:rsidR="004B41A2" w:rsidRPr="00CA47B9">
        <w:t xml:space="preserve"> </w:t>
      </w:r>
      <w:r w:rsidRPr="00CA47B9">
        <w:t>requires</w:t>
      </w:r>
      <w:r w:rsidR="004B41A2" w:rsidRPr="00CA47B9">
        <w:t xml:space="preserve"> </w:t>
      </w:r>
      <w:r w:rsidRPr="00CA47B9">
        <w:t>consideration</w:t>
      </w:r>
      <w:r w:rsidR="004B41A2" w:rsidRPr="00CA47B9">
        <w:t xml:space="preserve"> </w:t>
      </w:r>
      <w:r w:rsidRPr="00CA47B9">
        <w:t>of</w:t>
      </w:r>
      <w:r w:rsidR="004B41A2" w:rsidRPr="00CA47B9">
        <w:t xml:space="preserve"> </w:t>
      </w:r>
      <w:r w:rsidRPr="00CA47B9">
        <w:t>quantitative</w:t>
      </w:r>
      <w:r w:rsidR="004B41A2" w:rsidRPr="00CA47B9">
        <w:t xml:space="preserve"> </w:t>
      </w:r>
      <w:r w:rsidRPr="00CA47B9">
        <w:t>and</w:t>
      </w:r>
      <w:r w:rsidR="004B41A2" w:rsidRPr="00CA47B9">
        <w:t xml:space="preserve"> </w:t>
      </w:r>
      <w:r w:rsidRPr="00CA47B9">
        <w:t>qualitative</w:t>
      </w:r>
      <w:r w:rsidR="004B41A2" w:rsidRPr="00CA47B9">
        <w:t xml:space="preserve"> </w:t>
      </w:r>
      <w:r w:rsidRPr="00CA47B9">
        <w:t>need.</w:t>
      </w:r>
      <w:r w:rsidR="004B41A2" w:rsidRPr="00CA47B9">
        <w:t xml:space="preserve"> </w:t>
      </w:r>
      <w:r w:rsidRPr="00CA47B9">
        <w:t>This</w:t>
      </w:r>
      <w:r w:rsidR="004B41A2" w:rsidRPr="00CA47B9">
        <w:t xml:space="preserve"> </w:t>
      </w:r>
      <w:r w:rsidRPr="00CA47B9">
        <w:t>entails</w:t>
      </w:r>
      <w:r w:rsidR="004B41A2" w:rsidRPr="00CA47B9">
        <w:t xml:space="preserve"> </w:t>
      </w:r>
      <w:r w:rsidRPr="00CA47B9">
        <w:t>estimating</w:t>
      </w:r>
      <w:r w:rsidR="004B41A2" w:rsidRPr="00CA47B9">
        <w:t xml:space="preserve"> </w:t>
      </w:r>
      <w:r w:rsidRPr="00CA47B9">
        <w:t>the</w:t>
      </w:r>
      <w:r w:rsidR="004B41A2" w:rsidRPr="00CA47B9">
        <w:t xml:space="preserve"> </w:t>
      </w:r>
      <w:r w:rsidRPr="00CA47B9">
        <w:t>scale</w:t>
      </w:r>
      <w:r w:rsidR="004B41A2" w:rsidRPr="00CA47B9">
        <w:t xml:space="preserve"> </w:t>
      </w:r>
      <w:r w:rsidRPr="00CA47B9">
        <w:t>of</w:t>
      </w:r>
      <w:r w:rsidR="004B41A2" w:rsidRPr="00CA47B9">
        <w:t xml:space="preserve"> </w:t>
      </w:r>
      <w:r w:rsidRPr="00CA47B9">
        <w:t>future</w:t>
      </w:r>
      <w:r w:rsidR="004B41A2" w:rsidRPr="00CA47B9">
        <w:t xml:space="preserve"> </w:t>
      </w:r>
      <w:r w:rsidRPr="00CA47B9">
        <w:t>needs</w:t>
      </w:r>
      <w:r w:rsidR="004B41A2" w:rsidRPr="00CA47B9">
        <w:t xml:space="preserve"> </w:t>
      </w:r>
      <w:r w:rsidRPr="00CA47B9">
        <w:t>broken</w:t>
      </w:r>
      <w:r w:rsidR="004B41A2" w:rsidRPr="00CA47B9">
        <w:t xml:space="preserve"> </w:t>
      </w:r>
      <w:r w:rsidRPr="00CA47B9">
        <w:t>down</w:t>
      </w:r>
      <w:r w:rsidR="004B41A2" w:rsidRPr="00CA47B9">
        <w:t xml:space="preserve"> </w:t>
      </w:r>
      <w:r w:rsidRPr="00CA47B9">
        <w:t>by</w:t>
      </w:r>
      <w:r w:rsidR="004B41A2" w:rsidRPr="00CA47B9">
        <w:t xml:space="preserve"> </w:t>
      </w:r>
      <w:r w:rsidRPr="00CA47B9">
        <w:t>different</w:t>
      </w:r>
      <w:r w:rsidR="004B41A2" w:rsidRPr="00CA47B9">
        <w:t xml:space="preserve"> </w:t>
      </w:r>
      <w:r w:rsidRPr="00CA47B9">
        <w:t>market</w:t>
      </w:r>
      <w:r w:rsidR="004B41A2" w:rsidRPr="00CA47B9">
        <w:t xml:space="preserve"> </w:t>
      </w:r>
      <w:r w:rsidRPr="00CA47B9">
        <w:t>segments,</w:t>
      </w:r>
      <w:r w:rsidR="004B41A2" w:rsidRPr="00CA47B9">
        <w:t xml:space="preserve"> </w:t>
      </w:r>
      <w:r w:rsidRPr="00CA47B9">
        <w:t>such</w:t>
      </w:r>
      <w:r w:rsidR="004B41A2" w:rsidRPr="00CA47B9">
        <w:t xml:space="preserve"> </w:t>
      </w:r>
      <w:r w:rsidRPr="00CA47B9">
        <w:t>as</w:t>
      </w:r>
      <w:r w:rsidR="004B41A2" w:rsidRPr="00CA47B9">
        <w:t xml:space="preserve"> </w:t>
      </w:r>
      <w:r w:rsidRPr="00CA47B9">
        <w:t>different</w:t>
      </w:r>
      <w:r w:rsidR="004B41A2" w:rsidRPr="00CA47B9">
        <w:t xml:space="preserve"> </w:t>
      </w:r>
      <w:r w:rsidRPr="00CA47B9">
        <w:t>B</w:t>
      </w:r>
      <w:r w:rsidR="004B41A2" w:rsidRPr="00CA47B9">
        <w:t xml:space="preserve"> </w:t>
      </w:r>
      <w:r w:rsidRPr="00CA47B9">
        <w:t>use</w:t>
      </w:r>
      <w:r w:rsidR="004B41A2" w:rsidRPr="00CA47B9">
        <w:t xml:space="preserve"> </w:t>
      </w:r>
      <w:r w:rsidRPr="00CA47B9">
        <w:t>classes.</w:t>
      </w:r>
      <w:r w:rsidR="004B41A2" w:rsidRPr="00CA47B9">
        <w:t xml:space="preserve"> </w:t>
      </w:r>
      <w:r w:rsidRPr="00CA47B9">
        <w:t>The</w:t>
      </w:r>
      <w:r w:rsidR="004B41A2" w:rsidRPr="00CA47B9">
        <w:t xml:space="preserve"> </w:t>
      </w:r>
      <w:r w:rsidRPr="00CA47B9">
        <w:t>PPG</w:t>
      </w:r>
      <w:r w:rsidR="004B41A2" w:rsidRPr="00CA47B9">
        <w:t xml:space="preserve"> </w:t>
      </w:r>
      <w:r w:rsidRPr="00CA47B9">
        <w:t>recommends</w:t>
      </w:r>
      <w:r w:rsidR="004B41A2" w:rsidRPr="00CA47B9">
        <w:t xml:space="preserve"> </w:t>
      </w:r>
      <w:r w:rsidRPr="00CA47B9">
        <w:t>the</w:t>
      </w:r>
      <w:r w:rsidR="004B41A2" w:rsidRPr="00CA47B9">
        <w:t xml:space="preserve"> </w:t>
      </w:r>
      <w:r w:rsidRPr="00CA47B9">
        <w:t>use</w:t>
      </w:r>
      <w:r w:rsidR="004B41A2" w:rsidRPr="00CA47B9">
        <w:t xml:space="preserve"> </w:t>
      </w:r>
      <w:r w:rsidRPr="00CA47B9">
        <w:t>of</w:t>
      </w:r>
      <w:r w:rsidR="004B41A2" w:rsidRPr="00CA47B9">
        <w:t xml:space="preserve"> </w:t>
      </w:r>
      <w:r w:rsidRPr="00CA47B9">
        <w:t>a</w:t>
      </w:r>
      <w:r w:rsidR="004B41A2" w:rsidRPr="00CA47B9">
        <w:t xml:space="preserve"> </w:t>
      </w:r>
      <w:r w:rsidRPr="00CA47B9">
        <w:t>number</w:t>
      </w:r>
      <w:r w:rsidR="004B41A2" w:rsidRPr="00CA47B9">
        <w:t xml:space="preserve"> </w:t>
      </w:r>
      <w:r w:rsidRPr="00CA47B9">
        <w:t>of</w:t>
      </w:r>
      <w:r w:rsidR="004B41A2" w:rsidRPr="00CA47B9">
        <w:t xml:space="preserve"> </w:t>
      </w:r>
      <w:r w:rsidRPr="00CA47B9">
        <w:t>different</w:t>
      </w:r>
      <w:r w:rsidR="004B41A2" w:rsidRPr="00CA47B9">
        <w:t xml:space="preserve"> </w:t>
      </w:r>
      <w:r w:rsidRPr="00CA47B9">
        <w:t>techniques</w:t>
      </w:r>
      <w:r w:rsidR="004B41A2" w:rsidRPr="00CA47B9">
        <w:t xml:space="preserve"> </w:t>
      </w:r>
      <w:r w:rsidRPr="00CA47B9">
        <w:t>to</w:t>
      </w:r>
      <w:r w:rsidR="004B41A2" w:rsidRPr="00CA47B9">
        <w:t xml:space="preserve"> </w:t>
      </w:r>
      <w:r w:rsidRPr="00CA47B9">
        <w:t>estimate</w:t>
      </w:r>
      <w:r w:rsidR="004B41A2" w:rsidRPr="00CA47B9">
        <w:t xml:space="preserve"> </w:t>
      </w:r>
      <w:r w:rsidRPr="00CA47B9">
        <w:t>future</w:t>
      </w:r>
      <w:r w:rsidR="004B41A2" w:rsidRPr="00CA47B9">
        <w:t xml:space="preserve"> </w:t>
      </w:r>
      <w:r w:rsidRPr="00CA47B9">
        <w:t>employment</w:t>
      </w:r>
      <w:r w:rsidR="004B41A2" w:rsidRPr="00CA47B9">
        <w:t xml:space="preserve"> </w:t>
      </w:r>
      <w:r w:rsidRPr="00CA47B9">
        <w:t>land</w:t>
      </w:r>
      <w:r w:rsidR="004B41A2" w:rsidRPr="00CA47B9">
        <w:t xml:space="preserve"> </w:t>
      </w:r>
      <w:r w:rsidRPr="00CA47B9">
        <w:t>requirements,</w:t>
      </w:r>
      <w:r w:rsidR="004B41A2" w:rsidRPr="00CA47B9">
        <w:t xml:space="preserve"> </w:t>
      </w:r>
      <w:r w:rsidRPr="00CA47B9">
        <w:t>namely</w:t>
      </w:r>
      <w:r w:rsidR="004B41A2" w:rsidRPr="00CA47B9">
        <w:t xml:space="preserve"> </w:t>
      </w:r>
      <w:r w:rsidRPr="00CA47B9">
        <w:t>assessments</w:t>
      </w:r>
      <w:r w:rsidR="004B41A2" w:rsidRPr="00CA47B9">
        <w:t xml:space="preserve"> </w:t>
      </w:r>
      <w:r w:rsidRPr="00CA47B9">
        <w:t>based</w:t>
      </w:r>
      <w:r w:rsidR="004B41A2" w:rsidRPr="00CA47B9">
        <w:t xml:space="preserve"> </w:t>
      </w:r>
      <w:r w:rsidRPr="00CA47B9">
        <w:t>on:</w:t>
      </w:r>
    </w:p>
    <w:p w:rsidR="00B0298E" w:rsidRPr="00CA47B9" w:rsidRDefault="00B0298E" w:rsidP="00901C92">
      <w:pPr>
        <w:pStyle w:val="Bulletblueplain"/>
      </w:pPr>
      <w:r w:rsidRPr="00CA47B9">
        <w:t>Labour</w:t>
      </w:r>
      <w:r w:rsidR="004B41A2" w:rsidRPr="00CA47B9">
        <w:t xml:space="preserve"> </w:t>
      </w:r>
      <w:r w:rsidRPr="00CA47B9">
        <w:t>Demand;</w:t>
      </w:r>
      <w:r w:rsidR="004B41A2" w:rsidRPr="00CA47B9">
        <w:t xml:space="preserve"> </w:t>
      </w:r>
    </w:p>
    <w:p w:rsidR="00B0298E" w:rsidRPr="00CA47B9" w:rsidRDefault="00B0298E" w:rsidP="00901C92">
      <w:pPr>
        <w:pStyle w:val="Bulletblueplain"/>
      </w:pPr>
      <w:r w:rsidRPr="00CA47B9">
        <w:t>Labour</w:t>
      </w:r>
      <w:r w:rsidR="004B41A2" w:rsidRPr="00CA47B9">
        <w:t xml:space="preserve"> </w:t>
      </w:r>
      <w:r w:rsidRPr="00CA47B9">
        <w:t>Supply;</w:t>
      </w:r>
      <w:r w:rsidR="004B41A2" w:rsidRPr="00CA47B9">
        <w:t xml:space="preserve"> </w:t>
      </w:r>
      <w:r w:rsidRPr="00CA47B9">
        <w:t>and</w:t>
      </w:r>
      <w:r w:rsidR="004B41A2" w:rsidRPr="00CA47B9">
        <w:t xml:space="preserve"> </w:t>
      </w:r>
    </w:p>
    <w:p w:rsidR="00B0298E" w:rsidRPr="00CA47B9" w:rsidRDefault="00B0298E" w:rsidP="00901C92">
      <w:pPr>
        <w:pStyle w:val="Bulletblueplain"/>
      </w:pPr>
      <w:r w:rsidRPr="00CA47B9">
        <w:t>Past</w:t>
      </w:r>
      <w:r w:rsidR="004B41A2" w:rsidRPr="00CA47B9">
        <w:t xml:space="preserve"> </w:t>
      </w:r>
      <w:r w:rsidRPr="00CA47B9">
        <w:t>Take-Up.</w:t>
      </w:r>
      <w:r w:rsidR="004B41A2" w:rsidRPr="00CA47B9">
        <w:t xml:space="preserve"> </w:t>
      </w:r>
    </w:p>
    <w:p w:rsidR="00524B34" w:rsidRPr="00524B34" w:rsidRDefault="00B0298E" w:rsidP="001C73B8">
      <w:pPr>
        <w:pStyle w:val="11Bodytext"/>
        <w:tabs>
          <w:tab w:val="clear" w:pos="2212"/>
          <w:tab w:val="num" w:pos="567"/>
        </w:tabs>
        <w:ind w:left="567" w:hanging="567"/>
      </w:pPr>
      <w:r w:rsidRPr="00CA47B9">
        <w:t>There</w:t>
      </w:r>
      <w:r w:rsidR="004B41A2" w:rsidRPr="00CA47B9">
        <w:t xml:space="preserve"> </w:t>
      </w:r>
      <w:r w:rsidRPr="00CA47B9">
        <w:t>are</w:t>
      </w:r>
      <w:r w:rsidR="004B41A2" w:rsidRPr="00CA47B9">
        <w:t xml:space="preserve"> </w:t>
      </w:r>
      <w:r w:rsidRPr="00CA47B9">
        <w:t>relative</w:t>
      </w:r>
      <w:r w:rsidR="004B41A2" w:rsidRPr="00CA47B9">
        <w:t xml:space="preserve"> </w:t>
      </w:r>
      <w:r w:rsidRPr="00CA47B9">
        <w:t>benefits</w:t>
      </w:r>
      <w:r w:rsidR="004B41A2" w:rsidRPr="00CA47B9">
        <w:t xml:space="preserve"> </w:t>
      </w:r>
      <w:r w:rsidRPr="00CA47B9">
        <w:t>of</w:t>
      </w:r>
      <w:r w:rsidR="004B41A2" w:rsidRPr="00CA47B9">
        <w:t xml:space="preserve"> </w:t>
      </w:r>
      <w:r w:rsidRPr="00CA47B9">
        <w:t>each</w:t>
      </w:r>
      <w:r w:rsidR="004B41A2" w:rsidRPr="00CA47B9">
        <w:t xml:space="preserve"> </w:t>
      </w:r>
      <w:r w:rsidRPr="00CA47B9">
        <w:t>approach.</w:t>
      </w:r>
      <w:r w:rsidR="004B41A2" w:rsidRPr="00CA47B9">
        <w:t xml:space="preserve"> </w:t>
      </w:r>
      <w:r w:rsidR="006607BC">
        <w:t>For Labour Demand scenarios</w:t>
      </w:r>
      <w:r w:rsidR="00524B34">
        <w:t xml:space="preserve"> and Labour Supply Scenarios</w:t>
      </w:r>
      <w:r w:rsidR="006607BC">
        <w:t>, e</w:t>
      </w:r>
      <w:r w:rsidRPr="00CA47B9">
        <w:t>conometric</w:t>
      </w:r>
      <w:r w:rsidR="004B41A2" w:rsidRPr="00CA47B9">
        <w:t xml:space="preserve"> </w:t>
      </w:r>
      <w:r w:rsidRPr="00CA47B9">
        <w:t>forecasts</w:t>
      </w:r>
      <w:r w:rsidR="004B41A2" w:rsidRPr="00CA47B9">
        <w:t xml:space="preserve"> </w:t>
      </w:r>
      <w:r w:rsidRPr="00CA47B9">
        <w:t>take</w:t>
      </w:r>
      <w:r w:rsidR="004B41A2" w:rsidRPr="00CA47B9">
        <w:t xml:space="preserve"> </w:t>
      </w:r>
      <w:r w:rsidRPr="00CA47B9">
        <w:t>account</w:t>
      </w:r>
      <w:r w:rsidR="004B41A2" w:rsidRPr="00CA47B9">
        <w:t xml:space="preserve"> </w:t>
      </w:r>
      <w:r w:rsidRPr="00CA47B9">
        <w:t>of</w:t>
      </w:r>
      <w:r w:rsidR="004B41A2" w:rsidRPr="00CA47B9">
        <w:t xml:space="preserve"> </w:t>
      </w:r>
      <w:r w:rsidRPr="00CA47B9">
        <w:t>differences</w:t>
      </w:r>
      <w:r w:rsidR="004B41A2" w:rsidRPr="00CA47B9">
        <w:t xml:space="preserve"> </w:t>
      </w:r>
      <w:r w:rsidRPr="00CA47B9">
        <w:t>in</w:t>
      </w:r>
      <w:r w:rsidR="004B41A2" w:rsidRPr="00CA47B9">
        <w:t xml:space="preserve"> </w:t>
      </w:r>
      <w:r w:rsidRPr="00CA47B9">
        <w:t>expected</w:t>
      </w:r>
      <w:r w:rsidR="004B41A2" w:rsidRPr="00CA47B9">
        <w:t xml:space="preserve"> </w:t>
      </w:r>
      <w:r w:rsidRPr="00CA47B9">
        <w:t>economic</w:t>
      </w:r>
      <w:r w:rsidR="004B41A2" w:rsidRPr="00CA47B9">
        <w:t xml:space="preserve"> </w:t>
      </w:r>
      <w:r w:rsidRPr="00CA47B9">
        <w:t>performance</w:t>
      </w:r>
      <w:r w:rsidR="004B41A2" w:rsidRPr="00CA47B9">
        <w:t xml:space="preserve"> </w:t>
      </w:r>
      <w:r w:rsidRPr="00CA47B9">
        <w:t>moving</w:t>
      </w:r>
      <w:r w:rsidR="004B41A2" w:rsidRPr="00CA47B9">
        <w:t xml:space="preserve"> </w:t>
      </w:r>
      <w:r w:rsidRPr="00CA47B9">
        <w:t>forward</w:t>
      </w:r>
      <w:r w:rsidR="004B41A2" w:rsidRPr="00CA47B9">
        <w:t xml:space="preserve"> </w:t>
      </w:r>
      <w:r w:rsidRPr="00CA47B9">
        <w:t>relative</w:t>
      </w:r>
      <w:r w:rsidR="004B41A2" w:rsidRPr="00CA47B9">
        <w:t xml:space="preserve"> </w:t>
      </w:r>
      <w:r w:rsidRPr="00CA47B9">
        <w:t>to</w:t>
      </w:r>
      <w:r w:rsidR="004B41A2" w:rsidRPr="00CA47B9">
        <w:t xml:space="preserve"> </w:t>
      </w:r>
      <w:r w:rsidRPr="00CA47B9">
        <w:t>the</w:t>
      </w:r>
      <w:r w:rsidR="004B41A2" w:rsidRPr="00CA47B9">
        <w:t xml:space="preserve"> </w:t>
      </w:r>
      <w:r w:rsidRPr="00CA47B9">
        <w:t>past,</w:t>
      </w:r>
      <w:r w:rsidR="004B41A2" w:rsidRPr="00CA47B9">
        <w:t xml:space="preserve"> </w:t>
      </w:r>
      <w:r w:rsidRPr="00CA47B9">
        <w:t>overall</w:t>
      </w:r>
      <w:r w:rsidR="004B41A2" w:rsidRPr="00CA47B9">
        <w:t xml:space="preserve"> </w:t>
      </w:r>
      <w:r w:rsidR="00556542" w:rsidRPr="00CA47B9">
        <w:t>with</w:t>
      </w:r>
      <w:r w:rsidR="004B41A2" w:rsidRPr="00CA47B9">
        <w:t xml:space="preserve"> </w:t>
      </w:r>
      <w:r w:rsidRPr="00CA47B9">
        <w:t>regard</w:t>
      </w:r>
      <w:r w:rsidR="004B41A2" w:rsidRPr="00CA47B9">
        <w:t xml:space="preserve"> </w:t>
      </w:r>
      <w:r w:rsidRPr="00CA47B9">
        <w:t>to</w:t>
      </w:r>
      <w:r w:rsidR="004B41A2" w:rsidRPr="00CA47B9">
        <w:t xml:space="preserve"> </w:t>
      </w:r>
      <w:r w:rsidRPr="00CA47B9">
        <w:t>the</w:t>
      </w:r>
      <w:r w:rsidR="004B41A2" w:rsidRPr="00CA47B9">
        <w:t xml:space="preserve"> </w:t>
      </w:r>
      <w:r w:rsidRPr="00CA47B9">
        <w:t>sectoral</w:t>
      </w:r>
      <w:r w:rsidR="004B41A2" w:rsidRPr="00CA47B9">
        <w:t xml:space="preserve"> </w:t>
      </w:r>
      <w:r w:rsidRPr="00CA47B9">
        <w:t>composition</w:t>
      </w:r>
      <w:r w:rsidR="004B41A2" w:rsidRPr="00CA47B9">
        <w:t xml:space="preserve"> </w:t>
      </w:r>
      <w:r w:rsidRPr="00CA47B9">
        <w:t>of</w:t>
      </w:r>
      <w:r w:rsidR="004B41A2" w:rsidRPr="00CA47B9">
        <w:t xml:space="preserve"> </w:t>
      </w:r>
      <w:r w:rsidRPr="00CA47B9">
        <w:t>growth.</w:t>
      </w:r>
      <w:r w:rsidR="004B41A2" w:rsidRPr="00CA47B9">
        <w:t xml:space="preserve"> </w:t>
      </w:r>
      <w:r w:rsidR="00CA47B9" w:rsidRPr="00CA47B9">
        <w:t>However,</w:t>
      </w:r>
      <w:r w:rsidR="004B41A2" w:rsidRPr="00CA47B9">
        <w:t xml:space="preserve"> </w:t>
      </w:r>
      <w:r w:rsidRPr="00CA47B9">
        <w:t>a</w:t>
      </w:r>
      <w:r w:rsidR="004B41A2" w:rsidRPr="00CA47B9">
        <w:t xml:space="preserve"> </w:t>
      </w:r>
      <w:r w:rsidRPr="00CA47B9">
        <w:t>detailed</w:t>
      </w:r>
      <w:r w:rsidR="004B41A2" w:rsidRPr="00CA47B9">
        <w:t xml:space="preserve"> </w:t>
      </w:r>
      <w:r w:rsidRPr="00CA47B9">
        <w:t>model</w:t>
      </w:r>
      <w:r w:rsidR="004B41A2" w:rsidRPr="00CA47B9">
        <w:t xml:space="preserve"> </w:t>
      </w:r>
      <w:r w:rsidRPr="00CA47B9">
        <w:t>is</w:t>
      </w:r>
      <w:r w:rsidR="004B41A2" w:rsidRPr="00CA47B9">
        <w:t xml:space="preserve"> </w:t>
      </w:r>
      <w:r w:rsidRPr="00CA47B9">
        <w:t>required</w:t>
      </w:r>
      <w:r w:rsidR="004B41A2" w:rsidRPr="00CA47B9">
        <w:t xml:space="preserve"> </w:t>
      </w:r>
      <w:r w:rsidRPr="00CA47B9">
        <w:t>to</w:t>
      </w:r>
      <w:r w:rsidR="004B41A2" w:rsidRPr="00CA47B9">
        <w:t xml:space="preserve"> </w:t>
      </w:r>
      <w:r w:rsidRPr="00CA47B9">
        <w:t>relate</w:t>
      </w:r>
      <w:r w:rsidR="004B41A2" w:rsidRPr="00CA47B9">
        <w:t xml:space="preserve"> </w:t>
      </w:r>
      <w:r w:rsidRPr="00CA47B9">
        <w:t>net</w:t>
      </w:r>
      <w:r w:rsidR="004B41A2" w:rsidRPr="00CA47B9">
        <w:t xml:space="preserve"> </w:t>
      </w:r>
      <w:r w:rsidRPr="00CA47B9">
        <w:t>forecasts</w:t>
      </w:r>
      <w:r w:rsidR="004B41A2" w:rsidRPr="00CA47B9">
        <w:t xml:space="preserve"> </w:t>
      </w:r>
      <w:r w:rsidRPr="00CA47B9">
        <w:t>to</w:t>
      </w:r>
      <w:r w:rsidR="004B41A2" w:rsidRPr="00CA47B9">
        <w:t xml:space="preserve"> </w:t>
      </w:r>
      <w:r w:rsidRPr="00CA47B9">
        <w:t>use</w:t>
      </w:r>
      <w:r w:rsidR="004B41A2" w:rsidRPr="00CA47B9">
        <w:t xml:space="preserve"> </w:t>
      </w:r>
      <w:r w:rsidRPr="00CA47B9">
        <w:t>classes</w:t>
      </w:r>
      <w:r w:rsidR="004B41A2" w:rsidRPr="00CA47B9">
        <w:t xml:space="preserve"> </w:t>
      </w:r>
      <w:r w:rsidRPr="00CA47B9">
        <w:t>and</w:t>
      </w:r>
      <w:r w:rsidR="004B41A2" w:rsidRPr="00CA47B9">
        <w:t xml:space="preserve"> </w:t>
      </w:r>
      <w:r w:rsidRPr="00CA47B9">
        <w:t>to</w:t>
      </w:r>
      <w:r w:rsidR="004B41A2" w:rsidRPr="00CA47B9">
        <w:t xml:space="preserve"> </w:t>
      </w:r>
      <w:r w:rsidRPr="00CA47B9">
        <w:t>estimate</w:t>
      </w:r>
      <w:r w:rsidR="004B41A2" w:rsidRPr="00CA47B9">
        <w:t xml:space="preserve"> </w:t>
      </w:r>
      <w:r w:rsidRPr="00CA47B9">
        <w:t>gross</w:t>
      </w:r>
      <w:r w:rsidR="004B41A2" w:rsidRPr="00CA47B9">
        <w:t xml:space="preserve"> </w:t>
      </w:r>
      <w:r w:rsidRPr="00CA47B9">
        <w:t>floorspace</w:t>
      </w:r>
      <w:r w:rsidR="004B41A2" w:rsidRPr="00CA47B9">
        <w:t xml:space="preserve"> </w:t>
      </w:r>
      <w:r w:rsidRPr="00CA47B9">
        <w:t>and</w:t>
      </w:r>
      <w:r w:rsidR="004B41A2" w:rsidRPr="00CA47B9">
        <w:t xml:space="preserve"> </w:t>
      </w:r>
      <w:r w:rsidRPr="00CA47B9">
        <w:t>land</w:t>
      </w:r>
      <w:r w:rsidR="004B41A2" w:rsidRPr="00CA47B9">
        <w:t xml:space="preserve"> </w:t>
      </w:r>
      <w:r w:rsidRPr="00CA47B9">
        <w:t>requirements.</w:t>
      </w:r>
      <w:r w:rsidR="004B41A2" w:rsidRPr="00CA47B9">
        <w:t xml:space="preserve"> </w:t>
      </w:r>
    </w:p>
    <w:p w:rsidR="00B0298E" w:rsidRPr="00CA47B9" w:rsidRDefault="00B0298E" w:rsidP="001C73B8">
      <w:pPr>
        <w:pStyle w:val="11Bodytext"/>
        <w:tabs>
          <w:tab w:val="clear" w:pos="2212"/>
          <w:tab w:val="num" w:pos="567"/>
        </w:tabs>
        <w:ind w:left="567" w:hanging="567"/>
      </w:pPr>
      <w:r w:rsidRPr="00CA47B9">
        <w:t>In</w:t>
      </w:r>
      <w:r w:rsidR="004B41A2" w:rsidRPr="00CA47B9">
        <w:t xml:space="preserve"> </w:t>
      </w:r>
      <w:r w:rsidRPr="00CA47B9">
        <w:t>contrast,</w:t>
      </w:r>
      <w:r w:rsidR="004B41A2" w:rsidRPr="00CA47B9">
        <w:t xml:space="preserve"> </w:t>
      </w:r>
      <w:r w:rsidRPr="00CA47B9">
        <w:t>past</w:t>
      </w:r>
      <w:r w:rsidR="004B41A2" w:rsidRPr="00CA47B9">
        <w:t xml:space="preserve"> </w:t>
      </w:r>
      <w:r w:rsidRPr="00CA47B9">
        <w:t>take-up</w:t>
      </w:r>
      <w:r w:rsidR="004B41A2" w:rsidRPr="00CA47B9">
        <w:t xml:space="preserve"> </w:t>
      </w:r>
      <w:r w:rsidRPr="00CA47B9">
        <w:t>is</w:t>
      </w:r>
      <w:r w:rsidR="004B41A2" w:rsidRPr="00CA47B9">
        <w:t xml:space="preserve"> </w:t>
      </w:r>
      <w:r w:rsidRPr="00CA47B9">
        <w:t>based</w:t>
      </w:r>
      <w:r w:rsidR="004B41A2" w:rsidRPr="00CA47B9">
        <w:t xml:space="preserve"> </w:t>
      </w:r>
      <w:r w:rsidRPr="00CA47B9">
        <w:t>on</w:t>
      </w:r>
      <w:r w:rsidR="004B41A2" w:rsidRPr="00CA47B9">
        <w:t xml:space="preserve"> </w:t>
      </w:r>
      <w:r w:rsidR="00855CA6">
        <w:t xml:space="preserve">the </w:t>
      </w:r>
      <w:r w:rsidRPr="00CA47B9">
        <w:t>actual</w:t>
      </w:r>
      <w:r w:rsidR="004B41A2" w:rsidRPr="00CA47B9">
        <w:t xml:space="preserve"> </w:t>
      </w:r>
      <w:r w:rsidRPr="00CA47B9">
        <w:t>delivery</w:t>
      </w:r>
      <w:r w:rsidR="004B41A2" w:rsidRPr="00CA47B9">
        <w:t xml:space="preserve"> </w:t>
      </w:r>
      <w:r w:rsidRPr="00CA47B9">
        <w:t>of</w:t>
      </w:r>
      <w:r w:rsidR="004B41A2" w:rsidRPr="00CA47B9">
        <w:t xml:space="preserve"> </w:t>
      </w:r>
      <w:r w:rsidRPr="00CA47B9">
        <w:t>employment</w:t>
      </w:r>
      <w:r w:rsidR="004B41A2" w:rsidRPr="00CA47B9">
        <w:t xml:space="preserve"> </w:t>
      </w:r>
      <w:r w:rsidRPr="00CA47B9">
        <w:t>development;</w:t>
      </w:r>
      <w:r w:rsidR="004B41A2" w:rsidRPr="00CA47B9">
        <w:t xml:space="preserve"> </w:t>
      </w:r>
      <w:r w:rsidRPr="00CA47B9">
        <w:t>but</w:t>
      </w:r>
      <w:r w:rsidR="004B41A2" w:rsidRPr="00CA47B9">
        <w:t xml:space="preserve"> </w:t>
      </w:r>
      <w:r w:rsidRPr="00CA47B9">
        <w:t>does</w:t>
      </w:r>
      <w:r w:rsidR="004B41A2" w:rsidRPr="00CA47B9">
        <w:t xml:space="preserve"> </w:t>
      </w:r>
      <w:r w:rsidRPr="00CA47B9">
        <w:t>not</w:t>
      </w:r>
      <w:r w:rsidR="004B41A2" w:rsidRPr="00CA47B9">
        <w:t xml:space="preserve"> </w:t>
      </w:r>
      <w:r w:rsidRPr="00CA47B9">
        <w:t>take</w:t>
      </w:r>
      <w:r w:rsidR="004B41A2" w:rsidRPr="00CA47B9">
        <w:t xml:space="preserve"> </w:t>
      </w:r>
      <w:r w:rsidRPr="00CA47B9">
        <w:t>account</w:t>
      </w:r>
      <w:r w:rsidR="004B41A2" w:rsidRPr="00CA47B9">
        <w:t xml:space="preserve"> </w:t>
      </w:r>
      <w:r w:rsidRPr="00CA47B9">
        <w:t>of</w:t>
      </w:r>
      <w:r w:rsidR="004B41A2" w:rsidRPr="00CA47B9">
        <w:t xml:space="preserve"> </w:t>
      </w:r>
      <w:r w:rsidRPr="00CA47B9">
        <w:t>the</w:t>
      </w:r>
      <w:r w:rsidR="004B41A2" w:rsidRPr="00CA47B9">
        <w:t xml:space="preserve"> </w:t>
      </w:r>
      <w:r w:rsidRPr="00CA47B9">
        <w:t>implications</w:t>
      </w:r>
      <w:r w:rsidR="004B41A2" w:rsidRPr="00CA47B9">
        <w:t xml:space="preserve"> </w:t>
      </w:r>
      <w:r w:rsidRPr="00CA47B9">
        <w:t>of</w:t>
      </w:r>
      <w:r w:rsidR="004B41A2" w:rsidRPr="00CA47B9">
        <w:t xml:space="preserve"> </w:t>
      </w:r>
      <w:r w:rsidRPr="00CA47B9">
        <w:t>growth</w:t>
      </w:r>
      <w:r w:rsidR="004B41A2" w:rsidRPr="00CA47B9">
        <w:t xml:space="preserve"> </w:t>
      </w:r>
      <w:r w:rsidRPr="00CA47B9">
        <w:t>in</w:t>
      </w:r>
      <w:r w:rsidR="004B41A2" w:rsidRPr="00CA47B9">
        <w:t xml:space="preserve"> </w:t>
      </w:r>
      <w:r w:rsidRPr="00CA47B9">
        <w:t>labour</w:t>
      </w:r>
      <w:r w:rsidR="004B41A2" w:rsidRPr="00CA47B9">
        <w:t xml:space="preserve"> </w:t>
      </w:r>
      <w:r w:rsidRPr="00CA47B9">
        <w:t>supply</w:t>
      </w:r>
      <w:r w:rsidR="004B41A2" w:rsidRPr="00CA47B9">
        <w:t xml:space="preserve"> </w:t>
      </w:r>
      <w:r w:rsidRPr="00CA47B9">
        <w:t>associated</w:t>
      </w:r>
      <w:r w:rsidR="004B41A2" w:rsidRPr="00CA47B9">
        <w:t xml:space="preserve"> </w:t>
      </w:r>
      <w:r w:rsidRPr="00CA47B9">
        <w:t>with</w:t>
      </w:r>
      <w:r w:rsidR="004B41A2" w:rsidRPr="00CA47B9">
        <w:t xml:space="preserve"> </w:t>
      </w:r>
      <w:r w:rsidRPr="00CA47B9">
        <w:t>housing</w:t>
      </w:r>
      <w:r w:rsidR="004B41A2" w:rsidRPr="00CA47B9">
        <w:t xml:space="preserve"> </w:t>
      </w:r>
      <w:r w:rsidRPr="00CA47B9">
        <w:t>growth</w:t>
      </w:r>
      <w:r w:rsidR="004B41A2" w:rsidRPr="00CA47B9">
        <w:t xml:space="preserve"> </w:t>
      </w:r>
      <w:r w:rsidRPr="00CA47B9">
        <w:t>nor</w:t>
      </w:r>
      <w:r w:rsidR="004B41A2" w:rsidRPr="00CA47B9">
        <w:t xml:space="preserve"> </w:t>
      </w:r>
      <w:r w:rsidRPr="00CA47B9">
        <w:t>any</w:t>
      </w:r>
      <w:r w:rsidR="004B41A2" w:rsidRPr="00CA47B9">
        <w:t xml:space="preserve"> </w:t>
      </w:r>
      <w:r w:rsidR="00556542" w:rsidRPr="00CA47B9">
        <w:t>potential</w:t>
      </w:r>
      <w:r w:rsidR="004B41A2" w:rsidRPr="00CA47B9">
        <w:t xml:space="preserve"> </w:t>
      </w:r>
      <w:r w:rsidRPr="00CA47B9">
        <w:t>differences</w:t>
      </w:r>
      <w:r w:rsidR="004B41A2" w:rsidRPr="00CA47B9">
        <w:t xml:space="preserve"> </w:t>
      </w:r>
      <w:r w:rsidRPr="00CA47B9">
        <w:t>in</w:t>
      </w:r>
      <w:r w:rsidR="004B41A2" w:rsidRPr="00CA47B9">
        <w:t xml:space="preserve"> </w:t>
      </w:r>
      <w:r w:rsidRPr="00CA47B9">
        <w:t>economic</w:t>
      </w:r>
      <w:r w:rsidR="004B41A2" w:rsidRPr="00CA47B9">
        <w:t xml:space="preserve"> </w:t>
      </w:r>
      <w:r w:rsidRPr="00CA47B9">
        <w:t>performance</w:t>
      </w:r>
      <w:r w:rsidR="004B41A2" w:rsidRPr="00CA47B9">
        <w:t xml:space="preserve"> </w:t>
      </w:r>
      <w:r w:rsidRPr="00CA47B9">
        <w:t>relative</w:t>
      </w:r>
      <w:r w:rsidR="004B41A2" w:rsidRPr="00CA47B9">
        <w:t xml:space="preserve"> </w:t>
      </w:r>
      <w:r w:rsidRPr="00CA47B9">
        <w:t>to</w:t>
      </w:r>
      <w:r w:rsidR="004B41A2" w:rsidRPr="00CA47B9">
        <w:t xml:space="preserve"> </w:t>
      </w:r>
      <w:r w:rsidRPr="00CA47B9">
        <w:t>the</w:t>
      </w:r>
      <w:r w:rsidR="004B41A2" w:rsidRPr="00CA47B9">
        <w:t xml:space="preserve"> </w:t>
      </w:r>
      <w:r w:rsidRPr="00CA47B9">
        <w:t>past.</w:t>
      </w:r>
      <w:r w:rsidR="004B41A2" w:rsidRPr="00CA47B9">
        <w:t xml:space="preserve"> </w:t>
      </w:r>
      <w:r w:rsidRPr="00CA47B9">
        <w:t>It</w:t>
      </w:r>
      <w:r w:rsidR="004B41A2" w:rsidRPr="00CA47B9">
        <w:t xml:space="preserve"> </w:t>
      </w:r>
      <w:r w:rsidRPr="00CA47B9">
        <w:t>is</w:t>
      </w:r>
      <w:r w:rsidR="004B41A2" w:rsidRPr="00CA47B9">
        <w:t xml:space="preserve"> </w:t>
      </w:r>
      <w:r w:rsidRPr="00CA47B9">
        <w:t>also</w:t>
      </w:r>
      <w:r w:rsidR="004B41A2" w:rsidRPr="00CA47B9">
        <w:t xml:space="preserve"> </w:t>
      </w:r>
      <w:r w:rsidRPr="00CA47B9">
        <w:t>potentially</w:t>
      </w:r>
      <w:r w:rsidR="004B41A2" w:rsidRPr="00CA47B9">
        <w:t xml:space="preserve"> </w:t>
      </w:r>
      <w:r w:rsidRPr="00CA47B9">
        <w:t>influenced</w:t>
      </w:r>
      <w:r w:rsidR="004B41A2" w:rsidRPr="00CA47B9">
        <w:t xml:space="preserve"> </w:t>
      </w:r>
      <w:r w:rsidRPr="00CA47B9">
        <w:t>by</w:t>
      </w:r>
      <w:r w:rsidR="004B41A2" w:rsidRPr="00CA47B9">
        <w:t xml:space="preserve"> </w:t>
      </w:r>
      <w:r w:rsidRPr="00CA47B9">
        <w:t>past</w:t>
      </w:r>
      <w:r w:rsidR="004B41A2" w:rsidRPr="00CA47B9">
        <w:t xml:space="preserve"> </w:t>
      </w:r>
      <w:r w:rsidRPr="00CA47B9">
        <w:t>land</w:t>
      </w:r>
      <w:r w:rsidR="004B41A2" w:rsidRPr="00CA47B9">
        <w:t xml:space="preserve"> </w:t>
      </w:r>
      <w:r w:rsidRPr="00CA47B9">
        <w:t>supply</w:t>
      </w:r>
      <w:r w:rsidR="004B41A2" w:rsidRPr="00CA47B9">
        <w:t xml:space="preserve"> </w:t>
      </w:r>
      <w:r w:rsidRPr="00CA47B9">
        <w:t>policies.</w:t>
      </w:r>
      <w:r w:rsidR="004B41A2" w:rsidRPr="00CA47B9">
        <w:t xml:space="preserve"> </w:t>
      </w:r>
    </w:p>
    <w:p w:rsidR="00B0298E" w:rsidRDefault="00B0298E" w:rsidP="001C73B8">
      <w:pPr>
        <w:pStyle w:val="11Bodytext"/>
        <w:tabs>
          <w:tab w:val="clear" w:pos="2212"/>
          <w:tab w:val="num" w:pos="567"/>
        </w:tabs>
        <w:ind w:left="567" w:hanging="567"/>
      </w:pPr>
      <w:r w:rsidRPr="00CA47B9">
        <w:t>The</w:t>
      </w:r>
      <w:r w:rsidR="004B41A2" w:rsidRPr="00CA47B9">
        <w:t xml:space="preserve"> </w:t>
      </w:r>
      <w:r w:rsidRPr="00CA47B9">
        <w:t>quantitative</w:t>
      </w:r>
      <w:r w:rsidR="004B41A2" w:rsidRPr="00CA47B9">
        <w:t xml:space="preserve"> </w:t>
      </w:r>
      <w:r w:rsidRPr="00CA47B9">
        <w:t>evidence</w:t>
      </w:r>
      <w:r w:rsidR="004B41A2" w:rsidRPr="00CA47B9">
        <w:t xml:space="preserve"> </w:t>
      </w:r>
      <w:r w:rsidRPr="00CA47B9">
        <w:t>is</w:t>
      </w:r>
      <w:r w:rsidR="00B036C4" w:rsidRPr="00CA47B9">
        <w:t xml:space="preserve"> also</w:t>
      </w:r>
      <w:r w:rsidR="004B41A2" w:rsidRPr="00CA47B9">
        <w:t xml:space="preserve"> </w:t>
      </w:r>
      <w:r w:rsidRPr="00CA47B9">
        <w:t>supplemented</w:t>
      </w:r>
      <w:r w:rsidR="004B41A2" w:rsidRPr="00CA47B9">
        <w:t xml:space="preserve"> </w:t>
      </w:r>
      <w:r w:rsidRPr="00CA47B9">
        <w:t>by</w:t>
      </w:r>
      <w:r w:rsidR="004B41A2" w:rsidRPr="00CA47B9">
        <w:t xml:space="preserve"> </w:t>
      </w:r>
      <w:r w:rsidRPr="00CA47B9">
        <w:t>the</w:t>
      </w:r>
      <w:r w:rsidR="004B41A2" w:rsidRPr="00CA47B9">
        <w:t xml:space="preserve"> </w:t>
      </w:r>
      <w:r w:rsidRPr="00CA47B9">
        <w:t>wider</w:t>
      </w:r>
      <w:r w:rsidR="004B41A2" w:rsidRPr="00CA47B9">
        <w:t xml:space="preserve"> </w:t>
      </w:r>
      <w:r w:rsidRPr="00CA47B9">
        <w:t>analysis</w:t>
      </w:r>
      <w:r w:rsidR="004B41A2" w:rsidRPr="00CA47B9">
        <w:t xml:space="preserve"> </w:t>
      </w:r>
      <w:r w:rsidRPr="00CA47B9">
        <w:t>of</w:t>
      </w:r>
      <w:r w:rsidR="004B41A2" w:rsidRPr="00CA47B9">
        <w:t xml:space="preserve"> </w:t>
      </w:r>
      <w:r w:rsidR="00855CA6">
        <w:t xml:space="preserve">the </w:t>
      </w:r>
      <w:r w:rsidRPr="00CA47B9">
        <w:t>market</w:t>
      </w:r>
      <w:r w:rsidR="004B41A2" w:rsidRPr="00CA47B9">
        <w:t xml:space="preserve"> </w:t>
      </w:r>
      <w:r w:rsidRPr="00CA47B9">
        <w:t>and</w:t>
      </w:r>
      <w:r w:rsidR="004B41A2" w:rsidRPr="00CA47B9">
        <w:t xml:space="preserve"> </w:t>
      </w:r>
      <w:r w:rsidRPr="00CA47B9">
        <w:t>economic</w:t>
      </w:r>
      <w:r w:rsidR="004B41A2" w:rsidRPr="00CA47B9">
        <w:t xml:space="preserve"> </w:t>
      </w:r>
      <w:r w:rsidRPr="00CA47B9">
        <w:t>dynamics.</w:t>
      </w:r>
    </w:p>
    <w:p w:rsidR="00524B34" w:rsidRPr="00CA47B9" w:rsidRDefault="00524B34" w:rsidP="001C73B8">
      <w:pPr>
        <w:pStyle w:val="11Bodytext"/>
        <w:tabs>
          <w:tab w:val="clear" w:pos="2212"/>
          <w:tab w:val="num" w:pos="567"/>
        </w:tabs>
        <w:ind w:left="567" w:hanging="567"/>
      </w:pPr>
      <w:r>
        <w:t xml:space="preserve">Scenarios are at first presented on a Chichester District level, as econometric models are </w:t>
      </w:r>
      <w:r w:rsidR="00192DD6">
        <w:t>only readily available</w:t>
      </w:r>
      <w:r>
        <w:t xml:space="preserve"> </w:t>
      </w:r>
      <w:r w:rsidR="00192DD6">
        <w:t>at a local authority level. Adjustments to these scenarios</w:t>
      </w:r>
      <w:r w:rsidR="00D70F80">
        <w:t xml:space="preserve"> </w:t>
      </w:r>
      <w:r w:rsidR="00D70F80">
        <w:lastRenderedPageBreak/>
        <w:t xml:space="preserve">have then been made to provide information on </w:t>
      </w:r>
      <w:r w:rsidR="003A2A5A">
        <w:t xml:space="preserve">the </w:t>
      </w:r>
      <w:r w:rsidR="00192DD6">
        <w:t xml:space="preserve">overall floorspace and land need </w:t>
      </w:r>
      <w:r w:rsidR="003A2A5A">
        <w:t>for</w:t>
      </w:r>
      <w:r w:rsidR="00D70F80">
        <w:t xml:space="preserve"> the</w:t>
      </w:r>
      <w:r w:rsidR="00192DD6">
        <w:t xml:space="preserve"> Plan Area</w:t>
      </w:r>
      <w:r w:rsidR="003A2A5A">
        <w:t>.</w:t>
      </w:r>
      <w:r>
        <w:t xml:space="preserve"> </w:t>
      </w:r>
    </w:p>
    <w:p w:rsidR="00B0298E" w:rsidRPr="00CA47B9" w:rsidRDefault="00B0298E" w:rsidP="006765B7">
      <w:pPr>
        <w:pStyle w:val="SubheadBlue12"/>
        <w:ind w:left="567" w:firstLine="0"/>
      </w:pPr>
      <w:r w:rsidRPr="00CA47B9">
        <w:t>Labour</w:t>
      </w:r>
      <w:r w:rsidR="004B41A2" w:rsidRPr="00CA47B9">
        <w:t xml:space="preserve"> </w:t>
      </w:r>
      <w:r w:rsidRPr="00CA47B9">
        <w:t>Demand</w:t>
      </w:r>
      <w:r w:rsidR="004B41A2" w:rsidRPr="00CA47B9">
        <w:t xml:space="preserve"> </w:t>
      </w:r>
      <w:r w:rsidRPr="00CA47B9">
        <w:t>Scenarios</w:t>
      </w:r>
    </w:p>
    <w:p w:rsidR="00B0298E" w:rsidRDefault="00B0298E" w:rsidP="001C73B8">
      <w:pPr>
        <w:pStyle w:val="11Bodytext"/>
        <w:tabs>
          <w:tab w:val="clear" w:pos="2212"/>
          <w:tab w:val="num" w:pos="567"/>
        </w:tabs>
        <w:ind w:left="567" w:hanging="567"/>
      </w:pPr>
      <w:r w:rsidRPr="00CA47B9">
        <w:t>This</w:t>
      </w:r>
      <w:r w:rsidR="004B41A2" w:rsidRPr="00CA47B9">
        <w:t xml:space="preserve"> </w:t>
      </w:r>
      <w:r w:rsidRPr="00CA47B9">
        <w:t>section</w:t>
      </w:r>
      <w:r w:rsidR="004B41A2" w:rsidRPr="00CA47B9">
        <w:t xml:space="preserve"> </w:t>
      </w:r>
      <w:r w:rsidRPr="00CA47B9">
        <w:t>takes</w:t>
      </w:r>
      <w:r w:rsidR="004B41A2" w:rsidRPr="00CA47B9">
        <w:t xml:space="preserve"> </w:t>
      </w:r>
      <w:r w:rsidRPr="00CA47B9">
        <w:t>forward</w:t>
      </w:r>
      <w:r w:rsidR="004B41A2" w:rsidRPr="00CA47B9">
        <w:t xml:space="preserve"> </w:t>
      </w:r>
      <w:r w:rsidRPr="00CA47B9">
        <w:t>the</w:t>
      </w:r>
      <w:r w:rsidR="004B41A2" w:rsidRPr="00CA47B9">
        <w:t xml:space="preserve"> </w:t>
      </w:r>
      <w:r w:rsidRPr="00CA47B9">
        <w:t>economic</w:t>
      </w:r>
      <w:r w:rsidR="004B41A2" w:rsidRPr="00CA47B9">
        <w:t xml:space="preserve"> </w:t>
      </w:r>
      <w:r w:rsidRPr="00CA47B9">
        <w:t>growth</w:t>
      </w:r>
      <w:r w:rsidR="004B41A2" w:rsidRPr="00CA47B9">
        <w:t xml:space="preserve"> </w:t>
      </w:r>
      <w:r w:rsidRPr="00CA47B9">
        <w:t>forecasts</w:t>
      </w:r>
      <w:r w:rsidR="004B41A2" w:rsidRPr="00CA47B9">
        <w:t xml:space="preserve"> </w:t>
      </w:r>
      <w:r w:rsidRPr="00CA47B9">
        <w:t>set</w:t>
      </w:r>
      <w:r w:rsidR="004B41A2" w:rsidRPr="00CA47B9">
        <w:t xml:space="preserve"> </w:t>
      </w:r>
      <w:r w:rsidRPr="00CA47B9">
        <w:t>out</w:t>
      </w:r>
      <w:r w:rsidR="004B41A2" w:rsidRPr="00CA47B9">
        <w:t xml:space="preserve"> </w:t>
      </w:r>
      <w:r w:rsidRPr="00CA47B9">
        <w:t>in</w:t>
      </w:r>
      <w:r w:rsidR="004B41A2" w:rsidRPr="00CA47B9">
        <w:t xml:space="preserve"> </w:t>
      </w:r>
      <w:r w:rsidRPr="00CA47B9">
        <w:t>Chapter</w:t>
      </w:r>
      <w:r w:rsidR="004B41A2" w:rsidRPr="00CA47B9">
        <w:t xml:space="preserve"> </w:t>
      </w:r>
      <w:r w:rsidRPr="00CA47B9">
        <w:t>4.</w:t>
      </w:r>
      <w:r w:rsidR="004B41A2" w:rsidRPr="00CA47B9">
        <w:t xml:space="preserve"> </w:t>
      </w:r>
      <w:r w:rsidRPr="00CA47B9">
        <w:t>This</w:t>
      </w:r>
      <w:r w:rsidR="004B41A2" w:rsidRPr="00CA47B9">
        <w:t xml:space="preserve"> </w:t>
      </w:r>
      <w:r w:rsidRPr="00CA47B9">
        <w:t>includes</w:t>
      </w:r>
      <w:r w:rsidR="004B41A2" w:rsidRPr="00CA47B9">
        <w:t xml:space="preserve"> </w:t>
      </w:r>
      <w:r w:rsidRPr="00CA47B9">
        <w:t>a</w:t>
      </w:r>
      <w:r w:rsidR="004B41A2" w:rsidRPr="00CA47B9">
        <w:t xml:space="preserve"> </w:t>
      </w:r>
      <w:r w:rsidRPr="00CA47B9">
        <w:t>scenario</w:t>
      </w:r>
      <w:r w:rsidR="004B41A2" w:rsidRPr="00CA47B9">
        <w:t xml:space="preserve"> </w:t>
      </w:r>
      <w:r w:rsidRPr="00CA47B9">
        <w:t>based</w:t>
      </w:r>
      <w:r w:rsidR="004B41A2" w:rsidRPr="00CA47B9">
        <w:t xml:space="preserve"> </w:t>
      </w:r>
      <w:r w:rsidRPr="00CA47B9">
        <w:t>on</w:t>
      </w:r>
      <w:r w:rsidR="004B41A2" w:rsidRPr="00CA47B9">
        <w:t xml:space="preserve"> </w:t>
      </w:r>
      <w:r w:rsidRPr="00CA47B9">
        <w:t>the</w:t>
      </w:r>
      <w:r w:rsidR="004B41A2" w:rsidRPr="00CA47B9">
        <w:t xml:space="preserve"> </w:t>
      </w:r>
      <w:r w:rsidRPr="00CA47B9">
        <w:t>baseline</w:t>
      </w:r>
      <w:r w:rsidR="004B41A2" w:rsidRPr="00CA47B9">
        <w:t xml:space="preserve"> </w:t>
      </w:r>
      <w:r w:rsidRPr="00CA47B9">
        <w:t>Oxford</w:t>
      </w:r>
      <w:r w:rsidR="004B41A2" w:rsidRPr="00CA47B9">
        <w:t xml:space="preserve"> </w:t>
      </w:r>
      <w:r w:rsidRPr="00CA47B9">
        <w:t>Economics</w:t>
      </w:r>
      <w:r w:rsidR="004B41A2" w:rsidRPr="00CA47B9">
        <w:t xml:space="preserve"> </w:t>
      </w:r>
      <w:r w:rsidRPr="00CA47B9">
        <w:t>forecast</w:t>
      </w:r>
      <w:r w:rsidR="004B41A2" w:rsidRPr="00CA47B9">
        <w:t xml:space="preserve"> </w:t>
      </w:r>
      <w:r w:rsidRPr="00CA47B9">
        <w:t>and</w:t>
      </w:r>
      <w:r w:rsidR="004B41A2" w:rsidRPr="00CA47B9">
        <w:t xml:space="preserve"> </w:t>
      </w:r>
      <w:r w:rsidR="008842A9" w:rsidRPr="00CA47B9">
        <w:t>a</w:t>
      </w:r>
      <w:r w:rsidR="004B41A2" w:rsidRPr="00CA47B9">
        <w:t xml:space="preserve"> </w:t>
      </w:r>
      <w:r w:rsidR="008842A9" w:rsidRPr="00CA47B9">
        <w:t>second</w:t>
      </w:r>
      <w:r w:rsidR="004B41A2" w:rsidRPr="00CA47B9">
        <w:t xml:space="preserve"> </w:t>
      </w:r>
      <w:r w:rsidR="008842A9" w:rsidRPr="00CA47B9">
        <w:t>scenario</w:t>
      </w:r>
      <w:r w:rsidR="004B41A2" w:rsidRPr="00CA47B9">
        <w:t xml:space="preserve"> </w:t>
      </w:r>
      <w:r w:rsidR="008842A9" w:rsidRPr="00CA47B9">
        <w:t>based</w:t>
      </w:r>
      <w:r w:rsidR="004B41A2" w:rsidRPr="00CA47B9">
        <w:t xml:space="preserve"> </w:t>
      </w:r>
      <w:r w:rsidRPr="00CA47B9">
        <w:t>on</w:t>
      </w:r>
      <w:r w:rsidR="004B41A2" w:rsidRPr="00CA47B9">
        <w:t xml:space="preserve"> </w:t>
      </w:r>
      <w:r w:rsidRPr="00CA47B9">
        <w:t>the</w:t>
      </w:r>
      <w:r w:rsidR="004B41A2" w:rsidRPr="00CA47B9">
        <w:t xml:space="preserve"> </w:t>
      </w:r>
      <w:r w:rsidRPr="00CA47B9">
        <w:t>adjusted</w:t>
      </w:r>
      <w:r w:rsidR="004B41A2" w:rsidRPr="00CA47B9">
        <w:t xml:space="preserve"> </w:t>
      </w:r>
      <w:r w:rsidRPr="00CA47B9">
        <w:t>Growth</w:t>
      </w:r>
      <w:r w:rsidR="004B41A2" w:rsidRPr="00CA47B9">
        <w:t xml:space="preserve"> </w:t>
      </w:r>
      <w:r w:rsidRPr="00CA47B9">
        <w:t>forecast.</w:t>
      </w:r>
    </w:p>
    <w:p w:rsidR="00B0298E" w:rsidRPr="00CA47B9" w:rsidRDefault="00B0298E" w:rsidP="00FA02C9">
      <w:pPr>
        <w:pStyle w:val="Tableheading"/>
        <w:tabs>
          <w:tab w:val="clear" w:pos="794"/>
          <w:tab w:val="clear" w:pos="1843"/>
          <w:tab w:val="left" w:pos="142"/>
        </w:tabs>
        <w:spacing w:line="240" w:lineRule="auto"/>
        <w:ind w:left="0" w:firstLine="0"/>
      </w:pPr>
      <w:r w:rsidRPr="00CA47B9">
        <w:t>Total</w:t>
      </w:r>
      <w:r w:rsidR="004B41A2" w:rsidRPr="00CA47B9">
        <w:t xml:space="preserve"> </w:t>
      </w:r>
      <w:r w:rsidRPr="00CA47B9">
        <w:t>Jobs</w:t>
      </w:r>
      <w:r w:rsidR="004B41A2" w:rsidRPr="00CA47B9">
        <w:t xml:space="preserve"> </w:t>
      </w:r>
      <w:r w:rsidRPr="00CA47B9">
        <w:t>–</w:t>
      </w:r>
      <w:r w:rsidR="004B41A2" w:rsidRPr="00CA47B9">
        <w:t xml:space="preserve"> </w:t>
      </w:r>
      <w:r w:rsidRPr="00CA47B9">
        <w:t>Jobs</w:t>
      </w:r>
      <w:r w:rsidR="004B41A2" w:rsidRPr="00CA47B9">
        <w:t xml:space="preserve"> </w:t>
      </w:r>
      <w:r w:rsidRPr="00CA47B9">
        <w:t>Growth</w:t>
      </w:r>
      <w:r w:rsidR="004B41A2" w:rsidRPr="00CA47B9">
        <w:t xml:space="preserve"> </w:t>
      </w:r>
      <w:r w:rsidRPr="00CA47B9">
        <w:t>Scenarios</w:t>
      </w:r>
      <w:r w:rsidR="003902B9" w:rsidRPr="00CA47B9">
        <w:t xml:space="preserve"> </w:t>
      </w:r>
      <w:r w:rsidR="003902B9" w:rsidRPr="00CA47B9">
        <w:rPr>
          <w:color w:val="auto"/>
          <w:szCs w:val="20"/>
        </w:rPr>
        <w:t>– Chichester District</w:t>
      </w:r>
    </w:p>
    <w:tbl>
      <w:tblPr>
        <w:tblStyle w:val="GLHearntable1"/>
        <w:tblW w:w="4863" w:type="pct"/>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52: Total Jobs – Jobs Growth Scenarios – Chichester District"/>
      </w:tblPr>
      <w:tblGrid>
        <w:gridCol w:w="2106"/>
        <w:gridCol w:w="1276"/>
        <w:gridCol w:w="1774"/>
        <w:gridCol w:w="1130"/>
        <w:gridCol w:w="1207"/>
        <w:gridCol w:w="2084"/>
      </w:tblGrid>
      <w:tr w:rsidR="00FA02C9" w:rsidRPr="007E7A18" w:rsidTr="000031A7">
        <w:trPr>
          <w:cnfStyle w:val="100000000000" w:firstRow="1" w:lastRow="0" w:firstColumn="0" w:lastColumn="0" w:oddVBand="0" w:evenVBand="0" w:oddHBand="0" w:evenHBand="0" w:firstRowFirstColumn="0" w:firstRowLastColumn="0" w:lastRowFirstColumn="0" w:lastRowLastColumn="0"/>
          <w:trHeight w:val="278"/>
          <w:tblHeader/>
          <w:jc w:val="right"/>
        </w:trPr>
        <w:tc>
          <w:tcPr>
            <w:cnfStyle w:val="001000000000" w:firstRow="0" w:lastRow="0" w:firstColumn="1" w:lastColumn="0" w:oddVBand="0" w:evenVBand="0" w:oddHBand="0" w:evenHBand="0" w:firstRowFirstColumn="0" w:firstRowLastColumn="0" w:lastRowFirstColumn="0" w:lastRowLastColumn="0"/>
            <w:tcW w:w="1100" w:type="pct"/>
            <w:noWrap/>
            <w:hideMark/>
          </w:tcPr>
          <w:p w:rsidR="00E95263" w:rsidRPr="007E7A18" w:rsidRDefault="00E95263" w:rsidP="006D435D">
            <w:pPr>
              <w:spacing w:line="240" w:lineRule="auto"/>
              <w:rPr>
                <w:rFonts w:ascii="Times New Roman" w:eastAsia="Times New Roman" w:hAnsi="Times New Roman" w:cs="Times New Roman"/>
                <w:color w:val="auto"/>
                <w:sz w:val="24"/>
                <w:szCs w:val="24"/>
                <w:lang w:eastAsia="en-GB"/>
              </w:rPr>
            </w:pPr>
          </w:p>
        </w:tc>
        <w:tc>
          <w:tcPr>
            <w:tcW w:w="666" w:type="pct"/>
            <w:noWrap/>
            <w:hideMark/>
          </w:tcPr>
          <w:p w:rsidR="00E95263" w:rsidRPr="007E7A18" w:rsidRDefault="00E95263" w:rsidP="006D435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lang w:eastAsia="en-GB"/>
              </w:rPr>
            </w:pPr>
            <w:r w:rsidRPr="007E7A18">
              <w:rPr>
                <w:rFonts w:eastAsia="Times New Roman"/>
                <w:sz w:val="24"/>
                <w:szCs w:val="24"/>
                <w:lang w:eastAsia="en-GB"/>
              </w:rPr>
              <w:t>2019-21</w:t>
            </w:r>
          </w:p>
        </w:tc>
        <w:tc>
          <w:tcPr>
            <w:tcW w:w="926" w:type="pct"/>
            <w:noWrap/>
            <w:hideMark/>
          </w:tcPr>
          <w:p w:rsidR="00E95263" w:rsidRPr="007E7A18" w:rsidRDefault="00E95263" w:rsidP="006D435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lang w:eastAsia="en-GB"/>
              </w:rPr>
            </w:pPr>
            <w:r w:rsidRPr="007E7A18">
              <w:rPr>
                <w:rFonts w:eastAsia="Times New Roman"/>
                <w:sz w:val="24"/>
                <w:szCs w:val="24"/>
                <w:lang w:eastAsia="en-GB"/>
              </w:rPr>
              <w:t>2021-26</w:t>
            </w:r>
          </w:p>
        </w:tc>
        <w:tc>
          <w:tcPr>
            <w:tcW w:w="590" w:type="pct"/>
            <w:noWrap/>
            <w:hideMark/>
          </w:tcPr>
          <w:p w:rsidR="00E95263" w:rsidRPr="007E7A18" w:rsidRDefault="00E95263" w:rsidP="006D435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lang w:eastAsia="en-GB"/>
              </w:rPr>
            </w:pPr>
            <w:r w:rsidRPr="007E7A18">
              <w:rPr>
                <w:rFonts w:eastAsia="Times New Roman"/>
                <w:sz w:val="24"/>
                <w:szCs w:val="24"/>
                <w:lang w:eastAsia="en-GB"/>
              </w:rPr>
              <w:t>2026-31</w:t>
            </w:r>
          </w:p>
        </w:tc>
        <w:tc>
          <w:tcPr>
            <w:tcW w:w="630" w:type="pct"/>
            <w:noWrap/>
            <w:hideMark/>
          </w:tcPr>
          <w:p w:rsidR="00E95263" w:rsidRPr="007E7A18" w:rsidRDefault="00E95263" w:rsidP="006D435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lang w:eastAsia="en-GB"/>
              </w:rPr>
            </w:pPr>
            <w:r w:rsidRPr="007E7A18">
              <w:rPr>
                <w:rFonts w:eastAsia="Times New Roman"/>
                <w:sz w:val="24"/>
                <w:szCs w:val="24"/>
                <w:lang w:eastAsia="en-GB"/>
              </w:rPr>
              <w:t>2031-36</w:t>
            </w:r>
          </w:p>
        </w:tc>
        <w:tc>
          <w:tcPr>
            <w:tcW w:w="1088" w:type="pct"/>
            <w:noWrap/>
            <w:hideMark/>
          </w:tcPr>
          <w:p w:rsidR="00E95263" w:rsidRPr="007E7A18" w:rsidRDefault="00E95263" w:rsidP="006D435D">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lang w:eastAsia="en-GB"/>
              </w:rPr>
            </w:pPr>
            <w:r w:rsidRPr="007E7A18">
              <w:rPr>
                <w:rFonts w:eastAsia="Times New Roman"/>
                <w:sz w:val="24"/>
                <w:szCs w:val="24"/>
                <w:lang w:eastAsia="en-GB"/>
              </w:rPr>
              <w:t>Growth 2019-36</w:t>
            </w:r>
          </w:p>
        </w:tc>
      </w:tr>
      <w:tr w:rsidR="00FA02C9" w:rsidRPr="007E7A18" w:rsidTr="000031A7">
        <w:trPr>
          <w:trHeight w:val="278"/>
          <w:jc w:val="right"/>
        </w:trPr>
        <w:tc>
          <w:tcPr>
            <w:cnfStyle w:val="001000000000" w:firstRow="0" w:lastRow="0" w:firstColumn="1" w:lastColumn="0" w:oddVBand="0" w:evenVBand="0" w:oddHBand="0" w:evenHBand="0" w:firstRowFirstColumn="0" w:firstRowLastColumn="0" w:lastRowFirstColumn="0" w:lastRowLastColumn="0"/>
            <w:tcW w:w="1100" w:type="pct"/>
            <w:shd w:val="clear" w:color="auto" w:fill="FFFFFF" w:themeFill="background1"/>
            <w:noWrap/>
            <w:hideMark/>
          </w:tcPr>
          <w:p w:rsidR="00E95263" w:rsidRPr="007E7A18" w:rsidRDefault="00E95263" w:rsidP="006D435D">
            <w:pPr>
              <w:spacing w:line="240" w:lineRule="auto"/>
              <w:rPr>
                <w:rFonts w:eastAsia="Times New Roman"/>
                <w:b w:val="0"/>
                <w:bCs/>
                <w:color w:val="000000"/>
                <w:sz w:val="24"/>
                <w:szCs w:val="24"/>
                <w:lang w:eastAsia="en-GB"/>
              </w:rPr>
            </w:pPr>
            <w:r w:rsidRPr="007E7A18">
              <w:rPr>
                <w:rFonts w:eastAsia="Times New Roman"/>
                <w:bCs/>
                <w:color w:val="000000"/>
                <w:sz w:val="24"/>
                <w:szCs w:val="24"/>
                <w:lang w:eastAsia="en-GB"/>
              </w:rPr>
              <w:t>Baseline Scenario</w:t>
            </w:r>
          </w:p>
        </w:tc>
        <w:tc>
          <w:tcPr>
            <w:tcW w:w="666" w:type="pct"/>
            <w:shd w:val="clear" w:color="auto" w:fill="FFFFFF" w:themeFill="background1"/>
            <w:noWrap/>
            <w:vAlign w:val="center"/>
            <w:hideMark/>
          </w:tcPr>
          <w:p w:rsidR="00E95263" w:rsidRPr="007E7A18" w:rsidRDefault="00E95263" w:rsidP="006D435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n-GB"/>
              </w:rPr>
            </w:pPr>
            <w:r w:rsidRPr="007E7A18">
              <w:rPr>
                <w:rFonts w:eastAsia="Times New Roman"/>
                <w:color w:val="000000"/>
                <w:sz w:val="24"/>
                <w:szCs w:val="24"/>
                <w:lang w:eastAsia="en-GB"/>
              </w:rPr>
              <w:t>1,100</w:t>
            </w:r>
          </w:p>
        </w:tc>
        <w:tc>
          <w:tcPr>
            <w:tcW w:w="926" w:type="pct"/>
            <w:shd w:val="clear" w:color="auto" w:fill="FFFFFF" w:themeFill="background1"/>
            <w:noWrap/>
            <w:vAlign w:val="center"/>
            <w:hideMark/>
          </w:tcPr>
          <w:p w:rsidR="00E95263" w:rsidRPr="007E7A18" w:rsidRDefault="00E95263" w:rsidP="006D435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n-GB"/>
              </w:rPr>
            </w:pPr>
            <w:r w:rsidRPr="007E7A18">
              <w:rPr>
                <w:rFonts w:eastAsia="Times New Roman"/>
                <w:color w:val="000000"/>
                <w:sz w:val="24"/>
                <w:szCs w:val="24"/>
                <w:lang w:eastAsia="en-GB"/>
              </w:rPr>
              <w:t>1,600</w:t>
            </w:r>
          </w:p>
        </w:tc>
        <w:tc>
          <w:tcPr>
            <w:tcW w:w="590" w:type="pct"/>
            <w:shd w:val="clear" w:color="auto" w:fill="FFFFFF" w:themeFill="background1"/>
            <w:noWrap/>
            <w:vAlign w:val="center"/>
            <w:hideMark/>
          </w:tcPr>
          <w:p w:rsidR="00E95263" w:rsidRPr="007E7A18" w:rsidRDefault="00E95263" w:rsidP="006D435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n-GB"/>
              </w:rPr>
            </w:pPr>
            <w:r w:rsidRPr="007E7A18">
              <w:rPr>
                <w:rFonts w:eastAsia="Times New Roman"/>
                <w:color w:val="000000"/>
                <w:sz w:val="24"/>
                <w:szCs w:val="24"/>
                <w:lang w:eastAsia="en-GB"/>
              </w:rPr>
              <w:t>700</w:t>
            </w:r>
          </w:p>
        </w:tc>
        <w:tc>
          <w:tcPr>
            <w:tcW w:w="630" w:type="pct"/>
            <w:shd w:val="clear" w:color="auto" w:fill="FFFFFF" w:themeFill="background1"/>
            <w:noWrap/>
            <w:vAlign w:val="center"/>
            <w:hideMark/>
          </w:tcPr>
          <w:p w:rsidR="00E95263" w:rsidRPr="007E7A18" w:rsidRDefault="00E95263" w:rsidP="006D435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n-GB"/>
              </w:rPr>
            </w:pPr>
            <w:r w:rsidRPr="007E7A18">
              <w:rPr>
                <w:rFonts w:eastAsia="Times New Roman"/>
                <w:color w:val="000000"/>
                <w:sz w:val="24"/>
                <w:szCs w:val="24"/>
                <w:lang w:eastAsia="en-GB"/>
              </w:rPr>
              <w:t>200</w:t>
            </w:r>
          </w:p>
        </w:tc>
        <w:tc>
          <w:tcPr>
            <w:tcW w:w="1088" w:type="pct"/>
            <w:shd w:val="clear" w:color="auto" w:fill="FFFFFF" w:themeFill="background1"/>
            <w:noWrap/>
            <w:vAlign w:val="center"/>
            <w:hideMark/>
          </w:tcPr>
          <w:p w:rsidR="00E95263" w:rsidRPr="007E7A18" w:rsidRDefault="00E95263" w:rsidP="006D435D">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n-GB"/>
              </w:rPr>
            </w:pPr>
            <w:r w:rsidRPr="007E7A18">
              <w:rPr>
                <w:rFonts w:eastAsia="Times New Roman"/>
                <w:color w:val="000000"/>
                <w:sz w:val="24"/>
                <w:szCs w:val="24"/>
                <w:lang w:eastAsia="en-GB"/>
              </w:rPr>
              <w:t>3,700</w:t>
            </w:r>
          </w:p>
        </w:tc>
      </w:tr>
      <w:tr w:rsidR="00FA02C9" w:rsidRPr="007E7A18" w:rsidTr="000031A7">
        <w:trPr>
          <w:cnfStyle w:val="000000010000" w:firstRow="0" w:lastRow="0" w:firstColumn="0" w:lastColumn="0" w:oddVBand="0" w:evenVBand="0" w:oddHBand="0" w:evenHBand="1" w:firstRowFirstColumn="0" w:firstRowLastColumn="0" w:lastRowFirstColumn="0" w:lastRowLastColumn="0"/>
          <w:trHeight w:val="278"/>
          <w:jc w:val="right"/>
        </w:trPr>
        <w:tc>
          <w:tcPr>
            <w:cnfStyle w:val="001000000000" w:firstRow="0" w:lastRow="0" w:firstColumn="1" w:lastColumn="0" w:oddVBand="0" w:evenVBand="0" w:oddHBand="0" w:evenHBand="0" w:firstRowFirstColumn="0" w:firstRowLastColumn="0" w:lastRowFirstColumn="0" w:lastRowLastColumn="0"/>
            <w:tcW w:w="1100" w:type="pct"/>
            <w:shd w:val="clear" w:color="auto" w:fill="FFFFFF" w:themeFill="background1"/>
            <w:noWrap/>
            <w:hideMark/>
          </w:tcPr>
          <w:p w:rsidR="00E95263" w:rsidRPr="007E7A18" w:rsidRDefault="00E95263" w:rsidP="006D435D">
            <w:pPr>
              <w:spacing w:line="240" w:lineRule="auto"/>
              <w:rPr>
                <w:rFonts w:eastAsia="Times New Roman"/>
                <w:b w:val="0"/>
                <w:bCs/>
                <w:color w:val="000000"/>
                <w:sz w:val="24"/>
                <w:szCs w:val="24"/>
                <w:lang w:eastAsia="en-GB"/>
              </w:rPr>
            </w:pPr>
            <w:r w:rsidRPr="007E7A18">
              <w:rPr>
                <w:rFonts w:eastAsia="Times New Roman"/>
                <w:bCs/>
                <w:color w:val="000000"/>
                <w:sz w:val="24"/>
                <w:szCs w:val="24"/>
                <w:lang w:eastAsia="en-GB"/>
              </w:rPr>
              <w:t>Growth Scenario</w:t>
            </w:r>
          </w:p>
        </w:tc>
        <w:tc>
          <w:tcPr>
            <w:tcW w:w="666" w:type="pct"/>
            <w:shd w:val="clear" w:color="auto" w:fill="FFFFFF" w:themeFill="background1"/>
            <w:noWrap/>
            <w:vAlign w:val="center"/>
            <w:hideMark/>
          </w:tcPr>
          <w:p w:rsidR="00E95263" w:rsidRPr="007E7A18" w:rsidRDefault="00E95263" w:rsidP="006D435D">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4"/>
                <w:szCs w:val="24"/>
                <w:lang w:eastAsia="en-GB"/>
              </w:rPr>
            </w:pPr>
            <w:r w:rsidRPr="007E7A18">
              <w:rPr>
                <w:rFonts w:eastAsia="Times New Roman"/>
                <w:color w:val="000000"/>
                <w:sz w:val="24"/>
                <w:szCs w:val="24"/>
                <w:lang w:eastAsia="en-GB"/>
              </w:rPr>
              <w:t>1,400</w:t>
            </w:r>
          </w:p>
        </w:tc>
        <w:tc>
          <w:tcPr>
            <w:tcW w:w="926" w:type="pct"/>
            <w:shd w:val="clear" w:color="auto" w:fill="FFFFFF" w:themeFill="background1"/>
            <w:noWrap/>
            <w:vAlign w:val="center"/>
            <w:hideMark/>
          </w:tcPr>
          <w:p w:rsidR="00E95263" w:rsidRPr="007E7A18" w:rsidRDefault="00E95263" w:rsidP="006D435D">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4"/>
                <w:szCs w:val="24"/>
                <w:lang w:eastAsia="en-GB"/>
              </w:rPr>
            </w:pPr>
            <w:r w:rsidRPr="007E7A18">
              <w:rPr>
                <w:rFonts w:eastAsia="Times New Roman"/>
                <w:color w:val="000000"/>
                <w:sz w:val="24"/>
                <w:szCs w:val="24"/>
                <w:lang w:eastAsia="en-GB"/>
              </w:rPr>
              <w:t>3,100</w:t>
            </w:r>
          </w:p>
        </w:tc>
        <w:tc>
          <w:tcPr>
            <w:tcW w:w="590" w:type="pct"/>
            <w:shd w:val="clear" w:color="auto" w:fill="FFFFFF" w:themeFill="background1"/>
            <w:noWrap/>
            <w:vAlign w:val="center"/>
            <w:hideMark/>
          </w:tcPr>
          <w:p w:rsidR="00E95263" w:rsidRPr="007E7A18" w:rsidRDefault="00E95263" w:rsidP="006D435D">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4"/>
                <w:szCs w:val="24"/>
                <w:lang w:eastAsia="en-GB"/>
              </w:rPr>
            </w:pPr>
            <w:r w:rsidRPr="007E7A18">
              <w:rPr>
                <w:rFonts w:eastAsia="Times New Roman"/>
                <w:color w:val="000000"/>
                <w:sz w:val="24"/>
                <w:szCs w:val="24"/>
                <w:lang w:eastAsia="en-GB"/>
              </w:rPr>
              <w:t>2,600</w:t>
            </w:r>
          </w:p>
        </w:tc>
        <w:tc>
          <w:tcPr>
            <w:tcW w:w="630" w:type="pct"/>
            <w:shd w:val="clear" w:color="auto" w:fill="FFFFFF" w:themeFill="background1"/>
            <w:noWrap/>
            <w:vAlign w:val="center"/>
            <w:hideMark/>
          </w:tcPr>
          <w:p w:rsidR="00E95263" w:rsidRPr="007E7A18" w:rsidRDefault="00E95263" w:rsidP="006D435D">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4"/>
                <w:szCs w:val="24"/>
                <w:lang w:eastAsia="en-GB"/>
              </w:rPr>
            </w:pPr>
            <w:r w:rsidRPr="007E7A18">
              <w:rPr>
                <w:rFonts w:eastAsia="Times New Roman"/>
                <w:color w:val="000000"/>
                <w:sz w:val="24"/>
                <w:szCs w:val="24"/>
                <w:lang w:eastAsia="en-GB"/>
              </w:rPr>
              <w:t>2,500</w:t>
            </w:r>
          </w:p>
        </w:tc>
        <w:tc>
          <w:tcPr>
            <w:tcW w:w="1088" w:type="pct"/>
            <w:shd w:val="clear" w:color="auto" w:fill="FFFFFF" w:themeFill="background1"/>
            <w:noWrap/>
            <w:vAlign w:val="center"/>
            <w:hideMark/>
          </w:tcPr>
          <w:p w:rsidR="00E95263" w:rsidRPr="007E7A18" w:rsidRDefault="00E95263" w:rsidP="006D435D">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4"/>
                <w:szCs w:val="24"/>
                <w:lang w:eastAsia="en-GB"/>
              </w:rPr>
            </w:pPr>
            <w:r w:rsidRPr="007E7A18">
              <w:rPr>
                <w:rFonts w:eastAsia="Times New Roman"/>
                <w:color w:val="000000"/>
                <w:sz w:val="24"/>
                <w:szCs w:val="24"/>
                <w:lang w:eastAsia="en-GB"/>
              </w:rPr>
              <w:t>9,500</w:t>
            </w:r>
          </w:p>
        </w:tc>
      </w:tr>
    </w:tbl>
    <w:p w:rsidR="009B124D" w:rsidRPr="00CA47B9" w:rsidRDefault="008908CB" w:rsidP="00FA02C9">
      <w:pPr>
        <w:pStyle w:val="11Bodytext"/>
        <w:numPr>
          <w:ilvl w:val="0"/>
          <w:numId w:val="0"/>
        </w:numPr>
        <w:spacing w:before="0" w:after="0" w:line="240" w:lineRule="auto"/>
        <w:ind w:left="142"/>
      </w:pPr>
      <w:r>
        <w:t>So</w:t>
      </w:r>
      <w:r w:rsidR="009B124D" w:rsidRPr="00CA47B9">
        <w:t xml:space="preserve">urce: GLH and Oxford Economics (numbers may not </w:t>
      </w:r>
      <w:r w:rsidR="008B41B9">
        <w:t>sum</w:t>
      </w:r>
      <w:r w:rsidR="009B124D" w:rsidRPr="00CA47B9">
        <w:t xml:space="preserve"> due to rounding)</w:t>
      </w:r>
    </w:p>
    <w:p w:rsidR="00B0298E" w:rsidRPr="00CA47B9" w:rsidRDefault="00B0298E" w:rsidP="00901C92">
      <w:pPr>
        <w:pStyle w:val="Subheadingbold"/>
      </w:pPr>
      <w:r w:rsidRPr="00CA47B9">
        <w:t>Baseline</w:t>
      </w:r>
      <w:r w:rsidR="004B41A2" w:rsidRPr="00CA47B9">
        <w:t xml:space="preserve"> </w:t>
      </w:r>
      <w:r w:rsidRPr="00CA47B9">
        <w:t>Scenario</w:t>
      </w:r>
    </w:p>
    <w:p w:rsidR="00B0298E" w:rsidRPr="00CA47B9" w:rsidRDefault="00B0298E" w:rsidP="001C73B8">
      <w:pPr>
        <w:pStyle w:val="11Bodytext"/>
        <w:tabs>
          <w:tab w:val="clear" w:pos="2212"/>
          <w:tab w:val="num" w:pos="567"/>
        </w:tabs>
        <w:ind w:left="567" w:hanging="567"/>
      </w:pPr>
      <w:r w:rsidRPr="00CA47B9">
        <w:t>The</w:t>
      </w:r>
      <w:r w:rsidR="004B41A2" w:rsidRPr="00CA47B9">
        <w:t xml:space="preserve"> </w:t>
      </w:r>
      <w:r w:rsidRPr="00CA47B9">
        <w:t>Baseline</w:t>
      </w:r>
      <w:r w:rsidR="004B41A2" w:rsidRPr="00CA47B9">
        <w:t xml:space="preserve"> </w:t>
      </w:r>
      <w:r w:rsidRPr="00CA47B9">
        <w:t>Scenario</w:t>
      </w:r>
      <w:r w:rsidR="004B41A2" w:rsidRPr="00CA47B9">
        <w:t xml:space="preserve"> </w:t>
      </w:r>
      <w:r w:rsidRPr="00CA47B9">
        <w:t>considers</w:t>
      </w:r>
      <w:r w:rsidR="004B41A2" w:rsidRPr="00CA47B9">
        <w:t xml:space="preserve"> </w:t>
      </w:r>
      <w:r w:rsidRPr="00CA47B9">
        <w:t>the</w:t>
      </w:r>
      <w:r w:rsidR="004B41A2" w:rsidRPr="00CA47B9">
        <w:t xml:space="preserve"> </w:t>
      </w:r>
      <w:r w:rsidRPr="00CA47B9">
        <w:t>quantum</w:t>
      </w:r>
      <w:r w:rsidR="004B41A2" w:rsidRPr="00CA47B9">
        <w:t xml:space="preserve"> </w:t>
      </w:r>
      <w:r w:rsidRPr="00CA47B9">
        <w:t>of</w:t>
      </w:r>
      <w:r w:rsidR="004B41A2" w:rsidRPr="00CA47B9">
        <w:t xml:space="preserve"> </w:t>
      </w:r>
      <w:r w:rsidRPr="00CA47B9">
        <w:t>employment</w:t>
      </w:r>
      <w:r w:rsidR="004B41A2" w:rsidRPr="00CA47B9">
        <w:t xml:space="preserve"> </w:t>
      </w:r>
      <w:r w:rsidRPr="00CA47B9">
        <w:t>land</w:t>
      </w:r>
      <w:r w:rsidR="004B41A2" w:rsidRPr="00CA47B9">
        <w:t xml:space="preserve"> </w:t>
      </w:r>
      <w:r w:rsidRPr="00CA47B9">
        <w:t>required</w:t>
      </w:r>
      <w:r w:rsidR="004B41A2" w:rsidRPr="00CA47B9">
        <w:t xml:space="preserve"> </w:t>
      </w:r>
      <w:r w:rsidRPr="00CA47B9">
        <w:t>to</w:t>
      </w:r>
      <w:r w:rsidR="004B41A2" w:rsidRPr="00CA47B9">
        <w:t xml:space="preserve"> </w:t>
      </w:r>
      <w:r w:rsidRPr="00CA47B9">
        <w:t>support</w:t>
      </w:r>
      <w:r w:rsidR="004B41A2" w:rsidRPr="00CA47B9">
        <w:t xml:space="preserve"> </w:t>
      </w:r>
      <w:r w:rsidRPr="00CA47B9">
        <w:t>the</w:t>
      </w:r>
      <w:r w:rsidR="004B41A2" w:rsidRPr="00CA47B9">
        <w:t xml:space="preserve"> </w:t>
      </w:r>
      <w:r w:rsidRPr="00CA47B9">
        <w:t>growth</w:t>
      </w:r>
      <w:r w:rsidR="004B41A2" w:rsidRPr="00CA47B9">
        <w:t xml:space="preserve"> </w:t>
      </w:r>
      <w:r w:rsidRPr="00CA47B9">
        <w:t>of</w:t>
      </w:r>
      <w:r w:rsidR="004B41A2" w:rsidRPr="00CA47B9">
        <w:t xml:space="preserve"> </w:t>
      </w:r>
      <w:r w:rsidR="00682596">
        <w:t>3,</w:t>
      </w:r>
      <w:r w:rsidR="003A2A5A">
        <w:t>7</w:t>
      </w:r>
      <w:r w:rsidR="00682596">
        <w:t>00</w:t>
      </w:r>
      <w:r w:rsidR="004B41A2" w:rsidRPr="00CA47B9">
        <w:t xml:space="preserve"> </w:t>
      </w:r>
      <w:r w:rsidRPr="00CA47B9">
        <w:t>jobs</w:t>
      </w:r>
      <w:r w:rsidR="004B41A2" w:rsidRPr="00CA47B9">
        <w:t xml:space="preserve"> </w:t>
      </w:r>
      <w:r w:rsidRPr="00CA47B9">
        <w:t>(</w:t>
      </w:r>
      <w:r w:rsidR="002B7CD2" w:rsidRPr="00CA47B9">
        <w:t>201</w:t>
      </w:r>
      <w:r w:rsidR="00816960">
        <w:t>9</w:t>
      </w:r>
      <w:r w:rsidRPr="00CA47B9">
        <w:t>-36)</w:t>
      </w:r>
      <w:r w:rsidR="004B41A2" w:rsidRPr="00CA47B9">
        <w:t xml:space="preserve"> </w:t>
      </w:r>
      <w:r w:rsidRPr="00CA47B9">
        <w:t>shown</w:t>
      </w:r>
      <w:r w:rsidR="004B41A2" w:rsidRPr="00CA47B9">
        <w:t xml:space="preserve"> </w:t>
      </w:r>
      <w:r w:rsidRPr="00CA47B9">
        <w:t>in</w:t>
      </w:r>
      <w:r w:rsidR="004B41A2" w:rsidRPr="00CA47B9">
        <w:t xml:space="preserve"> </w:t>
      </w:r>
      <w:r w:rsidRPr="00CA47B9">
        <w:t>the</w:t>
      </w:r>
      <w:r w:rsidR="004B41A2" w:rsidRPr="00CA47B9">
        <w:t xml:space="preserve"> </w:t>
      </w:r>
      <w:r w:rsidRPr="00CA47B9">
        <w:t>Oxford</w:t>
      </w:r>
      <w:r w:rsidR="004B41A2" w:rsidRPr="00CA47B9">
        <w:t xml:space="preserve"> </w:t>
      </w:r>
      <w:r w:rsidRPr="00CA47B9">
        <w:t>Economics</w:t>
      </w:r>
      <w:r w:rsidR="004B41A2" w:rsidRPr="00CA47B9">
        <w:t xml:space="preserve"> </w:t>
      </w:r>
      <w:r w:rsidRPr="00CA47B9">
        <w:t>baseline</w:t>
      </w:r>
      <w:r w:rsidR="004B41A2" w:rsidRPr="00CA47B9">
        <w:t xml:space="preserve"> </w:t>
      </w:r>
      <w:r w:rsidRPr="00CA47B9">
        <w:t>forecast.</w:t>
      </w:r>
      <w:r w:rsidR="004B41A2" w:rsidRPr="00CA47B9">
        <w:t xml:space="preserve"> </w:t>
      </w:r>
    </w:p>
    <w:p w:rsidR="00B0298E" w:rsidRPr="00CA47B9" w:rsidRDefault="00B0298E" w:rsidP="001C73B8">
      <w:pPr>
        <w:pStyle w:val="11Bodytext"/>
        <w:tabs>
          <w:tab w:val="clear" w:pos="2212"/>
          <w:tab w:val="num" w:pos="567"/>
        </w:tabs>
        <w:ind w:left="567" w:hanging="567"/>
      </w:pPr>
      <w:r w:rsidRPr="00CA47B9">
        <w:t>GLH</w:t>
      </w:r>
      <w:r w:rsidR="004B41A2" w:rsidRPr="00CA47B9">
        <w:t xml:space="preserve"> </w:t>
      </w:r>
      <w:r w:rsidRPr="00CA47B9">
        <w:t>has</w:t>
      </w:r>
      <w:r w:rsidR="004B41A2" w:rsidRPr="00CA47B9">
        <w:t xml:space="preserve"> </w:t>
      </w:r>
      <w:r w:rsidRPr="00CA47B9">
        <w:t>converted</w:t>
      </w:r>
      <w:r w:rsidR="004B41A2" w:rsidRPr="00CA47B9">
        <w:t xml:space="preserve"> </w:t>
      </w:r>
      <w:r w:rsidRPr="00CA47B9">
        <w:t>the</w:t>
      </w:r>
      <w:r w:rsidR="004B41A2" w:rsidRPr="00CA47B9">
        <w:t xml:space="preserve"> </w:t>
      </w:r>
      <w:r w:rsidRPr="00CA47B9">
        <w:t>forecasts</w:t>
      </w:r>
      <w:r w:rsidR="004B41A2" w:rsidRPr="00CA47B9">
        <w:t xml:space="preserve"> </w:t>
      </w:r>
      <w:r w:rsidRPr="00CA47B9">
        <w:t>for</w:t>
      </w:r>
      <w:r w:rsidR="004B41A2" w:rsidRPr="00CA47B9">
        <w:t xml:space="preserve"> </w:t>
      </w:r>
      <w:r w:rsidRPr="00CA47B9">
        <w:t>total</w:t>
      </w:r>
      <w:r w:rsidR="004B41A2" w:rsidRPr="00CA47B9">
        <w:t xml:space="preserve"> </w:t>
      </w:r>
      <w:r w:rsidRPr="00CA47B9">
        <w:t>employment</w:t>
      </w:r>
      <w:r w:rsidR="004B41A2" w:rsidRPr="00CA47B9">
        <w:t xml:space="preserve"> </w:t>
      </w:r>
      <w:r w:rsidRPr="00CA47B9">
        <w:t>by</w:t>
      </w:r>
      <w:r w:rsidR="004B41A2" w:rsidRPr="00CA47B9">
        <w:t xml:space="preserve"> </w:t>
      </w:r>
      <w:r w:rsidRPr="00CA47B9">
        <w:t>sector</w:t>
      </w:r>
      <w:r w:rsidR="004B41A2" w:rsidRPr="00CA47B9">
        <w:t xml:space="preserve"> </w:t>
      </w:r>
      <w:r w:rsidRPr="00CA47B9">
        <w:t>into</w:t>
      </w:r>
      <w:r w:rsidR="004B41A2" w:rsidRPr="00CA47B9">
        <w:t xml:space="preserve"> </w:t>
      </w:r>
      <w:r w:rsidRPr="00CA47B9">
        <w:t>forecasts</w:t>
      </w:r>
      <w:r w:rsidR="004B41A2" w:rsidRPr="00CA47B9">
        <w:t xml:space="preserve"> </w:t>
      </w:r>
      <w:r w:rsidRPr="00CA47B9">
        <w:t>for</w:t>
      </w:r>
      <w:r w:rsidR="004B41A2" w:rsidRPr="00CA47B9">
        <w:t xml:space="preserve"> </w:t>
      </w:r>
      <w:r w:rsidRPr="00CA47B9">
        <w:t>Full-Time</w:t>
      </w:r>
      <w:r w:rsidR="004B41A2" w:rsidRPr="00CA47B9">
        <w:t xml:space="preserve"> </w:t>
      </w:r>
      <w:r w:rsidRPr="00CA47B9">
        <w:t>Equivalent</w:t>
      </w:r>
      <w:r w:rsidR="004B41A2" w:rsidRPr="00CA47B9">
        <w:t xml:space="preserve"> </w:t>
      </w:r>
      <w:r w:rsidRPr="00CA47B9">
        <w:t>(FTE)</w:t>
      </w:r>
      <w:r w:rsidR="004B41A2" w:rsidRPr="00CA47B9">
        <w:t xml:space="preserve"> </w:t>
      </w:r>
      <w:r w:rsidRPr="00CA47B9">
        <w:t>employment</w:t>
      </w:r>
      <w:r w:rsidR="004B41A2" w:rsidRPr="00CA47B9">
        <w:t xml:space="preserve"> </w:t>
      </w:r>
      <w:r w:rsidRPr="00CA47B9">
        <w:t>through</w:t>
      </w:r>
      <w:r w:rsidR="004B41A2" w:rsidRPr="00CA47B9">
        <w:t xml:space="preserve"> </w:t>
      </w:r>
      <w:r w:rsidRPr="00CA47B9">
        <w:t>analysis</w:t>
      </w:r>
      <w:r w:rsidR="004B41A2" w:rsidRPr="00CA47B9">
        <w:t xml:space="preserve"> </w:t>
      </w:r>
      <w:r w:rsidRPr="00CA47B9">
        <w:t>of</w:t>
      </w:r>
      <w:r w:rsidR="004B41A2" w:rsidRPr="00CA47B9">
        <w:t xml:space="preserve"> </w:t>
      </w:r>
      <w:r w:rsidRPr="00CA47B9">
        <w:t>the</w:t>
      </w:r>
      <w:r w:rsidR="004B41A2" w:rsidRPr="00CA47B9">
        <w:t xml:space="preserve"> </w:t>
      </w:r>
      <w:r w:rsidRPr="00CA47B9">
        <w:t>proportion</w:t>
      </w:r>
      <w:r w:rsidR="004B41A2" w:rsidRPr="00CA47B9">
        <w:t xml:space="preserve"> </w:t>
      </w:r>
      <w:r w:rsidRPr="00CA47B9">
        <w:t>of</w:t>
      </w:r>
      <w:r w:rsidR="004B41A2" w:rsidRPr="00CA47B9">
        <w:t xml:space="preserve"> </w:t>
      </w:r>
      <w:r w:rsidRPr="00CA47B9">
        <w:t>full-</w:t>
      </w:r>
      <w:r w:rsidR="004B41A2" w:rsidRPr="00CA47B9">
        <w:t xml:space="preserve"> </w:t>
      </w:r>
      <w:r w:rsidRPr="00CA47B9">
        <w:t>and</w:t>
      </w:r>
      <w:r w:rsidR="004B41A2" w:rsidRPr="00CA47B9">
        <w:t xml:space="preserve"> </w:t>
      </w:r>
      <w:r w:rsidRPr="00CA47B9">
        <w:t>part-time</w:t>
      </w:r>
      <w:r w:rsidR="004B41A2" w:rsidRPr="00CA47B9">
        <w:t xml:space="preserve"> </w:t>
      </w:r>
      <w:r w:rsidRPr="00CA47B9">
        <w:t>jobs</w:t>
      </w:r>
      <w:r w:rsidR="004B41A2" w:rsidRPr="00CA47B9">
        <w:t xml:space="preserve"> </w:t>
      </w:r>
      <w:r w:rsidRPr="00CA47B9">
        <w:t>in</w:t>
      </w:r>
      <w:r w:rsidR="004B41A2" w:rsidRPr="00CA47B9">
        <w:t xml:space="preserve"> </w:t>
      </w:r>
      <w:r w:rsidRPr="00CA47B9">
        <w:t>Chichester</w:t>
      </w:r>
      <w:r w:rsidR="004B41A2" w:rsidRPr="00CA47B9">
        <w:t xml:space="preserve"> </w:t>
      </w:r>
      <w:r w:rsidRPr="00CA47B9">
        <w:t>on</w:t>
      </w:r>
      <w:r w:rsidR="004B41A2" w:rsidRPr="00CA47B9">
        <w:t xml:space="preserve"> </w:t>
      </w:r>
      <w:r w:rsidRPr="00CA47B9">
        <w:t>a</w:t>
      </w:r>
      <w:r w:rsidR="004B41A2" w:rsidRPr="00CA47B9">
        <w:t xml:space="preserve"> </w:t>
      </w:r>
      <w:r w:rsidRPr="00CA47B9">
        <w:t>sector</w:t>
      </w:r>
      <w:r w:rsidR="004B41A2" w:rsidRPr="00CA47B9">
        <w:t xml:space="preserve"> </w:t>
      </w:r>
      <w:r w:rsidRPr="00CA47B9">
        <w:t>by</w:t>
      </w:r>
      <w:r w:rsidR="004B41A2" w:rsidRPr="00CA47B9">
        <w:t xml:space="preserve"> </w:t>
      </w:r>
      <w:r w:rsidRPr="00CA47B9">
        <w:t>sector</w:t>
      </w:r>
      <w:r w:rsidR="004B41A2" w:rsidRPr="00CA47B9">
        <w:t xml:space="preserve"> </w:t>
      </w:r>
      <w:r w:rsidRPr="00CA47B9">
        <w:t>basis.</w:t>
      </w:r>
      <w:r w:rsidR="004B41A2" w:rsidRPr="00CA47B9">
        <w:t xml:space="preserve"> </w:t>
      </w:r>
    </w:p>
    <w:p w:rsidR="00E519C8" w:rsidRDefault="008B41B9" w:rsidP="001C73B8">
      <w:pPr>
        <w:pStyle w:val="11Bodytext"/>
        <w:tabs>
          <w:tab w:val="clear" w:pos="2212"/>
          <w:tab w:val="num" w:pos="567"/>
        </w:tabs>
        <w:ind w:left="567" w:hanging="567"/>
      </w:pPr>
      <w:r>
        <w:t>The table below</w:t>
      </w:r>
      <w:r w:rsidR="004B41A2" w:rsidRPr="00CA47B9">
        <w:t xml:space="preserve"> </w:t>
      </w:r>
      <w:r w:rsidR="00B0298E" w:rsidRPr="00CA47B9">
        <w:t>shows</w:t>
      </w:r>
      <w:r w:rsidR="004B41A2" w:rsidRPr="00CA47B9">
        <w:t xml:space="preserve"> </w:t>
      </w:r>
      <w:r w:rsidR="00B0298E" w:rsidRPr="00CA47B9">
        <w:t>the</w:t>
      </w:r>
      <w:r w:rsidR="004B41A2" w:rsidRPr="00CA47B9">
        <w:t xml:space="preserve"> </w:t>
      </w:r>
      <w:r w:rsidR="00B0298E" w:rsidRPr="00CA47B9">
        <w:t>percentage</w:t>
      </w:r>
      <w:r w:rsidR="004B41A2" w:rsidRPr="00CA47B9">
        <w:t xml:space="preserve"> </w:t>
      </w:r>
      <w:r w:rsidR="00B0298E" w:rsidRPr="00CA47B9">
        <w:t>of</w:t>
      </w:r>
      <w:r w:rsidR="004B41A2" w:rsidRPr="00CA47B9">
        <w:t xml:space="preserve"> </w:t>
      </w:r>
      <w:r w:rsidR="00B0298E" w:rsidRPr="00CA47B9">
        <w:t>full-time</w:t>
      </w:r>
      <w:r w:rsidR="004B41A2" w:rsidRPr="00CA47B9">
        <w:t xml:space="preserve"> </w:t>
      </w:r>
      <w:r w:rsidR="00B0298E" w:rsidRPr="00CA47B9">
        <w:t>workers</w:t>
      </w:r>
      <w:r w:rsidR="004B41A2" w:rsidRPr="00CA47B9">
        <w:t xml:space="preserve"> </w:t>
      </w:r>
      <w:r w:rsidR="00B0298E" w:rsidRPr="00CA47B9">
        <w:t>for</w:t>
      </w:r>
      <w:r w:rsidR="004B41A2" w:rsidRPr="00CA47B9">
        <w:t xml:space="preserve"> </w:t>
      </w:r>
      <w:r w:rsidR="00B0298E" w:rsidRPr="00CA47B9">
        <w:t>each</w:t>
      </w:r>
      <w:r w:rsidR="004B41A2" w:rsidRPr="00CA47B9">
        <w:t xml:space="preserve"> </w:t>
      </w:r>
      <w:r w:rsidR="00B0298E" w:rsidRPr="00CA47B9">
        <w:t>sector</w:t>
      </w:r>
      <w:r w:rsidR="004B41A2" w:rsidRPr="00CA47B9">
        <w:t xml:space="preserve"> </w:t>
      </w:r>
      <w:r w:rsidR="00B0298E" w:rsidRPr="00CA47B9">
        <w:t>in</w:t>
      </w:r>
      <w:r w:rsidR="004B41A2" w:rsidRPr="00CA47B9">
        <w:t xml:space="preserve"> </w:t>
      </w:r>
      <w:r w:rsidR="00B0298E" w:rsidRPr="00CA47B9">
        <w:t>the</w:t>
      </w:r>
      <w:r w:rsidR="004B41A2" w:rsidRPr="00CA47B9">
        <w:t xml:space="preserve"> </w:t>
      </w:r>
      <w:r w:rsidR="00B0298E" w:rsidRPr="00CA47B9">
        <w:t>district.</w:t>
      </w:r>
      <w:r w:rsidR="004B41A2" w:rsidRPr="00CA47B9">
        <w:t xml:space="preserve"> </w:t>
      </w:r>
      <w:r w:rsidR="00B0298E" w:rsidRPr="00CA47B9">
        <w:t>This</w:t>
      </w:r>
      <w:r w:rsidR="004B41A2" w:rsidRPr="00CA47B9">
        <w:t xml:space="preserve"> </w:t>
      </w:r>
      <w:r w:rsidR="00B0298E" w:rsidRPr="00CA47B9">
        <w:t>is</w:t>
      </w:r>
      <w:r w:rsidR="004B41A2" w:rsidRPr="00CA47B9">
        <w:t xml:space="preserve"> </w:t>
      </w:r>
      <w:r w:rsidR="00B0298E" w:rsidRPr="00CA47B9">
        <w:t>used</w:t>
      </w:r>
      <w:r w:rsidR="004B41A2" w:rsidRPr="00CA47B9">
        <w:t xml:space="preserve"> </w:t>
      </w:r>
      <w:r w:rsidR="00B0298E" w:rsidRPr="00CA47B9">
        <w:t>in</w:t>
      </w:r>
      <w:r w:rsidR="004B41A2" w:rsidRPr="00CA47B9">
        <w:t xml:space="preserve"> </w:t>
      </w:r>
      <w:r w:rsidR="00B0298E" w:rsidRPr="00CA47B9">
        <w:t>relating</w:t>
      </w:r>
      <w:r w:rsidR="004B41A2" w:rsidRPr="00CA47B9">
        <w:t xml:space="preserve"> </w:t>
      </w:r>
      <w:r w:rsidR="00B0298E" w:rsidRPr="00CA47B9">
        <w:t>the</w:t>
      </w:r>
      <w:r w:rsidR="004B41A2" w:rsidRPr="00CA47B9">
        <w:t xml:space="preserve"> </w:t>
      </w:r>
      <w:r w:rsidR="00B0298E" w:rsidRPr="00CA47B9">
        <w:t>forecasts</w:t>
      </w:r>
      <w:r w:rsidR="004B41A2" w:rsidRPr="00CA47B9">
        <w:t xml:space="preserve"> </w:t>
      </w:r>
      <w:r w:rsidR="00B0298E" w:rsidRPr="00CA47B9">
        <w:t>for</w:t>
      </w:r>
      <w:r w:rsidR="004B41A2" w:rsidRPr="00CA47B9">
        <w:t xml:space="preserve"> </w:t>
      </w:r>
      <w:r w:rsidR="00B0298E" w:rsidRPr="00CA47B9">
        <w:t>total</w:t>
      </w:r>
      <w:r w:rsidR="004B41A2" w:rsidRPr="00CA47B9">
        <w:t xml:space="preserve"> </w:t>
      </w:r>
      <w:r w:rsidR="00B0298E" w:rsidRPr="00CA47B9">
        <w:t>employment</w:t>
      </w:r>
      <w:r w:rsidR="004B41A2" w:rsidRPr="00CA47B9">
        <w:t xml:space="preserve"> </w:t>
      </w:r>
      <w:r w:rsidR="00B0298E" w:rsidRPr="00CA47B9">
        <w:t>to</w:t>
      </w:r>
      <w:r w:rsidR="004B41A2" w:rsidRPr="00CA47B9">
        <w:t xml:space="preserve"> </w:t>
      </w:r>
      <w:r w:rsidR="00B0298E" w:rsidRPr="00CA47B9">
        <w:t>expected</w:t>
      </w:r>
      <w:r w:rsidR="004B41A2" w:rsidRPr="00CA47B9">
        <w:t xml:space="preserve"> </w:t>
      </w:r>
      <w:r w:rsidR="00B0298E" w:rsidRPr="00CA47B9">
        <w:t>growth</w:t>
      </w:r>
      <w:r w:rsidR="004B41A2" w:rsidRPr="00CA47B9">
        <w:t xml:space="preserve"> </w:t>
      </w:r>
      <w:r w:rsidR="00B0298E" w:rsidRPr="00CA47B9">
        <w:t>in</w:t>
      </w:r>
      <w:r w:rsidR="004B41A2" w:rsidRPr="00CA47B9">
        <w:t xml:space="preserve"> </w:t>
      </w:r>
      <w:r w:rsidR="00B0298E" w:rsidRPr="00CA47B9">
        <w:t>Full-Time</w:t>
      </w:r>
      <w:r w:rsidR="004B41A2" w:rsidRPr="00CA47B9">
        <w:t xml:space="preserve"> </w:t>
      </w:r>
      <w:r w:rsidR="00B0298E" w:rsidRPr="00CA47B9">
        <w:t>Equivalent</w:t>
      </w:r>
      <w:r w:rsidR="004B41A2" w:rsidRPr="00CA47B9">
        <w:t xml:space="preserve"> </w:t>
      </w:r>
      <w:r w:rsidR="00B0298E" w:rsidRPr="00CA47B9">
        <w:t>(FTE)</w:t>
      </w:r>
      <w:r w:rsidR="004B41A2" w:rsidRPr="00CA47B9">
        <w:t xml:space="preserve"> </w:t>
      </w:r>
      <w:r w:rsidR="00B0298E" w:rsidRPr="00CA47B9">
        <w:t>employment</w:t>
      </w:r>
      <w:r w:rsidR="004B41A2" w:rsidRPr="00CA47B9">
        <w:t xml:space="preserve"> </w:t>
      </w:r>
      <w:r w:rsidR="00B0298E" w:rsidRPr="00CA47B9">
        <w:t>which</w:t>
      </w:r>
      <w:r w:rsidR="004B41A2" w:rsidRPr="00CA47B9">
        <w:t xml:space="preserve"> </w:t>
      </w:r>
      <w:r w:rsidR="00B0298E" w:rsidRPr="00CA47B9">
        <w:t>is</w:t>
      </w:r>
      <w:r w:rsidR="004B41A2" w:rsidRPr="00CA47B9">
        <w:t xml:space="preserve"> </w:t>
      </w:r>
      <w:r w:rsidR="00B0298E" w:rsidRPr="00CA47B9">
        <w:t>used</w:t>
      </w:r>
      <w:r w:rsidR="004B41A2" w:rsidRPr="00CA47B9">
        <w:t xml:space="preserve"> </w:t>
      </w:r>
      <w:r w:rsidR="00B0298E" w:rsidRPr="00CA47B9">
        <w:t>in</w:t>
      </w:r>
      <w:r w:rsidR="004B41A2" w:rsidRPr="00CA47B9">
        <w:t xml:space="preserve"> </w:t>
      </w:r>
      <w:r w:rsidR="00B0298E" w:rsidRPr="00CA47B9">
        <w:t>calculating</w:t>
      </w:r>
      <w:r w:rsidR="004B41A2" w:rsidRPr="00CA47B9">
        <w:t xml:space="preserve"> </w:t>
      </w:r>
      <w:r w:rsidR="00B0298E" w:rsidRPr="00CA47B9">
        <w:t>employment</w:t>
      </w:r>
      <w:r w:rsidR="004B41A2" w:rsidRPr="00CA47B9">
        <w:t xml:space="preserve"> </w:t>
      </w:r>
      <w:r w:rsidR="00B0298E" w:rsidRPr="00CA47B9">
        <w:t>floorspace</w:t>
      </w:r>
      <w:r w:rsidR="004B41A2" w:rsidRPr="00CA47B9">
        <w:t xml:space="preserve"> </w:t>
      </w:r>
      <w:r w:rsidR="00B0298E" w:rsidRPr="00CA47B9">
        <w:t>and</w:t>
      </w:r>
      <w:r w:rsidR="004B41A2" w:rsidRPr="00CA47B9">
        <w:t xml:space="preserve"> </w:t>
      </w:r>
      <w:r w:rsidR="00B0298E" w:rsidRPr="00CA47B9">
        <w:t>land</w:t>
      </w:r>
      <w:r w:rsidR="004B41A2" w:rsidRPr="00CA47B9">
        <w:t xml:space="preserve"> </w:t>
      </w:r>
      <w:r w:rsidR="00B0298E" w:rsidRPr="00CA47B9">
        <w:t>requirements.</w:t>
      </w:r>
      <w:r w:rsidR="004B41A2" w:rsidRPr="00CA47B9">
        <w:t xml:space="preserve"> </w:t>
      </w:r>
    </w:p>
    <w:p w:rsidR="00E519C8" w:rsidRDefault="00E519C8" w:rsidP="001C73B8">
      <w:pPr>
        <w:pStyle w:val="11Bodytext"/>
        <w:tabs>
          <w:tab w:val="clear" w:pos="2212"/>
          <w:tab w:val="num" w:pos="567"/>
        </w:tabs>
        <w:ind w:left="567" w:hanging="567"/>
        <w:sectPr w:rsidR="00E519C8" w:rsidSect="008B43C6">
          <w:pgSz w:w="11900" w:h="16840"/>
          <w:pgMar w:top="1668" w:right="851" w:bottom="1418" w:left="1418" w:header="709" w:footer="709" w:gutter="0"/>
          <w:cols w:space="720"/>
          <w:formProt w:val="0"/>
        </w:sectPr>
      </w:pPr>
    </w:p>
    <w:p w:rsidR="00B0298E" w:rsidRPr="00CA47B9" w:rsidRDefault="00B0298E" w:rsidP="00FA02C9">
      <w:pPr>
        <w:pStyle w:val="Tableheading"/>
        <w:tabs>
          <w:tab w:val="clear" w:pos="794"/>
          <w:tab w:val="clear" w:pos="1843"/>
          <w:tab w:val="left" w:pos="0"/>
        </w:tabs>
        <w:spacing w:line="240" w:lineRule="auto"/>
        <w:ind w:left="0" w:firstLine="0"/>
      </w:pPr>
      <w:bookmarkStart w:id="228" w:name="_Toc418171733"/>
      <w:r w:rsidRPr="00CA47B9">
        <w:lastRenderedPageBreak/>
        <w:t>Percentage</w:t>
      </w:r>
      <w:r w:rsidR="004B41A2" w:rsidRPr="00CA47B9">
        <w:t xml:space="preserve"> </w:t>
      </w:r>
      <w:r w:rsidRPr="00CA47B9">
        <w:t>of</w:t>
      </w:r>
      <w:r w:rsidR="004B41A2" w:rsidRPr="00CA47B9">
        <w:t xml:space="preserve"> </w:t>
      </w:r>
      <w:r w:rsidRPr="00CA47B9">
        <w:t>full</w:t>
      </w:r>
      <w:r w:rsidR="00C67726" w:rsidRPr="00CA47B9">
        <w:t>-</w:t>
      </w:r>
      <w:r w:rsidRPr="00CA47B9">
        <w:t>time</w:t>
      </w:r>
      <w:r w:rsidR="004B41A2" w:rsidRPr="00CA47B9">
        <w:t xml:space="preserve"> </w:t>
      </w:r>
      <w:r w:rsidRPr="00CA47B9">
        <w:t>jobs</w:t>
      </w:r>
      <w:r w:rsidR="004B41A2" w:rsidRPr="00CA47B9">
        <w:t xml:space="preserve"> </w:t>
      </w:r>
      <w:r w:rsidRPr="00CA47B9">
        <w:t>per</w:t>
      </w:r>
      <w:r w:rsidR="004B41A2" w:rsidRPr="00CA47B9">
        <w:t xml:space="preserve"> </w:t>
      </w:r>
      <w:r w:rsidRPr="00CA47B9">
        <w:t>sector</w:t>
      </w:r>
      <w:bookmarkEnd w:id="228"/>
      <w:r w:rsidR="004B41A2" w:rsidRPr="00CA47B9">
        <w:t xml:space="preserve"> </w:t>
      </w:r>
      <w:r w:rsidR="00637E4F" w:rsidRPr="00CA47B9">
        <w:t>in</w:t>
      </w:r>
      <w:r w:rsidR="004B41A2" w:rsidRPr="00CA47B9">
        <w:t xml:space="preserve"> </w:t>
      </w:r>
      <w:r w:rsidR="00637E4F" w:rsidRPr="00CA47B9">
        <w:t>Chichester</w:t>
      </w:r>
      <w:r w:rsidR="004B41A2" w:rsidRPr="00CA47B9">
        <w:t xml:space="preserve"> </w:t>
      </w:r>
      <w:r w:rsidR="00637E4F" w:rsidRPr="00CA47B9">
        <w:t>District</w:t>
      </w:r>
    </w:p>
    <w:tbl>
      <w:tblPr>
        <w:tblStyle w:val="Style1"/>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53: Percentage of full-time jobs per sector in Chichester District"/>
      </w:tblPr>
      <w:tblGrid>
        <w:gridCol w:w="6290"/>
        <w:gridCol w:w="3348"/>
      </w:tblGrid>
      <w:tr w:rsidR="006128D8" w:rsidRPr="007E7A18" w:rsidTr="00FA0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3" w:type="pct"/>
          </w:tcPr>
          <w:p w:rsidR="006128D8" w:rsidRPr="007E7A18" w:rsidRDefault="006128D8" w:rsidP="007E4529">
            <w:pPr>
              <w:pStyle w:val="11Bodytext"/>
              <w:numPr>
                <w:ilvl w:val="0"/>
                <w:numId w:val="0"/>
              </w:numPr>
              <w:spacing w:before="0" w:after="0" w:line="240" w:lineRule="auto"/>
              <w:rPr>
                <w:rFonts w:ascii="Arial Narrow" w:hAnsi="Arial Narrow"/>
              </w:rPr>
            </w:pPr>
            <w:r w:rsidRPr="007E7A18">
              <w:rPr>
                <w:rFonts w:ascii="Arial Narrow" w:hAnsi="Arial Narrow"/>
              </w:rPr>
              <w:t>Industrial Sector</w:t>
            </w:r>
          </w:p>
        </w:tc>
        <w:tc>
          <w:tcPr>
            <w:tcW w:w="1737" w:type="pct"/>
          </w:tcPr>
          <w:p w:rsidR="006128D8" w:rsidRPr="007E7A18" w:rsidRDefault="006128D8" w:rsidP="007E4529">
            <w:pPr>
              <w:keepNext/>
              <w:spacing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sz w:val="24"/>
                <w:szCs w:val="24"/>
              </w:rPr>
            </w:pPr>
            <w:r w:rsidRPr="007E7A18">
              <w:rPr>
                <w:rFonts w:ascii="Arial Narrow" w:hAnsi="Arial Narrow" w:cs="Arial"/>
                <w:sz w:val="24"/>
                <w:szCs w:val="24"/>
              </w:rPr>
              <w:t>% of Full Time Workers (2019)</w:t>
            </w:r>
          </w:p>
        </w:tc>
      </w:tr>
      <w:tr w:rsidR="006128D8" w:rsidRPr="007E7A18" w:rsidTr="00FA02C9">
        <w:tc>
          <w:tcPr>
            <w:cnfStyle w:val="001000000000" w:firstRow="0" w:lastRow="0" w:firstColumn="1" w:lastColumn="0" w:oddVBand="0" w:evenVBand="0" w:oddHBand="0" w:evenHBand="0" w:firstRowFirstColumn="0" w:firstRowLastColumn="0" w:lastRowFirstColumn="0" w:lastRowLastColumn="0"/>
            <w:tcW w:w="3263" w:type="pct"/>
          </w:tcPr>
          <w:p w:rsidR="006128D8" w:rsidRPr="007E7A18" w:rsidRDefault="006128D8" w:rsidP="007E4529">
            <w:pPr>
              <w:keepNext/>
              <w:spacing w:line="240" w:lineRule="auto"/>
              <w:rPr>
                <w:rFonts w:ascii="Arial Narrow" w:hAnsi="Arial Narrow" w:cs="Arial"/>
                <w:bCs/>
                <w:sz w:val="24"/>
                <w:szCs w:val="24"/>
              </w:rPr>
            </w:pPr>
            <w:r w:rsidRPr="007E7A18">
              <w:rPr>
                <w:rFonts w:ascii="Arial Narrow" w:hAnsi="Arial Narrow" w:cs="Arial"/>
                <w:bCs/>
                <w:sz w:val="24"/>
                <w:szCs w:val="24"/>
              </w:rPr>
              <w:t>Agriculture and Mining</w:t>
            </w:r>
          </w:p>
        </w:tc>
        <w:tc>
          <w:tcPr>
            <w:tcW w:w="1737" w:type="pct"/>
          </w:tcPr>
          <w:p w:rsidR="006128D8" w:rsidRPr="007E7A18" w:rsidRDefault="006128D8" w:rsidP="007E452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7E7A18">
              <w:rPr>
                <w:rFonts w:ascii="Arial Narrow" w:hAnsi="Arial Narrow" w:cs="Arial"/>
                <w:color w:val="000000"/>
                <w:sz w:val="24"/>
                <w:szCs w:val="24"/>
              </w:rPr>
              <w:t>96%</w:t>
            </w:r>
          </w:p>
        </w:tc>
      </w:tr>
      <w:tr w:rsidR="006128D8" w:rsidRPr="007E7A18" w:rsidTr="00FA02C9">
        <w:tc>
          <w:tcPr>
            <w:cnfStyle w:val="001000000000" w:firstRow="0" w:lastRow="0" w:firstColumn="1" w:lastColumn="0" w:oddVBand="0" w:evenVBand="0" w:oddHBand="0" w:evenHBand="0" w:firstRowFirstColumn="0" w:firstRowLastColumn="0" w:lastRowFirstColumn="0" w:lastRowLastColumn="0"/>
            <w:tcW w:w="3263" w:type="pct"/>
          </w:tcPr>
          <w:p w:rsidR="006128D8" w:rsidRPr="007E7A18" w:rsidRDefault="006128D8" w:rsidP="007E4529">
            <w:pPr>
              <w:keepNext/>
              <w:spacing w:line="240" w:lineRule="auto"/>
              <w:rPr>
                <w:rFonts w:ascii="Arial Narrow" w:hAnsi="Arial Narrow" w:cs="Arial"/>
                <w:bCs/>
                <w:sz w:val="24"/>
                <w:szCs w:val="24"/>
              </w:rPr>
            </w:pPr>
            <w:r w:rsidRPr="007E7A18">
              <w:rPr>
                <w:rFonts w:ascii="Arial Narrow" w:hAnsi="Arial Narrow" w:cs="Arial"/>
                <w:bCs/>
                <w:sz w:val="24"/>
                <w:szCs w:val="24"/>
              </w:rPr>
              <w:t>Manufacturing</w:t>
            </w:r>
          </w:p>
        </w:tc>
        <w:tc>
          <w:tcPr>
            <w:tcW w:w="1737" w:type="pct"/>
          </w:tcPr>
          <w:p w:rsidR="006128D8" w:rsidRPr="007E7A18" w:rsidRDefault="006128D8" w:rsidP="007E452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7E7A18">
              <w:rPr>
                <w:rFonts w:ascii="Arial Narrow" w:hAnsi="Arial Narrow" w:cs="Arial"/>
                <w:color w:val="000000"/>
                <w:sz w:val="24"/>
                <w:szCs w:val="24"/>
              </w:rPr>
              <w:t>99%</w:t>
            </w:r>
          </w:p>
        </w:tc>
      </w:tr>
      <w:tr w:rsidR="006128D8" w:rsidRPr="007E7A18" w:rsidTr="00FA02C9">
        <w:tc>
          <w:tcPr>
            <w:cnfStyle w:val="001000000000" w:firstRow="0" w:lastRow="0" w:firstColumn="1" w:lastColumn="0" w:oddVBand="0" w:evenVBand="0" w:oddHBand="0" w:evenHBand="0" w:firstRowFirstColumn="0" w:firstRowLastColumn="0" w:lastRowFirstColumn="0" w:lastRowLastColumn="0"/>
            <w:tcW w:w="3263" w:type="pct"/>
          </w:tcPr>
          <w:p w:rsidR="006128D8" w:rsidRPr="007E7A18" w:rsidRDefault="006128D8" w:rsidP="007E4529">
            <w:pPr>
              <w:keepNext/>
              <w:spacing w:line="240" w:lineRule="auto"/>
              <w:rPr>
                <w:rFonts w:ascii="Arial Narrow" w:hAnsi="Arial Narrow" w:cs="Arial"/>
                <w:bCs/>
                <w:sz w:val="24"/>
                <w:szCs w:val="24"/>
              </w:rPr>
            </w:pPr>
            <w:r w:rsidRPr="007E7A18">
              <w:rPr>
                <w:rFonts w:ascii="Arial Narrow" w:hAnsi="Arial Narrow" w:cs="Arial"/>
                <w:bCs/>
                <w:sz w:val="24"/>
                <w:szCs w:val="24"/>
              </w:rPr>
              <w:t>Utilities</w:t>
            </w:r>
          </w:p>
        </w:tc>
        <w:tc>
          <w:tcPr>
            <w:tcW w:w="1737" w:type="pct"/>
          </w:tcPr>
          <w:p w:rsidR="006128D8" w:rsidRPr="007E7A18" w:rsidRDefault="006128D8" w:rsidP="007E452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7E7A18">
              <w:rPr>
                <w:rFonts w:ascii="Arial Narrow" w:hAnsi="Arial Narrow" w:cs="Arial"/>
                <w:color w:val="000000"/>
                <w:sz w:val="24"/>
                <w:szCs w:val="24"/>
              </w:rPr>
              <w:t>96%</w:t>
            </w:r>
          </w:p>
        </w:tc>
      </w:tr>
      <w:tr w:rsidR="006128D8" w:rsidRPr="007E7A18" w:rsidTr="00FA02C9">
        <w:tc>
          <w:tcPr>
            <w:cnfStyle w:val="001000000000" w:firstRow="0" w:lastRow="0" w:firstColumn="1" w:lastColumn="0" w:oddVBand="0" w:evenVBand="0" w:oddHBand="0" w:evenHBand="0" w:firstRowFirstColumn="0" w:firstRowLastColumn="0" w:lastRowFirstColumn="0" w:lastRowLastColumn="0"/>
            <w:tcW w:w="3263" w:type="pct"/>
          </w:tcPr>
          <w:p w:rsidR="006128D8" w:rsidRPr="007E7A18" w:rsidRDefault="006128D8" w:rsidP="007E4529">
            <w:pPr>
              <w:keepNext/>
              <w:spacing w:line="240" w:lineRule="auto"/>
              <w:rPr>
                <w:rFonts w:ascii="Arial Narrow" w:hAnsi="Arial Narrow" w:cs="Arial"/>
                <w:bCs/>
                <w:sz w:val="24"/>
                <w:szCs w:val="24"/>
              </w:rPr>
            </w:pPr>
            <w:r w:rsidRPr="007E7A18">
              <w:rPr>
                <w:rFonts w:ascii="Arial Narrow" w:hAnsi="Arial Narrow" w:cs="Arial"/>
                <w:bCs/>
                <w:sz w:val="24"/>
                <w:szCs w:val="24"/>
              </w:rPr>
              <w:t>Construction</w:t>
            </w:r>
          </w:p>
        </w:tc>
        <w:tc>
          <w:tcPr>
            <w:tcW w:w="1737" w:type="pct"/>
          </w:tcPr>
          <w:p w:rsidR="006128D8" w:rsidRPr="007E7A18" w:rsidRDefault="006128D8" w:rsidP="007E452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7E7A18">
              <w:rPr>
                <w:rFonts w:ascii="Arial Narrow" w:hAnsi="Arial Narrow" w:cs="Arial"/>
                <w:color w:val="000000"/>
                <w:sz w:val="24"/>
                <w:szCs w:val="24"/>
              </w:rPr>
              <w:t>90%</w:t>
            </w:r>
          </w:p>
        </w:tc>
      </w:tr>
      <w:tr w:rsidR="006128D8" w:rsidRPr="007E7A18" w:rsidTr="00FA02C9">
        <w:tc>
          <w:tcPr>
            <w:cnfStyle w:val="001000000000" w:firstRow="0" w:lastRow="0" w:firstColumn="1" w:lastColumn="0" w:oddVBand="0" w:evenVBand="0" w:oddHBand="0" w:evenHBand="0" w:firstRowFirstColumn="0" w:firstRowLastColumn="0" w:lastRowFirstColumn="0" w:lastRowLastColumn="0"/>
            <w:tcW w:w="3263" w:type="pct"/>
          </w:tcPr>
          <w:p w:rsidR="006128D8" w:rsidRPr="007E7A18" w:rsidRDefault="006128D8" w:rsidP="007E4529">
            <w:pPr>
              <w:keepNext/>
              <w:spacing w:line="240" w:lineRule="auto"/>
              <w:rPr>
                <w:rFonts w:ascii="Arial Narrow" w:hAnsi="Arial Narrow" w:cs="Arial"/>
                <w:bCs/>
                <w:sz w:val="24"/>
                <w:szCs w:val="24"/>
              </w:rPr>
            </w:pPr>
            <w:r w:rsidRPr="007E7A18">
              <w:rPr>
                <w:rFonts w:ascii="Arial Narrow" w:hAnsi="Arial Narrow" w:cs="Arial"/>
                <w:bCs/>
                <w:sz w:val="24"/>
                <w:szCs w:val="24"/>
              </w:rPr>
              <w:t>Wholesale and retail trade</w:t>
            </w:r>
          </w:p>
        </w:tc>
        <w:tc>
          <w:tcPr>
            <w:tcW w:w="1737" w:type="pct"/>
          </w:tcPr>
          <w:p w:rsidR="006128D8" w:rsidRPr="007E7A18" w:rsidRDefault="006128D8" w:rsidP="007E452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7E7A18">
              <w:rPr>
                <w:rFonts w:ascii="Arial Narrow" w:hAnsi="Arial Narrow" w:cs="Arial"/>
                <w:color w:val="000000"/>
                <w:sz w:val="24"/>
                <w:szCs w:val="24"/>
              </w:rPr>
              <w:t>79%</w:t>
            </w:r>
          </w:p>
        </w:tc>
      </w:tr>
      <w:tr w:rsidR="006128D8" w:rsidRPr="007E7A18" w:rsidTr="00FA02C9">
        <w:tc>
          <w:tcPr>
            <w:cnfStyle w:val="001000000000" w:firstRow="0" w:lastRow="0" w:firstColumn="1" w:lastColumn="0" w:oddVBand="0" w:evenVBand="0" w:oddHBand="0" w:evenHBand="0" w:firstRowFirstColumn="0" w:firstRowLastColumn="0" w:lastRowFirstColumn="0" w:lastRowLastColumn="0"/>
            <w:tcW w:w="3263" w:type="pct"/>
          </w:tcPr>
          <w:p w:rsidR="006128D8" w:rsidRPr="007E7A18" w:rsidRDefault="006128D8" w:rsidP="007E4529">
            <w:pPr>
              <w:keepNext/>
              <w:spacing w:line="240" w:lineRule="auto"/>
              <w:rPr>
                <w:rFonts w:ascii="Arial Narrow" w:hAnsi="Arial Narrow" w:cs="Arial"/>
                <w:bCs/>
                <w:sz w:val="24"/>
                <w:szCs w:val="24"/>
              </w:rPr>
            </w:pPr>
            <w:r w:rsidRPr="007E7A18">
              <w:rPr>
                <w:rFonts w:ascii="Arial Narrow" w:hAnsi="Arial Narrow" w:cs="Arial"/>
                <w:bCs/>
                <w:sz w:val="24"/>
                <w:szCs w:val="24"/>
              </w:rPr>
              <w:t>Transport and Warehouse</w:t>
            </w:r>
          </w:p>
        </w:tc>
        <w:tc>
          <w:tcPr>
            <w:tcW w:w="1737" w:type="pct"/>
          </w:tcPr>
          <w:p w:rsidR="006128D8" w:rsidRPr="007E7A18" w:rsidRDefault="006128D8" w:rsidP="007E452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7E7A18">
              <w:rPr>
                <w:rFonts w:ascii="Arial Narrow" w:hAnsi="Arial Narrow" w:cs="Arial"/>
                <w:color w:val="000000"/>
                <w:sz w:val="24"/>
                <w:szCs w:val="24"/>
              </w:rPr>
              <w:t>78%</w:t>
            </w:r>
          </w:p>
        </w:tc>
      </w:tr>
      <w:tr w:rsidR="006128D8" w:rsidRPr="007E7A18" w:rsidTr="00FA02C9">
        <w:tc>
          <w:tcPr>
            <w:cnfStyle w:val="001000000000" w:firstRow="0" w:lastRow="0" w:firstColumn="1" w:lastColumn="0" w:oddVBand="0" w:evenVBand="0" w:oddHBand="0" w:evenHBand="0" w:firstRowFirstColumn="0" w:firstRowLastColumn="0" w:lastRowFirstColumn="0" w:lastRowLastColumn="0"/>
            <w:tcW w:w="3263" w:type="pct"/>
          </w:tcPr>
          <w:p w:rsidR="006128D8" w:rsidRPr="007E7A18" w:rsidRDefault="006128D8" w:rsidP="007E4529">
            <w:pPr>
              <w:keepNext/>
              <w:spacing w:line="240" w:lineRule="auto"/>
              <w:rPr>
                <w:rFonts w:ascii="Arial Narrow" w:hAnsi="Arial Narrow" w:cs="Arial"/>
                <w:bCs/>
                <w:sz w:val="24"/>
                <w:szCs w:val="24"/>
              </w:rPr>
            </w:pPr>
            <w:r w:rsidRPr="007E7A18">
              <w:rPr>
                <w:rFonts w:ascii="Arial Narrow" w:hAnsi="Arial Narrow" w:cs="Arial"/>
                <w:bCs/>
                <w:sz w:val="24"/>
                <w:szCs w:val="24"/>
              </w:rPr>
              <w:t>Accommodation and F&amp;B Service</w:t>
            </w:r>
          </w:p>
        </w:tc>
        <w:tc>
          <w:tcPr>
            <w:tcW w:w="1737" w:type="pct"/>
          </w:tcPr>
          <w:p w:rsidR="006128D8" w:rsidRPr="007E7A18" w:rsidRDefault="006128D8" w:rsidP="007E452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7E7A18">
              <w:rPr>
                <w:rFonts w:ascii="Arial Narrow" w:hAnsi="Arial Narrow" w:cs="Arial"/>
                <w:color w:val="000000"/>
                <w:sz w:val="24"/>
                <w:szCs w:val="24"/>
              </w:rPr>
              <w:t>75%</w:t>
            </w:r>
          </w:p>
        </w:tc>
      </w:tr>
      <w:tr w:rsidR="006128D8" w:rsidRPr="007E7A18" w:rsidTr="00FA02C9">
        <w:tc>
          <w:tcPr>
            <w:cnfStyle w:val="001000000000" w:firstRow="0" w:lastRow="0" w:firstColumn="1" w:lastColumn="0" w:oddVBand="0" w:evenVBand="0" w:oddHBand="0" w:evenHBand="0" w:firstRowFirstColumn="0" w:firstRowLastColumn="0" w:lastRowFirstColumn="0" w:lastRowLastColumn="0"/>
            <w:tcW w:w="3263" w:type="pct"/>
          </w:tcPr>
          <w:p w:rsidR="006128D8" w:rsidRPr="007E7A18" w:rsidRDefault="006128D8" w:rsidP="007E4529">
            <w:pPr>
              <w:keepNext/>
              <w:spacing w:line="240" w:lineRule="auto"/>
              <w:rPr>
                <w:rFonts w:ascii="Arial Narrow" w:hAnsi="Arial Narrow" w:cs="Arial"/>
                <w:bCs/>
                <w:sz w:val="24"/>
                <w:szCs w:val="24"/>
              </w:rPr>
            </w:pPr>
            <w:r w:rsidRPr="007E7A18">
              <w:rPr>
                <w:rFonts w:ascii="Arial Narrow" w:hAnsi="Arial Narrow" w:cs="Arial"/>
                <w:bCs/>
                <w:sz w:val="24"/>
                <w:szCs w:val="24"/>
              </w:rPr>
              <w:t>Media and IT</w:t>
            </w:r>
          </w:p>
        </w:tc>
        <w:tc>
          <w:tcPr>
            <w:tcW w:w="1737" w:type="pct"/>
          </w:tcPr>
          <w:p w:rsidR="006128D8" w:rsidRPr="007E7A18" w:rsidRDefault="006128D8" w:rsidP="007E452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7E7A18">
              <w:rPr>
                <w:rFonts w:ascii="Arial Narrow" w:hAnsi="Arial Narrow" w:cs="Arial"/>
                <w:color w:val="000000"/>
                <w:sz w:val="24"/>
                <w:szCs w:val="24"/>
              </w:rPr>
              <w:t>82%</w:t>
            </w:r>
          </w:p>
        </w:tc>
      </w:tr>
      <w:tr w:rsidR="006128D8" w:rsidRPr="007E7A18" w:rsidTr="00FA02C9">
        <w:tc>
          <w:tcPr>
            <w:cnfStyle w:val="001000000000" w:firstRow="0" w:lastRow="0" w:firstColumn="1" w:lastColumn="0" w:oddVBand="0" w:evenVBand="0" w:oddHBand="0" w:evenHBand="0" w:firstRowFirstColumn="0" w:firstRowLastColumn="0" w:lastRowFirstColumn="0" w:lastRowLastColumn="0"/>
            <w:tcW w:w="3263" w:type="pct"/>
          </w:tcPr>
          <w:p w:rsidR="006128D8" w:rsidRPr="007E7A18" w:rsidRDefault="006128D8" w:rsidP="007E4529">
            <w:pPr>
              <w:keepNext/>
              <w:spacing w:line="240" w:lineRule="auto"/>
              <w:rPr>
                <w:rFonts w:ascii="Arial Narrow" w:hAnsi="Arial Narrow" w:cs="Arial"/>
                <w:bCs/>
                <w:sz w:val="24"/>
                <w:szCs w:val="24"/>
              </w:rPr>
            </w:pPr>
            <w:r w:rsidRPr="007E7A18">
              <w:rPr>
                <w:rFonts w:ascii="Arial Narrow" w:hAnsi="Arial Narrow" w:cs="Arial"/>
                <w:bCs/>
                <w:sz w:val="24"/>
                <w:szCs w:val="24"/>
              </w:rPr>
              <w:t>Professional Services</w:t>
            </w:r>
          </w:p>
        </w:tc>
        <w:tc>
          <w:tcPr>
            <w:tcW w:w="1737" w:type="pct"/>
          </w:tcPr>
          <w:p w:rsidR="006128D8" w:rsidRPr="007E7A18" w:rsidRDefault="006128D8" w:rsidP="007E452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7E7A18">
              <w:rPr>
                <w:rFonts w:ascii="Arial Narrow" w:hAnsi="Arial Narrow" w:cs="Arial"/>
                <w:color w:val="000000"/>
                <w:sz w:val="24"/>
                <w:szCs w:val="24"/>
              </w:rPr>
              <w:t>88%</w:t>
            </w:r>
          </w:p>
        </w:tc>
      </w:tr>
      <w:tr w:rsidR="006128D8" w:rsidRPr="007E7A18" w:rsidTr="00FA02C9">
        <w:tc>
          <w:tcPr>
            <w:cnfStyle w:val="001000000000" w:firstRow="0" w:lastRow="0" w:firstColumn="1" w:lastColumn="0" w:oddVBand="0" w:evenVBand="0" w:oddHBand="0" w:evenHBand="0" w:firstRowFirstColumn="0" w:firstRowLastColumn="0" w:lastRowFirstColumn="0" w:lastRowLastColumn="0"/>
            <w:tcW w:w="3263" w:type="pct"/>
          </w:tcPr>
          <w:p w:rsidR="006128D8" w:rsidRPr="007E7A18" w:rsidRDefault="006128D8" w:rsidP="007E4529">
            <w:pPr>
              <w:keepNext/>
              <w:spacing w:line="240" w:lineRule="auto"/>
              <w:rPr>
                <w:rFonts w:ascii="Arial Narrow" w:hAnsi="Arial Narrow" w:cs="Arial"/>
                <w:bCs/>
                <w:sz w:val="24"/>
                <w:szCs w:val="24"/>
              </w:rPr>
            </w:pPr>
            <w:r w:rsidRPr="007E7A18">
              <w:rPr>
                <w:rFonts w:ascii="Arial Narrow" w:hAnsi="Arial Narrow" w:cs="Arial"/>
                <w:bCs/>
                <w:sz w:val="24"/>
                <w:szCs w:val="24"/>
              </w:rPr>
              <w:t>Business support services</w:t>
            </w:r>
          </w:p>
        </w:tc>
        <w:tc>
          <w:tcPr>
            <w:tcW w:w="1737" w:type="pct"/>
          </w:tcPr>
          <w:p w:rsidR="006128D8" w:rsidRPr="007E7A18" w:rsidRDefault="006128D8" w:rsidP="007E452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7E7A18">
              <w:rPr>
                <w:rFonts w:ascii="Arial Narrow" w:hAnsi="Arial Narrow" w:cs="Arial"/>
                <w:color w:val="000000"/>
                <w:sz w:val="24"/>
                <w:szCs w:val="24"/>
              </w:rPr>
              <w:t>81%</w:t>
            </w:r>
          </w:p>
        </w:tc>
      </w:tr>
      <w:tr w:rsidR="006128D8" w:rsidRPr="007E7A18" w:rsidTr="00FA02C9">
        <w:tc>
          <w:tcPr>
            <w:cnfStyle w:val="001000000000" w:firstRow="0" w:lastRow="0" w:firstColumn="1" w:lastColumn="0" w:oddVBand="0" w:evenVBand="0" w:oddHBand="0" w:evenHBand="0" w:firstRowFirstColumn="0" w:firstRowLastColumn="0" w:lastRowFirstColumn="0" w:lastRowLastColumn="0"/>
            <w:tcW w:w="3263" w:type="pct"/>
          </w:tcPr>
          <w:p w:rsidR="006128D8" w:rsidRPr="007E7A18" w:rsidRDefault="006128D8" w:rsidP="007E4529">
            <w:pPr>
              <w:keepNext/>
              <w:spacing w:line="240" w:lineRule="auto"/>
              <w:rPr>
                <w:rFonts w:ascii="Arial Narrow" w:hAnsi="Arial Narrow" w:cs="Arial"/>
                <w:bCs/>
                <w:sz w:val="24"/>
                <w:szCs w:val="24"/>
              </w:rPr>
            </w:pPr>
            <w:r w:rsidRPr="007E7A18">
              <w:rPr>
                <w:rFonts w:ascii="Arial Narrow" w:hAnsi="Arial Narrow" w:cs="Arial"/>
                <w:bCs/>
                <w:sz w:val="24"/>
                <w:szCs w:val="24"/>
              </w:rPr>
              <w:t>Public Administration &amp; Defence</w:t>
            </w:r>
          </w:p>
        </w:tc>
        <w:tc>
          <w:tcPr>
            <w:tcW w:w="1737" w:type="pct"/>
          </w:tcPr>
          <w:p w:rsidR="006128D8" w:rsidRPr="007E7A18" w:rsidRDefault="006128D8" w:rsidP="007E452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7E7A18">
              <w:rPr>
                <w:rFonts w:ascii="Arial Narrow" w:hAnsi="Arial Narrow" w:cs="Arial"/>
                <w:color w:val="000000"/>
                <w:sz w:val="24"/>
                <w:szCs w:val="24"/>
              </w:rPr>
              <w:t>96%</w:t>
            </w:r>
          </w:p>
        </w:tc>
      </w:tr>
      <w:tr w:rsidR="006128D8" w:rsidRPr="007E7A18" w:rsidTr="00FA02C9">
        <w:tc>
          <w:tcPr>
            <w:cnfStyle w:val="001000000000" w:firstRow="0" w:lastRow="0" w:firstColumn="1" w:lastColumn="0" w:oddVBand="0" w:evenVBand="0" w:oddHBand="0" w:evenHBand="0" w:firstRowFirstColumn="0" w:firstRowLastColumn="0" w:lastRowFirstColumn="0" w:lastRowLastColumn="0"/>
            <w:tcW w:w="3263" w:type="pct"/>
          </w:tcPr>
          <w:p w:rsidR="006128D8" w:rsidRPr="007E7A18" w:rsidRDefault="006128D8" w:rsidP="007E4529">
            <w:pPr>
              <w:keepNext/>
              <w:spacing w:line="240" w:lineRule="auto"/>
              <w:rPr>
                <w:rFonts w:ascii="Arial Narrow" w:hAnsi="Arial Narrow" w:cs="Arial"/>
                <w:bCs/>
                <w:sz w:val="24"/>
                <w:szCs w:val="24"/>
              </w:rPr>
            </w:pPr>
            <w:r w:rsidRPr="007E7A18">
              <w:rPr>
                <w:rFonts w:ascii="Arial Narrow" w:hAnsi="Arial Narrow" w:cs="Arial"/>
                <w:bCs/>
                <w:sz w:val="24"/>
                <w:szCs w:val="24"/>
              </w:rPr>
              <w:t>Education</w:t>
            </w:r>
          </w:p>
        </w:tc>
        <w:tc>
          <w:tcPr>
            <w:tcW w:w="1737" w:type="pct"/>
          </w:tcPr>
          <w:p w:rsidR="006128D8" w:rsidRPr="007E7A18" w:rsidRDefault="006128D8" w:rsidP="007E452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7E7A18">
              <w:rPr>
                <w:rFonts w:ascii="Arial Narrow" w:hAnsi="Arial Narrow" w:cs="Arial"/>
                <w:color w:val="000000"/>
                <w:sz w:val="24"/>
                <w:szCs w:val="24"/>
              </w:rPr>
              <w:t>75%</w:t>
            </w:r>
          </w:p>
        </w:tc>
      </w:tr>
      <w:tr w:rsidR="006128D8" w:rsidRPr="007E7A18" w:rsidTr="00FA02C9">
        <w:tc>
          <w:tcPr>
            <w:cnfStyle w:val="001000000000" w:firstRow="0" w:lastRow="0" w:firstColumn="1" w:lastColumn="0" w:oddVBand="0" w:evenVBand="0" w:oddHBand="0" w:evenHBand="0" w:firstRowFirstColumn="0" w:firstRowLastColumn="0" w:lastRowFirstColumn="0" w:lastRowLastColumn="0"/>
            <w:tcW w:w="3263" w:type="pct"/>
          </w:tcPr>
          <w:p w:rsidR="006128D8" w:rsidRPr="007E7A18" w:rsidRDefault="006128D8" w:rsidP="007E4529">
            <w:pPr>
              <w:keepNext/>
              <w:spacing w:line="240" w:lineRule="auto"/>
              <w:rPr>
                <w:rFonts w:ascii="Arial Narrow" w:hAnsi="Arial Narrow" w:cs="Arial"/>
                <w:bCs/>
                <w:sz w:val="24"/>
                <w:szCs w:val="24"/>
              </w:rPr>
            </w:pPr>
            <w:r w:rsidRPr="007E7A18">
              <w:rPr>
                <w:rFonts w:ascii="Arial Narrow" w:hAnsi="Arial Narrow" w:cs="Arial"/>
                <w:bCs/>
                <w:sz w:val="24"/>
                <w:szCs w:val="24"/>
              </w:rPr>
              <w:t>Health and Social Care</w:t>
            </w:r>
          </w:p>
        </w:tc>
        <w:tc>
          <w:tcPr>
            <w:tcW w:w="1737" w:type="pct"/>
          </w:tcPr>
          <w:p w:rsidR="006128D8" w:rsidRPr="007E7A18" w:rsidRDefault="006128D8" w:rsidP="007E452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7E7A18">
              <w:rPr>
                <w:rFonts w:ascii="Arial Narrow" w:hAnsi="Arial Narrow" w:cs="Arial"/>
                <w:color w:val="000000"/>
                <w:sz w:val="24"/>
                <w:szCs w:val="24"/>
              </w:rPr>
              <w:t>77%</w:t>
            </w:r>
          </w:p>
        </w:tc>
      </w:tr>
      <w:tr w:rsidR="006128D8" w:rsidRPr="007E7A18" w:rsidTr="00FA02C9">
        <w:tc>
          <w:tcPr>
            <w:cnfStyle w:val="001000000000" w:firstRow="0" w:lastRow="0" w:firstColumn="1" w:lastColumn="0" w:oddVBand="0" w:evenVBand="0" w:oddHBand="0" w:evenHBand="0" w:firstRowFirstColumn="0" w:firstRowLastColumn="0" w:lastRowFirstColumn="0" w:lastRowLastColumn="0"/>
            <w:tcW w:w="3263" w:type="pct"/>
          </w:tcPr>
          <w:p w:rsidR="006128D8" w:rsidRPr="007E7A18" w:rsidRDefault="006128D8" w:rsidP="007E4529">
            <w:pPr>
              <w:keepNext/>
              <w:spacing w:line="240" w:lineRule="auto"/>
              <w:rPr>
                <w:rFonts w:ascii="Arial Narrow" w:hAnsi="Arial Narrow" w:cs="Arial"/>
                <w:bCs/>
                <w:sz w:val="24"/>
                <w:szCs w:val="24"/>
              </w:rPr>
            </w:pPr>
            <w:r w:rsidRPr="007E7A18">
              <w:rPr>
                <w:rFonts w:ascii="Arial Narrow" w:hAnsi="Arial Narrow" w:cs="Arial"/>
                <w:bCs/>
                <w:sz w:val="24"/>
                <w:szCs w:val="24"/>
              </w:rPr>
              <w:t>Arts, Recreation, and Other Services</w:t>
            </w:r>
          </w:p>
        </w:tc>
        <w:tc>
          <w:tcPr>
            <w:tcW w:w="1737" w:type="pct"/>
          </w:tcPr>
          <w:p w:rsidR="006128D8" w:rsidRPr="007E7A18" w:rsidRDefault="006128D8" w:rsidP="007E452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7E7A18">
              <w:rPr>
                <w:rFonts w:ascii="Arial Narrow" w:hAnsi="Arial Narrow" w:cs="Arial"/>
                <w:color w:val="000000"/>
                <w:sz w:val="24"/>
                <w:szCs w:val="24"/>
              </w:rPr>
              <w:t>86%</w:t>
            </w:r>
          </w:p>
        </w:tc>
      </w:tr>
    </w:tbl>
    <w:p w:rsidR="00B0298E" w:rsidRPr="00CA47B9" w:rsidRDefault="00B0298E" w:rsidP="00FA02C9">
      <w:pPr>
        <w:pStyle w:val="11Bodytext"/>
        <w:numPr>
          <w:ilvl w:val="0"/>
          <w:numId w:val="0"/>
        </w:numPr>
        <w:spacing w:before="0" w:after="0" w:line="240" w:lineRule="auto"/>
      </w:pPr>
      <w:r w:rsidRPr="00CA47B9">
        <w:t>Source:</w:t>
      </w:r>
      <w:r w:rsidR="004B41A2" w:rsidRPr="00CA47B9">
        <w:t xml:space="preserve"> </w:t>
      </w:r>
      <w:r w:rsidRPr="00CA47B9">
        <w:t>GLH</w:t>
      </w:r>
      <w:r w:rsidR="004B41A2" w:rsidRPr="00CA47B9">
        <w:t xml:space="preserve"> </w:t>
      </w:r>
      <w:r w:rsidRPr="00CA47B9">
        <w:t>analysis</w:t>
      </w:r>
      <w:r w:rsidR="004B41A2" w:rsidRPr="00CA47B9">
        <w:t xml:space="preserve"> </w:t>
      </w:r>
      <w:r w:rsidRPr="00CA47B9">
        <w:t>of</w:t>
      </w:r>
      <w:r w:rsidR="004B41A2" w:rsidRPr="00CA47B9">
        <w:t xml:space="preserve"> </w:t>
      </w:r>
      <w:r w:rsidRPr="00CA47B9">
        <w:t>BRES</w:t>
      </w:r>
      <w:r w:rsidR="004B41A2" w:rsidRPr="00CA47B9">
        <w:t xml:space="preserve"> </w:t>
      </w:r>
      <w:r w:rsidRPr="00CA47B9">
        <w:t>data</w:t>
      </w:r>
    </w:p>
    <w:p w:rsidR="00B0298E" w:rsidRPr="00CA47B9" w:rsidRDefault="00B0298E" w:rsidP="001C73B8">
      <w:pPr>
        <w:pStyle w:val="11Bodytext"/>
        <w:tabs>
          <w:tab w:val="clear" w:pos="2212"/>
          <w:tab w:val="num" w:pos="567"/>
        </w:tabs>
        <w:ind w:left="567" w:hanging="567"/>
      </w:pPr>
      <w:r w:rsidRPr="00CA47B9">
        <w:t>This</w:t>
      </w:r>
      <w:r w:rsidR="004B41A2" w:rsidRPr="00CA47B9">
        <w:t xml:space="preserve"> </w:t>
      </w:r>
      <w:r w:rsidRPr="00CA47B9">
        <w:t>provides</w:t>
      </w:r>
      <w:r w:rsidR="004B41A2" w:rsidRPr="00CA47B9">
        <w:t xml:space="preserve"> </w:t>
      </w:r>
      <w:r w:rsidRPr="00CA47B9">
        <w:t>a</w:t>
      </w:r>
      <w:r w:rsidR="004B41A2" w:rsidRPr="00CA47B9">
        <w:t xml:space="preserve"> </w:t>
      </w:r>
      <w:r w:rsidRPr="00CA47B9">
        <w:t>figure</w:t>
      </w:r>
      <w:r w:rsidR="004B41A2" w:rsidRPr="00CA47B9">
        <w:t xml:space="preserve"> </w:t>
      </w:r>
      <w:r w:rsidRPr="00CA47B9">
        <w:t>for</w:t>
      </w:r>
      <w:r w:rsidR="004B41A2" w:rsidRPr="00CA47B9">
        <w:t xml:space="preserve"> </w:t>
      </w:r>
      <w:r w:rsidR="00855CA6">
        <w:t xml:space="preserve">the </w:t>
      </w:r>
      <w:r w:rsidRPr="00CA47B9">
        <w:t>net</w:t>
      </w:r>
      <w:r w:rsidR="004B41A2" w:rsidRPr="00CA47B9">
        <w:t xml:space="preserve"> </w:t>
      </w:r>
      <w:r w:rsidRPr="00CA47B9">
        <w:t>change</w:t>
      </w:r>
      <w:r w:rsidR="004B41A2" w:rsidRPr="00CA47B9">
        <w:t xml:space="preserve"> </w:t>
      </w:r>
      <w:r w:rsidRPr="00CA47B9">
        <w:t>in</w:t>
      </w:r>
      <w:r w:rsidR="004B41A2" w:rsidRPr="00CA47B9">
        <w:t xml:space="preserve"> </w:t>
      </w:r>
      <w:r w:rsidRPr="00CA47B9">
        <w:t>the</w:t>
      </w:r>
      <w:r w:rsidR="004B41A2" w:rsidRPr="00CA47B9">
        <w:t xml:space="preserve"> </w:t>
      </w:r>
      <w:r w:rsidRPr="00CA47B9">
        <w:t>number</w:t>
      </w:r>
      <w:r w:rsidR="004B41A2" w:rsidRPr="00CA47B9">
        <w:t xml:space="preserve"> </w:t>
      </w:r>
      <w:r w:rsidRPr="00CA47B9">
        <w:t>of</w:t>
      </w:r>
      <w:r w:rsidR="004B41A2" w:rsidRPr="00CA47B9">
        <w:t xml:space="preserve"> </w:t>
      </w:r>
      <w:r w:rsidRPr="00CA47B9">
        <w:t>FTE</w:t>
      </w:r>
      <w:r w:rsidR="004B41A2" w:rsidRPr="00CA47B9">
        <w:t xml:space="preserve"> </w:t>
      </w:r>
      <w:r w:rsidRPr="00CA47B9">
        <w:t>jobs</w:t>
      </w:r>
      <w:r w:rsidR="004B41A2" w:rsidRPr="00CA47B9">
        <w:t xml:space="preserve"> </w:t>
      </w:r>
      <w:r w:rsidRPr="00CA47B9">
        <w:t>in</w:t>
      </w:r>
      <w:r w:rsidR="004B41A2" w:rsidRPr="00CA47B9">
        <w:t xml:space="preserve"> </w:t>
      </w:r>
      <w:r w:rsidRPr="00CA47B9">
        <w:t>each</w:t>
      </w:r>
      <w:r w:rsidR="004B41A2" w:rsidRPr="00CA47B9">
        <w:t xml:space="preserve"> </w:t>
      </w:r>
      <w:r w:rsidRPr="00CA47B9">
        <w:t>sector</w:t>
      </w:r>
      <w:r w:rsidR="004B41A2" w:rsidRPr="00CA47B9">
        <w:t xml:space="preserve"> </w:t>
      </w:r>
      <w:r w:rsidRPr="00CA47B9">
        <w:t>over</w:t>
      </w:r>
      <w:r w:rsidR="004B41A2" w:rsidRPr="00CA47B9">
        <w:t xml:space="preserve"> </w:t>
      </w:r>
      <w:r w:rsidRPr="00CA47B9">
        <w:t>the</w:t>
      </w:r>
      <w:r w:rsidR="004B41A2" w:rsidRPr="00CA47B9">
        <w:t xml:space="preserve"> </w:t>
      </w:r>
      <w:r w:rsidRPr="00CA47B9">
        <w:t>plan</w:t>
      </w:r>
      <w:r w:rsidR="004B41A2" w:rsidRPr="00CA47B9">
        <w:t xml:space="preserve"> </w:t>
      </w:r>
      <w:r w:rsidRPr="00CA47B9">
        <w:t>period.</w:t>
      </w:r>
      <w:r w:rsidR="004B41A2" w:rsidRPr="00CA47B9">
        <w:t xml:space="preserve"> </w:t>
      </w:r>
      <w:r w:rsidRPr="00CA47B9">
        <w:t>The</w:t>
      </w:r>
      <w:r w:rsidR="004B41A2" w:rsidRPr="00CA47B9">
        <w:t xml:space="preserve"> </w:t>
      </w:r>
      <w:r w:rsidRPr="00CA47B9">
        <w:t>baseline</w:t>
      </w:r>
      <w:r w:rsidR="004B41A2" w:rsidRPr="00CA47B9">
        <w:t xml:space="preserve"> </w:t>
      </w:r>
      <w:r w:rsidRPr="00CA47B9">
        <w:t>OE</w:t>
      </w:r>
      <w:r w:rsidR="004B41A2" w:rsidRPr="00CA47B9">
        <w:t xml:space="preserve"> </w:t>
      </w:r>
      <w:r w:rsidRPr="00CA47B9">
        <w:t>forecasts</w:t>
      </w:r>
      <w:r w:rsidR="004B41A2" w:rsidRPr="00CA47B9">
        <w:t xml:space="preserve"> </w:t>
      </w:r>
      <w:r w:rsidRPr="00CA47B9">
        <w:t>show</w:t>
      </w:r>
      <w:r w:rsidR="004B41A2" w:rsidRPr="00CA47B9">
        <w:t xml:space="preserve"> </w:t>
      </w:r>
      <w:r w:rsidRPr="00CA47B9">
        <w:t>a</w:t>
      </w:r>
      <w:r w:rsidR="004B41A2" w:rsidRPr="00CA47B9">
        <w:t xml:space="preserve"> </w:t>
      </w:r>
      <w:r w:rsidRPr="00CA47B9">
        <w:t>net</w:t>
      </w:r>
      <w:r w:rsidR="004B41A2" w:rsidRPr="00CA47B9">
        <w:t xml:space="preserve"> </w:t>
      </w:r>
      <w:r w:rsidRPr="00CA47B9">
        <w:t>jobs</w:t>
      </w:r>
      <w:r w:rsidR="004B41A2" w:rsidRPr="00CA47B9">
        <w:t xml:space="preserve"> </w:t>
      </w:r>
      <w:r w:rsidRPr="00CA47B9">
        <w:t>growth</w:t>
      </w:r>
      <w:r w:rsidR="004B41A2" w:rsidRPr="00CA47B9">
        <w:t xml:space="preserve"> </w:t>
      </w:r>
      <w:r w:rsidRPr="00CA47B9">
        <w:t>of</w:t>
      </w:r>
      <w:r w:rsidR="004B41A2" w:rsidRPr="00CA47B9">
        <w:t xml:space="preserve"> </w:t>
      </w:r>
      <w:r w:rsidR="00682596">
        <w:t>2,665</w:t>
      </w:r>
      <w:r w:rsidR="00682596" w:rsidRPr="00CA47B9">
        <w:t xml:space="preserve"> </w:t>
      </w:r>
      <w:r w:rsidRPr="00CA47B9">
        <w:t>FTE</w:t>
      </w:r>
      <w:r w:rsidR="004B41A2" w:rsidRPr="00CA47B9">
        <w:t xml:space="preserve"> </w:t>
      </w:r>
      <w:r w:rsidRPr="00CA47B9">
        <w:t>jobs</w:t>
      </w:r>
      <w:r w:rsidR="004B41A2" w:rsidRPr="00CA47B9">
        <w:t xml:space="preserve"> </w:t>
      </w:r>
      <w:r w:rsidRPr="00CA47B9">
        <w:t>over</w:t>
      </w:r>
      <w:r w:rsidR="004B41A2" w:rsidRPr="00CA47B9">
        <w:t xml:space="preserve"> </w:t>
      </w:r>
      <w:r w:rsidRPr="00CA47B9">
        <w:t>the</w:t>
      </w:r>
      <w:r w:rsidR="004B41A2" w:rsidRPr="00CA47B9">
        <w:t xml:space="preserve"> </w:t>
      </w:r>
      <w:r w:rsidRPr="00CA47B9">
        <w:t>period</w:t>
      </w:r>
      <w:r w:rsidR="004B41A2" w:rsidRPr="00CA47B9">
        <w:t xml:space="preserve"> </w:t>
      </w:r>
      <w:r w:rsidR="002B7CD2" w:rsidRPr="00CA47B9">
        <w:t>201</w:t>
      </w:r>
      <w:r w:rsidR="006607BC">
        <w:t>9</w:t>
      </w:r>
      <w:r w:rsidRPr="00CA47B9">
        <w:t>-36.</w:t>
      </w:r>
    </w:p>
    <w:p w:rsidR="00C67726" w:rsidRPr="006607BC" w:rsidRDefault="00B0298E" w:rsidP="00FA02C9">
      <w:pPr>
        <w:pStyle w:val="FigureHeading"/>
        <w:tabs>
          <w:tab w:val="clear" w:pos="794"/>
          <w:tab w:val="clear" w:pos="1843"/>
          <w:tab w:val="left" w:pos="0"/>
        </w:tabs>
        <w:ind w:left="0" w:firstLine="0"/>
      </w:pPr>
      <w:bookmarkStart w:id="229" w:name="_Toc481156703"/>
      <w:r w:rsidRPr="00CA47B9">
        <w:t>OE</w:t>
      </w:r>
      <w:r w:rsidR="004B41A2" w:rsidRPr="00CA47B9">
        <w:t xml:space="preserve"> </w:t>
      </w:r>
      <w:r w:rsidRPr="00CA47B9">
        <w:t>Baseline</w:t>
      </w:r>
      <w:r w:rsidR="004B41A2" w:rsidRPr="00CA47B9">
        <w:t xml:space="preserve"> </w:t>
      </w:r>
      <w:r w:rsidRPr="00CA47B9">
        <w:t>–</w:t>
      </w:r>
      <w:r w:rsidR="004B41A2" w:rsidRPr="00CA47B9">
        <w:t xml:space="preserve"> </w:t>
      </w:r>
      <w:r w:rsidRPr="00CA47B9">
        <w:t>Net</w:t>
      </w:r>
      <w:r w:rsidR="004B41A2" w:rsidRPr="00CA47B9">
        <w:t xml:space="preserve"> </w:t>
      </w:r>
      <w:r w:rsidRPr="00CA47B9">
        <w:t>change</w:t>
      </w:r>
      <w:r w:rsidR="004B41A2" w:rsidRPr="00CA47B9">
        <w:t xml:space="preserve"> </w:t>
      </w:r>
      <w:r w:rsidRPr="00CA47B9">
        <w:t>in</w:t>
      </w:r>
      <w:r w:rsidR="004B41A2" w:rsidRPr="00CA47B9">
        <w:t xml:space="preserve"> </w:t>
      </w:r>
      <w:r w:rsidRPr="00CA47B9">
        <w:t>FTE</w:t>
      </w:r>
      <w:r w:rsidR="004B41A2" w:rsidRPr="00CA47B9">
        <w:t xml:space="preserve"> </w:t>
      </w:r>
      <w:r w:rsidRPr="00CA47B9">
        <w:t>jobs</w:t>
      </w:r>
      <w:r w:rsidR="004B41A2" w:rsidRPr="00CA47B9">
        <w:t xml:space="preserve"> </w:t>
      </w:r>
      <w:r w:rsidR="000269EB" w:rsidRPr="00CA47B9">
        <w:t>in</w:t>
      </w:r>
      <w:r w:rsidR="004B41A2" w:rsidRPr="00CA47B9">
        <w:t xml:space="preserve"> </w:t>
      </w:r>
      <w:r w:rsidR="000269EB" w:rsidRPr="00CA47B9">
        <w:t>Chichester</w:t>
      </w:r>
      <w:r w:rsidR="004B41A2" w:rsidRPr="00CA47B9">
        <w:t xml:space="preserve"> </w:t>
      </w:r>
      <w:r w:rsidR="000269EB" w:rsidRPr="00CA47B9">
        <w:t>D</w:t>
      </w:r>
      <w:r w:rsidR="00637E4F" w:rsidRPr="00CA47B9">
        <w:t>istrict</w:t>
      </w:r>
      <w:r w:rsidRPr="00CA47B9">
        <w:t>,</w:t>
      </w:r>
      <w:r w:rsidR="004B41A2" w:rsidRPr="00CA47B9">
        <w:t xml:space="preserve"> </w:t>
      </w:r>
      <w:r w:rsidR="002B7CD2" w:rsidRPr="00CA47B9">
        <w:t>201</w:t>
      </w:r>
      <w:r w:rsidR="006607BC">
        <w:t>9</w:t>
      </w:r>
      <w:r w:rsidRPr="00CA47B9">
        <w:t>-203</w:t>
      </w:r>
      <w:bookmarkEnd w:id="229"/>
      <w:r w:rsidRPr="00CA47B9">
        <w:t>6</w:t>
      </w:r>
    </w:p>
    <w:p w:rsidR="00CC237F" w:rsidRPr="00CA47B9" w:rsidRDefault="00B80B7B" w:rsidP="00031E60">
      <w:pPr>
        <w:pStyle w:val="11Bodytext"/>
        <w:numPr>
          <w:ilvl w:val="0"/>
          <w:numId w:val="0"/>
        </w:numPr>
        <w:spacing w:before="0" w:after="0" w:line="240" w:lineRule="auto"/>
      </w:pPr>
      <w:r>
        <w:rPr>
          <w:noProof/>
          <w:lang w:eastAsia="en-GB"/>
        </w:rPr>
        <w:drawing>
          <wp:inline distT="0" distB="0" distL="0" distR="0" wp14:anchorId="51CEC209" wp14:editId="03F6AE89">
            <wp:extent cx="6130800" cy="3366000"/>
            <wp:effectExtent l="0" t="0" r="22860" b="25400"/>
            <wp:docPr id="1060" name="Chart 1060" descr="Bar chart comparing FTE jobs change by broad sector" title="Figure 66: OE Baseline – Net change in FTE jobs in Chichester District, 2019-203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sidR="00CC237F" w:rsidRPr="00CA47B9">
        <w:t>Source:</w:t>
      </w:r>
      <w:r w:rsidR="004B41A2" w:rsidRPr="00CA47B9">
        <w:t xml:space="preserve"> </w:t>
      </w:r>
      <w:r w:rsidR="00CC237F" w:rsidRPr="00CA47B9">
        <w:t>Oxford</w:t>
      </w:r>
      <w:r w:rsidR="004B41A2" w:rsidRPr="00CA47B9">
        <w:t xml:space="preserve"> </w:t>
      </w:r>
      <w:r w:rsidR="00CC237F" w:rsidRPr="00CA47B9">
        <w:t>Economics</w:t>
      </w:r>
    </w:p>
    <w:p w:rsidR="00B0298E" w:rsidRPr="00CA47B9" w:rsidRDefault="00B0298E" w:rsidP="001C73B8">
      <w:pPr>
        <w:pStyle w:val="11Bodytext"/>
        <w:tabs>
          <w:tab w:val="clear" w:pos="2212"/>
          <w:tab w:val="num" w:pos="567"/>
        </w:tabs>
        <w:ind w:left="567" w:hanging="567"/>
      </w:pPr>
      <w:r w:rsidRPr="00CA47B9">
        <w:t>GLH</w:t>
      </w:r>
      <w:r w:rsidR="004B41A2" w:rsidRPr="00CA47B9">
        <w:t xml:space="preserve"> </w:t>
      </w:r>
      <w:r w:rsidRPr="00CA47B9">
        <w:t>has</w:t>
      </w:r>
      <w:r w:rsidR="004B41A2" w:rsidRPr="00CA47B9">
        <w:t xml:space="preserve"> </w:t>
      </w:r>
      <w:r w:rsidRPr="00CA47B9">
        <w:t>considered</w:t>
      </w:r>
      <w:r w:rsidR="004B41A2" w:rsidRPr="00CA47B9">
        <w:t xml:space="preserve"> </w:t>
      </w:r>
      <w:r w:rsidRPr="00CA47B9">
        <w:t>the</w:t>
      </w:r>
      <w:r w:rsidR="004B41A2" w:rsidRPr="00CA47B9">
        <w:t xml:space="preserve"> </w:t>
      </w:r>
      <w:r w:rsidRPr="00CA47B9">
        <w:t>proportion</w:t>
      </w:r>
      <w:r w:rsidR="004B41A2" w:rsidRPr="00CA47B9">
        <w:t xml:space="preserve"> </w:t>
      </w:r>
      <w:r w:rsidRPr="00CA47B9">
        <w:t>of</w:t>
      </w:r>
      <w:r w:rsidR="004B41A2" w:rsidRPr="00CA47B9">
        <w:t xml:space="preserve"> </w:t>
      </w:r>
      <w:r w:rsidRPr="00CA47B9">
        <w:t>employment</w:t>
      </w:r>
      <w:r w:rsidR="004B41A2" w:rsidRPr="00CA47B9">
        <w:t xml:space="preserve"> </w:t>
      </w:r>
      <w:r w:rsidRPr="00CA47B9">
        <w:t>in</w:t>
      </w:r>
      <w:r w:rsidR="004B41A2" w:rsidRPr="00CA47B9">
        <w:t xml:space="preserve"> </w:t>
      </w:r>
      <w:r w:rsidRPr="00CA47B9">
        <w:t>each</w:t>
      </w:r>
      <w:r w:rsidR="004B41A2" w:rsidRPr="00CA47B9">
        <w:t xml:space="preserve"> </w:t>
      </w:r>
      <w:r w:rsidRPr="00CA47B9">
        <w:t>of</w:t>
      </w:r>
      <w:r w:rsidR="004B41A2" w:rsidRPr="00CA47B9">
        <w:t xml:space="preserve"> </w:t>
      </w:r>
      <w:r w:rsidRPr="00CA47B9">
        <w:t>these</w:t>
      </w:r>
      <w:r w:rsidR="004B41A2" w:rsidRPr="00CA47B9">
        <w:t xml:space="preserve"> </w:t>
      </w:r>
      <w:r w:rsidRPr="00CA47B9">
        <w:t>sectors</w:t>
      </w:r>
      <w:r w:rsidR="004B41A2" w:rsidRPr="00CA47B9">
        <w:t xml:space="preserve"> </w:t>
      </w:r>
      <w:r w:rsidRPr="00CA47B9">
        <w:t>which</w:t>
      </w:r>
      <w:r w:rsidR="004B41A2" w:rsidRPr="00CA47B9">
        <w:t xml:space="preserve"> </w:t>
      </w:r>
      <w:r w:rsidRPr="00CA47B9">
        <w:t>is</w:t>
      </w:r>
      <w:r w:rsidR="004B41A2" w:rsidRPr="00CA47B9">
        <w:t xml:space="preserve"> </w:t>
      </w:r>
      <w:r w:rsidRPr="00CA47B9">
        <w:t>likely</w:t>
      </w:r>
      <w:r w:rsidR="004B41A2" w:rsidRPr="00CA47B9">
        <w:t xml:space="preserve"> </w:t>
      </w:r>
      <w:r w:rsidRPr="00CA47B9">
        <w:t>to</w:t>
      </w:r>
      <w:r w:rsidR="004B41A2" w:rsidRPr="00CA47B9">
        <w:t xml:space="preserve"> </w:t>
      </w:r>
      <w:r w:rsidRPr="00CA47B9">
        <w:t>take</w:t>
      </w:r>
      <w:r w:rsidR="004B41A2" w:rsidRPr="00CA47B9">
        <w:t xml:space="preserve"> </w:t>
      </w:r>
      <w:r w:rsidRPr="00CA47B9">
        <w:t>place</w:t>
      </w:r>
      <w:r w:rsidR="004B41A2" w:rsidRPr="00CA47B9">
        <w:t xml:space="preserve"> </w:t>
      </w:r>
      <w:r w:rsidRPr="00CA47B9">
        <w:t>in</w:t>
      </w:r>
      <w:r w:rsidR="004B41A2" w:rsidRPr="00CA47B9">
        <w:t xml:space="preserve"> </w:t>
      </w:r>
      <w:r w:rsidR="00855CA6">
        <w:t xml:space="preserve">an </w:t>
      </w:r>
      <w:r w:rsidRPr="00CA47B9">
        <w:t>office</w:t>
      </w:r>
      <w:r w:rsidR="004B41A2" w:rsidRPr="00CA47B9">
        <w:t xml:space="preserve"> </w:t>
      </w:r>
      <w:r w:rsidRPr="00CA47B9">
        <w:t>or</w:t>
      </w:r>
      <w:r w:rsidR="004B41A2" w:rsidRPr="00CA47B9">
        <w:t xml:space="preserve"> </w:t>
      </w:r>
      <w:r w:rsidRPr="00CA47B9">
        <w:t>R&amp;D</w:t>
      </w:r>
      <w:r w:rsidR="004B41A2" w:rsidRPr="00CA47B9">
        <w:t xml:space="preserve"> </w:t>
      </w:r>
      <w:r w:rsidRPr="00CA47B9">
        <w:t>floorspace</w:t>
      </w:r>
      <w:r w:rsidR="004B41A2" w:rsidRPr="00CA47B9">
        <w:t xml:space="preserve"> </w:t>
      </w:r>
      <w:r w:rsidRPr="00CA47B9">
        <w:t>(Use</w:t>
      </w:r>
      <w:r w:rsidR="004B41A2" w:rsidRPr="00CA47B9">
        <w:t xml:space="preserve"> </w:t>
      </w:r>
      <w:r w:rsidRPr="00CA47B9">
        <w:t>Classes</w:t>
      </w:r>
      <w:r w:rsidR="004B41A2" w:rsidRPr="00CA47B9">
        <w:t xml:space="preserve"> </w:t>
      </w:r>
      <w:r w:rsidRPr="00CA47B9">
        <w:t>B1a</w:t>
      </w:r>
      <w:r w:rsidR="004B41A2" w:rsidRPr="00CA47B9">
        <w:t xml:space="preserve"> </w:t>
      </w:r>
      <w:r w:rsidRPr="00CA47B9">
        <w:t>and</w:t>
      </w:r>
      <w:r w:rsidR="004B41A2" w:rsidRPr="00CA47B9">
        <w:t xml:space="preserve"> </w:t>
      </w:r>
      <w:r w:rsidRPr="00CA47B9">
        <w:t>B1b),</w:t>
      </w:r>
      <w:r w:rsidR="004B41A2" w:rsidRPr="00CA47B9">
        <w:t xml:space="preserve"> </w:t>
      </w:r>
      <w:r w:rsidRPr="00CA47B9">
        <w:t>light</w:t>
      </w:r>
      <w:r w:rsidR="004B41A2" w:rsidRPr="00CA47B9">
        <w:t xml:space="preserve"> </w:t>
      </w:r>
      <w:r w:rsidRPr="00CA47B9">
        <w:lastRenderedPageBreak/>
        <w:t>industrial</w:t>
      </w:r>
      <w:r w:rsidR="004B41A2" w:rsidRPr="00CA47B9">
        <w:t xml:space="preserve"> </w:t>
      </w:r>
      <w:r w:rsidRPr="00CA47B9">
        <w:t>floorspace</w:t>
      </w:r>
      <w:r w:rsidR="004B41A2" w:rsidRPr="00CA47B9">
        <w:t xml:space="preserve"> </w:t>
      </w:r>
      <w:r w:rsidRPr="00CA47B9">
        <w:t>(Use</w:t>
      </w:r>
      <w:r w:rsidR="004B41A2" w:rsidRPr="00CA47B9">
        <w:t xml:space="preserve"> </w:t>
      </w:r>
      <w:r w:rsidRPr="00CA47B9">
        <w:t>Classes</w:t>
      </w:r>
      <w:r w:rsidR="004B41A2" w:rsidRPr="00CA47B9">
        <w:t xml:space="preserve"> </w:t>
      </w:r>
      <w:r w:rsidRPr="00CA47B9">
        <w:t>B1c),</w:t>
      </w:r>
      <w:r w:rsidR="004B41A2" w:rsidRPr="00CA47B9">
        <w:t xml:space="preserve"> </w:t>
      </w:r>
      <w:r w:rsidRPr="00CA47B9">
        <w:t>general</w:t>
      </w:r>
      <w:r w:rsidR="004B41A2" w:rsidRPr="00CA47B9">
        <w:t xml:space="preserve"> </w:t>
      </w:r>
      <w:r w:rsidRPr="00CA47B9">
        <w:t>industrial</w:t>
      </w:r>
      <w:r w:rsidR="004B41A2" w:rsidRPr="00CA47B9">
        <w:t xml:space="preserve"> </w:t>
      </w:r>
      <w:r w:rsidRPr="00CA47B9">
        <w:t>floorspace</w:t>
      </w:r>
      <w:r w:rsidR="004B41A2" w:rsidRPr="00CA47B9">
        <w:t xml:space="preserve"> </w:t>
      </w:r>
      <w:r w:rsidRPr="00CA47B9">
        <w:t>(Use</w:t>
      </w:r>
      <w:r w:rsidR="004B41A2" w:rsidRPr="00CA47B9">
        <w:t xml:space="preserve"> </w:t>
      </w:r>
      <w:r w:rsidRPr="00CA47B9">
        <w:t>Class</w:t>
      </w:r>
      <w:r w:rsidR="004B41A2" w:rsidRPr="00CA47B9">
        <w:t xml:space="preserve"> </w:t>
      </w:r>
      <w:r w:rsidRPr="00CA47B9">
        <w:t>B2),</w:t>
      </w:r>
      <w:r w:rsidR="004B41A2" w:rsidRPr="00CA47B9">
        <w:t xml:space="preserve"> </w:t>
      </w:r>
      <w:r w:rsidRPr="00CA47B9">
        <w:t>and</w:t>
      </w:r>
      <w:r w:rsidR="004B41A2" w:rsidRPr="00CA47B9">
        <w:t xml:space="preserve"> </w:t>
      </w:r>
      <w:r w:rsidRPr="00CA47B9">
        <w:t>warehouse</w:t>
      </w:r>
      <w:r w:rsidR="00855CA6">
        <w:t>/</w:t>
      </w:r>
      <w:r w:rsidRPr="00CA47B9">
        <w:t>distribution</w:t>
      </w:r>
      <w:r w:rsidR="004B41A2" w:rsidRPr="00CA47B9">
        <w:t xml:space="preserve"> </w:t>
      </w:r>
      <w:r w:rsidRPr="00CA47B9">
        <w:t>floorspace</w:t>
      </w:r>
      <w:r w:rsidR="004B41A2" w:rsidRPr="00CA47B9">
        <w:t xml:space="preserve"> </w:t>
      </w:r>
      <w:r w:rsidRPr="00CA47B9">
        <w:t>(Use</w:t>
      </w:r>
      <w:r w:rsidR="004B41A2" w:rsidRPr="00CA47B9">
        <w:t xml:space="preserve"> </w:t>
      </w:r>
      <w:r w:rsidRPr="00CA47B9">
        <w:t>Class</w:t>
      </w:r>
      <w:r w:rsidR="004B41A2" w:rsidRPr="00CA47B9">
        <w:t xml:space="preserve"> </w:t>
      </w:r>
      <w:r w:rsidRPr="00CA47B9">
        <w:t>B8).</w:t>
      </w:r>
      <w:r w:rsidR="004B41A2" w:rsidRPr="00CA47B9">
        <w:t xml:space="preserve"> </w:t>
      </w:r>
      <w:r w:rsidR="00C71A39" w:rsidRPr="00CA47B9">
        <w:t>To</w:t>
      </w:r>
      <w:r w:rsidR="004B41A2" w:rsidRPr="00CA47B9">
        <w:t xml:space="preserve"> </w:t>
      </w:r>
      <w:r w:rsidR="00C71A39" w:rsidRPr="00CA47B9">
        <w:t>do</w:t>
      </w:r>
      <w:r w:rsidR="004B41A2" w:rsidRPr="00CA47B9">
        <w:t xml:space="preserve"> </w:t>
      </w:r>
      <w:r w:rsidR="00C71A39" w:rsidRPr="00CA47B9">
        <w:t>this</w:t>
      </w:r>
      <w:r w:rsidR="004B41A2" w:rsidRPr="00CA47B9">
        <w:t xml:space="preserve"> </w:t>
      </w:r>
      <w:r w:rsidR="00C71A39" w:rsidRPr="00CA47B9">
        <w:t>w</w:t>
      </w:r>
      <w:r w:rsidRPr="00CA47B9">
        <w:t>e</w:t>
      </w:r>
      <w:r w:rsidR="004B41A2" w:rsidRPr="00CA47B9">
        <w:t xml:space="preserve"> </w:t>
      </w:r>
      <w:r w:rsidRPr="00CA47B9">
        <w:t>have</w:t>
      </w:r>
      <w:r w:rsidR="004B41A2" w:rsidRPr="00CA47B9">
        <w:t xml:space="preserve"> </w:t>
      </w:r>
      <w:r w:rsidRPr="00CA47B9">
        <w:t>calibrated</w:t>
      </w:r>
      <w:r w:rsidR="004B41A2" w:rsidRPr="00CA47B9">
        <w:t xml:space="preserve"> </w:t>
      </w:r>
      <w:r w:rsidRPr="00CA47B9">
        <w:t>our</w:t>
      </w:r>
      <w:r w:rsidR="004B41A2" w:rsidRPr="00CA47B9">
        <w:t xml:space="preserve"> </w:t>
      </w:r>
      <w:r w:rsidRPr="00CA47B9">
        <w:t>standard</w:t>
      </w:r>
      <w:r w:rsidR="004B41A2" w:rsidRPr="00CA47B9">
        <w:t xml:space="preserve"> </w:t>
      </w:r>
      <w:r w:rsidRPr="00CA47B9">
        <w:t>model</w:t>
      </w:r>
      <w:r w:rsidR="004B41A2" w:rsidRPr="00CA47B9">
        <w:t xml:space="preserve"> </w:t>
      </w:r>
      <w:r w:rsidRPr="00CA47B9">
        <w:t>which</w:t>
      </w:r>
      <w:r w:rsidR="004B41A2" w:rsidRPr="00CA47B9">
        <w:t xml:space="preserve"> </w:t>
      </w:r>
      <w:r w:rsidRPr="00CA47B9">
        <w:t>relates</w:t>
      </w:r>
      <w:r w:rsidR="004B41A2" w:rsidRPr="00CA47B9">
        <w:t xml:space="preserve"> </w:t>
      </w:r>
      <w:r w:rsidRPr="00CA47B9">
        <w:t>sectors</w:t>
      </w:r>
      <w:r w:rsidR="004B41A2" w:rsidRPr="00CA47B9">
        <w:t xml:space="preserve"> </w:t>
      </w:r>
      <w:r w:rsidRPr="00CA47B9">
        <w:t>and</w:t>
      </w:r>
      <w:r w:rsidR="004B41A2" w:rsidRPr="00CA47B9">
        <w:t xml:space="preserve"> </w:t>
      </w:r>
      <w:r w:rsidRPr="00CA47B9">
        <w:t>use</w:t>
      </w:r>
      <w:r w:rsidR="004B41A2" w:rsidRPr="00CA47B9">
        <w:t xml:space="preserve"> </w:t>
      </w:r>
      <w:r w:rsidRPr="00CA47B9">
        <w:t>classes</w:t>
      </w:r>
      <w:r w:rsidR="004B41A2" w:rsidRPr="00CA47B9">
        <w:t xml:space="preserve"> </w:t>
      </w:r>
      <w:r w:rsidRPr="00CA47B9">
        <w:t>for</w:t>
      </w:r>
      <w:r w:rsidR="004B41A2" w:rsidRPr="00CA47B9">
        <w:t xml:space="preserve"> </w:t>
      </w:r>
      <w:r w:rsidRPr="00CA47B9">
        <w:t>the</w:t>
      </w:r>
      <w:r w:rsidR="004B41A2" w:rsidRPr="00CA47B9">
        <w:t xml:space="preserve"> </w:t>
      </w:r>
      <w:r w:rsidRPr="00CA47B9">
        <w:t>Chichester</w:t>
      </w:r>
      <w:r w:rsidR="004B41A2" w:rsidRPr="00CA47B9">
        <w:t xml:space="preserve"> </w:t>
      </w:r>
      <w:r w:rsidRPr="00CA47B9">
        <w:t>economy</w:t>
      </w:r>
      <w:r w:rsidR="004B41A2" w:rsidRPr="00CA47B9">
        <w:t xml:space="preserve"> </w:t>
      </w:r>
      <w:r w:rsidRPr="00CA47B9">
        <w:t>through</w:t>
      </w:r>
      <w:r w:rsidR="004B41A2" w:rsidRPr="00CA47B9">
        <w:t xml:space="preserve"> </w:t>
      </w:r>
      <w:r w:rsidRPr="00CA47B9">
        <w:t>interrogation</w:t>
      </w:r>
      <w:r w:rsidR="004B41A2" w:rsidRPr="00CA47B9">
        <w:t xml:space="preserve"> </w:t>
      </w:r>
      <w:r w:rsidRPr="00CA47B9">
        <w:t>of</w:t>
      </w:r>
      <w:r w:rsidR="004B41A2" w:rsidRPr="00CA47B9">
        <w:t xml:space="preserve"> </w:t>
      </w:r>
      <w:r w:rsidRPr="00CA47B9">
        <w:t>the</w:t>
      </w:r>
      <w:r w:rsidR="004B41A2" w:rsidRPr="00CA47B9">
        <w:t xml:space="preserve"> </w:t>
      </w:r>
      <w:r w:rsidRPr="00CA47B9">
        <w:t>current</w:t>
      </w:r>
      <w:r w:rsidR="004B41A2" w:rsidRPr="00CA47B9">
        <w:t xml:space="preserve"> </w:t>
      </w:r>
      <w:r w:rsidRPr="00CA47B9">
        <w:t>composition</w:t>
      </w:r>
      <w:r w:rsidR="004B41A2" w:rsidRPr="00CA47B9">
        <w:t xml:space="preserve"> </w:t>
      </w:r>
      <w:r w:rsidRPr="00CA47B9">
        <w:t>of</w:t>
      </w:r>
      <w:r w:rsidR="004B41A2" w:rsidRPr="00CA47B9">
        <w:t xml:space="preserve"> </w:t>
      </w:r>
      <w:r w:rsidRPr="00CA47B9">
        <w:t>employment</w:t>
      </w:r>
      <w:r w:rsidR="004B41A2" w:rsidRPr="00CA47B9">
        <w:t xml:space="preserve"> </w:t>
      </w:r>
      <w:r w:rsidRPr="00CA47B9">
        <w:t>in</w:t>
      </w:r>
      <w:r w:rsidR="004B41A2" w:rsidRPr="00CA47B9">
        <w:t xml:space="preserve"> </w:t>
      </w:r>
      <w:r w:rsidRPr="00CA47B9">
        <w:t>key</w:t>
      </w:r>
      <w:r w:rsidR="004B41A2" w:rsidRPr="00CA47B9">
        <w:t xml:space="preserve"> </w:t>
      </w:r>
      <w:r w:rsidRPr="00CA47B9">
        <w:t>sectors</w:t>
      </w:r>
      <w:r w:rsidR="004B41A2" w:rsidRPr="00CA47B9">
        <w:t xml:space="preserve"> </w:t>
      </w:r>
      <w:r w:rsidRPr="00CA47B9">
        <w:t>at</w:t>
      </w:r>
      <w:r w:rsidR="004B41A2" w:rsidRPr="00CA47B9">
        <w:t xml:space="preserve"> </w:t>
      </w:r>
      <w:r w:rsidRPr="00CA47B9">
        <w:t>4-digit</w:t>
      </w:r>
      <w:r w:rsidR="004B41A2" w:rsidRPr="00CA47B9">
        <w:t xml:space="preserve"> </w:t>
      </w:r>
      <w:r w:rsidRPr="00CA47B9">
        <w:t>SIC</w:t>
      </w:r>
      <w:r w:rsidR="00855CA6">
        <w:t xml:space="preserve"> </w:t>
      </w:r>
      <w:r w:rsidR="00EF6DB2">
        <w:t xml:space="preserve">(Standard Industrial Classification) </w:t>
      </w:r>
      <w:r w:rsidRPr="00CA47B9">
        <w:t>level.</w:t>
      </w:r>
      <w:r w:rsidR="004B41A2" w:rsidRPr="00CA47B9">
        <w:t xml:space="preserve"> </w:t>
      </w:r>
      <w:r w:rsidR="00C71A39" w:rsidRPr="00CA47B9">
        <w:t>This</w:t>
      </w:r>
      <w:r w:rsidR="004B41A2" w:rsidRPr="00CA47B9">
        <w:t xml:space="preserve"> </w:t>
      </w:r>
      <w:r w:rsidR="00C71A39" w:rsidRPr="00CA47B9">
        <w:t>provides</w:t>
      </w:r>
      <w:r w:rsidR="004B41A2" w:rsidRPr="00CA47B9">
        <w:t xml:space="preserve"> </w:t>
      </w:r>
      <w:r w:rsidR="00C71A39" w:rsidRPr="00CA47B9">
        <w:t>an</w:t>
      </w:r>
      <w:r w:rsidR="004B41A2" w:rsidRPr="00CA47B9">
        <w:t xml:space="preserve"> </w:t>
      </w:r>
      <w:r w:rsidR="00C71A39" w:rsidRPr="00CA47B9">
        <w:t>estimate</w:t>
      </w:r>
      <w:r w:rsidR="004B41A2" w:rsidRPr="00CA47B9">
        <w:t xml:space="preserve"> </w:t>
      </w:r>
      <w:r w:rsidR="00C71A39" w:rsidRPr="00CA47B9">
        <w:t>of</w:t>
      </w:r>
      <w:r w:rsidR="004B41A2" w:rsidRPr="00CA47B9">
        <w:t xml:space="preserve"> </w:t>
      </w:r>
      <w:r w:rsidR="00C71A39" w:rsidRPr="00CA47B9">
        <w:t>the</w:t>
      </w:r>
      <w:r w:rsidR="004B41A2" w:rsidRPr="00CA47B9">
        <w:t xml:space="preserve"> </w:t>
      </w:r>
      <w:r w:rsidR="00C71A39" w:rsidRPr="00CA47B9">
        <w:t>proportion</w:t>
      </w:r>
      <w:r w:rsidR="004B41A2" w:rsidRPr="00CA47B9">
        <w:t xml:space="preserve"> </w:t>
      </w:r>
      <w:r w:rsidR="00C71A39" w:rsidRPr="00CA47B9">
        <w:t>of</w:t>
      </w:r>
      <w:r w:rsidR="004B41A2" w:rsidRPr="00CA47B9">
        <w:t xml:space="preserve"> </w:t>
      </w:r>
      <w:r w:rsidR="00C71A39" w:rsidRPr="00CA47B9">
        <w:t>FTE</w:t>
      </w:r>
      <w:r w:rsidR="004B41A2" w:rsidRPr="00CA47B9">
        <w:t xml:space="preserve"> </w:t>
      </w:r>
      <w:r w:rsidR="00C71A39" w:rsidRPr="00CA47B9">
        <w:t>jobs</w:t>
      </w:r>
      <w:r w:rsidR="004B41A2" w:rsidRPr="00CA47B9">
        <w:t xml:space="preserve"> </w:t>
      </w:r>
      <w:r w:rsidR="00C71A39" w:rsidRPr="00CA47B9">
        <w:t>in</w:t>
      </w:r>
      <w:r w:rsidR="004B41A2" w:rsidRPr="00CA47B9">
        <w:t xml:space="preserve"> </w:t>
      </w:r>
      <w:r w:rsidR="00C71A39" w:rsidRPr="00CA47B9">
        <w:t>each</w:t>
      </w:r>
      <w:r w:rsidR="004B41A2" w:rsidRPr="00CA47B9">
        <w:t xml:space="preserve"> </w:t>
      </w:r>
      <w:r w:rsidR="00C71A39" w:rsidRPr="00CA47B9">
        <w:t>sub-sector</w:t>
      </w:r>
      <w:r w:rsidR="004B41A2" w:rsidRPr="00CA47B9">
        <w:t xml:space="preserve"> </w:t>
      </w:r>
      <w:r w:rsidR="00C71A39" w:rsidRPr="00CA47B9">
        <w:t>which</w:t>
      </w:r>
      <w:r w:rsidR="004B41A2" w:rsidRPr="00CA47B9">
        <w:t xml:space="preserve"> </w:t>
      </w:r>
      <w:r w:rsidR="00C71A39" w:rsidRPr="00CA47B9">
        <w:t>are</w:t>
      </w:r>
      <w:r w:rsidR="004B41A2" w:rsidRPr="00CA47B9">
        <w:t xml:space="preserve"> </w:t>
      </w:r>
      <w:r w:rsidR="00C71A39" w:rsidRPr="00CA47B9">
        <w:t>currently</w:t>
      </w:r>
      <w:r w:rsidR="004B41A2" w:rsidRPr="00CA47B9">
        <w:t xml:space="preserve"> </w:t>
      </w:r>
      <w:r w:rsidR="00C71A39" w:rsidRPr="00CA47B9">
        <w:t>located</w:t>
      </w:r>
      <w:r w:rsidR="004B41A2" w:rsidRPr="00CA47B9">
        <w:t xml:space="preserve"> </w:t>
      </w:r>
      <w:r w:rsidR="00C71A39" w:rsidRPr="00CA47B9">
        <w:t>on</w:t>
      </w:r>
      <w:r w:rsidR="004B41A2" w:rsidRPr="00CA47B9">
        <w:t xml:space="preserve"> </w:t>
      </w:r>
      <w:r w:rsidR="00C71A39" w:rsidRPr="00CA47B9">
        <w:t>each</w:t>
      </w:r>
      <w:r w:rsidR="004B41A2" w:rsidRPr="00CA47B9">
        <w:t xml:space="preserve"> </w:t>
      </w:r>
      <w:r w:rsidR="00C71A39" w:rsidRPr="00CA47B9">
        <w:t>type</w:t>
      </w:r>
      <w:r w:rsidR="004B41A2" w:rsidRPr="00CA47B9">
        <w:t xml:space="preserve"> </w:t>
      </w:r>
      <w:r w:rsidR="00C71A39" w:rsidRPr="00CA47B9">
        <w:t>of</w:t>
      </w:r>
      <w:r w:rsidR="004B41A2" w:rsidRPr="00CA47B9">
        <w:t xml:space="preserve"> </w:t>
      </w:r>
      <w:r w:rsidR="00C71A39" w:rsidRPr="00CA47B9">
        <w:t>employment</w:t>
      </w:r>
      <w:r w:rsidR="004B41A2" w:rsidRPr="00CA47B9">
        <w:t xml:space="preserve"> </w:t>
      </w:r>
      <w:r w:rsidR="00C71A39" w:rsidRPr="00CA47B9">
        <w:t>land</w:t>
      </w:r>
      <w:r w:rsidR="004B41A2" w:rsidRPr="00CA47B9">
        <w:t xml:space="preserve"> </w:t>
      </w:r>
      <w:r w:rsidR="00C71A39" w:rsidRPr="00CA47B9">
        <w:t>(or</w:t>
      </w:r>
      <w:r w:rsidR="004B41A2" w:rsidRPr="00CA47B9">
        <w:t xml:space="preserve"> </w:t>
      </w:r>
      <w:r w:rsidR="00C71A39" w:rsidRPr="00CA47B9">
        <w:t>other</w:t>
      </w:r>
      <w:r w:rsidR="004B41A2" w:rsidRPr="00CA47B9">
        <w:t xml:space="preserve"> </w:t>
      </w:r>
      <w:r w:rsidR="00C71A39" w:rsidRPr="00CA47B9">
        <w:t>use</w:t>
      </w:r>
      <w:r w:rsidR="004B41A2" w:rsidRPr="00CA47B9">
        <w:t xml:space="preserve"> </w:t>
      </w:r>
      <w:r w:rsidR="00C71A39" w:rsidRPr="00CA47B9">
        <w:t>class)</w:t>
      </w:r>
      <w:r w:rsidR="004B41A2" w:rsidRPr="00CA47B9">
        <w:t xml:space="preserve"> </w:t>
      </w:r>
      <w:r w:rsidR="00C71A39" w:rsidRPr="00CA47B9">
        <w:t>in</w:t>
      </w:r>
      <w:r w:rsidR="004B41A2" w:rsidRPr="00CA47B9">
        <w:t xml:space="preserve"> </w:t>
      </w:r>
      <w:r w:rsidR="00C71A39" w:rsidRPr="00CA47B9">
        <w:t>Chichester</w:t>
      </w:r>
      <w:r w:rsidR="004B41A2" w:rsidRPr="00CA47B9">
        <w:t xml:space="preserve"> </w:t>
      </w:r>
      <w:r w:rsidR="00C71A39" w:rsidRPr="00CA47B9">
        <w:t>District.</w:t>
      </w:r>
      <w:r w:rsidR="004B41A2" w:rsidRPr="00CA47B9">
        <w:t xml:space="preserve"> </w:t>
      </w:r>
      <w:r w:rsidR="00C71A39" w:rsidRPr="00CA47B9">
        <w:t>The</w:t>
      </w:r>
      <w:r w:rsidR="004B41A2" w:rsidRPr="00CA47B9">
        <w:t xml:space="preserve"> </w:t>
      </w:r>
      <w:r w:rsidR="00C71A39" w:rsidRPr="00CA47B9">
        <w:t>modelling</w:t>
      </w:r>
      <w:r w:rsidR="004B41A2" w:rsidRPr="00CA47B9">
        <w:t xml:space="preserve"> </w:t>
      </w:r>
      <w:r w:rsidR="00C71A39" w:rsidRPr="00CA47B9">
        <w:t>assumes</w:t>
      </w:r>
      <w:r w:rsidR="004B41A2" w:rsidRPr="00CA47B9">
        <w:t xml:space="preserve"> </w:t>
      </w:r>
      <w:r w:rsidR="00C71A39" w:rsidRPr="00CA47B9">
        <w:t>that</w:t>
      </w:r>
      <w:r w:rsidR="004B41A2" w:rsidRPr="00CA47B9">
        <w:t xml:space="preserve"> </w:t>
      </w:r>
      <w:r w:rsidR="00C71A39" w:rsidRPr="00CA47B9">
        <w:t>this</w:t>
      </w:r>
      <w:r w:rsidR="004B41A2" w:rsidRPr="00CA47B9">
        <w:t xml:space="preserve"> </w:t>
      </w:r>
      <w:r w:rsidR="00C71A39" w:rsidRPr="00CA47B9">
        <w:t>proportion</w:t>
      </w:r>
      <w:r w:rsidR="004B41A2" w:rsidRPr="00CA47B9">
        <w:t xml:space="preserve"> </w:t>
      </w:r>
      <w:r w:rsidR="00C71A39" w:rsidRPr="00CA47B9">
        <w:t>will</w:t>
      </w:r>
      <w:r w:rsidR="004B41A2" w:rsidRPr="00CA47B9">
        <w:t xml:space="preserve"> </w:t>
      </w:r>
      <w:r w:rsidR="00C71A39" w:rsidRPr="00CA47B9">
        <w:t>hold</w:t>
      </w:r>
      <w:r w:rsidR="004B41A2" w:rsidRPr="00CA47B9">
        <w:t xml:space="preserve"> </w:t>
      </w:r>
      <w:r w:rsidR="00C71A39" w:rsidRPr="00CA47B9">
        <w:t>moving</w:t>
      </w:r>
      <w:r w:rsidR="004B41A2" w:rsidRPr="00CA47B9">
        <w:t xml:space="preserve"> </w:t>
      </w:r>
      <w:r w:rsidR="00C71A39" w:rsidRPr="00CA47B9">
        <w:t>forwards.</w:t>
      </w:r>
      <w:r w:rsidR="004B41A2" w:rsidRPr="00CA47B9">
        <w:t xml:space="preserve"> </w:t>
      </w:r>
      <w:r w:rsidR="002E7618">
        <w:t xml:space="preserve">As noted below most of the job growth is in sectors that do not require B-class floorspace. </w:t>
      </w:r>
      <w:r w:rsidRPr="00CA47B9">
        <w:t>This</w:t>
      </w:r>
      <w:r w:rsidR="004B41A2" w:rsidRPr="00CA47B9">
        <w:t xml:space="preserve"> </w:t>
      </w:r>
      <w:r w:rsidR="008842A9" w:rsidRPr="00CA47B9">
        <w:t>approach</w:t>
      </w:r>
      <w:r w:rsidR="004B41A2" w:rsidRPr="00CA47B9">
        <w:t xml:space="preserve"> </w:t>
      </w:r>
      <w:r w:rsidR="008842A9" w:rsidRPr="00CA47B9">
        <w:t>has</w:t>
      </w:r>
      <w:r w:rsidR="004B41A2" w:rsidRPr="00CA47B9">
        <w:t xml:space="preserve"> </w:t>
      </w:r>
      <w:r w:rsidR="008842A9" w:rsidRPr="00CA47B9">
        <w:t>been</w:t>
      </w:r>
      <w:r w:rsidR="004B41A2" w:rsidRPr="00CA47B9">
        <w:t xml:space="preserve"> </w:t>
      </w:r>
      <w:r w:rsidRPr="00CA47B9">
        <w:t>used</w:t>
      </w:r>
      <w:r w:rsidR="004B41A2" w:rsidRPr="00CA47B9">
        <w:t xml:space="preserve"> </w:t>
      </w:r>
      <w:r w:rsidRPr="00CA47B9">
        <w:t>to</w:t>
      </w:r>
      <w:r w:rsidR="004B41A2" w:rsidRPr="00CA47B9">
        <w:t xml:space="preserve"> </w:t>
      </w:r>
      <w:r w:rsidRPr="00CA47B9">
        <w:t>derive</w:t>
      </w:r>
      <w:r w:rsidR="004B41A2" w:rsidRPr="00CA47B9">
        <w:t xml:space="preserve"> </w:t>
      </w:r>
      <w:r w:rsidRPr="00CA47B9">
        <w:t>the</w:t>
      </w:r>
      <w:r w:rsidR="004B41A2" w:rsidRPr="00CA47B9">
        <w:t xml:space="preserve"> </w:t>
      </w:r>
      <w:r w:rsidRPr="00CA47B9">
        <w:t>following</w:t>
      </w:r>
      <w:r w:rsidR="004B41A2" w:rsidRPr="00CA47B9">
        <w:t xml:space="preserve"> </w:t>
      </w:r>
      <w:r w:rsidRPr="00CA47B9">
        <w:t>forecasts</w:t>
      </w:r>
      <w:r w:rsidR="004B41A2" w:rsidRPr="00CA47B9">
        <w:t xml:space="preserve"> </w:t>
      </w:r>
      <w:r w:rsidRPr="00CA47B9">
        <w:t>of</w:t>
      </w:r>
      <w:r w:rsidR="004B41A2" w:rsidRPr="00CA47B9">
        <w:t xml:space="preserve"> </w:t>
      </w:r>
      <w:r w:rsidRPr="00CA47B9">
        <w:t>net</w:t>
      </w:r>
      <w:r w:rsidR="004B41A2" w:rsidRPr="00CA47B9">
        <w:t xml:space="preserve"> </w:t>
      </w:r>
      <w:r w:rsidRPr="00CA47B9">
        <w:t>growth</w:t>
      </w:r>
      <w:r w:rsidR="004B41A2" w:rsidRPr="00CA47B9">
        <w:t xml:space="preserve"> </w:t>
      </w:r>
      <w:r w:rsidRPr="00CA47B9">
        <w:t>in</w:t>
      </w:r>
      <w:r w:rsidR="004B41A2" w:rsidRPr="00CA47B9">
        <w:t xml:space="preserve"> </w:t>
      </w:r>
      <w:r w:rsidRPr="00CA47B9">
        <w:t>FTE</w:t>
      </w:r>
      <w:r w:rsidR="004B41A2" w:rsidRPr="00CA47B9">
        <w:t xml:space="preserve"> </w:t>
      </w:r>
      <w:r w:rsidRPr="00CA47B9">
        <w:t>employment</w:t>
      </w:r>
      <w:r w:rsidR="004B41A2" w:rsidRPr="00CA47B9">
        <w:t xml:space="preserve"> </w:t>
      </w:r>
      <w:r w:rsidRPr="00CA47B9">
        <w:t>by</w:t>
      </w:r>
      <w:r w:rsidR="004B41A2" w:rsidRPr="00CA47B9">
        <w:t xml:space="preserve"> </w:t>
      </w:r>
      <w:r w:rsidRPr="00CA47B9">
        <w:t>use</w:t>
      </w:r>
      <w:r w:rsidR="004B41A2" w:rsidRPr="00CA47B9">
        <w:t xml:space="preserve"> </w:t>
      </w:r>
      <w:r w:rsidRPr="00CA47B9">
        <w:t>class</w:t>
      </w:r>
      <w:r w:rsidR="004B41A2" w:rsidRPr="00CA47B9">
        <w:t xml:space="preserve"> </w:t>
      </w:r>
      <w:r w:rsidRPr="00CA47B9">
        <w:t>over</w:t>
      </w:r>
      <w:r w:rsidR="004B41A2" w:rsidRPr="00CA47B9">
        <w:t xml:space="preserve"> </w:t>
      </w:r>
      <w:r w:rsidRPr="00CA47B9">
        <w:t>the</w:t>
      </w:r>
      <w:r w:rsidR="004B41A2" w:rsidRPr="00CA47B9">
        <w:t xml:space="preserve"> </w:t>
      </w:r>
      <w:r w:rsidRPr="00CA47B9">
        <w:t>plan</w:t>
      </w:r>
      <w:r w:rsidR="004B41A2" w:rsidRPr="00CA47B9">
        <w:t xml:space="preserve"> </w:t>
      </w:r>
      <w:r w:rsidRPr="00CA47B9">
        <w:t>period</w:t>
      </w:r>
      <w:r w:rsidR="00AF6C48" w:rsidRPr="00CA47B9">
        <w:t>, relating to the district as a whole</w:t>
      </w:r>
      <w:r w:rsidRPr="00CA47B9">
        <w:t>:</w:t>
      </w:r>
    </w:p>
    <w:p w:rsidR="00994529" w:rsidRPr="00CA47B9" w:rsidRDefault="00B0298E" w:rsidP="00FA02C9">
      <w:pPr>
        <w:pStyle w:val="Tableheading"/>
        <w:tabs>
          <w:tab w:val="clear" w:pos="794"/>
          <w:tab w:val="clear" w:pos="1843"/>
          <w:tab w:val="left" w:pos="0"/>
        </w:tabs>
        <w:spacing w:line="240" w:lineRule="auto"/>
        <w:ind w:left="0" w:firstLine="0"/>
      </w:pPr>
      <w:bookmarkStart w:id="230" w:name="_Toc357499074"/>
      <w:bookmarkStart w:id="231" w:name="_Toc418171734"/>
      <w:bookmarkStart w:id="232" w:name="_Toc481156704"/>
      <w:r w:rsidRPr="00CA47B9">
        <w:t>Baseline</w:t>
      </w:r>
      <w:r w:rsidR="004B41A2" w:rsidRPr="00CA47B9">
        <w:t xml:space="preserve"> </w:t>
      </w:r>
      <w:r w:rsidRPr="00CA47B9">
        <w:t>Scenario</w:t>
      </w:r>
      <w:r w:rsidR="004B41A2" w:rsidRPr="00CA47B9">
        <w:t xml:space="preserve"> </w:t>
      </w:r>
      <w:r w:rsidRPr="00CA47B9">
        <w:t>–</w:t>
      </w:r>
      <w:r w:rsidR="004B41A2" w:rsidRPr="00CA47B9">
        <w:t xml:space="preserve"> </w:t>
      </w:r>
      <w:r w:rsidRPr="00CA47B9">
        <w:t>FTE</w:t>
      </w:r>
      <w:r w:rsidR="004B41A2" w:rsidRPr="00CA47B9">
        <w:t xml:space="preserve"> </w:t>
      </w:r>
      <w:r w:rsidRPr="00CA47B9">
        <w:t>Job</w:t>
      </w:r>
      <w:r w:rsidR="004B41A2" w:rsidRPr="00CA47B9">
        <w:t xml:space="preserve"> </w:t>
      </w:r>
      <w:r w:rsidRPr="00CA47B9">
        <w:t>Growth</w:t>
      </w:r>
      <w:r w:rsidR="004B41A2" w:rsidRPr="00CA47B9">
        <w:t xml:space="preserve"> </w:t>
      </w:r>
      <w:r w:rsidRPr="00CA47B9">
        <w:t>by</w:t>
      </w:r>
      <w:r w:rsidR="004B41A2" w:rsidRPr="00CA47B9">
        <w:t xml:space="preserve"> </w:t>
      </w:r>
      <w:r w:rsidRPr="00CA47B9">
        <w:t>B-Class</w:t>
      </w:r>
      <w:r w:rsidR="004B41A2" w:rsidRPr="00CA47B9">
        <w:t xml:space="preserve"> </w:t>
      </w:r>
      <w:r w:rsidRPr="00CA47B9">
        <w:t>Sector,</w:t>
      </w:r>
      <w:r w:rsidR="004B41A2" w:rsidRPr="00CA47B9">
        <w:t xml:space="preserve"> </w:t>
      </w:r>
      <w:r w:rsidR="00E37719" w:rsidRPr="00CA47B9">
        <w:t>20</w:t>
      </w:r>
      <w:r w:rsidR="00E831D9">
        <w:t>19</w:t>
      </w:r>
      <w:r w:rsidRPr="00CA47B9">
        <w:t>-3</w:t>
      </w:r>
      <w:bookmarkEnd w:id="230"/>
      <w:bookmarkEnd w:id="231"/>
      <w:bookmarkEnd w:id="232"/>
      <w:r w:rsidRPr="00CA47B9">
        <w:t>6</w:t>
      </w:r>
      <w:r w:rsidR="003902B9" w:rsidRPr="00CA47B9">
        <w:t xml:space="preserve"> </w:t>
      </w:r>
      <w:r w:rsidR="003902B9" w:rsidRPr="00CA47B9">
        <w:rPr>
          <w:color w:val="auto"/>
          <w:szCs w:val="20"/>
        </w:rPr>
        <w:t>– Chichester District</w:t>
      </w:r>
    </w:p>
    <w:tbl>
      <w:tblPr>
        <w:tblStyle w:val="GLHearntable1"/>
        <w:tblW w:w="4894" w:type="pct"/>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54: Baseline Scenario – FTE Job Growth by B-Class Sector, 2019-36 – Chichester District"/>
      </w:tblPr>
      <w:tblGrid>
        <w:gridCol w:w="1848"/>
        <w:gridCol w:w="1578"/>
        <w:gridCol w:w="1579"/>
        <w:gridCol w:w="1579"/>
        <w:gridCol w:w="1579"/>
        <w:gridCol w:w="1475"/>
      </w:tblGrid>
      <w:tr w:rsidR="006607BC" w:rsidRPr="007E7A18" w:rsidTr="000031A7">
        <w:trPr>
          <w:cnfStyle w:val="100000000000" w:firstRow="1" w:lastRow="0" w:firstColumn="0" w:lastColumn="0" w:oddVBand="0" w:evenVBand="0" w:oddHBand="0" w:evenHBand="0" w:firstRowFirstColumn="0" w:firstRowLastColumn="0" w:lastRowFirstColumn="0" w:lastRowLastColumn="0"/>
          <w:trHeight w:val="229"/>
          <w:tblHeader/>
          <w:jc w:val="right"/>
        </w:trPr>
        <w:tc>
          <w:tcPr>
            <w:cnfStyle w:val="001000000000" w:firstRow="0" w:lastRow="0" w:firstColumn="1" w:lastColumn="0" w:oddVBand="0" w:evenVBand="0" w:oddHBand="0" w:evenHBand="0" w:firstRowFirstColumn="0" w:firstRowLastColumn="0" w:lastRowFirstColumn="0" w:lastRowLastColumn="0"/>
            <w:tcW w:w="959" w:type="pct"/>
            <w:noWrap/>
            <w:hideMark/>
          </w:tcPr>
          <w:p w:rsidR="006607BC" w:rsidRPr="007E7A18" w:rsidRDefault="006607BC" w:rsidP="00E519C8">
            <w:pPr>
              <w:spacing w:line="240" w:lineRule="auto"/>
              <w:rPr>
                <w:rFonts w:ascii="Arial Narrow" w:eastAsia="Times New Roman" w:hAnsi="Arial Narrow"/>
                <w:bCs/>
                <w:sz w:val="24"/>
                <w:szCs w:val="24"/>
                <w:lang w:eastAsia="en-GB"/>
              </w:rPr>
            </w:pPr>
            <w:r w:rsidRPr="007E7A18">
              <w:rPr>
                <w:rFonts w:ascii="Arial Narrow" w:eastAsia="Times New Roman" w:hAnsi="Arial Narrow"/>
                <w:bCs/>
                <w:sz w:val="24"/>
                <w:szCs w:val="24"/>
                <w:lang w:eastAsia="en-GB"/>
              </w:rPr>
              <w:t> </w:t>
            </w:r>
          </w:p>
        </w:tc>
        <w:tc>
          <w:tcPr>
            <w:tcW w:w="819" w:type="pct"/>
            <w:noWrap/>
            <w:hideMark/>
          </w:tcPr>
          <w:p w:rsidR="006607BC" w:rsidRPr="007E7A18" w:rsidRDefault="006607BC" w:rsidP="00E519C8">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sz w:val="24"/>
                <w:szCs w:val="24"/>
                <w:lang w:eastAsia="en-GB"/>
              </w:rPr>
            </w:pPr>
            <w:r w:rsidRPr="007E7A18">
              <w:rPr>
                <w:rFonts w:ascii="Arial Narrow" w:eastAsia="Times New Roman" w:hAnsi="Arial Narrow"/>
                <w:bCs/>
                <w:sz w:val="24"/>
                <w:szCs w:val="24"/>
                <w:lang w:eastAsia="en-GB"/>
              </w:rPr>
              <w:t>2019-21</w:t>
            </w:r>
          </w:p>
        </w:tc>
        <w:tc>
          <w:tcPr>
            <w:tcW w:w="819" w:type="pct"/>
            <w:noWrap/>
            <w:hideMark/>
          </w:tcPr>
          <w:p w:rsidR="006607BC" w:rsidRPr="007E7A18" w:rsidRDefault="006607BC" w:rsidP="00E519C8">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sz w:val="24"/>
                <w:szCs w:val="24"/>
                <w:lang w:eastAsia="en-GB"/>
              </w:rPr>
            </w:pPr>
            <w:r w:rsidRPr="007E7A18">
              <w:rPr>
                <w:rFonts w:ascii="Arial Narrow" w:eastAsia="Times New Roman" w:hAnsi="Arial Narrow"/>
                <w:bCs/>
                <w:sz w:val="24"/>
                <w:szCs w:val="24"/>
                <w:lang w:eastAsia="en-GB"/>
              </w:rPr>
              <w:t>2021-26</w:t>
            </w:r>
          </w:p>
        </w:tc>
        <w:tc>
          <w:tcPr>
            <w:tcW w:w="819" w:type="pct"/>
            <w:noWrap/>
            <w:hideMark/>
          </w:tcPr>
          <w:p w:rsidR="006607BC" w:rsidRPr="007E7A18" w:rsidRDefault="006607BC" w:rsidP="00E519C8">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sz w:val="24"/>
                <w:szCs w:val="24"/>
                <w:lang w:eastAsia="en-GB"/>
              </w:rPr>
            </w:pPr>
            <w:r w:rsidRPr="007E7A18">
              <w:rPr>
                <w:rFonts w:ascii="Arial Narrow" w:eastAsia="Times New Roman" w:hAnsi="Arial Narrow"/>
                <w:bCs/>
                <w:sz w:val="24"/>
                <w:szCs w:val="24"/>
                <w:lang w:eastAsia="en-GB"/>
              </w:rPr>
              <w:t>2026-31</w:t>
            </w:r>
          </w:p>
        </w:tc>
        <w:tc>
          <w:tcPr>
            <w:tcW w:w="819" w:type="pct"/>
            <w:noWrap/>
            <w:hideMark/>
          </w:tcPr>
          <w:p w:rsidR="006607BC" w:rsidRPr="007E7A18" w:rsidRDefault="006607BC" w:rsidP="00E519C8">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sz w:val="24"/>
                <w:szCs w:val="24"/>
                <w:lang w:eastAsia="en-GB"/>
              </w:rPr>
            </w:pPr>
            <w:r w:rsidRPr="007E7A18">
              <w:rPr>
                <w:rFonts w:ascii="Arial Narrow" w:eastAsia="Times New Roman" w:hAnsi="Arial Narrow"/>
                <w:bCs/>
                <w:sz w:val="24"/>
                <w:szCs w:val="24"/>
                <w:lang w:eastAsia="en-GB"/>
              </w:rPr>
              <w:t>2031-36</w:t>
            </w:r>
          </w:p>
        </w:tc>
        <w:tc>
          <w:tcPr>
            <w:tcW w:w="767" w:type="pct"/>
            <w:noWrap/>
            <w:hideMark/>
          </w:tcPr>
          <w:p w:rsidR="006607BC" w:rsidRPr="007E7A18" w:rsidRDefault="006607BC" w:rsidP="00E519C8">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sz w:val="24"/>
                <w:szCs w:val="24"/>
                <w:lang w:eastAsia="en-GB"/>
              </w:rPr>
            </w:pPr>
            <w:r w:rsidRPr="007E7A18">
              <w:rPr>
                <w:rFonts w:ascii="Arial Narrow" w:eastAsia="Times New Roman" w:hAnsi="Arial Narrow"/>
                <w:bCs/>
                <w:sz w:val="24"/>
                <w:szCs w:val="24"/>
                <w:lang w:eastAsia="en-GB"/>
              </w:rPr>
              <w:t>2019-36</w:t>
            </w:r>
          </w:p>
        </w:tc>
      </w:tr>
      <w:tr w:rsidR="006607BC" w:rsidRPr="007E7A18" w:rsidTr="000031A7">
        <w:trPr>
          <w:trHeight w:val="229"/>
          <w:jc w:val="right"/>
        </w:trPr>
        <w:tc>
          <w:tcPr>
            <w:cnfStyle w:val="001000000000" w:firstRow="0" w:lastRow="0" w:firstColumn="1" w:lastColumn="0" w:oddVBand="0" w:evenVBand="0" w:oddHBand="0" w:evenHBand="0" w:firstRowFirstColumn="0" w:firstRowLastColumn="0" w:lastRowFirstColumn="0" w:lastRowLastColumn="0"/>
            <w:tcW w:w="959" w:type="pct"/>
            <w:shd w:val="clear" w:color="auto" w:fill="FFFFFF" w:themeFill="background1"/>
            <w:noWrap/>
            <w:vAlign w:val="center"/>
            <w:hideMark/>
          </w:tcPr>
          <w:p w:rsidR="006607BC" w:rsidRPr="007E7A18" w:rsidRDefault="006607BC" w:rsidP="00FA02C9">
            <w:pPr>
              <w:spacing w:line="240" w:lineRule="auto"/>
              <w:rPr>
                <w:rFonts w:ascii="Arial Narrow" w:eastAsia="Times New Roman" w:hAnsi="Arial Narrow"/>
                <w:bCs/>
                <w:color w:val="auto"/>
                <w:sz w:val="24"/>
                <w:szCs w:val="24"/>
                <w:lang w:eastAsia="en-GB"/>
              </w:rPr>
            </w:pPr>
            <w:r w:rsidRPr="007E7A18">
              <w:rPr>
                <w:rFonts w:ascii="Arial Narrow" w:eastAsia="Times New Roman" w:hAnsi="Arial Narrow"/>
                <w:bCs/>
                <w:color w:val="auto"/>
                <w:sz w:val="24"/>
                <w:szCs w:val="24"/>
                <w:lang w:eastAsia="en-GB"/>
              </w:rPr>
              <w:t>B1a/b</w:t>
            </w:r>
          </w:p>
        </w:tc>
        <w:tc>
          <w:tcPr>
            <w:tcW w:w="819" w:type="pct"/>
            <w:shd w:val="clear" w:color="auto" w:fill="FFFFFF" w:themeFill="background1"/>
            <w:noWrap/>
            <w:vAlign w:val="center"/>
            <w:hideMark/>
          </w:tcPr>
          <w:p w:rsidR="006607BC" w:rsidRPr="007E7A18" w:rsidRDefault="006607BC" w:rsidP="00FA02C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auto"/>
                <w:sz w:val="24"/>
                <w:szCs w:val="24"/>
                <w:lang w:eastAsia="en-GB"/>
              </w:rPr>
            </w:pPr>
            <w:r w:rsidRPr="007E7A18">
              <w:rPr>
                <w:rFonts w:ascii="Arial Narrow" w:eastAsia="Times New Roman" w:hAnsi="Arial Narrow"/>
                <w:color w:val="auto"/>
                <w:sz w:val="24"/>
                <w:szCs w:val="24"/>
                <w:lang w:eastAsia="en-GB"/>
              </w:rPr>
              <w:t>262</w:t>
            </w:r>
          </w:p>
        </w:tc>
        <w:tc>
          <w:tcPr>
            <w:tcW w:w="819" w:type="pct"/>
            <w:shd w:val="clear" w:color="auto" w:fill="FFFFFF" w:themeFill="background1"/>
            <w:noWrap/>
            <w:vAlign w:val="center"/>
            <w:hideMark/>
          </w:tcPr>
          <w:p w:rsidR="006607BC" w:rsidRPr="007E7A18" w:rsidRDefault="006607BC" w:rsidP="00FA02C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auto"/>
                <w:sz w:val="24"/>
                <w:szCs w:val="24"/>
                <w:lang w:eastAsia="en-GB"/>
              </w:rPr>
            </w:pPr>
            <w:r w:rsidRPr="007E7A18">
              <w:rPr>
                <w:rFonts w:ascii="Arial Narrow" w:eastAsia="Times New Roman" w:hAnsi="Arial Narrow"/>
                <w:color w:val="auto"/>
                <w:sz w:val="24"/>
                <w:szCs w:val="24"/>
                <w:lang w:eastAsia="en-GB"/>
              </w:rPr>
              <w:t>354</w:t>
            </w:r>
          </w:p>
        </w:tc>
        <w:tc>
          <w:tcPr>
            <w:tcW w:w="819" w:type="pct"/>
            <w:shd w:val="clear" w:color="auto" w:fill="FFFFFF" w:themeFill="background1"/>
            <w:noWrap/>
            <w:vAlign w:val="center"/>
            <w:hideMark/>
          </w:tcPr>
          <w:p w:rsidR="006607BC" w:rsidRPr="007E7A18" w:rsidRDefault="006607BC" w:rsidP="00FA02C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auto"/>
                <w:sz w:val="24"/>
                <w:szCs w:val="24"/>
                <w:lang w:eastAsia="en-GB"/>
              </w:rPr>
            </w:pPr>
            <w:r w:rsidRPr="007E7A18">
              <w:rPr>
                <w:rFonts w:ascii="Arial Narrow" w:eastAsia="Times New Roman" w:hAnsi="Arial Narrow"/>
                <w:color w:val="auto"/>
                <w:sz w:val="24"/>
                <w:szCs w:val="24"/>
                <w:lang w:eastAsia="en-GB"/>
              </w:rPr>
              <w:t>181</w:t>
            </w:r>
          </w:p>
        </w:tc>
        <w:tc>
          <w:tcPr>
            <w:tcW w:w="819" w:type="pct"/>
            <w:shd w:val="clear" w:color="auto" w:fill="FFFFFF" w:themeFill="background1"/>
            <w:noWrap/>
            <w:vAlign w:val="center"/>
            <w:hideMark/>
          </w:tcPr>
          <w:p w:rsidR="006607BC" w:rsidRPr="007E7A18" w:rsidRDefault="006607BC" w:rsidP="00FA02C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auto"/>
                <w:sz w:val="24"/>
                <w:szCs w:val="24"/>
                <w:lang w:eastAsia="en-GB"/>
              </w:rPr>
            </w:pPr>
            <w:r w:rsidRPr="007E7A18">
              <w:rPr>
                <w:rFonts w:ascii="Arial Narrow" w:eastAsia="Times New Roman" w:hAnsi="Arial Narrow"/>
                <w:color w:val="auto"/>
                <w:sz w:val="24"/>
                <w:szCs w:val="24"/>
                <w:lang w:eastAsia="en-GB"/>
              </w:rPr>
              <w:t>154</w:t>
            </w:r>
          </w:p>
        </w:tc>
        <w:tc>
          <w:tcPr>
            <w:tcW w:w="767" w:type="pct"/>
            <w:shd w:val="clear" w:color="auto" w:fill="FFFFFF" w:themeFill="background1"/>
            <w:noWrap/>
            <w:vAlign w:val="center"/>
            <w:hideMark/>
          </w:tcPr>
          <w:p w:rsidR="006607BC" w:rsidRPr="007E7A18" w:rsidRDefault="006607BC" w:rsidP="00FA02C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auto"/>
                <w:sz w:val="24"/>
                <w:szCs w:val="24"/>
                <w:lang w:eastAsia="en-GB"/>
              </w:rPr>
            </w:pPr>
            <w:r w:rsidRPr="007E7A18">
              <w:rPr>
                <w:rFonts w:ascii="Arial Narrow" w:eastAsia="Times New Roman" w:hAnsi="Arial Narrow"/>
                <w:color w:val="auto"/>
                <w:sz w:val="24"/>
                <w:szCs w:val="24"/>
                <w:lang w:eastAsia="en-GB"/>
              </w:rPr>
              <w:t>951</w:t>
            </w:r>
          </w:p>
        </w:tc>
      </w:tr>
      <w:tr w:rsidR="006607BC" w:rsidRPr="007E7A18" w:rsidTr="000031A7">
        <w:trPr>
          <w:cnfStyle w:val="000000010000" w:firstRow="0" w:lastRow="0" w:firstColumn="0" w:lastColumn="0" w:oddVBand="0" w:evenVBand="0" w:oddHBand="0" w:evenHBand="1" w:firstRowFirstColumn="0" w:firstRowLastColumn="0" w:lastRowFirstColumn="0" w:lastRowLastColumn="0"/>
          <w:trHeight w:val="229"/>
          <w:jc w:val="right"/>
        </w:trPr>
        <w:tc>
          <w:tcPr>
            <w:cnfStyle w:val="001000000000" w:firstRow="0" w:lastRow="0" w:firstColumn="1" w:lastColumn="0" w:oddVBand="0" w:evenVBand="0" w:oddHBand="0" w:evenHBand="0" w:firstRowFirstColumn="0" w:firstRowLastColumn="0" w:lastRowFirstColumn="0" w:lastRowLastColumn="0"/>
            <w:tcW w:w="959" w:type="pct"/>
            <w:shd w:val="clear" w:color="auto" w:fill="FFFFFF" w:themeFill="background1"/>
            <w:noWrap/>
            <w:vAlign w:val="center"/>
            <w:hideMark/>
          </w:tcPr>
          <w:p w:rsidR="006607BC" w:rsidRPr="007E7A18" w:rsidRDefault="006607BC" w:rsidP="00FA02C9">
            <w:pPr>
              <w:spacing w:line="240" w:lineRule="auto"/>
              <w:rPr>
                <w:rFonts w:ascii="Arial Narrow" w:eastAsia="Times New Roman" w:hAnsi="Arial Narrow"/>
                <w:bCs/>
                <w:color w:val="auto"/>
                <w:sz w:val="24"/>
                <w:szCs w:val="24"/>
                <w:lang w:eastAsia="en-GB"/>
              </w:rPr>
            </w:pPr>
            <w:r w:rsidRPr="007E7A18">
              <w:rPr>
                <w:rFonts w:ascii="Arial Narrow" w:eastAsia="Times New Roman" w:hAnsi="Arial Narrow"/>
                <w:bCs/>
                <w:color w:val="auto"/>
                <w:sz w:val="24"/>
                <w:szCs w:val="24"/>
                <w:lang w:eastAsia="en-GB"/>
              </w:rPr>
              <w:t>B1c/B2</w:t>
            </w:r>
          </w:p>
        </w:tc>
        <w:tc>
          <w:tcPr>
            <w:tcW w:w="819" w:type="pct"/>
            <w:shd w:val="clear" w:color="auto" w:fill="FFFFFF" w:themeFill="background1"/>
            <w:noWrap/>
            <w:vAlign w:val="center"/>
            <w:hideMark/>
          </w:tcPr>
          <w:p w:rsidR="006607BC" w:rsidRPr="007E7A18" w:rsidRDefault="006607BC" w:rsidP="00FA02C9">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auto"/>
                <w:sz w:val="24"/>
                <w:szCs w:val="24"/>
                <w:lang w:eastAsia="en-GB"/>
              </w:rPr>
            </w:pPr>
            <w:r w:rsidRPr="007E7A18">
              <w:rPr>
                <w:rFonts w:ascii="Arial Narrow" w:eastAsia="Times New Roman" w:hAnsi="Arial Narrow"/>
                <w:color w:val="auto"/>
                <w:sz w:val="24"/>
                <w:szCs w:val="24"/>
                <w:lang w:eastAsia="en-GB"/>
              </w:rPr>
              <w:t>-90</w:t>
            </w:r>
          </w:p>
        </w:tc>
        <w:tc>
          <w:tcPr>
            <w:tcW w:w="819" w:type="pct"/>
            <w:shd w:val="clear" w:color="auto" w:fill="FFFFFF" w:themeFill="background1"/>
            <w:noWrap/>
            <w:vAlign w:val="center"/>
            <w:hideMark/>
          </w:tcPr>
          <w:p w:rsidR="006607BC" w:rsidRPr="007E7A18" w:rsidRDefault="006607BC" w:rsidP="00FA02C9">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auto"/>
                <w:sz w:val="24"/>
                <w:szCs w:val="24"/>
                <w:lang w:eastAsia="en-GB"/>
              </w:rPr>
            </w:pPr>
            <w:r w:rsidRPr="007E7A18">
              <w:rPr>
                <w:rFonts w:ascii="Arial Narrow" w:eastAsia="Times New Roman" w:hAnsi="Arial Narrow"/>
                <w:color w:val="auto"/>
                <w:sz w:val="24"/>
                <w:szCs w:val="24"/>
                <w:lang w:eastAsia="en-GB"/>
              </w:rPr>
              <w:t>-313</w:t>
            </w:r>
          </w:p>
        </w:tc>
        <w:tc>
          <w:tcPr>
            <w:tcW w:w="819" w:type="pct"/>
            <w:shd w:val="clear" w:color="auto" w:fill="FFFFFF" w:themeFill="background1"/>
            <w:noWrap/>
            <w:vAlign w:val="center"/>
            <w:hideMark/>
          </w:tcPr>
          <w:p w:rsidR="006607BC" w:rsidRPr="007E7A18" w:rsidRDefault="006607BC" w:rsidP="00FA02C9">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auto"/>
                <w:sz w:val="24"/>
                <w:szCs w:val="24"/>
                <w:lang w:eastAsia="en-GB"/>
              </w:rPr>
            </w:pPr>
            <w:r w:rsidRPr="007E7A18">
              <w:rPr>
                <w:rFonts w:ascii="Arial Narrow" w:eastAsia="Times New Roman" w:hAnsi="Arial Narrow"/>
                <w:color w:val="auto"/>
                <w:sz w:val="24"/>
                <w:szCs w:val="24"/>
                <w:lang w:eastAsia="en-GB"/>
              </w:rPr>
              <w:t>-385</w:t>
            </w:r>
          </w:p>
        </w:tc>
        <w:tc>
          <w:tcPr>
            <w:tcW w:w="819" w:type="pct"/>
            <w:shd w:val="clear" w:color="auto" w:fill="FFFFFF" w:themeFill="background1"/>
            <w:noWrap/>
            <w:vAlign w:val="center"/>
            <w:hideMark/>
          </w:tcPr>
          <w:p w:rsidR="006607BC" w:rsidRPr="007E7A18" w:rsidRDefault="006607BC" w:rsidP="00FA02C9">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auto"/>
                <w:sz w:val="24"/>
                <w:szCs w:val="24"/>
                <w:lang w:eastAsia="en-GB"/>
              </w:rPr>
            </w:pPr>
            <w:r w:rsidRPr="007E7A18">
              <w:rPr>
                <w:rFonts w:ascii="Arial Narrow" w:eastAsia="Times New Roman" w:hAnsi="Arial Narrow"/>
                <w:color w:val="auto"/>
                <w:sz w:val="24"/>
                <w:szCs w:val="24"/>
                <w:lang w:eastAsia="en-GB"/>
              </w:rPr>
              <w:t>-387</w:t>
            </w:r>
          </w:p>
        </w:tc>
        <w:tc>
          <w:tcPr>
            <w:tcW w:w="767" w:type="pct"/>
            <w:shd w:val="clear" w:color="auto" w:fill="FFFFFF" w:themeFill="background1"/>
            <w:noWrap/>
            <w:vAlign w:val="center"/>
            <w:hideMark/>
          </w:tcPr>
          <w:p w:rsidR="006607BC" w:rsidRPr="007E7A18" w:rsidRDefault="006607BC" w:rsidP="00FA02C9">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auto"/>
                <w:sz w:val="24"/>
                <w:szCs w:val="24"/>
                <w:lang w:eastAsia="en-GB"/>
              </w:rPr>
            </w:pPr>
            <w:r w:rsidRPr="007E7A18">
              <w:rPr>
                <w:rFonts w:ascii="Arial Narrow" w:eastAsia="Times New Roman" w:hAnsi="Arial Narrow"/>
                <w:color w:val="auto"/>
                <w:sz w:val="24"/>
                <w:szCs w:val="24"/>
                <w:lang w:eastAsia="en-GB"/>
              </w:rPr>
              <w:t>-1,175</w:t>
            </w:r>
          </w:p>
        </w:tc>
      </w:tr>
      <w:tr w:rsidR="006607BC" w:rsidRPr="007E7A18" w:rsidTr="000031A7">
        <w:trPr>
          <w:trHeight w:val="229"/>
          <w:jc w:val="right"/>
        </w:trPr>
        <w:tc>
          <w:tcPr>
            <w:cnfStyle w:val="001000000000" w:firstRow="0" w:lastRow="0" w:firstColumn="1" w:lastColumn="0" w:oddVBand="0" w:evenVBand="0" w:oddHBand="0" w:evenHBand="0" w:firstRowFirstColumn="0" w:firstRowLastColumn="0" w:lastRowFirstColumn="0" w:lastRowLastColumn="0"/>
            <w:tcW w:w="959" w:type="pct"/>
            <w:shd w:val="clear" w:color="auto" w:fill="FFFFFF" w:themeFill="background1"/>
            <w:noWrap/>
            <w:vAlign w:val="center"/>
            <w:hideMark/>
          </w:tcPr>
          <w:p w:rsidR="006607BC" w:rsidRPr="007E7A18" w:rsidRDefault="006607BC" w:rsidP="00FA02C9">
            <w:pPr>
              <w:spacing w:line="240" w:lineRule="auto"/>
              <w:rPr>
                <w:rFonts w:ascii="Arial Narrow" w:eastAsia="Times New Roman" w:hAnsi="Arial Narrow"/>
                <w:bCs/>
                <w:color w:val="auto"/>
                <w:sz w:val="24"/>
                <w:szCs w:val="24"/>
                <w:lang w:eastAsia="en-GB"/>
              </w:rPr>
            </w:pPr>
            <w:r w:rsidRPr="007E7A18">
              <w:rPr>
                <w:rFonts w:ascii="Arial Narrow" w:eastAsia="Times New Roman" w:hAnsi="Arial Narrow"/>
                <w:bCs/>
                <w:color w:val="auto"/>
                <w:sz w:val="24"/>
                <w:szCs w:val="24"/>
                <w:lang w:eastAsia="en-GB"/>
              </w:rPr>
              <w:t>B8</w:t>
            </w:r>
          </w:p>
        </w:tc>
        <w:tc>
          <w:tcPr>
            <w:tcW w:w="819" w:type="pct"/>
            <w:shd w:val="clear" w:color="auto" w:fill="FFFFFF" w:themeFill="background1"/>
            <w:noWrap/>
            <w:vAlign w:val="center"/>
            <w:hideMark/>
          </w:tcPr>
          <w:p w:rsidR="006607BC" w:rsidRPr="007E7A18" w:rsidRDefault="006607BC" w:rsidP="00FA02C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auto"/>
                <w:sz w:val="24"/>
                <w:szCs w:val="24"/>
                <w:lang w:eastAsia="en-GB"/>
              </w:rPr>
            </w:pPr>
            <w:r w:rsidRPr="007E7A18">
              <w:rPr>
                <w:rFonts w:ascii="Arial Narrow" w:eastAsia="Times New Roman" w:hAnsi="Arial Narrow"/>
                <w:color w:val="auto"/>
                <w:sz w:val="24"/>
                <w:szCs w:val="24"/>
                <w:lang w:eastAsia="en-GB"/>
              </w:rPr>
              <w:t>24</w:t>
            </w:r>
          </w:p>
        </w:tc>
        <w:tc>
          <w:tcPr>
            <w:tcW w:w="819" w:type="pct"/>
            <w:shd w:val="clear" w:color="auto" w:fill="FFFFFF" w:themeFill="background1"/>
            <w:noWrap/>
            <w:vAlign w:val="center"/>
            <w:hideMark/>
          </w:tcPr>
          <w:p w:rsidR="006607BC" w:rsidRPr="007E7A18" w:rsidRDefault="006607BC" w:rsidP="00FA02C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auto"/>
                <w:sz w:val="24"/>
                <w:szCs w:val="24"/>
                <w:lang w:eastAsia="en-GB"/>
              </w:rPr>
            </w:pPr>
            <w:r w:rsidRPr="007E7A18">
              <w:rPr>
                <w:rFonts w:ascii="Arial Narrow" w:eastAsia="Times New Roman" w:hAnsi="Arial Narrow"/>
                <w:color w:val="auto"/>
                <w:sz w:val="24"/>
                <w:szCs w:val="24"/>
                <w:lang w:eastAsia="en-GB"/>
              </w:rPr>
              <w:t>35</w:t>
            </w:r>
          </w:p>
        </w:tc>
        <w:tc>
          <w:tcPr>
            <w:tcW w:w="819" w:type="pct"/>
            <w:shd w:val="clear" w:color="auto" w:fill="FFFFFF" w:themeFill="background1"/>
            <w:noWrap/>
            <w:vAlign w:val="center"/>
            <w:hideMark/>
          </w:tcPr>
          <w:p w:rsidR="006607BC" w:rsidRPr="007E7A18" w:rsidRDefault="006607BC" w:rsidP="00FA02C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auto"/>
                <w:sz w:val="24"/>
                <w:szCs w:val="24"/>
                <w:lang w:eastAsia="en-GB"/>
              </w:rPr>
            </w:pPr>
            <w:r w:rsidRPr="007E7A18">
              <w:rPr>
                <w:rFonts w:ascii="Arial Narrow" w:eastAsia="Times New Roman" w:hAnsi="Arial Narrow"/>
                <w:color w:val="auto"/>
                <w:sz w:val="24"/>
                <w:szCs w:val="24"/>
                <w:lang w:eastAsia="en-GB"/>
              </w:rPr>
              <w:t>-17</w:t>
            </w:r>
          </w:p>
        </w:tc>
        <w:tc>
          <w:tcPr>
            <w:tcW w:w="819" w:type="pct"/>
            <w:shd w:val="clear" w:color="auto" w:fill="FFFFFF" w:themeFill="background1"/>
            <w:noWrap/>
            <w:vAlign w:val="center"/>
            <w:hideMark/>
          </w:tcPr>
          <w:p w:rsidR="006607BC" w:rsidRPr="007E7A18" w:rsidRDefault="006607BC" w:rsidP="00FA02C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auto"/>
                <w:sz w:val="24"/>
                <w:szCs w:val="24"/>
                <w:lang w:eastAsia="en-GB"/>
              </w:rPr>
            </w:pPr>
            <w:r w:rsidRPr="007E7A18">
              <w:rPr>
                <w:rFonts w:ascii="Arial Narrow" w:eastAsia="Times New Roman" w:hAnsi="Arial Narrow"/>
                <w:color w:val="auto"/>
                <w:sz w:val="24"/>
                <w:szCs w:val="24"/>
                <w:lang w:eastAsia="en-GB"/>
              </w:rPr>
              <w:t>-46</w:t>
            </w:r>
          </w:p>
        </w:tc>
        <w:tc>
          <w:tcPr>
            <w:tcW w:w="767" w:type="pct"/>
            <w:shd w:val="clear" w:color="auto" w:fill="FFFFFF" w:themeFill="background1"/>
            <w:noWrap/>
            <w:vAlign w:val="center"/>
            <w:hideMark/>
          </w:tcPr>
          <w:p w:rsidR="006607BC" w:rsidRPr="007E7A18" w:rsidRDefault="006607BC" w:rsidP="00FA02C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auto"/>
                <w:sz w:val="24"/>
                <w:szCs w:val="24"/>
                <w:lang w:eastAsia="en-GB"/>
              </w:rPr>
            </w:pPr>
            <w:r w:rsidRPr="007E7A18">
              <w:rPr>
                <w:rFonts w:ascii="Arial Narrow" w:eastAsia="Times New Roman" w:hAnsi="Arial Narrow"/>
                <w:color w:val="auto"/>
                <w:sz w:val="24"/>
                <w:szCs w:val="24"/>
                <w:lang w:eastAsia="en-GB"/>
              </w:rPr>
              <w:t>-5</w:t>
            </w:r>
          </w:p>
        </w:tc>
      </w:tr>
      <w:tr w:rsidR="006607BC" w:rsidRPr="007E7A18" w:rsidTr="000031A7">
        <w:trPr>
          <w:cnfStyle w:val="000000010000" w:firstRow="0" w:lastRow="0" w:firstColumn="0" w:lastColumn="0" w:oddVBand="0" w:evenVBand="0" w:oddHBand="0" w:evenHBand="1" w:firstRowFirstColumn="0" w:firstRowLastColumn="0" w:lastRowFirstColumn="0" w:lastRowLastColumn="0"/>
          <w:trHeight w:val="229"/>
          <w:jc w:val="right"/>
        </w:trPr>
        <w:tc>
          <w:tcPr>
            <w:cnfStyle w:val="001000000000" w:firstRow="0" w:lastRow="0" w:firstColumn="1" w:lastColumn="0" w:oddVBand="0" w:evenVBand="0" w:oddHBand="0" w:evenHBand="0" w:firstRowFirstColumn="0" w:firstRowLastColumn="0" w:lastRowFirstColumn="0" w:lastRowLastColumn="0"/>
            <w:tcW w:w="959" w:type="pct"/>
            <w:shd w:val="clear" w:color="auto" w:fill="FFFFFF" w:themeFill="background1"/>
            <w:noWrap/>
            <w:vAlign w:val="center"/>
            <w:hideMark/>
          </w:tcPr>
          <w:p w:rsidR="006607BC" w:rsidRPr="007E7A18" w:rsidRDefault="006607BC" w:rsidP="00FA02C9">
            <w:pPr>
              <w:spacing w:line="240" w:lineRule="auto"/>
              <w:rPr>
                <w:rFonts w:ascii="Arial Narrow" w:eastAsia="Times New Roman" w:hAnsi="Arial Narrow"/>
                <w:bCs/>
                <w:color w:val="auto"/>
                <w:sz w:val="24"/>
                <w:szCs w:val="24"/>
                <w:lang w:eastAsia="en-GB"/>
              </w:rPr>
            </w:pPr>
            <w:r w:rsidRPr="007E7A18">
              <w:rPr>
                <w:rFonts w:ascii="Arial Narrow" w:eastAsia="Times New Roman" w:hAnsi="Arial Narrow"/>
                <w:bCs/>
                <w:color w:val="auto"/>
                <w:sz w:val="24"/>
                <w:szCs w:val="24"/>
                <w:lang w:eastAsia="en-GB"/>
              </w:rPr>
              <w:t>NON-B</w:t>
            </w:r>
          </w:p>
        </w:tc>
        <w:tc>
          <w:tcPr>
            <w:tcW w:w="819" w:type="pct"/>
            <w:shd w:val="clear" w:color="auto" w:fill="FFFFFF" w:themeFill="background1"/>
            <w:noWrap/>
            <w:vAlign w:val="center"/>
            <w:hideMark/>
          </w:tcPr>
          <w:p w:rsidR="006607BC" w:rsidRPr="007E7A18" w:rsidRDefault="006607BC" w:rsidP="00FA02C9">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auto"/>
                <w:sz w:val="24"/>
                <w:szCs w:val="24"/>
                <w:lang w:eastAsia="en-GB"/>
              </w:rPr>
            </w:pPr>
            <w:r w:rsidRPr="007E7A18">
              <w:rPr>
                <w:rFonts w:ascii="Arial Narrow" w:eastAsia="Times New Roman" w:hAnsi="Arial Narrow"/>
                <w:color w:val="auto"/>
                <w:sz w:val="24"/>
                <w:szCs w:val="24"/>
                <w:lang w:eastAsia="en-GB"/>
              </w:rPr>
              <w:t>642</w:t>
            </w:r>
          </w:p>
        </w:tc>
        <w:tc>
          <w:tcPr>
            <w:tcW w:w="819" w:type="pct"/>
            <w:shd w:val="clear" w:color="auto" w:fill="FFFFFF" w:themeFill="background1"/>
            <w:noWrap/>
            <w:vAlign w:val="center"/>
            <w:hideMark/>
          </w:tcPr>
          <w:p w:rsidR="006607BC" w:rsidRPr="007E7A18" w:rsidRDefault="006607BC" w:rsidP="00FA02C9">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auto"/>
                <w:sz w:val="24"/>
                <w:szCs w:val="24"/>
                <w:lang w:eastAsia="en-GB"/>
              </w:rPr>
            </w:pPr>
            <w:r w:rsidRPr="007E7A18">
              <w:rPr>
                <w:rFonts w:ascii="Arial Narrow" w:eastAsia="Times New Roman" w:hAnsi="Arial Narrow"/>
                <w:color w:val="auto"/>
                <w:sz w:val="24"/>
                <w:szCs w:val="24"/>
                <w:lang w:eastAsia="en-GB"/>
              </w:rPr>
              <w:t>1,158</w:t>
            </w:r>
          </w:p>
        </w:tc>
        <w:tc>
          <w:tcPr>
            <w:tcW w:w="819" w:type="pct"/>
            <w:shd w:val="clear" w:color="auto" w:fill="FFFFFF" w:themeFill="background1"/>
            <w:noWrap/>
            <w:vAlign w:val="center"/>
            <w:hideMark/>
          </w:tcPr>
          <w:p w:rsidR="006607BC" w:rsidRPr="007E7A18" w:rsidRDefault="006607BC" w:rsidP="00FA02C9">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auto"/>
                <w:sz w:val="24"/>
                <w:szCs w:val="24"/>
                <w:lang w:eastAsia="en-GB"/>
              </w:rPr>
            </w:pPr>
            <w:r w:rsidRPr="007E7A18">
              <w:rPr>
                <w:rFonts w:ascii="Arial Narrow" w:eastAsia="Times New Roman" w:hAnsi="Arial Narrow"/>
                <w:color w:val="auto"/>
                <w:sz w:val="24"/>
                <w:szCs w:val="24"/>
                <w:lang w:eastAsia="en-GB"/>
              </w:rPr>
              <w:t>715</w:t>
            </w:r>
          </w:p>
        </w:tc>
        <w:tc>
          <w:tcPr>
            <w:tcW w:w="819" w:type="pct"/>
            <w:shd w:val="clear" w:color="auto" w:fill="FFFFFF" w:themeFill="background1"/>
            <w:noWrap/>
            <w:vAlign w:val="center"/>
            <w:hideMark/>
          </w:tcPr>
          <w:p w:rsidR="006607BC" w:rsidRPr="007E7A18" w:rsidRDefault="006607BC" w:rsidP="00FA02C9">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auto"/>
                <w:sz w:val="24"/>
                <w:szCs w:val="24"/>
                <w:lang w:eastAsia="en-GB"/>
              </w:rPr>
            </w:pPr>
            <w:r w:rsidRPr="007E7A18">
              <w:rPr>
                <w:rFonts w:ascii="Arial Narrow" w:eastAsia="Times New Roman" w:hAnsi="Arial Narrow"/>
                <w:color w:val="auto"/>
                <w:sz w:val="24"/>
                <w:szCs w:val="24"/>
                <w:lang w:eastAsia="en-GB"/>
              </w:rPr>
              <w:t>379</w:t>
            </w:r>
          </w:p>
        </w:tc>
        <w:tc>
          <w:tcPr>
            <w:tcW w:w="767" w:type="pct"/>
            <w:shd w:val="clear" w:color="auto" w:fill="FFFFFF" w:themeFill="background1"/>
            <w:noWrap/>
            <w:vAlign w:val="center"/>
            <w:hideMark/>
          </w:tcPr>
          <w:p w:rsidR="006607BC" w:rsidRPr="007E7A18" w:rsidRDefault="006607BC" w:rsidP="00FA02C9">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auto"/>
                <w:sz w:val="24"/>
                <w:szCs w:val="24"/>
                <w:lang w:eastAsia="en-GB"/>
              </w:rPr>
            </w:pPr>
            <w:r w:rsidRPr="007E7A18">
              <w:rPr>
                <w:rFonts w:ascii="Arial Narrow" w:eastAsia="Times New Roman" w:hAnsi="Arial Narrow"/>
                <w:color w:val="auto"/>
                <w:sz w:val="24"/>
                <w:szCs w:val="24"/>
                <w:lang w:eastAsia="en-GB"/>
              </w:rPr>
              <w:t>2,894</w:t>
            </w:r>
          </w:p>
        </w:tc>
      </w:tr>
      <w:tr w:rsidR="006607BC" w:rsidRPr="007E7A18" w:rsidTr="000031A7">
        <w:trPr>
          <w:trHeight w:val="229"/>
          <w:jc w:val="right"/>
        </w:trPr>
        <w:tc>
          <w:tcPr>
            <w:cnfStyle w:val="001000000000" w:firstRow="0" w:lastRow="0" w:firstColumn="1" w:lastColumn="0" w:oddVBand="0" w:evenVBand="0" w:oddHBand="0" w:evenHBand="0" w:firstRowFirstColumn="0" w:firstRowLastColumn="0" w:lastRowFirstColumn="0" w:lastRowLastColumn="0"/>
            <w:tcW w:w="959" w:type="pct"/>
            <w:shd w:val="clear" w:color="auto" w:fill="FFFFFF" w:themeFill="background1"/>
            <w:noWrap/>
            <w:vAlign w:val="center"/>
            <w:hideMark/>
          </w:tcPr>
          <w:p w:rsidR="006607BC" w:rsidRPr="007E7A18" w:rsidRDefault="006607BC" w:rsidP="00FA02C9">
            <w:pPr>
              <w:spacing w:line="240" w:lineRule="auto"/>
              <w:rPr>
                <w:rFonts w:ascii="Arial Narrow" w:eastAsia="Times New Roman" w:hAnsi="Arial Narrow"/>
                <w:bCs/>
                <w:color w:val="auto"/>
                <w:sz w:val="24"/>
                <w:szCs w:val="24"/>
                <w:lang w:eastAsia="en-GB"/>
              </w:rPr>
            </w:pPr>
            <w:r w:rsidRPr="007E7A18">
              <w:rPr>
                <w:rFonts w:ascii="Arial Narrow" w:eastAsia="Times New Roman" w:hAnsi="Arial Narrow"/>
                <w:bCs/>
                <w:color w:val="auto"/>
                <w:sz w:val="24"/>
                <w:szCs w:val="24"/>
                <w:lang w:eastAsia="en-GB"/>
              </w:rPr>
              <w:t>Total</w:t>
            </w:r>
          </w:p>
        </w:tc>
        <w:tc>
          <w:tcPr>
            <w:tcW w:w="819" w:type="pct"/>
            <w:shd w:val="clear" w:color="auto" w:fill="FFFFFF" w:themeFill="background1"/>
            <w:noWrap/>
            <w:vAlign w:val="center"/>
            <w:hideMark/>
          </w:tcPr>
          <w:p w:rsidR="006607BC" w:rsidRPr="007E7A18" w:rsidRDefault="006607BC" w:rsidP="00FA02C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auto"/>
                <w:sz w:val="24"/>
                <w:szCs w:val="24"/>
                <w:lang w:eastAsia="en-GB"/>
              </w:rPr>
            </w:pPr>
            <w:r w:rsidRPr="007E7A18">
              <w:rPr>
                <w:rFonts w:ascii="Arial Narrow" w:eastAsia="Times New Roman" w:hAnsi="Arial Narrow"/>
                <w:color w:val="auto"/>
                <w:sz w:val="24"/>
                <w:szCs w:val="24"/>
                <w:lang w:eastAsia="en-GB"/>
              </w:rPr>
              <w:t>838</w:t>
            </w:r>
          </w:p>
        </w:tc>
        <w:tc>
          <w:tcPr>
            <w:tcW w:w="819" w:type="pct"/>
            <w:shd w:val="clear" w:color="auto" w:fill="FFFFFF" w:themeFill="background1"/>
            <w:noWrap/>
            <w:vAlign w:val="center"/>
            <w:hideMark/>
          </w:tcPr>
          <w:p w:rsidR="006607BC" w:rsidRPr="007E7A18" w:rsidRDefault="006607BC" w:rsidP="00FA02C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auto"/>
                <w:sz w:val="24"/>
                <w:szCs w:val="24"/>
                <w:lang w:eastAsia="en-GB"/>
              </w:rPr>
            </w:pPr>
            <w:r w:rsidRPr="007E7A18">
              <w:rPr>
                <w:rFonts w:ascii="Arial Narrow" w:eastAsia="Times New Roman" w:hAnsi="Arial Narrow"/>
                <w:color w:val="auto"/>
                <w:sz w:val="24"/>
                <w:szCs w:val="24"/>
                <w:lang w:eastAsia="en-GB"/>
              </w:rPr>
              <w:t>1,234</w:t>
            </w:r>
          </w:p>
        </w:tc>
        <w:tc>
          <w:tcPr>
            <w:tcW w:w="819" w:type="pct"/>
            <w:shd w:val="clear" w:color="auto" w:fill="FFFFFF" w:themeFill="background1"/>
            <w:noWrap/>
            <w:vAlign w:val="center"/>
            <w:hideMark/>
          </w:tcPr>
          <w:p w:rsidR="006607BC" w:rsidRPr="007E7A18" w:rsidRDefault="006607BC" w:rsidP="00FA02C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auto"/>
                <w:sz w:val="24"/>
                <w:szCs w:val="24"/>
                <w:lang w:eastAsia="en-GB"/>
              </w:rPr>
            </w:pPr>
            <w:r w:rsidRPr="007E7A18">
              <w:rPr>
                <w:rFonts w:ascii="Arial Narrow" w:eastAsia="Times New Roman" w:hAnsi="Arial Narrow"/>
                <w:color w:val="auto"/>
                <w:sz w:val="24"/>
                <w:szCs w:val="24"/>
                <w:lang w:eastAsia="en-GB"/>
              </w:rPr>
              <w:t>494</w:t>
            </w:r>
          </w:p>
        </w:tc>
        <w:tc>
          <w:tcPr>
            <w:tcW w:w="819" w:type="pct"/>
            <w:shd w:val="clear" w:color="auto" w:fill="FFFFFF" w:themeFill="background1"/>
            <w:noWrap/>
            <w:vAlign w:val="center"/>
            <w:hideMark/>
          </w:tcPr>
          <w:p w:rsidR="006607BC" w:rsidRPr="007E7A18" w:rsidRDefault="006607BC" w:rsidP="00FA02C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auto"/>
                <w:sz w:val="24"/>
                <w:szCs w:val="24"/>
                <w:lang w:eastAsia="en-GB"/>
              </w:rPr>
            </w:pPr>
            <w:r w:rsidRPr="007E7A18">
              <w:rPr>
                <w:rFonts w:ascii="Arial Narrow" w:eastAsia="Times New Roman" w:hAnsi="Arial Narrow"/>
                <w:color w:val="auto"/>
                <w:sz w:val="24"/>
                <w:szCs w:val="24"/>
                <w:lang w:eastAsia="en-GB"/>
              </w:rPr>
              <w:t>100</w:t>
            </w:r>
          </w:p>
        </w:tc>
        <w:tc>
          <w:tcPr>
            <w:tcW w:w="767" w:type="pct"/>
            <w:shd w:val="clear" w:color="auto" w:fill="FFFFFF" w:themeFill="background1"/>
            <w:noWrap/>
            <w:vAlign w:val="center"/>
            <w:hideMark/>
          </w:tcPr>
          <w:p w:rsidR="006607BC" w:rsidRPr="007E7A18" w:rsidRDefault="006607BC" w:rsidP="00FA02C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auto"/>
                <w:sz w:val="24"/>
                <w:szCs w:val="24"/>
                <w:lang w:eastAsia="en-GB"/>
              </w:rPr>
            </w:pPr>
            <w:r w:rsidRPr="007E7A18">
              <w:rPr>
                <w:rFonts w:ascii="Arial Narrow" w:eastAsia="Times New Roman" w:hAnsi="Arial Narrow"/>
                <w:color w:val="auto"/>
                <w:sz w:val="24"/>
                <w:szCs w:val="24"/>
                <w:lang w:eastAsia="en-GB"/>
              </w:rPr>
              <w:t>2,665</w:t>
            </w:r>
          </w:p>
        </w:tc>
      </w:tr>
      <w:tr w:rsidR="006607BC" w:rsidRPr="007E7A18" w:rsidTr="000031A7">
        <w:trPr>
          <w:cnfStyle w:val="000000010000" w:firstRow="0" w:lastRow="0" w:firstColumn="0" w:lastColumn="0" w:oddVBand="0" w:evenVBand="0" w:oddHBand="0" w:evenHBand="1" w:firstRowFirstColumn="0" w:firstRowLastColumn="0" w:lastRowFirstColumn="0" w:lastRowLastColumn="0"/>
          <w:trHeight w:val="229"/>
          <w:jc w:val="right"/>
        </w:trPr>
        <w:tc>
          <w:tcPr>
            <w:cnfStyle w:val="001000000000" w:firstRow="0" w:lastRow="0" w:firstColumn="1" w:lastColumn="0" w:oddVBand="0" w:evenVBand="0" w:oddHBand="0" w:evenHBand="0" w:firstRowFirstColumn="0" w:firstRowLastColumn="0" w:lastRowFirstColumn="0" w:lastRowLastColumn="0"/>
            <w:tcW w:w="959" w:type="pct"/>
            <w:shd w:val="clear" w:color="auto" w:fill="FFFFFF" w:themeFill="background1"/>
            <w:noWrap/>
            <w:vAlign w:val="center"/>
            <w:hideMark/>
          </w:tcPr>
          <w:p w:rsidR="006607BC" w:rsidRPr="007E7A18" w:rsidRDefault="006607BC" w:rsidP="00FA02C9">
            <w:pPr>
              <w:spacing w:line="240" w:lineRule="auto"/>
              <w:rPr>
                <w:rFonts w:ascii="Arial Narrow" w:eastAsia="Times New Roman" w:hAnsi="Arial Narrow"/>
                <w:bCs/>
                <w:color w:val="auto"/>
                <w:sz w:val="24"/>
                <w:szCs w:val="24"/>
                <w:lang w:eastAsia="en-GB"/>
              </w:rPr>
            </w:pPr>
            <w:r w:rsidRPr="007E7A18">
              <w:rPr>
                <w:rFonts w:ascii="Arial Narrow" w:eastAsia="Times New Roman" w:hAnsi="Arial Narrow"/>
                <w:bCs/>
                <w:color w:val="auto"/>
                <w:sz w:val="24"/>
                <w:szCs w:val="24"/>
                <w:lang w:eastAsia="en-GB"/>
              </w:rPr>
              <w:t>B-Class Total</w:t>
            </w:r>
          </w:p>
        </w:tc>
        <w:tc>
          <w:tcPr>
            <w:tcW w:w="819" w:type="pct"/>
            <w:shd w:val="clear" w:color="auto" w:fill="FFFFFF" w:themeFill="background1"/>
            <w:noWrap/>
            <w:vAlign w:val="center"/>
            <w:hideMark/>
          </w:tcPr>
          <w:p w:rsidR="006607BC" w:rsidRPr="007E7A18" w:rsidRDefault="006607BC" w:rsidP="00FA02C9">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auto"/>
                <w:sz w:val="24"/>
                <w:szCs w:val="24"/>
                <w:lang w:eastAsia="en-GB"/>
              </w:rPr>
            </w:pPr>
            <w:r w:rsidRPr="007E7A18">
              <w:rPr>
                <w:rFonts w:ascii="Arial Narrow" w:eastAsia="Times New Roman" w:hAnsi="Arial Narrow"/>
                <w:color w:val="auto"/>
                <w:sz w:val="24"/>
                <w:szCs w:val="24"/>
                <w:lang w:eastAsia="en-GB"/>
              </w:rPr>
              <w:t>195</w:t>
            </w:r>
          </w:p>
        </w:tc>
        <w:tc>
          <w:tcPr>
            <w:tcW w:w="819" w:type="pct"/>
            <w:shd w:val="clear" w:color="auto" w:fill="FFFFFF" w:themeFill="background1"/>
            <w:noWrap/>
            <w:vAlign w:val="center"/>
            <w:hideMark/>
          </w:tcPr>
          <w:p w:rsidR="006607BC" w:rsidRPr="007E7A18" w:rsidRDefault="006607BC" w:rsidP="00FA02C9">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auto"/>
                <w:sz w:val="24"/>
                <w:szCs w:val="24"/>
                <w:lang w:eastAsia="en-GB"/>
              </w:rPr>
            </w:pPr>
            <w:r w:rsidRPr="007E7A18">
              <w:rPr>
                <w:rFonts w:ascii="Arial Narrow" w:eastAsia="Times New Roman" w:hAnsi="Arial Narrow"/>
                <w:color w:val="auto"/>
                <w:sz w:val="24"/>
                <w:szCs w:val="24"/>
                <w:lang w:eastAsia="en-GB"/>
              </w:rPr>
              <w:t>76</w:t>
            </w:r>
          </w:p>
        </w:tc>
        <w:tc>
          <w:tcPr>
            <w:tcW w:w="819" w:type="pct"/>
            <w:shd w:val="clear" w:color="auto" w:fill="FFFFFF" w:themeFill="background1"/>
            <w:noWrap/>
            <w:vAlign w:val="center"/>
            <w:hideMark/>
          </w:tcPr>
          <w:p w:rsidR="006607BC" w:rsidRPr="007E7A18" w:rsidRDefault="006607BC" w:rsidP="00FA02C9">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auto"/>
                <w:sz w:val="24"/>
                <w:szCs w:val="24"/>
                <w:lang w:eastAsia="en-GB"/>
              </w:rPr>
            </w:pPr>
            <w:r w:rsidRPr="007E7A18">
              <w:rPr>
                <w:rFonts w:ascii="Arial Narrow" w:eastAsia="Times New Roman" w:hAnsi="Arial Narrow"/>
                <w:color w:val="auto"/>
                <w:sz w:val="24"/>
                <w:szCs w:val="24"/>
                <w:lang w:eastAsia="en-GB"/>
              </w:rPr>
              <w:t>-222</w:t>
            </w:r>
          </w:p>
        </w:tc>
        <w:tc>
          <w:tcPr>
            <w:tcW w:w="819" w:type="pct"/>
            <w:shd w:val="clear" w:color="auto" w:fill="FFFFFF" w:themeFill="background1"/>
            <w:noWrap/>
            <w:vAlign w:val="center"/>
            <w:hideMark/>
          </w:tcPr>
          <w:p w:rsidR="006607BC" w:rsidRPr="007E7A18" w:rsidRDefault="006607BC" w:rsidP="00FA02C9">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auto"/>
                <w:sz w:val="24"/>
                <w:szCs w:val="24"/>
                <w:lang w:eastAsia="en-GB"/>
              </w:rPr>
            </w:pPr>
            <w:r w:rsidRPr="007E7A18">
              <w:rPr>
                <w:rFonts w:ascii="Arial Narrow" w:eastAsia="Times New Roman" w:hAnsi="Arial Narrow"/>
                <w:color w:val="auto"/>
                <w:sz w:val="24"/>
                <w:szCs w:val="24"/>
                <w:lang w:eastAsia="en-GB"/>
              </w:rPr>
              <w:t>-279</w:t>
            </w:r>
          </w:p>
        </w:tc>
        <w:tc>
          <w:tcPr>
            <w:tcW w:w="767" w:type="pct"/>
            <w:shd w:val="clear" w:color="auto" w:fill="FFFFFF" w:themeFill="background1"/>
            <w:noWrap/>
            <w:vAlign w:val="center"/>
            <w:hideMark/>
          </w:tcPr>
          <w:p w:rsidR="006607BC" w:rsidRPr="007E7A18" w:rsidRDefault="006607BC" w:rsidP="00FA02C9">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auto"/>
                <w:sz w:val="24"/>
                <w:szCs w:val="24"/>
                <w:lang w:eastAsia="en-GB"/>
              </w:rPr>
            </w:pPr>
            <w:r w:rsidRPr="007E7A18">
              <w:rPr>
                <w:rFonts w:ascii="Arial Narrow" w:eastAsia="Times New Roman" w:hAnsi="Arial Narrow"/>
                <w:color w:val="auto"/>
                <w:sz w:val="24"/>
                <w:szCs w:val="24"/>
                <w:lang w:eastAsia="en-GB"/>
              </w:rPr>
              <w:t>-229</w:t>
            </w:r>
          </w:p>
        </w:tc>
      </w:tr>
    </w:tbl>
    <w:p w:rsidR="00CC237F" w:rsidRPr="00CA47B9" w:rsidRDefault="00CC237F" w:rsidP="00FA02C9">
      <w:pPr>
        <w:pStyle w:val="11Bodytext"/>
        <w:numPr>
          <w:ilvl w:val="0"/>
          <w:numId w:val="0"/>
        </w:numPr>
        <w:spacing w:before="0" w:after="0" w:line="240" w:lineRule="auto"/>
      </w:pPr>
      <w:r w:rsidRPr="00CA47B9">
        <w:t>Source:</w:t>
      </w:r>
      <w:r w:rsidR="004B41A2" w:rsidRPr="00CA47B9">
        <w:t xml:space="preserve"> </w:t>
      </w:r>
      <w:r w:rsidRPr="00CA47B9">
        <w:t>Oxford</w:t>
      </w:r>
      <w:r w:rsidR="004B41A2" w:rsidRPr="00CA47B9">
        <w:t xml:space="preserve"> </w:t>
      </w:r>
      <w:r w:rsidRPr="00CA47B9">
        <w:t>Economics</w:t>
      </w:r>
    </w:p>
    <w:p w:rsidR="00B0298E" w:rsidRPr="00CA47B9" w:rsidRDefault="00B0298E" w:rsidP="001C73B8">
      <w:pPr>
        <w:pStyle w:val="11Bodytext"/>
        <w:tabs>
          <w:tab w:val="clear" w:pos="2212"/>
          <w:tab w:val="num" w:pos="567"/>
        </w:tabs>
        <w:ind w:left="567" w:hanging="567"/>
      </w:pPr>
      <w:r w:rsidRPr="00CA47B9">
        <w:t>To</w:t>
      </w:r>
      <w:r w:rsidR="004B41A2" w:rsidRPr="00CA47B9">
        <w:t xml:space="preserve"> </w:t>
      </w:r>
      <w:r w:rsidRPr="00CA47B9">
        <w:t>these</w:t>
      </w:r>
      <w:r w:rsidR="004B41A2" w:rsidRPr="00CA47B9">
        <w:t xml:space="preserve"> </w:t>
      </w:r>
      <w:r w:rsidRPr="00CA47B9">
        <w:t>figures</w:t>
      </w:r>
      <w:r w:rsidR="00855CA6">
        <w:t>,</w:t>
      </w:r>
      <w:r w:rsidR="004B41A2" w:rsidRPr="00CA47B9">
        <w:t xml:space="preserve"> </w:t>
      </w:r>
      <w:r w:rsidRPr="00CA47B9">
        <w:t>we</w:t>
      </w:r>
      <w:r w:rsidR="004B41A2" w:rsidRPr="00CA47B9">
        <w:t xml:space="preserve"> </w:t>
      </w:r>
      <w:r w:rsidRPr="00CA47B9">
        <w:t>have</w:t>
      </w:r>
      <w:r w:rsidR="004B41A2" w:rsidRPr="00CA47B9">
        <w:t xml:space="preserve"> </w:t>
      </w:r>
      <w:r w:rsidRPr="00CA47B9">
        <w:t>applied</w:t>
      </w:r>
      <w:r w:rsidR="004B41A2" w:rsidRPr="00CA47B9">
        <w:t xml:space="preserve"> </w:t>
      </w:r>
      <w:r w:rsidRPr="00CA47B9">
        <w:t>employment</w:t>
      </w:r>
      <w:r w:rsidR="004B41A2" w:rsidRPr="00CA47B9">
        <w:t xml:space="preserve"> </w:t>
      </w:r>
      <w:r w:rsidRPr="00CA47B9">
        <w:t>densities</w:t>
      </w:r>
      <w:r w:rsidR="004B41A2" w:rsidRPr="00CA47B9">
        <w:t xml:space="preserve"> </w:t>
      </w:r>
      <w:r w:rsidRPr="00CA47B9">
        <w:t>taking</w:t>
      </w:r>
      <w:r w:rsidR="004B41A2" w:rsidRPr="00CA47B9">
        <w:t xml:space="preserve"> </w:t>
      </w:r>
      <w:r w:rsidRPr="00CA47B9">
        <w:t>account</w:t>
      </w:r>
      <w:r w:rsidR="004B41A2" w:rsidRPr="00CA47B9">
        <w:t xml:space="preserve"> </w:t>
      </w:r>
      <w:r w:rsidRPr="00CA47B9">
        <w:t>of</w:t>
      </w:r>
      <w:r w:rsidR="004B41A2" w:rsidRPr="00CA47B9">
        <w:t xml:space="preserve"> </w:t>
      </w:r>
      <w:r w:rsidRPr="00CA47B9">
        <w:t>the</w:t>
      </w:r>
      <w:r w:rsidR="004B41A2" w:rsidRPr="00CA47B9">
        <w:t xml:space="preserve"> </w:t>
      </w:r>
      <w:r w:rsidRPr="00CA47B9">
        <w:rPr>
          <w:i/>
        </w:rPr>
        <w:t>HCA</w:t>
      </w:r>
      <w:r w:rsidR="004B41A2" w:rsidRPr="00CA47B9">
        <w:rPr>
          <w:i/>
        </w:rPr>
        <w:t xml:space="preserve"> </w:t>
      </w:r>
      <w:r w:rsidRPr="00CA47B9">
        <w:rPr>
          <w:i/>
        </w:rPr>
        <w:t>Employment</w:t>
      </w:r>
      <w:r w:rsidR="004B41A2" w:rsidRPr="00CA47B9">
        <w:rPr>
          <w:i/>
        </w:rPr>
        <w:t xml:space="preserve"> </w:t>
      </w:r>
      <w:r w:rsidRPr="00CA47B9">
        <w:rPr>
          <w:i/>
        </w:rPr>
        <w:t>Densities</w:t>
      </w:r>
      <w:r w:rsidR="004B41A2" w:rsidRPr="00CA47B9">
        <w:rPr>
          <w:i/>
        </w:rPr>
        <w:t xml:space="preserve"> </w:t>
      </w:r>
      <w:r w:rsidRPr="00CA47B9">
        <w:rPr>
          <w:i/>
        </w:rPr>
        <w:t>Guide:</w:t>
      </w:r>
      <w:r w:rsidR="004B41A2" w:rsidRPr="00CA47B9">
        <w:rPr>
          <w:i/>
        </w:rPr>
        <w:t xml:space="preserve"> </w:t>
      </w:r>
      <w:r w:rsidRPr="00CA47B9">
        <w:rPr>
          <w:i/>
        </w:rPr>
        <w:t>3</w:t>
      </w:r>
      <w:r w:rsidRPr="00CA47B9">
        <w:rPr>
          <w:i/>
          <w:vertAlign w:val="superscript"/>
        </w:rPr>
        <w:t>rd</w:t>
      </w:r>
      <w:r w:rsidR="004B41A2" w:rsidRPr="00CA47B9">
        <w:rPr>
          <w:i/>
        </w:rPr>
        <w:t xml:space="preserve"> </w:t>
      </w:r>
      <w:r w:rsidRPr="00CA47B9">
        <w:rPr>
          <w:i/>
        </w:rPr>
        <w:t>Edition</w:t>
      </w:r>
      <w:r w:rsidR="004B41A2" w:rsidRPr="00CA47B9">
        <w:rPr>
          <w:i/>
        </w:rPr>
        <w:t xml:space="preserve"> </w:t>
      </w:r>
      <w:r w:rsidRPr="00CA47B9">
        <w:t>(Drivers</w:t>
      </w:r>
      <w:r w:rsidR="004B41A2" w:rsidRPr="00CA47B9">
        <w:t xml:space="preserve"> </w:t>
      </w:r>
      <w:r w:rsidRPr="00CA47B9">
        <w:t>Jonas</w:t>
      </w:r>
      <w:r w:rsidR="004B41A2" w:rsidRPr="00CA47B9">
        <w:t xml:space="preserve"> </w:t>
      </w:r>
      <w:r w:rsidRPr="00CA47B9">
        <w:t>Deloitte,</w:t>
      </w:r>
      <w:r w:rsidR="004B41A2" w:rsidRPr="00CA47B9">
        <w:t xml:space="preserve"> </w:t>
      </w:r>
      <w:r w:rsidRPr="00CA47B9">
        <w:t>2015).</w:t>
      </w:r>
      <w:r w:rsidR="004B41A2" w:rsidRPr="00CA47B9">
        <w:t xml:space="preserve"> </w:t>
      </w:r>
      <w:r w:rsidRPr="00CA47B9">
        <w:t>We</w:t>
      </w:r>
      <w:r w:rsidR="004B41A2" w:rsidRPr="00CA47B9">
        <w:t xml:space="preserve"> </w:t>
      </w:r>
      <w:r w:rsidRPr="00CA47B9">
        <w:t>have</w:t>
      </w:r>
      <w:r w:rsidR="004B41A2" w:rsidRPr="00CA47B9">
        <w:t xml:space="preserve"> </w:t>
      </w:r>
      <w:r w:rsidRPr="00CA47B9">
        <w:t>converted</w:t>
      </w:r>
      <w:r w:rsidR="004B41A2" w:rsidRPr="00CA47B9">
        <w:t xml:space="preserve"> </w:t>
      </w:r>
      <w:r w:rsidRPr="00CA47B9">
        <w:t>figures</w:t>
      </w:r>
      <w:r w:rsidR="004B41A2" w:rsidRPr="00CA47B9">
        <w:t xml:space="preserve"> </w:t>
      </w:r>
      <w:r w:rsidRPr="00CA47B9">
        <w:t>to</w:t>
      </w:r>
      <w:r w:rsidR="004B41A2" w:rsidRPr="00CA47B9">
        <w:t xml:space="preserve"> </w:t>
      </w:r>
      <w:r w:rsidRPr="00CA47B9">
        <w:t>provide</w:t>
      </w:r>
      <w:r w:rsidR="004B41A2" w:rsidRPr="00CA47B9">
        <w:t xml:space="preserve"> </w:t>
      </w:r>
      <w:r w:rsidRPr="00CA47B9">
        <w:t>employment</w:t>
      </w:r>
      <w:r w:rsidR="004B41A2" w:rsidRPr="00CA47B9">
        <w:t xml:space="preserve"> </w:t>
      </w:r>
      <w:r w:rsidRPr="00CA47B9">
        <w:t>densities</w:t>
      </w:r>
      <w:r w:rsidR="004B41A2" w:rsidRPr="00CA47B9">
        <w:t xml:space="preserve"> </w:t>
      </w:r>
      <w:r w:rsidRPr="00CA47B9">
        <w:t>for</w:t>
      </w:r>
      <w:r w:rsidR="004B41A2" w:rsidRPr="00CA47B9">
        <w:t xml:space="preserve"> </w:t>
      </w:r>
      <w:r w:rsidRPr="00CA47B9">
        <w:t>gross</w:t>
      </w:r>
      <w:r w:rsidR="004B41A2" w:rsidRPr="00CA47B9">
        <w:t xml:space="preserve"> </w:t>
      </w:r>
      <w:r w:rsidRPr="00CA47B9">
        <w:t>external</w:t>
      </w:r>
      <w:r w:rsidR="004B41A2" w:rsidRPr="00CA47B9">
        <w:t xml:space="preserve"> </w:t>
      </w:r>
      <w:r w:rsidRPr="00CA47B9">
        <w:t>floor</w:t>
      </w:r>
      <w:r w:rsidR="004B41A2" w:rsidRPr="00CA47B9">
        <w:t xml:space="preserve"> </w:t>
      </w:r>
      <w:r w:rsidRPr="00CA47B9">
        <w:t>areas</w:t>
      </w:r>
      <w:r w:rsidR="004B41A2" w:rsidRPr="00CA47B9">
        <w:t xml:space="preserve"> </w:t>
      </w:r>
      <w:r w:rsidRPr="00CA47B9">
        <w:t>on</w:t>
      </w:r>
      <w:r w:rsidR="004B41A2" w:rsidRPr="00CA47B9">
        <w:t xml:space="preserve"> </w:t>
      </w:r>
      <w:r w:rsidRPr="00CA47B9">
        <w:t>the</w:t>
      </w:r>
      <w:r w:rsidR="004B41A2" w:rsidRPr="00CA47B9">
        <w:t xml:space="preserve"> </w:t>
      </w:r>
      <w:r w:rsidRPr="00CA47B9">
        <w:t>following</w:t>
      </w:r>
      <w:r w:rsidR="004B41A2" w:rsidRPr="00CA47B9">
        <w:t xml:space="preserve"> </w:t>
      </w:r>
      <w:r w:rsidRPr="00CA47B9">
        <w:t>basis</w:t>
      </w:r>
      <w:r w:rsidR="00AF6C48" w:rsidRPr="00CA47B9">
        <w:t>, which is consistent with the 201</w:t>
      </w:r>
      <w:r w:rsidR="00F8757F">
        <w:t>8</w:t>
      </w:r>
      <w:r w:rsidR="00AF6C48" w:rsidRPr="00CA47B9">
        <w:t xml:space="preserve"> HEDNA work</w:t>
      </w:r>
      <w:r w:rsidRPr="00CA47B9">
        <w:t>:</w:t>
      </w:r>
      <w:r w:rsidR="004B41A2" w:rsidRPr="00CA47B9">
        <w:t xml:space="preserve"> </w:t>
      </w:r>
    </w:p>
    <w:p w:rsidR="00B0298E" w:rsidRPr="00CA47B9" w:rsidRDefault="00B0298E" w:rsidP="00901C92">
      <w:pPr>
        <w:pStyle w:val="Bulletblueplain"/>
      </w:pPr>
      <w:r w:rsidRPr="00CA47B9">
        <w:t>Office</w:t>
      </w:r>
      <w:r w:rsidR="004B41A2" w:rsidRPr="00CA47B9">
        <w:t xml:space="preserve"> </w:t>
      </w:r>
      <w:r w:rsidRPr="00CA47B9">
        <w:t>(B1a):</w:t>
      </w:r>
      <w:r w:rsidR="004B41A2" w:rsidRPr="00CA47B9">
        <w:t xml:space="preserve"> </w:t>
      </w:r>
      <w:r w:rsidRPr="00CA47B9">
        <w:t>an</w:t>
      </w:r>
      <w:r w:rsidR="004B41A2" w:rsidRPr="00CA47B9">
        <w:t xml:space="preserve"> </w:t>
      </w:r>
      <w:r w:rsidRPr="00CA47B9">
        <w:t>average</w:t>
      </w:r>
      <w:r w:rsidR="004B41A2" w:rsidRPr="00CA47B9">
        <w:t xml:space="preserve"> </w:t>
      </w:r>
      <w:r w:rsidRPr="00CA47B9">
        <w:t>of</w:t>
      </w:r>
      <w:r w:rsidR="004B41A2" w:rsidRPr="00CA47B9">
        <w:t xml:space="preserve"> </w:t>
      </w:r>
      <w:r w:rsidRPr="00CA47B9">
        <w:t>14</w:t>
      </w:r>
      <w:r w:rsidR="004B41A2" w:rsidRPr="00CA47B9">
        <w:t xml:space="preserve"> </w:t>
      </w:r>
      <w:r w:rsidRPr="00CA47B9">
        <w:t>sq</w:t>
      </w:r>
      <w:r w:rsidR="00437C4A" w:rsidRPr="00CA47B9">
        <w:t>.</w:t>
      </w:r>
      <w:r w:rsidR="004B41A2" w:rsidRPr="00CA47B9">
        <w:t xml:space="preserve"> </w:t>
      </w:r>
      <w:r w:rsidRPr="00CA47B9">
        <w:t>m</w:t>
      </w:r>
      <w:r w:rsidR="004B41A2" w:rsidRPr="00CA47B9">
        <w:t xml:space="preserve"> </w:t>
      </w:r>
      <w:r w:rsidRPr="00CA47B9">
        <w:t>GEA</w:t>
      </w:r>
      <w:r w:rsidR="004B41A2" w:rsidRPr="00CA47B9">
        <w:t xml:space="preserve"> </w:t>
      </w:r>
      <w:r w:rsidRPr="00CA47B9">
        <w:t>per</w:t>
      </w:r>
      <w:r w:rsidR="004B41A2" w:rsidRPr="00CA47B9">
        <w:t xml:space="preserve"> </w:t>
      </w:r>
      <w:r w:rsidRPr="00CA47B9">
        <w:t>employee</w:t>
      </w:r>
      <w:r w:rsidR="004B41A2" w:rsidRPr="00CA47B9">
        <w:t xml:space="preserve"> </w:t>
      </w:r>
      <w:r w:rsidRPr="00CA47B9">
        <w:t>based</w:t>
      </w:r>
      <w:r w:rsidR="004B41A2" w:rsidRPr="00CA47B9">
        <w:t xml:space="preserve"> </w:t>
      </w:r>
      <w:r w:rsidRPr="00CA47B9">
        <w:t>on</w:t>
      </w:r>
      <w:r w:rsidR="004B41A2" w:rsidRPr="00CA47B9">
        <w:t xml:space="preserve"> </w:t>
      </w:r>
      <w:r w:rsidRPr="00CA47B9">
        <w:t>a</w:t>
      </w:r>
      <w:r w:rsidR="004B41A2" w:rsidRPr="00CA47B9">
        <w:t xml:space="preserve"> </w:t>
      </w:r>
      <w:r w:rsidRPr="00CA47B9">
        <w:t>blend</w:t>
      </w:r>
      <w:r w:rsidR="004B41A2" w:rsidRPr="00CA47B9">
        <w:t xml:space="preserve"> </w:t>
      </w:r>
      <w:r w:rsidRPr="00CA47B9">
        <w:t>between</w:t>
      </w:r>
      <w:r w:rsidR="004B41A2" w:rsidRPr="00CA47B9">
        <w:t xml:space="preserve"> </w:t>
      </w:r>
      <w:r w:rsidRPr="00CA47B9">
        <w:t>business</w:t>
      </w:r>
      <w:r w:rsidR="004B41A2" w:rsidRPr="00CA47B9">
        <w:t xml:space="preserve"> </w:t>
      </w:r>
      <w:r w:rsidRPr="00CA47B9">
        <w:t>park,</w:t>
      </w:r>
      <w:r w:rsidR="004B41A2" w:rsidRPr="00CA47B9">
        <w:t xml:space="preserve"> </w:t>
      </w:r>
      <w:r w:rsidRPr="00CA47B9">
        <w:t>serviced</w:t>
      </w:r>
      <w:r w:rsidR="004B41A2" w:rsidRPr="00CA47B9">
        <w:t xml:space="preserve"> </w:t>
      </w:r>
      <w:r w:rsidRPr="00CA47B9">
        <w:t>office</w:t>
      </w:r>
      <w:r w:rsidR="004B41A2" w:rsidRPr="00CA47B9">
        <w:t xml:space="preserve"> </w:t>
      </w:r>
      <w:r w:rsidRPr="00CA47B9">
        <w:t>and</w:t>
      </w:r>
      <w:r w:rsidR="004B41A2" w:rsidRPr="00CA47B9">
        <w:t xml:space="preserve"> </w:t>
      </w:r>
      <w:r w:rsidRPr="00CA47B9">
        <w:t>general</w:t>
      </w:r>
      <w:r w:rsidR="004B41A2" w:rsidRPr="00CA47B9">
        <w:t xml:space="preserve"> </w:t>
      </w:r>
      <w:r w:rsidRPr="00CA47B9">
        <w:t>office</w:t>
      </w:r>
      <w:r w:rsidR="004B41A2" w:rsidRPr="00CA47B9">
        <w:t xml:space="preserve"> </w:t>
      </w:r>
      <w:r w:rsidRPr="00CA47B9">
        <w:t>floorspace</w:t>
      </w:r>
      <w:r w:rsidR="004B41A2" w:rsidRPr="00CA47B9">
        <w:t xml:space="preserve"> </w:t>
      </w:r>
      <w:r w:rsidRPr="00CA47B9">
        <w:t>and</w:t>
      </w:r>
      <w:r w:rsidR="004B41A2" w:rsidRPr="00CA47B9">
        <w:t xml:space="preserve"> </w:t>
      </w:r>
      <w:r w:rsidRPr="00CA47B9">
        <w:t>assuming</w:t>
      </w:r>
      <w:r w:rsidR="004B41A2" w:rsidRPr="00CA47B9">
        <w:t xml:space="preserve"> </w:t>
      </w:r>
      <w:r w:rsidRPr="00CA47B9">
        <w:t>that</w:t>
      </w:r>
      <w:r w:rsidR="004B41A2" w:rsidRPr="00CA47B9">
        <w:t xml:space="preserve"> </w:t>
      </w:r>
      <w:r w:rsidRPr="00CA47B9">
        <w:t>the</w:t>
      </w:r>
      <w:r w:rsidR="004B41A2" w:rsidRPr="00CA47B9">
        <w:t xml:space="preserve"> </w:t>
      </w:r>
      <w:r w:rsidRPr="00CA47B9">
        <w:t>gross</w:t>
      </w:r>
      <w:r w:rsidR="004B41A2" w:rsidRPr="00CA47B9">
        <w:t xml:space="preserve"> </w:t>
      </w:r>
      <w:r w:rsidRPr="00CA47B9">
        <w:t>external</w:t>
      </w:r>
      <w:r w:rsidR="004B41A2" w:rsidRPr="00CA47B9">
        <w:t xml:space="preserve"> </w:t>
      </w:r>
      <w:r w:rsidRPr="00CA47B9">
        <w:t>area</w:t>
      </w:r>
      <w:r w:rsidR="004B41A2" w:rsidRPr="00CA47B9">
        <w:t xml:space="preserve"> </w:t>
      </w:r>
      <w:r w:rsidRPr="00CA47B9">
        <w:t>of</w:t>
      </w:r>
      <w:r w:rsidR="004B41A2" w:rsidRPr="00CA47B9">
        <w:t xml:space="preserve"> </w:t>
      </w:r>
      <w:r w:rsidRPr="00CA47B9">
        <w:t>buildings</w:t>
      </w:r>
      <w:r w:rsidR="004B41A2" w:rsidRPr="00CA47B9">
        <w:t xml:space="preserve"> </w:t>
      </w:r>
      <w:r w:rsidRPr="00CA47B9">
        <w:t>is</w:t>
      </w:r>
      <w:r w:rsidR="004B41A2" w:rsidRPr="00CA47B9">
        <w:t xml:space="preserve"> </w:t>
      </w:r>
      <w:r w:rsidRPr="00CA47B9">
        <w:t>on</w:t>
      </w:r>
      <w:r w:rsidR="004B41A2" w:rsidRPr="00CA47B9">
        <w:t xml:space="preserve"> </w:t>
      </w:r>
      <w:r w:rsidRPr="00CA47B9">
        <w:t>average</w:t>
      </w:r>
      <w:r w:rsidR="004B41A2" w:rsidRPr="00CA47B9">
        <w:t xml:space="preserve"> </w:t>
      </w:r>
      <w:r w:rsidRPr="00CA47B9">
        <w:t>20%</w:t>
      </w:r>
      <w:r w:rsidR="004B41A2" w:rsidRPr="00CA47B9">
        <w:t xml:space="preserve"> </w:t>
      </w:r>
      <w:r w:rsidRPr="00CA47B9">
        <w:t>higher</w:t>
      </w:r>
      <w:r w:rsidR="004B41A2" w:rsidRPr="00CA47B9">
        <w:t xml:space="preserve"> </w:t>
      </w:r>
      <w:r w:rsidRPr="00CA47B9">
        <w:t>than</w:t>
      </w:r>
      <w:r w:rsidR="004B41A2" w:rsidRPr="00CA47B9">
        <w:t xml:space="preserve"> </w:t>
      </w:r>
      <w:r w:rsidRPr="00CA47B9">
        <w:t>the</w:t>
      </w:r>
      <w:r w:rsidR="004B41A2" w:rsidRPr="00CA47B9">
        <w:t xml:space="preserve"> </w:t>
      </w:r>
      <w:r w:rsidRPr="00CA47B9">
        <w:t>net</w:t>
      </w:r>
      <w:r w:rsidR="004B41A2" w:rsidRPr="00CA47B9">
        <w:t xml:space="preserve"> </w:t>
      </w:r>
      <w:r w:rsidRPr="00CA47B9">
        <w:t>internal</w:t>
      </w:r>
      <w:r w:rsidR="004B41A2" w:rsidRPr="00CA47B9">
        <w:t xml:space="preserve"> </w:t>
      </w:r>
      <w:r w:rsidRPr="00CA47B9">
        <w:t>area;</w:t>
      </w:r>
      <w:r w:rsidR="004B41A2" w:rsidRPr="00CA47B9">
        <w:t xml:space="preserve"> </w:t>
      </w:r>
    </w:p>
    <w:p w:rsidR="00B0298E" w:rsidRPr="00CA47B9" w:rsidRDefault="00B0298E" w:rsidP="00901C92">
      <w:pPr>
        <w:pStyle w:val="Bulletblueplain"/>
      </w:pPr>
      <w:r w:rsidRPr="00CA47B9">
        <w:t>Office</w:t>
      </w:r>
      <w:r w:rsidR="004B41A2" w:rsidRPr="00CA47B9">
        <w:t xml:space="preserve"> </w:t>
      </w:r>
      <w:r w:rsidRPr="00CA47B9">
        <w:t>–</w:t>
      </w:r>
      <w:r w:rsidR="004B41A2" w:rsidRPr="00CA47B9">
        <w:t xml:space="preserve"> </w:t>
      </w:r>
      <w:r w:rsidRPr="00CA47B9">
        <w:t>Research</w:t>
      </w:r>
      <w:r w:rsidR="004B41A2" w:rsidRPr="00CA47B9">
        <w:t xml:space="preserve"> </w:t>
      </w:r>
      <w:r w:rsidRPr="00CA47B9">
        <w:t>and</w:t>
      </w:r>
      <w:r w:rsidR="004B41A2" w:rsidRPr="00CA47B9">
        <w:t xml:space="preserve"> </w:t>
      </w:r>
      <w:r w:rsidRPr="00CA47B9">
        <w:t>Development</w:t>
      </w:r>
      <w:r w:rsidR="004B41A2" w:rsidRPr="00CA47B9">
        <w:t xml:space="preserve"> </w:t>
      </w:r>
      <w:r w:rsidRPr="00CA47B9">
        <w:t>(B1b):</w:t>
      </w:r>
      <w:r w:rsidR="004B41A2" w:rsidRPr="00CA47B9">
        <w:t xml:space="preserve"> </w:t>
      </w:r>
      <w:r w:rsidRPr="00CA47B9">
        <w:t>an</w:t>
      </w:r>
      <w:r w:rsidR="004B41A2" w:rsidRPr="00CA47B9">
        <w:t xml:space="preserve"> </w:t>
      </w:r>
      <w:r w:rsidRPr="00CA47B9">
        <w:t>average</w:t>
      </w:r>
      <w:r w:rsidR="004B41A2" w:rsidRPr="00CA47B9">
        <w:t xml:space="preserve"> </w:t>
      </w:r>
      <w:r w:rsidRPr="00CA47B9">
        <w:t>of</w:t>
      </w:r>
      <w:r w:rsidR="004B41A2" w:rsidRPr="00CA47B9">
        <w:t xml:space="preserve"> </w:t>
      </w:r>
      <w:r w:rsidRPr="00CA47B9">
        <w:t>60</w:t>
      </w:r>
      <w:r w:rsidR="004B41A2" w:rsidRPr="00CA47B9">
        <w:t xml:space="preserve"> </w:t>
      </w:r>
      <w:r w:rsidRPr="00CA47B9">
        <w:t>sq</w:t>
      </w:r>
      <w:r w:rsidR="00437C4A" w:rsidRPr="00CA47B9">
        <w:t>.</w:t>
      </w:r>
      <w:r w:rsidR="004B41A2" w:rsidRPr="00CA47B9">
        <w:t xml:space="preserve"> </w:t>
      </w:r>
      <w:r w:rsidRPr="00CA47B9">
        <w:t>m</w:t>
      </w:r>
      <w:r w:rsidR="004B41A2" w:rsidRPr="00CA47B9">
        <w:t xml:space="preserve"> </w:t>
      </w:r>
      <w:r w:rsidRPr="00CA47B9">
        <w:t>GEA</w:t>
      </w:r>
      <w:r w:rsidR="004B41A2" w:rsidRPr="00CA47B9">
        <w:t xml:space="preserve"> </w:t>
      </w:r>
      <w:r w:rsidRPr="00CA47B9">
        <w:t>per</w:t>
      </w:r>
      <w:r w:rsidR="004B41A2" w:rsidRPr="00CA47B9">
        <w:t xml:space="preserve"> </w:t>
      </w:r>
      <w:r w:rsidRPr="00CA47B9">
        <w:t>employee,</w:t>
      </w:r>
      <w:r w:rsidR="004B41A2" w:rsidRPr="00CA47B9">
        <w:t xml:space="preserve"> </w:t>
      </w:r>
      <w:r w:rsidRPr="00CA47B9">
        <w:t>assuming</w:t>
      </w:r>
      <w:r w:rsidR="004B41A2" w:rsidRPr="00CA47B9">
        <w:t xml:space="preserve"> </w:t>
      </w:r>
      <w:r w:rsidRPr="00CA47B9">
        <w:t>that</w:t>
      </w:r>
      <w:r w:rsidR="004B41A2" w:rsidRPr="00CA47B9">
        <w:t xml:space="preserve"> </w:t>
      </w:r>
      <w:r w:rsidRPr="00CA47B9">
        <w:t>the</w:t>
      </w:r>
      <w:r w:rsidR="004B41A2" w:rsidRPr="00CA47B9">
        <w:t xml:space="preserve"> </w:t>
      </w:r>
      <w:r w:rsidRPr="00CA47B9">
        <w:t>gross</w:t>
      </w:r>
      <w:r w:rsidR="004B41A2" w:rsidRPr="00CA47B9">
        <w:t xml:space="preserve"> </w:t>
      </w:r>
      <w:r w:rsidRPr="00CA47B9">
        <w:t>external</w:t>
      </w:r>
      <w:r w:rsidR="004B41A2" w:rsidRPr="00CA47B9">
        <w:t xml:space="preserve"> </w:t>
      </w:r>
      <w:r w:rsidRPr="00CA47B9">
        <w:t>area</w:t>
      </w:r>
      <w:r w:rsidR="004B41A2" w:rsidRPr="00CA47B9">
        <w:t xml:space="preserve"> </w:t>
      </w:r>
      <w:r w:rsidRPr="00CA47B9">
        <w:t>of</w:t>
      </w:r>
      <w:r w:rsidR="004B41A2" w:rsidRPr="00CA47B9">
        <w:t xml:space="preserve"> </w:t>
      </w:r>
      <w:r w:rsidRPr="00CA47B9">
        <w:t>buildings</w:t>
      </w:r>
      <w:r w:rsidR="004B41A2" w:rsidRPr="00CA47B9">
        <w:t xml:space="preserve"> </w:t>
      </w:r>
      <w:r w:rsidRPr="00CA47B9">
        <w:t>is</w:t>
      </w:r>
      <w:r w:rsidR="004B41A2" w:rsidRPr="00CA47B9">
        <w:t xml:space="preserve"> </w:t>
      </w:r>
      <w:r w:rsidRPr="00CA47B9">
        <w:t>on</w:t>
      </w:r>
      <w:r w:rsidR="004B41A2" w:rsidRPr="00CA47B9">
        <w:t xml:space="preserve"> </w:t>
      </w:r>
      <w:r w:rsidRPr="00CA47B9">
        <w:t>average</w:t>
      </w:r>
      <w:r w:rsidR="004B41A2" w:rsidRPr="00CA47B9">
        <w:t xml:space="preserve"> </w:t>
      </w:r>
      <w:r w:rsidRPr="00CA47B9">
        <w:t>20%</w:t>
      </w:r>
      <w:r w:rsidR="004B41A2" w:rsidRPr="00CA47B9">
        <w:t xml:space="preserve"> </w:t>
      </w:r>
      <w:r w:rsidRPr="00CA47B9">
        <w:t>higher</w:t>
      </w:r>
      <w:r w:rsidR="004B41A2" w:rsidRPr="00CA47B9">
        <w:t xml:space="preserve"> </w:t>
      </w:r>
      <w:r w:rsidRPr="00CA47B9">
        <w:t>than</w:t>
      </w:r>
      <w:r w:rsidR="004B41A2" w:rsidRPr="00CA47B9">
        <w:t xml:space="preserve"> </w:t>
      </w:r>
      <w:r w:rsidRPr="00CA47B9">
        <w:t>the</w:t>
      </w:r>
      <w:r w:rsidR="004B41A2" w:rsidRPr="00CA47B9">
        <w:t xml:space="preserve"> </w:t>
      </w:r>
      <w:r w:rsidRPr="00CA47B9">
        <w:t>net</w:t>
      </w:r>
      <w:r w:rsidR="004B41A2" w:rsidRPr="00CA47B9">
        <w:t xml:space="preserve"> </w:t>
      </w:r>
      <w:r w:rsidRPr="00CA47B9">
        <w:t>internal</w:t>
      </w:r>
      <w:r w:rsidR="004B41A2" w:rsidRPr="00CA47B9">
        <w:t xml:space="preserve"> </w:t>
      </w:r>
      <w:r w:rsidRPr="00CA47B9">
        <w:t>area;</w:t>
      </w:r>
    </w:p>
    <w:p w:rsidR="00B0298E" w:rsidRPr="00CA47B9" w:rsidRDefault="00B0298E" w:rsidP="00901C92">
      <w:pPr>
        <w:pStyle w:val="Bulletblueplain"/>
      </w:pPr>
      <w:r w:rsidRPr="00CA47B9">
        <w:t>Light</w:t>
      </w:r>
      <w:r w:rsidR="004B41A2" w:rsidRPr="00CA47B9">
        <w:t xml:space="preserve"> </w:t>
      </w:r>
      <w:r w:rsidRPr="00CA47B9">
        <w:t>Industrial</w:t>
      </w:r>
      <w:r w:rsidR="004B41A2" w:rsidRPr="00CA47B9">
        <w:t xml:space="preserve"> </w:t>
      </w:r>
      <w:r w:rsidRPr="00CA47B9">
        <w:t>(B1c):</w:t>
      </w:r>
      <w:r w:rsidR="004B41A2" w:rsidRPr="00CA47B9">
        <w:t xml:space="preserve"> </w:t>
      </w:r>
      <w:r w:rsidRPr="00CA47B9">
        <w:t>an</w:t>
      </w:r>
      <w:r w:rsidR="004B41A2" w:rsidRPr="00CA47B9">
        <w:t xml:space="preserve"> </w:t>
      </w:r>
      <w:r w:rsidRPr="00CA47B9">
        <w:t>average</w:t>
      </w:r>
      <w:r w:rsidR="004B41A2" w:rsidRPr="00CA47B9">
        <w:t xml:space="preserve"> </w:t>
      </w:r>
      <w:r w:rsidRPr="00CA47B9">
        <w:t>of</w:t>
      </w:r>
      <w:r w:rsidR="004B41A2" w:rsidRPr="00CA47B9">
        <w:t xml:space="preserve"> </w:t>
      </w:r>
      <w:r w:rsidRPr="00CA47B9">
        <w:t>49</w:t>
      </w:r>
      <w:r w:rsidR="004B41A2" w:rsidRPr="00CA47B9">
        <w:t xml:space="preserve"> </w:t>
      </w:r>
      <w:r w:rsidRPr="00CA47B9">
        <w:t>sq</w:t>
      </w:r>
      <w:r w:rsidR="00437C4A" w:rsidRPr="00CA47B9">
        <w:t>.</w:t>
      </w:r>
      <w:r w:rsidR="004B41A2" w:rsidRPr="00CA47B9">
        <w:t xml:space="preserve"> </w:t>
      </w:r>
      <w:r w:rsidRPr="00CA47B9">
        <w:t>m</w:t>
      </w:r>
      <w:r w:rsidR="004B41A2" w:rsidRPr="00CA47B9">
        <w:t xml:space="preserve"> </w:t>
      </w:r>
      <w:r w:rsidRPr="00CA47B9">
        <w:t>GEA</w:t>
      </w:r>
      <w:r w:rsidR="004B41A2" w:rsidRPr="00CA47B9">
        <w:t xml:space="preserve"> </w:t>
      </w:r>
      <w:r w:rsidRPr="00CA47B9">
        <w:t>per</w:t>
      </w:r>
      <w:r w:rsidR="004B41A2" w:rsidRPr="00CA47B9">
        <w:t xml:space="preserve"> </w:t>
      </w:r>
      <w:r w:rsidRPr="00CA47B9">
        <w:t>employee,</w:t>
      </w:r>
      <w:r w:rsidR="004B41A2" w:rsidRPr="00CA47B9">
        <w:t xml:space="preserve"> </w:t>
      </w:r>
      <w:r w:rsidRPr="00CA47B9">
        <w:t>assuming</w:t>
      </w:r>
      <w:r w:rsidR="004B41A2" w:rsidRPr="00CA47B9">
        <w:t xml:space="preserve"> </w:t>
      </w:r>
      <w:r w:rsidRPr="00CA47B9">
        <w:t>that</w:t>
      </w:r>
      <w:r w:rsidR="004B41A2" w:rsidRPr="00CA47B9">
        <w:t xml:space="preserve"> </w:t>
      </w:r>
      <w:r w:rsidRPr="00CA47B9">
        <w:t>the</w:t>
      </w:r>
      <w:r w:rsidR="004B41A2" w:rsidRPr="00CA47B9">
        <w:t xml:space="preserve"> </w:t>
      </w:r>
      <w:r w:rsidRPr="00CA47B9">
        <w:t>gross</w:t>
      </w:r>
      <w:r w:rsidR="004B41A2" w:rsidRPr="00CA47B9">
        <w:t xml:space="preserve"> </w:t>
      </w:r>
      <w:r w:rsidRPr="00CA47B9">
        <w:t>external</w:t>
      </w:r>
      <w:r w:rsidR="004B41A2" w:rsidRPr="00CA47B9">
        <w:t xml:space="preserve"> </w:t>
      </w:r>
      <w:r w:rsidRPr="00CA47B9">
        <w:t>area</w:t>
      </w:r>
      <w:r w:rsidR="004B41A2" w:rsidRPr="00CA47B9">
        <w:t xml:space="preserve"> </w:t>
      </w:r>
      <w:r w:rsidRPr="00CA47B9">
        <w:t>of</w:t>
      </w:r>
      <w:r w:rsidR="004B41A2" w:rsidRPr="00CA47B9">
        <w:t xml:space="preserve"> </w:t>
      </w:r>
      <w:r w:rsidRPr="00CA47B9">
        <w:t>buildings</w:t>
      </w:r>
      <w:r w:rsidR="004B41A2" w:rsidRPr="00CA47B9">
        <w:t xml:space="preserve"> </w:t>
      </w:r>
      <w:r w:rsidRPr="00CA47B9">
        <w:t>is</w:t>
      </w:r>
      <w:r w:rsidR="004B41A2" w:rsidRPr="00CA47B9">
        <w:t xml:space="preserve"> </w:t>
      </w:r>
      <w:r w:rsidRPr="00CA47B9">
        <w:t>on</w:t>
      </w:r>
      <w:r w:rsidR="004B41A2" w:rsidRPr="00CA47B9">
        <w:t xml:space="preserve"> </w:t>
      </w:r>
      <w:r w:rsidRPr="00CA47B9">
        <w:t>average</w:t>
      </w:r>
      <w:r w:rsidR="004B41A2" w:rsidRPr="00CA47B9">
        <w:t xml:space="preserve"> </w:t>
      </w:r>
      <w:r w:rsidRPr="00CA47B9">
        <w:t>5%</w:t>
      </w:r>
      <w:r w:rsidR="004B41A2" w:rsidRPr="00CA47B9">
        <w:t xml:space="preserve"> </w:t>
      </w:r>
      <w:r w:rsidRPr="00CA47B9">
        <w:t>higher</w:t>
      </w:r>
      <w:r w:rsidR="004B41A2" w:rsidRPr="00CA47B9">
        <w:t xml:space="preserve"> </w:t>
      </w:r>
      <w:r w:rsidRPr="00CA47B9">
        <w:t>than</w:t>
      </w:r>
      <w:r w:rsidR="004B41A2" w:rsidRPr="00CA47B9">
        <w:t xml:space="preserve"> </w:t>
      </w:r>
      <w:r w:rsidRPr="00CA47B9">
        <w:t>the</w:t>
      </w:r>
      <w:r w:rsidR="004B41A2" w:rsidRPr="00CA47B9">
        <w:t xml:space="preserve"> </w:t>
      </w:r>
      <w:r w:rsidRPr="00CA47B9">
        <w:t>net</w:t>
      </w:r>
      <w:r w:rsidR="004B41A2" w:rsidRPr="00CA47B9">
        <w:t xml:space="preserve"> </w:t>
      </w:r>
      <w:r w:rsidRPr="00CA47B9">
        <w:t>internal</w:t>
      </w:r>
      <w:r w:rsidR="004B41A2" w:rsidRPr="00CA47B9">
        <w:t xml:space="preserve"> </w:t>
      </w:r>
      <w:r w:rsidRPr="00CA47B9">
        <w:t>area;</w:t>
      </w:r>
      <w:r w:rsidR="004B41A2" w:rsidRPr="00CA47B9">
        <w:t xml:space="preserve"> </w:t>
      </w:r>
    </w:p>
    <w:p w:rsidR="00B0298E" w:rsidRPr="00CA47B9" w:rsidRDefault="00B0298E" w:rsidP="00901C92">
      <w:pPr>
        <w:pStyle w:val="Bulletblueplain"/>
      </w:pPr>
      <w:r w:rsidRPr="00CA47B9">
        <w:t>General</w:t>
      </w:r>
      <w:r w:rsidR="004B41A2" w:rsidRPr="00CA47B9">
        <w:t xml:space="preserve"> </w:t>
      </w:r>
      <w:r w:rsidRPr="00CA47B9">
        <w:t>Industrial</w:t>
      </w:r>
      <w:r w:rsidR="004B41A2" w:rsidRPr="00CA47B9">
        <w:t xml:space="preserve"> </w:t>
      </w:r>
      <w:r w:rsidRPr="00CA47B9">
        <w:t>(B2):</w:t>
      </w:r>
      <w:r w:rsidR="004B41A2" w:rsidRPr="00CA47B9">
        <w:t xml:space="preserve"> </w:t>
      </w:r>
      <w:r w:rsidRPr="00CA47B9">
        <w:t>an</w:t>
      </w:r>
      <w:r w:rsidR="004B41A2" w:rsidRPr="00CA47B9">
        <w:t xml:space="preserve"> </w:t>
      </w:r>
      <w:r w:rsidRPr="00CA47B9">
        <w:t>average</w:t>
      </w:r>
      <w:r w:rsidR="004B41A2" w:rsidRPr="00CA47B9">
        <w:t xml:space="preserve"> </w:t>
      </w:r>
      <w:r w:rsidRPr="00CA47B9">
        <w:t>of</w:t>
      </w:r>
      <w:r w:rsidR="004B41A2" w:rsidRPr="00CA47B9">
        <w:t xml:space="preserve"> </w:t>
      </w:r>
      <w:r w:rsidRPr="00CA47B9">
        <w:t>38</w:t>
      </w:r>
      <w:r w:rsidR="004B41A2" w:rsidRPr="00CA47B9">
        <w:t xml:space="preserve"> </w:t>
      </w:r>
      <w:r w:rsidRPr="00CA47B9">
        <w:t>sq</w:t>
      </w:r>
      <w:r w:rsidR="00437C4A" w:rsidRPr="00CA47B9">
        <w:t>.</w:t>
      </w:r>
      <w:r w:rsidR="004B41A2" w:rsidRPr="00CA47B9">
        <w:t xml:space="preserve"> </w:t>
      </w:r>
      <w:r w:rsidRPr="00CA47B9">
        <w:t>m</w:t>
      </w:r>
      <w:r w:rsidR="004B41A2" w:rsidRPr="00CA47B9">
        <w:t xml:space="preserve"> </w:t>
      </w:r>
      <w:r w:rsidRPr="00CA47B9">
        <w:t>GEA</w:t>
      </w:r>
      <w:r w:rsidR="004B41A2" w:rsidRPr="00CA47B9">
        <w:t xml:space="preserve"> </w:t>
      </w:r>
      <w:r w:rsidRPr="00CA47B9">
        <w:t>per</w:t>
      </w:r>
      <w:r w:rsidR="004B41A2" w:rsidRPr="00CA47B9">
        <w:t xml:space="preserve"> </w:t>
      </w:r>
      <w:r w:rsidRPr="00CA47B9">
        <w:t>employee,</w:t>
      </w:r>
      <w:r w:rsidR="004B41A2" w:rsidRPr="00CA47B9">
        <w:t xml:space="preserve"> </w:t>
      </w:r>
      <w:r w:rsidRPr="00CA47B9">
        <w:t>assuming</w:t>
      </w:r>
      <w:r w:rsidR="004B41A2" w:rsidRPr="00CA47B9">
        <w:t xml:space="preserve"> </w:t>
      </w:r>
      <w:r w:rsidRPr="00CA47B9">
        <w:t>that</w:t>
      </w:r>
      <w:r w:rsidR="004B41A2" w:rsidRPr="00CA47B9">
        <w:t xml:space="preserve"> </w:t>
      </w:r>
      <w:r w:rsidRPr="00CA47B9">
        <w:t>the</w:t>
      </w:r>
      <w:r w:rsidR="004B41A2" w:rsidRPr="00CA47B9">
        <w:t xml:space="preserve"> </w:t>
      </w:r>
      <w:r w:rsidRPr="00CA47B9">
        <w:t>gross</w:t>
      </w:r>
      <w:r w:rsidR="004B41A2" w:rsidRPr="00CA47B9">
        <w:t xml:space="preserve"> </w:t>
      </w:r>
      <w:r w:rsidRPr="00CA47B9">
        <w:t>external</w:t>
      </w:r>
      <w:r w:rsidR="004B41A2" w:rsidRPr="00CA47B9">
        <w:t xml:space="preserve"> </w:t>
      </w:r>
      <w:r w:rsidRPr="00CA47B9">
        <w:t>area</w:t>
      </w:r>
      <w:r w:rsidR="004B41A2" w:rsidRPr="00CA47B9">
        <w:t xml:space="preserve"> </w:t>
      </w:r>
      <w:r w:rsidRPr="00CA47B9">
        <w:t>of</w:t>
      </w:r>
      <w:r w:rsidR="004B41A2" w:rsidRPr="00CA47B9">
        <w:t xml:space="preserve"> </w:t>
      </w:r>
      <w:r w:rsidRPr="00CA47B9">
        <w:t>buildings</w:t>
      </w:r>
      <w:r w:rsidR="004B41A2" w:rsidRPr="00CA47B9">
        <w:t xml:space="preserve"> </w:t>
      </w:r>
      <w:r w:rsidRPr="00CA47B9">
        <w:t>is</w:t>
      </w:r>
      <w:r w:rsidR="004B41A2" w:rsidRPr="00CA47B9">
        <w:t xml:space="preserve"> </w:t>
      </w:r>
      <w:r w:rsidRPr="00CA47B9">
        <w:t>on</w:t>
      </w:r>
      <w:r w:rsidR="004B41A2" w:rsidRPr="00CA47B9">
        <w:t xml:space="preserve"> </w:t>
      </w:r>
      <w:r w:rsidRPr="00CA47B9">
        <w:t>average</w:t>
      </w:r>
      <w:r w:rsidR="004B41A2" w:rsidRPr="00CA47B9">
        <w:t xml:space="preserve"> </w:t>
      </w:r>
      <w:r w:rsidRPr="00CA47B9">
        <w:t>5%</w:t>
      </w:r>
      <w:r w:rsidR="004B41A2" w:rsidRPr="00CA47B9">
        <w:t xml:space="preserve"> </w:t>
      </w:r>
      <w:r w:rsidRPr="00CA47B9">
        <w:t>higher</w:t>
      </w:r>
      <w:r w:rsidR="004B41A2" w:rsidRPr="00CA47B9">
        <w:t xml:space="preserve"> </w:t>
      </w:r>
      <w:r w:rsidRPr="00CA47B9">
        <w:t>than</w:t>
      </w:r>
      <w:r w:rsidR="004B41A2" w:rsidRPr="00CA47B9">
        <w:t xml:space="preserve"> </w:t>
      </w:r>
      <w:r w:rsidRPr="00CA47B9">
        <w:t>the</w:t>
      </w:r>
      <w:r w:rsidR="004B41A2" w:rsidRPr="00CA47B9">
        <w:t xml:space="preserve"> </w:t>
      </w:r>
      <w:r w:rsidRPr="00CA47B9">
        <w:t>gross</w:t>
      </w:r>
      <w:r w:rsidR="004B41A2" w:rsidRPr="00CA47B9">
        <w:t xml:space="preserve"> </w:t>
      </w:r>
      <w:r w:rsidRPr="00CA47B9">
        <w:t>internal</w:t>
      </w:r>
      <w:r w:rsidR="004B41A2" w:rsidRPr="00CA47B9">
        <w:t xml:space="preserve"> </w:t>
      </w:r>
      <w:r w:rsidRPr="00CA47B9">
        <w:t>area;</w:t>
      </w:r>
      <w:r w:rsidR="004B41A2" w:rsidRPr="00CA47B9">
        <w:t xml:space="preserve"> </w:t>
      </w:r>
    </w:p>
    <w:p w:rsidR="00B0298E" w:rsidRPr="00CA47B9" w:rsidRDefault="00B0298E" w:rsidP="00901C92">
      <w:pPr>
        <w:pStyle w:val="Bulletblueplain"/>
      </w:pPr>
      <w:r w:rsidRPr="00CA47B9">
        <w:lastRenderedPageBreak/>
        <w:t>Warehouse/</w:t>
      </w:r>
      <w:r w:rsidR="004B41A2" w:rsidRPr="00CA47B9">
        <w:t xml:space="preserve"> </w:t>
      </w:r>
      <w:r w:rsidRPr="00CA47B9">
        <w:t>Distribution</w:t>
      </w:r>
      <w:r w:rsidR="004B41A2" w:rsidRPr="00CA47B9">
        <w:t xml:space="preserve"> </w:t>
      </w:r>
      <w:r w:rsidRPr="00CA47B9">
        <w:t>(B8):</w:t>
      </w:r>
      <w:r w:rsidR="004B41A2" w:rsidRPr="00CA47B9">
        <w:t xml:space="preserve"> </w:t>
      </w:r>
      <w:r w:rsidRPr="00CA47B9">
        <w:t>an</w:t>
      </w:r>
      <w:r w:rsidR="004B41A2" w:rsidRPr="00CA47B9">
        <w:t xml:space="preserve"> </w:t>
      </w:r>
      <w:r w:rsidRPr="00CA47B9">
        <w:t>average</w:t>
      </w:r>
      <w:r w:rsidR="004B41A2" w:rsidRPr="00CA47B9">
        <w:t xml:space="preserve"> </w:t>
      </w:r>
      <w:r w:rsidRPr="00CA47B9">
        <w:t>of</w:t>
      </w:r>
      <w:r w:rsidR="004B41A2" w:rsidRPr="00CA47B9">
        <w:t xml:space="preserve"> </w:t>
      </w:r>
      <w:r w:rsidRPr="00CA47B9">
        <w:t>72</w:t>
      </w:r>
      <w:r w:rsidR="004B41A2" w:rsidRPr="00CA47B9">
        <w:t xml:space="preserve"> </w:t>
      </w:r>
      <w:r w:rsidRPr="00CA47B9">
        <w:t>sq</w:t>
      </w:r>
      <w:r w:rsidR="00437C4A" w:rsidRPr="00CA47B9">
        <w:t>.</w:t>
      </w:r>
      <w:r w:rsidR="004B41A2" w:rsidRPr="00CA47B9">
        <w:t xml:space="preserve"> </w:t>
      </w:r>
      <w:r w:rsidRPr="00CA47B9">
        <w:t>m</w:t>
      </w:r>
      <w:r w:rsidR="004B41A2" w:rsidRPr="00CA47B9">
        <w:t xml:space="preserve"> </w:t>
      </w:r>
      <w:r w:rsidRPr="00CA47B9">
        <w:t>GEA</w:t>
      </w:r>
      <w:r w:rsidR="004B41A2" w:rsidRPr="00CA47B9">
        <w:t xml:space="preserve"> </w:t>
      </w:r>
      <w:r w:rsidRPr="00CA47B9">
        <w:t>per</w:t>
      </w:r>
      <w:r w:rsidR="004B41A2" w:rsidRPr="00CA47B9">
        <w:t xml:space="preserve"> </w:t>
      </w:r>
      <w:r w:rsidRPr="00CA47B9">
        <w:t>employee.</w:t>
      </w:r>
      <w:r w:rsidR="004B41A2" w:rsidRPr="00CA47B9">
        <w:t xml:space="preserve"> </w:t>
      </w:r>
      <w:r w:rsidRPr="00CA47B9">
        <w:t>This</w:t>
      </w:r>
      <w:r w:rsidR="004B41A2" w:rsidRPr="00CA47B9">
        <w:t xml:space="preserve"> </w:t>
      </w:r>
      <w:r w:rsidRPr="00CA47B9">
        <w:t>is</w:t>
      </w:r>
      <w:r w:rsidR="004B41A2" w:rsidRPr="00CA47B9">
        <w:t xml:space="preserve"> </w:t>
      </w:r>
      <w:r w:rsidRPr="00CA47B9">
        <w:t>slightly</w:t>
      </w:r>
      <w:r w:rsidR="004B41A2" w:rsidRPr="00CA47B9">
        <w:t xml:space="preserve"> </w:t>
      </w:r>
      <w:r w:rsidRPr="00CA47B9">
        <w:t>below</w:t>
      </w:r>
      <w:r w:rsidR="004B41A2" w:rsidRPr="00CA47B9">
        <w:t xml:space="preserve"> </w:t>
      </w:r>
      <w:r w:rsidRPr="00CA47B9">
        <w:t>the</w:t>
      </w:r>
      <w:r w:rsidR="004B41A2" w:rsidRPr="00CA47B9">
        <w:t xml:space="preserve"> </w:t>
      </w:r>
      <w:r w:rsidRPr="00CA47B9">
        <w:t>middle</w:t>
      </w:r>
      <w:r w:rsidR="004B41A2" w:rsidRPr="00CA47B9">
        <w:t xml:space="preserve"> </w:t>
      </w:r>
      <w:r w:rsidRPr="00CA47B9">
        <w:t>of</w:t>
      </w:r>
      <w:r w:rsidR="004B41A2" w:rsidRPr="00CA47B9">
        <w:t xml:space="preserve"> </w:t>
      </w:r>
      <w:r w:rsidRPr="00CA47B9">
        <w:t>the</w:t>
      </w:r>
      <w:r w:rsidR="004B41A2" w:rsidRPr="00CA47B9">
        <w:t xml:space="preserve"> </w:t>
      </w:r>
      <w:r w:rsidRPr="00CA47B9">
        <w:t>range</w:t>
      </w:r>
      <w:r w:rsidR="004B41A2" w:rsidRPr="00CA47B9">
        <w:t xml:space="preserve"> </w:t>
      </w:r>
      <w:r w:rsidRPr="00CA47B9">
        <w:t>of</w:t>
      </w:r>
      <w:r w:rsidR="004B41A2" w:rsidRPr="00CA47B9">
        <w:t xml:space="preserve"> </w:t>
      </w:r>
      <w:r w:rsidRPr="00CA47B9">
        <w:t>employment</w:t>
      </w:r>
      <w:r w:rsidR="004B41A2" w:rsidRPr="00CA47B9">
        <w:t xml:space="preserve"> </w:t>
      </w:r>
      <w:r w:rsidRPr="00CA47B9">
        <w:t>densities</w:t>
      </w:r>
      <w:r w:rsidR="004B41A2" w:rsidRPr="00CA47B9">
        <w:t xml:space="preserve"> </w:t>
      </w:r>
      <w:r w:rsidRPr="00CA47B9">
        <w:t>for</w:t>
      </w:r>
      <w:r w:rsidR="004B41A2" w:rsidRPr="00CA47B9">
        <w:t xml:space="preserve"> </w:t>
      </w:r>
      <w:r w:rsidRPr="00CA47B9">
        <w:t>B8</w:t>
      </w:r>
      <w:r w:rsidR="004B41A2" w:rsidRPr="00CA47B9">
        <w:t xml:space="preserve"> </w:t>
      </w:r>
      <w:r w:rsidRPr="00CA47B9">
        <w:t>activities,</w:t>
      </w:r>
      <w:r w:rsidR="004B41A2" w:rsidRPr="00CA47B9">
        <w:t xml:space="preserve"> </w:t>
      </w:r>
      <w:r w:rsidRPr="00CA47B9">
        <w:t>reflecting</w:t>
      </w:r>
      <w:r w:rsidR="004B41A2" w:rsidRPr="00CA47B9">
        <w:t xml:space="preserve"> </w:t>
      </w:r>
      <w:r w:rsidRPr="00CA47B9">
        <w:t>the</w:t>
      </w:r>
      <w:r w:rsidR="004B41A2" w:rsidRPr="00CA47B9">
        <w:t xml:space="preserve"> </w:t>
      </w:r>
      <w:r w:rsidRPr="00CA47B9">
        <w:t>predominantly</w:t>
      </w:r>
      <w:r w:rsidR="004B41A2" w:rsidRPr="00CA47B9">
        <w:t xml:space="preserve"> </w:t>
      </w:r>
      <w:r w:rsidRPr="00CA47B9">
        <w:t>smaller</w:t>
      </w:r>
      <w:r w:rsidR="004B41A2" w:rsidRPr="00CA47B9">
        <w:t xml:space="preserve"> </w:t>
      </w:r>
      <w:r w:rsidRPr="00CA47B9">
        <w:t>stock</w:t>
      </w:r>
      <w:r w:rsidR="004B41A2" w:rsidRPr="00CA47B9">
        <w:t xml:space="preserve"> </w:t>
      </w:r>
      <w:r w:rsidRPr="00CA47B9">
        <w:t>and</w:t>
      </w:r>
      <w:r w:rsidR="004B41A2" w:rsidRPr="00CA47B9">
        <w:t xml:space="preserve"> </w:t>
      </w:r>
      <w:r w:rsidRPr="00CA47B9">
        <w:t>lack</w:t>
      </w:r>
      <w:r w:rsidR="004B41A2" w:rsidRPr="00CA47B9">
        <w:t xml:space="preserve"> </w:t>
      </w:r>
      <w:r w:rsidRPr="00CA47B9">
        <w:t>of</w:t>
      </w:r>
      <w:r w:rsidR="004B41A2" w:rsidRPr="00CA47B9">
        <w:t xml:space="preserve"> </w:t>
      </w:r>
      <w:r w:rsidRPr="00CA47B9">
        <w:t>large</w:t>
      </w:r>
      <w:r w:rsidR="004B41A2" w:rsidRPr="00CA47B9">
        <w:t xml:space="preserve"> </w:t>
      </w:r>
      <w:r w:rsidRPr="00CA47B9">
        <w:t>scale</w:t>
      </w:r>
      <w:r w:rsidR="004B41A2" w:rsidRPr="00CA47B9">
        <w:t xml:space="preserve"> </w:t>
      </w:r>
      <w:r w:rsidRPr="00CA47B9">
        <w:t>and</w:t>
      </w:r>
      <w:r w:rsidR="004B41A2" w:rsidRPr="00CA47B9">
        <w:t xml:space="preserve"> </w:t>
      </w:r>
      <w:r w:rsidRPr="00CA47B9">
        <w:t>high</w:t>
      </w:r>
      <w:r w:rsidR="004B41A2" w:rsidRPr="00CA47B9">
        <w:t xml:space="preserve"> </w:t>
      </w:r>
      <w:r w:rsidRPr="00CA47B9">
        <w:t>bay</w:t>
      </w:r>
      <w:r w:rsidR="004B41A2" w:rsidRPr="00CA47B9">
        <w:t xml:space="preserve"> </w:t>
      </w:r>
      <w:r w:rsidRPr="00CA47B9">
        <w:t>warehousing</w:t>
      </w:r>
      <w:r w:rsidR="004B41A2" w:rsidRPr="00CA47B9">
        <w:t xml:space="preserve"> </w:t>
      </w:r>
      <w:r w:rsidRPr="00CA47B9">
        <w:t>in</w:t>
      </w:r>
      <w:r w:rsidR="004B41A2" w:rsidRPr="00CA47B9">
        <w:t xml:space="preserve"> </w:t>
      </w:r>
      <w:r w:rsidRPr="00CA47B9">
        <w:t>the</w:t>
      </w:r>
      <w:r w:rsidR="004B41A2" w:rsidRPr="00CA47B9">
        <w:t xml:space="preserve"> </w:t>
      </w:r>
      <w:r w:rsidRPr="00CA47B9">
        <w:t>district.</w:t>
      </w:r>
      <w:r w:rsidR="004B41A2" w:rsidRPr="00CA47B9">
        <w:t xml:space="preserve"> </w:t>
      </w:r>
    </w:p>
    <w:p w:rsidR="00B0298E" w:rsidRPr="00CA47B9" w:rsidRDefault="00B0298E" w:rsidP="001C73B8">
      <w:pPr>
        <w:pStyle w:val="11Bodytext"/>
        <w:tabs>
          <w:tab w:val="clear" w:pos="2212"/>
          <w:tab w:val="num" w:pos="567"/>
        </w:tabs>
        <w:ind w:left="567" w:hanging="567"/>
      </w:pPr>
      <w:r w:rsidRPr="00CA47B9">
        <w:t>Applying</w:t>
      </w:r>
      <w:r w:rsidR="004B41A2" w:rsidRPr="00CA47B9">
        <w:t xml:space="preserve"> </w:t>
      </w:r>
      <w:r w:rsidRPr="00CA47B9">
        <w:t>these</w:t>
      </w:r>
      <w:r w:rsidR="004B41A2" w:rsidRPr="00CA47B9">
        <w:t xml:space="preserve"> </w:t>
      </w:r>
      <w:r w:rsidRPr="00CA47B9">
        <w:t>employment</w:t>
      </w:r>
      <w:r w:rsidR="004B41A2" w:rsidRPr="00CA47B9">
        <w:t xml:space="preserve"> </w:t>
      </w:r>
      <w:r w:rsidRPr="00CA47B9">
        <w:t>densities</w:t>
      </w:r>
      <w:r w:rsidR="004B41A2" w:rsidRPr="00CA47B9">
        <w:t xml:space="preserve"> </w:t>
      </w:r>
      <w:r w:rsidRPr="00CA47B9">
        <w:t>to</w:t>
      </w:r>
      <w:r w:rsidR="004B41A2" w:rsidRPr="00CA47B9">
        <w:t xml:space="preserve"> </w:t>
      </w:r>
      <w:r w:rsidRPr="00CA47B9">
        <w:t>the</w:t>
      </w:r>
      <w:r w:rsidR="004B41A2" w:rsidRPr="00CA47B9">
        <w:t xml:space="preserve"> </w:t>
      </w:r>
      <w:r w:rsidRPr="00CA47B9">
        <w:t>forecasts</w:t>
      </w:r>
      <w:r w:rsidR="004B41A2" w:rsidRPr="00CA47B9">
        <w:t xml:space="preserve"> </w:t>
      </w:r>
      <w:r w:rsidRPr="00CA47B9">
        <w:t>of</w:t>
      </w:r>
      <w:r w:rsidR="004B41A2" w:rsidRPr="00CA47B9">
        <w:t xml:space="preserve"> </w:t>
      </w:r>
      <w:r w:rsidRPr="00CA47B9">
        <w:t>net</w:t>
      </w:r>
      <w:r w:rsidR="004B41A2" w:rsidRPr="00CA47B9">
        <w:t xml:space="preserve"> </w:t>
      </w:r>
      <w:r w:rsidRPr="00CA47B9">
        <w:t>growth</w:t>
      </w:r>
      <w:r w:rsidR="004B41A2" w:rsidRPr="00CA47B9">
        <w:t xml:space="preserve"> </w:t>
      </w:r>
      <w:r w:rsidRPr="00CA47B9">
        <w:t>in</w:t>
      </w:r>
      <w:r w:rsidR="004B41A2" w:rsidRPr="00CA47B9">
        <w:t xml:space="preserve"> </w:t>
      </w:r>
      <w:r w:rsidRPr="00CA47B9">
        <w:t>jobs</w:t>
      </w:r>
      <w:r w:rsidR="004B41A2" w:rsidRPr="00CA47B9">
        <w:t xml:space="preserve"> </w:t>
      </w:r>
      <w:r w:rsidRPr="00CA47B9">
        <w:t>in</w:t>
      </w:r>
      <w:r w:rsidR="004B41A2" w:rsidRPr="00CA47B9">
        <w:t xml:space="preserve"> </w:t>
      </w:r>
      <w:r w:rsidRPr="00CA47B9">
        <w:t>B-class</w:t>
      </w:r>
      <w:r w:rsidR="004B41A2" w:rsidRPr="00CA47B9">
        <w:t xml:space="preserve"> </w:t>
      </w:r>
      <w:r w:rsidRPr="00CA47B9">
        <w:t>activities,</w:t>
      </w:r>
      <w:r w:rsidR="004B41A2" w:rsidRPr="00CA47B9">
        <w:t xml:space="preserve"> </w:t>
      </w:r>
      <w:r w:rsidRPr="00CA47B9">
        <w:t>we</w:t>
      </w:r>
      <w:r w:rsidR="004B41A2" w:rsidRPr="00CA47B9">
        <w:t xml:space="preserve"> </w:t>
      </w:r>
      <w:r w:rsidRPr="00CA47B9">
        <w:t>can</w:t>
      </w:r>
      <w:r w:rsidR="004B41A2" w:rsidRPr="00CA47B9">
        <w:t xml:space="preserve"> </w:t>
      </w:r>
      <w:r w:rsidRPr="00CA47B9">
        <w:t>derive</w:t>
      </w:r>
      <w:r w:rsidR="004B41A2" w:rsidRPr="00CA47B9">
        <w:t xml:space="preserve"> </w:t>
      </w:r>
      <w:r w:rsidRPr="00CA47B9">
        <w:t>forecasts</w:t>
      </w:r>
      <w:r w:rsidR="004B41A2" w:rsidRPr="00CA47B9">
        <w:t xml:space="preserve"> </w:t>
      </w:r>
      <w:r w:rsidRPr="00CA47B9">
        <w:t>for</w:t>
      </w:r>
      <w:r w:rsidR="004B41A2" w:rsidRPr="00CA47B9">
        <w:t xml:space="preserve"> </w:t>
      </w:r>
      <w:r w:rsidRPr="00CA47B9">
        <w:t>net</w:t>
      </w:r>
      <w:r w:rsidR="004B41A2" w:rsidRPr="00CA47B9">
        <w:t xml:space="preserve"> </w:t>
      </w:r>
      <w:r w:rsidRPr="00CA47B9">
        <w:t>changes</w:t>
      </w:r>
      <w:r w:rsidR="004B41A2" w:rsidRPr="00CA47B9">
        <w:t xml:space="preserve"> </w:t>
      </w:r>
      <w:r w:rsidRPr="00CA47B9">
        <w:t>in</w:t>
      </w:r>
      <w:r w:rsidR="004B41A2" w:rsidRPr="00CA47B9">
        <w:t xml:space="preserve"> </w:t>
      </w:r>
      <w:r w:rsidRPr="00CA47B9">
        <w:t>employment</w:t>
      </w:r>
      <w:r w:rsidR="004B41A2" w:rsidRPr="00CA47B9">
        <w:t xml:space="preserve"> </w:t>
      </w:r>
      <w:r w:rsidRPr="00CA47B9">
        <w:t>floorspace.</w:t>
      </w:r>
      <w:r w:rsidR="004B41A2" w:rsidRPr="00CA47B9">
        <w:t xml:space="preserve"> </w:t>
      </w:r>
      <w:r w:rsidRPr="00CA47B9">
        <w:t>This</w:t>
      </w:r>
      <w:r w:rsidR="004B41A2" w:rsidRPr="00CA47B9">
        <w:t xml:space="preserve"> </w:t>
      </w:r>
      <w:r w:rsidRPr="00CA47B9">
        <w:t>forecasts</w:t>
      </w:r>
      <w:r w:rsidR="004B41A2" w:rsidRPr="00CA47B9">
        <w:t xml:space="preserve"> </w:t>
      </w:r>
      <w:r w:rsidRPr="00CA47B9">
        <w:t>a</w:t>
      </w:r>
      <w:r w:rsidR="004B41A2" w:rsidRPr="00CA47B9">
        <w:t xml:space="preserve"> </w:t>
      </w:r>
      <w:r w:rsidRPr="00CA47B9">
        <w:t>net</w:t>
      </w:r>
      <w:r w:rsidR="004B41A2" w:rsidRPr="00CA47B9">
        <w:t xml:space="preserve"> </w:t>
      </w:r>
      <w:r w:rsidRPr="00CA47B9">
        <w:t>requirement</w:t>
      </w:r>
      <w:r w:rsidR="004B41A2" w:rsidRPr="00CA47B9">
        <w:t xml:space="preserve"> </w:t>
      </w:r>
      <w:r w:rsidRPr="00CA47B9">
        <w:t>for</w:t>
      </w:r>
      <w:r w:rsidR="004B41A2" w:rsidRPr="00CA47B9">
        <w:t xml:space="preserve"> </w:t>
      </w:r>
      <w:r w:rsidRPr="00CA47B9">
        <w:t>B-Class</w:t>
      </w:r>
      <w:r w:rsidR="004B41A2" w:rsidRPr="00CA47B9">
        <w:t xml:space="preserve"> </w:t>
      </w:r>
      <w:r w:rsidRPr="00CA47B9">
        <w:t>floorspace</w:t>
      </w:r>
      <w:r w:rsidR="004B41A2" w:rsidRPr="00CA47B9">
        <w:t xml:space="preserve"> </w:t>
      </w:r>
      <w:r w:rsidRPr="00CA47B9">
        <w:t>of</w:t>
      </w:r>
      <w:r w:rsidR="004B41A2" w:rsidRPr="00CA47B9">
        <w:t xml:space="preserve"> </w:t>
      </w:r>
      <w:r w:rsidR="002E7618">
        <w:t>-</w:t>
      </w:r>
      <w:r w:rsidR="00923585">
        <w:t xml:space="preserve">37,420 </w:t>
      </w:r>
      <w:r w:rsidRPr="00CA47B9">
        <w:t>sqm</w:t>
      </w:r>
      <w:r w:rsidR="00AF6C48" w:rsidRPr="00CA47B9">
        <w:t xml:space="preserve"> for the district</w:t>
      </w:r>
      <w:r w:rsidR="00AB0F9F" w:rsidRPr="00CA47B9">
        <w:t>.</w:t>
      </w:r>
      <w:r w:rsidR="004B41A2" w:rsidRPr="00CA47B9">
        <w:t xml:space="preserve"> </w:t>
      </w:r>
      <w:r w:rsidRPr="00CA47B9">
        <w:t>The</w:t>
      </w:r>
      <w:r w:rsidR="004B41A2" w:rsidRPr="00CA47B9">
        <w:t xml:space="preserve"> </w:t>
      </w:r>
      <w:r w:rsidRPr="00CA47B9">
        <w:t>breakdown</w:t>
      </w:r>
      <w:r w:rsidR="004B41A2" w:rsidRPr="00CA47B9">
        <w:t xml:space="preserve"> </w:t>
      </w:r>
      <w:r w:rsidRPr="00CA47B9">
        <w:t>by</w:t>
      </w:r>
      <w:r w:rsidR="004B41A2" w:rsidRPr="00CA47B9">
        <w:t xml:space="preserve"> </w:t>
      </w:r>
      <w:r w:rsidRPr="00CA47B9">
        <w:t>use</w:t>
      </w:r>
      <w:r w:rsidR="004B41A2" w:rsidRPr="00CA47B9">
        <w:t xml:space="preserve"> </w:t>
      </w:r>
      <w:r w:rsidRPr="00CA47B9">
        <w:t>class</w:t>
      </w:r>
      <w:r w:rsidR="004B41A2" w:rsidRPr="00CA47B9">
        <w:t xml:space="preserve"> </w:t>
      </w:r>
      <w:r w:rsidRPr="00CA47B9">
        <w:t>is</w:t>
      </w:r>
      <w:r w:rsidR="004B41A2" w:rsidRPr="00CA47B9">
        <w:t xml:space="preserve"> </w:t>
      </w:r>
      <w:r w:rsidRPr="00CA47B9">
        <w:t>shown</w:t>
      </w:r>
      <w:r w:rsidR="004B41A2" w:rsidRPr="00CA47B9">
        <w:t xml:space="preserve"> </w:t>
      </w:r>
      <w:r w:rsidRPr="00CA47B9">
        <w:t>below.</w:t>
      </w:r>
      <w:r w:rsidR="004B41A2" w:rsidRPr="00CA47B9">
        <w:t xml:space="preserve"> </w:t>
      </w:r>
    </w:p>
    <w:p w:rsidR="00976797" w:rsidRPr="00CA47B9" w:rsidRDefault="00976797" w:rsidP="001C73B8">
      <w:pPr>
        <w:pStyle w:val="11Bodytext"/>
        <w:tabs>
          <w:tab w:val="clear" w:pos="2212"/>
          <w:tab w:val="num" w:pos="567"/>
        </w:tabs>
        <w:ind w:left="567" w:hanging="567"/>
      </w:pPr>
      <w:r w:rsidRPr="00CA47B9">
        <w:t>Floorspace</w:t>
      </w:r>
      <w:r w:rsidR="004B41A2" w:rsidRPr="00CA47B9">
        <w:t xml:space="preserve"> </w:t>
      </w:r>
      <w:r w:rsidRPr="00CA47B9">
        <w:t>is</w:t>
      </w:r>
      <w:r w:rsidR="004B41A2" w:rsidRPr="00CA47B9">
        <w:t xml:space="preserve"> </w:t>
      </w:r>
      <w:r w:rsidRPr="00CA47B9">
        <w:t>converted</w:t>
      </w:r>
      <w:r w:rsidR="004B41A2" w:rsidRPr="00CA47B9">
        <w:t xml:space="preserve"> </w:t>
      </w:r>
      <w:r w:rsidRPr="00CA47B9">
        <w:t>to</w:t>
      </w:r>
      <w:r w:rsidR="004B41A2" w:rsidRPr="00CA47B9">
        <w:t xml:space="preserve"> </w:t>
      </w:r>
      <w:r w:rsidRPr="00CA47B9">
        <w:t>land</w:t>
      </w:r>
      <w:r w:rsidR="004B41A2" w:rsidRPr="00CA47B9">
        <w:t xml:space="preserve"> </w:t>
      </w:r>
      <w:r w:rsidRPr="00CA47B9">
        <w:t>area</w:t>
      </w:r>
      <w:r w:rsidR="004B41A2" w:rsidRPr="00CA47B9">
        <w:t xml:space="preserve"> </w:t>
      </w:r>
      <w:r w:rsidRPr="00CA47B9">
        <w:t>by</w:t>
      </w:r>
      <w:r w:rsidR="004B41A2" w:rsidRPr="00CA47B9">
        <w:t xml:space="preserve"> </w:t>
      </w:r>
      <w:r w:rsidRPr="00CA47B9">
        <w:t>using</w:t>
      </w:r>
      <w:r w:rsidR="004B41A2" w:rsidRPr="00CA47B9">
        <w:t xml:space="preserve"> </w:t>
      </w:r>
      <w:r w:rsidRPr="00CA47B9">
        <w:t>the</w:t>
      </w:r>
      <w:r w:rsidR="004B41A2" w:rsidRPr="00CA47B9">
        <w:t xml:space="preserve"> </w:t>
      </w:r>
      <w:r w:rsidRPr="00CA47B9">
        <w:t>following</w:t>
      </w:r>
      <w:r w:rsidR="004B41A2" w:rsidRPr="00CA47B9">
        <w:t xml:space="preserve"> </w:t>
      </w:r>
      <w:r w:rsidRPr="00CA47B9">
        <w:t>plot</w:t>
      </w:r>
      <w:r w:rsidR="004B41A2" w:rsidRPr="00CA47B9">
        <w:t xml:space="preserve"> </w:t>
      </w:r>
      <w:r w:rsidRPr="00CA47B9">
        <w:t>ratios:</w:t>
      </w:r>
      <w:r w:rsidR="004B41A2" w:rsidRPr="00CA47B9">
        <w:t xml:space="preserve"> </w:t>
      </w:r>
      <w:r w:rsidR="000708F5" w:rsidRPr="00CA47B9">
        <w:t>for</w:t>
      </w:r>
      <w:r w:rsidR="004B41A2" w:rsidRPr="00CA47B9">
        <w:t xml:space="preserve"> </w:t>
      </w:r>
      <w:r w:rsidR="000708F5" w:rsidRPr="00CA47B9">
        <w:t>B1a/b</w:t>
      </w:r>
      <w:r w:rsidR="004B41A2" w:rsidRPr="00CA47B9">
        <w:t xml:space="preserve"> </w:t>
      </w:r>
      <w:r w:rsidR="000708F5" w:rsidRPr="00CA47B9">
        <w:t>office</w:t>
      </w:r>
      <w:r w:rsidR="004B41A2" w:rsidRPr="00CA47B9">
        <w:t xml:space="preserve"> </w:t>
      </w:r>
      <w:r w:rsidR="000708F5" w:rsidRPr="00CA47B9">
        <w:t>space</w:t>
      </w:r>
      <w:r w:rsidR="004B41A2" w:rsidRPr="00CA47B9">
        <w:t xml:space="preserve"> </w:t>
      </w:r>
      <w:r w:rsidR="000708F5" w:rsidRPr="00CA47B9">
        <w:t>a</w:t>
      </w:r>
      <w:r w:rsidR="004B41A2" w:rsidRPr="00CA47B9">
        <w:t xml:space="preserve"> </w:t>
      </w:r>
      <w:r w:rsidR="000708F5" w:rsidRPr="00CA47B9">
        <w:t>plot</w:t>
      </w:r>
      <w:r w:rsidR="004B41A2" w:rsidRPr="00CA47B9">
        <w:t xml:space="preserve"> </w:t>
      </w:r>
      <w:r w:rsidR="000708F5" w:rsidRPr="00CA47B9">
        <w:t>ratio</w:t>
      </w:r>
      <w:r w:rsidR="004B41A2" w:rsidRPr="00CA47B9">
        <w:t xml:space="preserve"> </w:t>
      </w:r>
      <w:r w:rsidR="000708F5" w:rsidRPr="00CA47B9">
        <w:t>of</w:t>
      </w:r>
      <w:r w:rsidR="004B41A2" w:rsidRPr="00CA47B9">
        <w:t xml:space="preserve"> </w:t>
      </w:r>
      <w:r w:rsidR="000708F5" w:rsidRPr="00CA47B9">
        <w:t>0.75</w:t>
      </w:r>
      <w:r w:rsidR="004B41A2" w:rsidRPr="00CA47B9">
        <w:t xml:space="preserve"> </w:t>
      </w:r>
      <w:r w:rsidR="000708F5" w:rsidRPr="00CA47B9">
        <w:t>is</w:t>
      </w:r>
      <w:r w:rsidR="004B41A2" w:rsidRPr="00CA47B9">
        <w:t xml:space="preserve"> </w:t>
      </w:r>
      <w:r w:rsidR="000708F5" w:rsidRPr="00CA47B9">
        <w:t>used</w:t>
      </w:r>
      <w:r w:rsidR="004B41A2" w:rsidRPr="00CA47B9">
        <w:t xml:space="preserve"> </w:t>
      </w:r>
      <w:r w:rsidR="000708F5" w:rsidRPr="00CA47B9">
        <w:t>(i.e.</w:t>
      </w:r>
      <w:r w:rsidR="004B41A2" w:rsidRPr="00CA47B9">
        <w:t xml:space="preserve"> </w:t>
      </w:r>
      <w:r w:rsidR="000708F5" w:rsidRPr="00CA47B9">
        <w:t>it</w:t>
      </w:r>
      <w:r w:rsidR="004B41A2" w:rsidRPr="00CA47B9">
        <w:t xml:space="preserve"> </w:t>
      </w:r>
      <w:r w:rsidR="000708F5" w:rsidRPr="00CA47B9">
        <w:t>is</w:t>
      </w:r>
      <w:r w:rsidR="004B41A2" w:rsidRPr="00CA47B9">
        <w:t xml:space="preserve"> </w:t>
      </w:r>
      <w:r w:rsidR="000708F5" w:rsidRPr="00CA47B9">
        <w:t>assumed</w:t>
      </w:r>
      <w:r w:rsidR="004B41A2" w:rsidRPr="00CA47B9">
        <w:t xml:space="preserve"> </w:t>
      </w:r>
      <w:r w:rsidR="000708F5" w:rsidRPr="00CA47B9">
        <w:t>that</w:t>
      </w:r>
      <w:r w:rsidR="004B41A2" w:rsidRPr="00CA47B9">
        <w:t xml:space="preserve"> </w:t>
      </w:r>
      <w:r w:rsidR="000708F5" w:rsidRPr="00CA47B9">
        <w:t>total</w:t>
      </w:r>
      <w:r w:rsidR="004B41A2" w:rsidRPr="00CA47B9">
        <w:t xml:space="preserve"> </w:t>
      </w:r>
      <w:r w:rsidR="000708F5" w:rsidRPr="00CA47B9">
        <w:t>floorspace</w:t>
      </w:r>
      <w:r w:rsidR="004B41A2" w:rsidRPr="00CA47B9">
        <w:t xml:space="preserve"> </w:t>
      </w:r>
      <w:r w:rsidR="000708F5" w:rsidRPr="00CA47B9">
        <w:t>will</w:t>
      </w:r>
      <w:r w:rsidR="004B41A2" w:rsidRPr="00CA47B9">
        <w:t xml:space="preserve"> </w:t>
      </w:r>
      <w:r w:rsidR="000708F5" w:rsidRPr="00CA47B9">
        <w:t>comprise</w:t>
      </w:r>
      <w:r w:rsidR="004B41A2" w:rsidRPr="00CA47B9">
        <w:t xml:space="preserve"> </w:t>
      </w:r>
      <w:r w:rsidR="000708F5" w:rsidRPr="00CA47B9">
        <w:t>75%</w:t>
      </w:r>
      <w:r w:rsidR="004B41A2" w:rsidRPr="00CA47B9">
        <w:t xml:space="preserve"> </w:t>
      </w:r>
      <w:r w:rsidR="000708F5" w:rsidRPr="00CA47B9">
        <w:t>of</w:t>
      </w:r>
      <w:r w:rsidR="004B41A2" w:rsidRPr="00CA47B9">
        <w:t xml:space="preserve"> </w:t>
      </w:r>
      <w:r w:rsidR="000708F5" w:rsidRPr="00CA47B9">
        <w:t>the</w:t>
      </w:r>
      <w:r w:rsidR="004B41A2" w:rsidRPr="00CA47B9">
        <w:t xml:space="preserve"> </w:t>
      </w:r>
      <w:r w:rsidR="000708F5" w:rsidRPr="00CA47B9">
        <w:t>site</w:t>
      </w:r>
      <w:r w:rsidR="004B41A2" w:rsidRPr="00CA47B9">
        <w:t xml:space="preserve"> </w:t>
      </w:r>
      <w:r w:rsidR="000708F5" w:rsidRPr="00CA47B9">
        <w:t>area);</w:t>
      </w:r>
      <w:r w:rsidR="004B41A2" w:rsidRPr="00CA47B9">
        <w:t xml:space="preserve"> </w:t>
      </w:r>
      <w:r w:rsidR="000708F5" w:rsidRPr="00CA47B9">
        <w:t>for</w:t>
      </w:r>
      <w:r w:rsidR="004B41A2" w:rsidRPr="00CA47B9">
        <w:t xml:space="preserve"> </w:t>
      </w:r>
      <w:r w:rsidR="000708F5" w:rsidRPr="00CA47B9">
        <w:t>B1c/B2</w:t>
      </w:r>
      <w:r w:rsidR="004B41A2" w:rsidRPr="00CA47B9">
        <w:t xml:space="preserve"> </w:t>
      </w:r>
      <w:r w:rsidR="000708F5" w:rsidRPr="00CA47B9">
        <w:t>industrial</w:t>
      </w:r>
      <w:r w:rsidR="004B41A2" w:rsidRPr="00CA47B9">
        <w:t xml:space="preserve"> </w:t>
      </w:r>
      <w:r w:rsidR="000708F5" w:rsidRPr="00CA47B9">
        <w:t>space</w:t>
      </w:r>
      <w:r w:rsidR="004B41A2" w:rsidRPr="00CA47B9">
        <w:t xml:space="preserve"> </w:t>
      </w:r>
      <w:r w:rsidR="000708F5" w:rsidRPr="00CA47B9">
        <w:t>a</w:t>
      </w:r>
      <w:r w:rsidR="004B41A2" w:rsidRPr="00CA47B9">
        <w:t xml:space="preserve"> </w:t>
      </w:r>
      <w:r w:rsidR="000708F5" w:rsidRPr="00CA47B9">
        <w:t>plot</w:t>
      </w:r>
      <w:r w:rsidR="004B41A2" w:rsidRPr="00CA47B9">
        <w:t xml:space="preserve"> </w:t>
      </w:r>
      <w:r w:rsidR="000708F5" w:rsidRPr="00CA47B9">
        <w:t>ratio</w:t>
      </w:r>
      <w:r w:rsidR="004B41A2" w:rsidRPr="00CA47B9">
        <w:t xml:space="preserve"> </w:t>
      </w:r>
      <w:r w:rsidR="000708F5" w:rsidRPr="00CA47B9">
        <w:t>of</w:t>
      </w:r>
      <w:r w:rsidR="004B41A2" w:rsidRPr="00CA47B9">
        <w:t xml:space="preserve"> </w:t>
      </w:r>
      <w:r w:rsidR="000708F5" w:rsidRPr="00CA47B9">
        <w:t>0.4</w:t>
      </w:r>
      <w:r w:rsidR="004B41A2" w:rsidRPr="00CA47B9">
        <w:t xml:space="preserve"> </w:t>
      </w:r>
      <w:r w:rsidR="000708F5" w:rsidRPr="00CA47B9">
        <w:t>is</w:t>
      </w:r>
      <w:r w:rsidR="004B41A2" w:rsidRPr="00CA47B9">
        <w:t xml:space="preserve"> </w:t>
      </w:r>
      <w:r w:rsidR="000708F5" w:rsidRPr="00CA47B9">
        <w:t>used;</w:t>
      </w:r>
      <w:r w:rsidR="004B41A2" w:rsidRPr="00CA47B9">
        <w:t xml:space="preserve"> </w:t>
      </w:r>
      <w:r w:rsidR="000708F5" w:rsidRPr="00CA47B9">
        <w:t>for</w:t>
      </w:r>
      <w:r w:rsidR="004B41A2" w:rsidRPr="00CA47B9">
        <w:t xml:space="preserve"> </w:t>
      </w:r>
      <w:r w:rsidR="000708F5" w:rsidRPr="00CA47B9">
        <w:t>B8</w:t>
      </w:r>
      <w:r w:rsidR="004B41A2" w:rsidRPr="00CA47B9">
        <w:t xml:space="preserve"> </w:t>
      </w:r>
      <w:r w:rsidR="000708F5" w:rsidRPr="00CA47B9">
        <w:t>warehouse/distribution</w:t>
      </w:r>
      <w:r w:rsidR="004B41A2" w:rsidRPr="00CA47B9">
        <w:t xml:space="preserve"> </w:t>
      </w:r>
      <w:r w:rsidR="000708F5" w:rsidRPr="00CA47B9">
        <w:t>space</w:t>
      </w:r>
      <w:r w:rsidR="004B41A2" w:rsidRPr="00CA47B9">
        <w:t xml:space="preserve"> </w:t>
      </w:r>
      <w:r w:rsidR="000708F5" w:rsidRPr="00CA47B9">
        <w:t>a</w:t>
      </w:r>
      <w:r w:rsidR="004B41A2" w:rsidRPr="00CA47B9">
        <w:t xml:space="preserve"> </w:t>
      </w:r>
      <w:r w:rsidR="000708F5" w:rsidRPr="00CA47B9">
        <w:t>plot</w:t>
      </w:r>
      <w:r w:rsidR="004B41A2" w:rsidRPr="00CA47B9">
        <w:t xml:space="preserve"> </w:t>
      </w:r>
      <w:r w:rsidR="000708F5" w:rsidRPr="00CA47B9">
        <w:t>ratio</w:t>
      </w:r>
      <w:r w:rsidR="004B41A2" w:rsidRPr="00CA47B9">
        <w:t xml:space="preserve"> </w:t>
      </w:r>
      <w:r w:rsidR="000708F5" w:rsidRPr="00CA47B9">
        <w:t>of</w:t>
      </w:r>
      <w:r w:rsidR="004B41A2" w:rsidRPr="00CA47B9">
        <w:t xml:space="preserve"> </w:t>
      </w:r>
      <w:r w:rsidR="000708F5" w:rsidRPr="00CA47B9">
        <w:t>0.5</w:t>
      </w:r>
      <w:r w:rsidR="004B41A2" w:rsidRPr="00CA47B9">
        <w:t xml:space="preserve"> </w:t>
      </w:r>
      <w:r w:rsidR="000708F5" w:rsidRPr="00CA47B9">
        <w:t>is</w:t>
      </w:r>
      <w:r w:rsidR="004B41A2" w:rsidRPr="00CA47B9">
        <w:t xml:space="preserve"> </w:t>
      </w:r>
      <w:r w:rsidR="000708F5" w:rsidRPr="00CA47B9">
        <w:t>used</w:t>
      </w:r>
      <w:r w:rsidR="00AF6C48" w:rsidRPr="00CA47B9">
        <w:t>, consistent with the 201</w:t>
      </w:r>
      <w:r w:rsidR="00F8757F">
        <w:t>8</w:t>
      </w:r>
      <w:r w:rsidR="00AF6C48" w:rsidRPr="00CA47B9">
        <w:t xml:space="preserve"> HEDNA.</w:t>
      </w:r>
    </w:p>
    <w:p w:rsidR="00B0298E" w:rsidRPr="00CA47B9" w:rsidRDefault="00B0298E" w:rsidP="00FA02C9">
      <w:pPr>
        <w:pStyle w:val="Tableheading"/>
        <w:tabs>
          <w:tab w:val="clear" w:pos="794"/>
          <w:tab w:val="clear" w:pos="1843"/>
          <w:tab w:val="left" w:pos="0"/>
        </w:tabs>
        <w:spacing w:line="240" w:lineRule="auto"/>
        <w:ind w:left="0" w:firstLine="0"/>
      </w:pPr>
      <w:bookmarkStart w:id="233" w:name="_Toc481156706"/>
      <w:r w:rsidRPr="00CA47B9">
        <w:t>Baseline</w:t>
      </w:r>
      <w:r w:rsidR="004B41A2" w:rsidRPr="00CA47B9">
        <w:t xml:space="preserve"> </w:t>
      </w:r>
      <w:r w:rsidRPr="00CA47B9">
        <w:t>Labour</w:t>
      </w:r>
      <w:r w:rsidR="004B41A2" w:rsidRPr="00CA47B9">
        <w:t xml:space="preserve"> </w:t>
      </w:r>
      <w:r w:rsidRPr="00CA47B9">
        <w:t>Demand</w:t>
      </w:r>
      <w:r w:rsidR="004B41A2" w:rsidRPr="00CA47B9">
        <w:t xml:space="preserve"> </w:t>
      </w:r>
      <w:r w:rsidRPr="00CA47B9">
        <w:t>Scenario</w:t>
      </w:r>
      <w:r w:rsidR="004B41A2" w:rsidRPr="00CA47B9">
        <w:t xml:space="preserve"> </w:t>
      </w:r>
      <w:r w:rsidR="00840343" w:rsidRPr="00CA47B9">
        <w:t xml:space="preserve">– Net Requirements, </w:t>
      </w:r>
      <w:r w:rsidR="00F23B80" w:rsidRPr="00CA47B9">
        <w:t>201</w:t>
      </w:r>
      <w:r w:rsidR="00682596">
        <w:t>9</w:t>
      </w:r>
      <w:r w:rsidRPr="00CA47B9">
        <w:t>-203</w:t>
      </w:r>
      <w:bookmarkEnd w:id="233"/>
      <w:r w:rsidRPr="00CA47B9">
        <w:t>6</w:t>
      </w:r>
      <w:r w:rsidR="003902B9" w:rsidRPr="00CA47B9">
        <w:t xml:space="preserve"> </w:t>
      </w:r>
      <w:r w:rsidR="003902B9" w:rsidRPr="00CA47B9">
        <w:rPr>
          <w:color w:val="auto"/>
          <w:szCs w:val="20"/>
        </w:rPr>
        <w:t>– Chichester District</w:t>
      </w:r>
    </w:p>
    <w:tbl>
      <w:tblPr>
        <w:tblStyle w:val="GLHearntable1"/>
        <w:tblW w:w="4894" w:type="pct"/>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55: Baseline Labour Demand Scenario – Net Requirements, 2019-2036 – Chichester District"/>
      </w:tblPr>
      <w:tblGrid>
        <w:gridCol w:w="2631"/>
        <w:gridCol w:w="3080"/>
        <w:gridCol w:w="3927"/>
      </w:tblGrid>
      <w:tr w:rsidR="006607BC" w:rsidRPr="007E7A18" w:rsidTr="000031A7">
        <w:trPr>
          <w:cnfStyle w:val="100000000000" w:firstRow="1" w:lastRow="0" w:firstColumn="0" w:lastColumn="0" w:oddVBand="0" w:evenVBand="0" w:oddHBand="0" w:evenHBand="0" w:firstRowFirstColumn="0" w:firstRowLastColumn="0" w:lastRowFirstColumn="0" w:lastRowLastColumn="0"/>
          <w:tblHeader/>
          <w:jc w:val="right"/>
        </w:trPr>
        <w:tc>
          <w:tcPr>
            <w:cnfStyle w:val="001000000000" w:firstRow="0" w:lastRow="0" w:firstColumn="1" w:lastColumn="0" w:oddVBand="0" w:evenVBand="0" w:oddHBand="0" w:evenHBand="0" w:firstRowFirstColumn="0" w:firstRowLastColumn="0" w:lastRowFirstColumn="0" w:lastRowLastColumn="0"/>
            <w:tcW w:w="1365" w:type="pct"/>
            <w:noWrap/>
            <w:hideMark/>
          </w:tcPr>
          <w:p w:rsidR="006607BC" w:rsidRPr="007E7A18" w:rsidRDefault="006607BC" w:rsidP="00BF6A9B">
            <w:pPr>
              <w:spacing w:line="240" w:lineRule="auto"/>
              <w:rPr>
                <w:b w:val="0"/>
                <w:bCs/>
                <w:sz w:val="24"/>
                <w:szCs w:val="24"/>
              </w:rPr>
            </w:pPr>
          </w:p>
        </w:tc>
        <w:tc>
          <w:tcPr>
            <w:tcW w:w="1598" w:type="pct"/>
          </w:tcPr>
          <w:p w:rsidR="006607BC" w:rsidRPr="007E7A18" w:rsidRDefault="006607BC" w:rsidP="00BF6A9B">
            <w:pPr>
              <w:spacing w:line="240" w:lineRule="auto"/>
              <w:jc w:val="center"/>
              <w:cnfStyle w:val="100000000000" w:firstRow="1" w:lastRow="0" w:firstColumn="0" w:lastColumn="0" w:oddVBand="0" w:evenVBand="0" w:oddHBand="0" w:evenHBand="0" w:firstRowFirstColumn="0" w:firstRowLastColumn="0" w:lastRowFirstColumn="0" w:lastRowLastColumn="0"/>
              <w:rPr>
                <w:b w:val="0"/>
                <w:bCs/>
                <w:sz w:val="24"/>
                <w:szCs w:val="24"/>
              </w:rPr>
            </w:pPr>
            <w:r w:rsidRPr="007E7A18">
              <w:rPr>
                <w:bCs/>
                <w:sz w:val="24"/>
                <w:szCs w:val="24"/>
              </w:rPr>
              <w:t>Employment Floorspace Requirement (sq. m)</w:t>
            </w:r>
          </w:p>
        </w:tc>
        <w:tc>
          <w:tcPr>
            <w:tcW w:w="2037" w:type="pct"/>
            <w:noWrap/>
            <w:hideMark/>
          </w:tcPr>
          <w:p w:rsidR="006607BC" w:rsidRPr="007E7A18" w:rsidRDefault="006607BC" w:rsidP="00BF6A9B">
            <w:pPr>
              <w:spacing w:line="240" w:lineRule="auto"/>
              <w:jc w:val="center"/>
              <w:cnfStyle w:val="100000000000" w:firstRow="1" w:lastRow="0" w:firstColumn="0" w:lastColumn="0" w:oddVBand="0" w:evenVBand="0" w:oddHBand="0" w:evenHBand="0" w:firstRowFirstColumn="0" w:firstRowLastColumn="0" w:lastRowFirstColumn="0" w:lastRowLastColumn="0"/>
              <w:rPr>
                <w:b w:val="0"/>
                <w:bCs/>
                <w:sz w:val="24"/>
                <w:szCs w:val="24"/>
              </w:rPr>
            </w:pPr>
            <w:r w:rsidRPr="007E7A18">
              <w:rPr>
                <w:bCs/>
                <w:sz w:val="24"/>
                <w:szCs w:val="24"/>
              </w:rPr>
              <w:t>Employment Land Requirement (Ha)</w:t>
            </w:r>
          </w:p>
        </w:tc>
      </w:tr>
      <w:tr w:rsidR="006607BC" w:rsidRPr="007E7A18" w:rsidTr="000031A7">
        <w:trPr>
          <w:jc w:val="right"/>
        </w:trPr>
        <w:tc>
          <w:tcPr>
            <w:cnfStyle w:val="001000000000" w:firstRow="0" w:lastRow="0" w:firstColumn="1" w:lastColumn="0" w:oddVBand="0" w:evenVBand="0" w:oddHBand="0" w:evenHBand="0" w:firstRowFirstColumn="0" w:firstRowLastColumn="0" w:lastRowFirstColumn="0" w:lastRowLastColumn="0"/>
            <w:tcW w:w="1365" w:type="pct"/>
            <w:shd w:val="clear" w:color="auto" w:fill="FFFFFF" w:themeFill="background1"/>
            <w:noWrap/>
            <w:vAlign w:val="center"/>
            <w:hideMark/>
          </w:tcPr>
          <w:p w:rsidR="006607BC" w:rsidRPr="007E7A18" w:rsidRDefault="006607BC" w:rsidP="00FA02C9">
            <w:pPr>
              <w:tabs>
                <w:tab w:val="center" w:pos="1400"/>
              </w:tabs>
              <w:spacing w:line="240" w:lineRule="auto"/>
              <w:rPr>
                <w:b w:val="0"/>
                <w:bCs/>
                <w:color w:val="000000"/>
                <w:sz w:val="24"/>
                <w:szCs w:val="24"/>
              </w:rPr>
            </w:pPr>
            <w:r w:rsidRPr="007E7A18">
              <w:rPr>
                <w:b w:val="0"/>
                <w:bCs/>
                <w:color w:val="000000"/>
                <w:sz w:val="24"/>
                <w:szCs w:val="24"/>
              </w:rPr>
              <w:t>B1a/b</w:t>
            </w:r>
          </w:p>
        </w:tc>
        <w:tc>
          <w:tcPr>
            <w:tcW w:w="1598" w:type="pct"/>
            <w:shd w:val="clear" w:color="auto" w:fill="FFFFFF" w:themeFill="background1"/>
            <w:vAlign w:val="center"/>
          </w:tcPr>
          <w:p w:rsidR="006607BC" w:rsidRPr="007E7A18" w:rsidRDefault="006607BC" w:rsidP="00FA02C9">
            <w:pPr>
              <w:keepNext/>
              <w:spacing w:line="240" w:lineRule="auto"/>
              <w:contextualSpacing/>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7E7A18">
              <w:rPr>
                <w:sz w:val="24"/>
                <w:szCs w:val="24"/>
              </w:rPr>
              <w:t>10,199</w:t>
            </w:r>
          </w:p>
        </w:tc>
        <w:tc>
          <w:tcPr>
            <w:tcW w:w="2037" w:type="pct"/>
            <w:shd w:val="clear" w:color="auto" w:fill="FFFFFF" w:themeFill="background1"/>
            <w:noWrap/>
            <w:vAlign w:val="center"/>
            <w:hideMark/>
          </w:tcPr>
          <w:p w:rsidR="006607BC" w:rsidRPr="007E7A18" w:rsidRDefault="006607BC" w:rsidP="00FA02C9">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7E7A18">
              <w:rPr>
                <w:sz w:val="24"/>
                <w:szCs w:val="24"/>
              </w:rPr>
              <w:t>1.4</w:t>
            </w:r>
          </w:p>
        </w:tc>
      </w:tr>
      <w:tr w:rsidR="006607BC" w:rsidRPr="007E7A18" w:rsidTr="000031A7">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365" w:type="pct"/>
            <w:shd w:val="clear" w:color="auto" w:fill="FFFFFF" w:themeFill="background1"/>
            <w:noWrap/>
            <w:vAlign w:val="center"/>
            <w:hideMark/>
          </w:tcPr>
          <w:p w:rsidR="006607BC" w:rsidRPr="007E7A18" w:rsidRDefault="006607BC" w:rsidP="00FA02C9">
            <w:pPr>
              <w:spacing w:line="240" w:lineRule="auto"/>
              <w:rPr>
                <w:b w:val="0"/>
                <w:bCs/>
                <w:color w:val="000000"/>
                <w:sz w:val="24"/>
                <w:szCs w:val="24"/>
              </w:rPr>
            </w:pPr>
            <w:r w:rsidRPr="007E7A18">
              <w:rPr>
                <w:b w:val="0"/>
                <w:bCs/>
                <w:color w:val="000000"/>
                <w:sz w:val="24"/>
                <w:szCs w:val="24"/>
              </w:rPr>
              <w:t>B1c/B2</w:t>
            </w:r>
          </w:p>
        </w:tc>
        <w:tc>
          <w:tcPr>
            <w:tcW w:w="1598" w:type="pct"/>
            <w:shd w:val="clear" w:color="auto" w:fill="FFFFFF" w:themeFill="background1"/>
            <w:vAlign w:val="center"/>
          </w:tcPr>
          <w:p w:rsidR="006607BC" w:rsidRPr="007E7A18" w:rsidRDefault="006607BC" w:rsidP="00FA02C9">
            <w:pPr>
              <w:keepNext/>
              <w:spacing w:line="240" w:lineRule="auto"/>
              <w:contextualSpacing/>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7E7A18">
              <w:rPr>
                <w:sz w:val="24"/>
                <w:szCs w:val="24"/>
              </w:rPr>
              <w:t>-47,273</w:t>
            </w:r>
          </w:p>
        </w:tc>
        <w:tc>
          <w:tcPr>
            <w:tcW w:w="2037" w:type="pct"/>
            <w:shd w:val="clear" w:color="auto" w:fill="FFFFFF" w:themeFill="background1"/>
            <w:noWrap/>
            <w:vAlign w:val="center"/>
            <w:hideMark/>
          </w:tcPr>
          <w:p w:rsidR="006607BC" w:rsidRPr="007E7A18" w:rsidRDefault="006607BC" w:rsidP="00FA02C9">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7E7A18">
              <w:rPr>
                <w:sz w:val="24"/>
                <w:szCs w:val="24"/>
              </w:rPr>
              <w:t>-11.8</w:t>
            </w:r>
          </w:p>
        </w:tc>
      </w:tr>
      <w:tr w:rsidR="006607BC" w:rsidRPr="007E7A18" w:rsidTr="000031A7">
        <w:trPr>
          <w:jc w:val="right"/>
        </w:trPr>
        <w:tc>
          <w:tcPr>
            <w:cnfStyle w:val="001000000000" w:firstRow="0" w:lastRow="0" w:firstColumn="1" w:lastColumn="0" w:oddVBand="0" w:evenVBand="0" w:oddHBand="0" w:evenHBand="0" w:firstRowFirstColumn="0" w:firstRowLastColumn="0" w:lastRowFirstColumn="0" w:lastRowLastColumn="0"/>
            <w:tcW w:w="1365" w:type="pct"/>
            <w:shd w:val="clear" w:color="auto" w:fill="FFFFFF" w:themeFill="background1"/>
            <w:noWrap/>
            <w:vAlign w:val="center"/>
          </w:tcPr>
          <w:p w:rsidR="006607BC" w:rsidRPr="007E7A18" w:rsidRDefault="006607BC" w:rsidP="00FA02C9">
            <w:pPr>
              <w:spacing w:line="240" w:lineRule="auto"/>
              <w:rPr>
                <w:b w:val="0"/>
                <w:bCs/>
                <w:color w:val="000000"/>
                <w:sz w:val="24"/>
                <w:szCs w:val="24"/>
              </w:rPr>
            </w:pPr>
            <w:r w:rsidRPr="007E7A18">
              <w:rPr>
                <w:b w:val="0"/>
                <w:bCs/>
                <w:color w:val="000000"/>
                <w:sz w:val="24"/>
                <w:szCs w:val="24"/>
              </w:rPr>
              <w:t>B8</w:t>
            </w:r>
          </w:p>
        </w:tc>
        <w:tc>
          <w:tcPr>
            <w:tcW w:w="1598" w:type="pct"/>
            <w:shd w:val="clear" w:color="auto" w:fill="FFFFFF" w:themeFill="background1"/>
            <w:vAlign w:val="center"/>
          </w:tcPr>
          <w:p w:rsidR="006607BC" w:rsidRPr="007E7A18" w:rsidRDefault="006607BC" w:rsidP="00FA02C9">
            <w:pPr>
              <w:keepNext/>
              <w:spacing w:line="240" w:lineRule="auto"/>
              <w:contextualSpacing/>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7E7A18">
              <w:rPr>
                <w:sz w:val="24"/>
                <w:szCs w:val="24"/>
              </w:rPr>
              <w:t>-346</w:t>
            </w:r>
          </w:p>
        </w:tc>
        <w:tc>
          <w:tcPr>
            <w:tcW w:w="2037" w:type="pct"/>
            <w:shd w:val="clear" w:color="auto" w:fill="FFFFFF" w:themeFill="background1"/>
            <w:noWrap/>
            <w:vAlign w:val="center"/>
          </w:tcPr>
          <w:p w:rsidR="006607BC" w:rsidRPr="007E7A18" w:rsidRDefault="006607BC" w:rsidP="00FA02C9">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7E7A18">
              <w:rPr>
                <w:sz w:val="24"/>
                <w:szCs w:val="24"/>
              </w:rPr>
              <w:t>-0.1</w:t>
            </w:r>
          </w:p>
        </w:tc>
      </w:tr>
      <w:tr w:rsidR="006607BC" w:rsidRPr="007E7A18" w:rsidTr="000031A7">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365" w:type="pct"/>
            <w:shd w:val="clear" w:color="auto" w:fill="FFFFFF" w:themeFill="background1"/>
            <w:noWrap/>
            <w:vAlign w:val="center"/>
            <w:hideMark/>
          </w:tcPr>
          <w:p w:rsidR="006607BC" w:rsidRPr="007E7A18" w:rsidRDefault="006607BC" w:rsidP="00FA02C9">
            <w:pPr>
              <w:spacing w:line="240" w:lineRule="auto"/>
              <w:rPr>
                <w:b w:val="0"/>
                <w:bCs/>
                <w:color w:val="000000"/>
                <w:sz w:val="24"/>
                <w:szCs w:val="24"/>
              </w:rPr>
            </w:pPr>
            <w:r w:rsidRPr="007E7A18">
              <w:rPr>
                <w:b w:val="0"/>
                <w:bCs/>
                <w:color w:val="000000"/>
                <w:sz w:val="24"/>
                <w:szCs w:val="24"/>
              </w:rPr>
              <w:t>Total B Class</w:t>
            </w:r>
          </w:p>
        </w:tc>
        <w:tc>
          <w:tcPr>
            <w:tcW w:w="1598" w:type="pct"/>
            <w:shd w:val="clear" w:color="auto" w:fill="FFFFFF" w:themeFill="background1"/>
            <w:vAlign w:val="center"/>
          </w:tcPr>
          <w:p w:rsidR="006607BC" w:rsidRPr="007E7A18" w:rsidRDefault="006607BC" w:rsidP="00FA02C9">
            <w:pPr>
              <w:keepNext/>
              <w:spacing w:line="240" w:lineRule="auto"/>
              <w:contextualSpacing/>
              <w:jc w:val="center"/>
              <w:cnfStyle w:val="000000010000" w:firstRow="0" w:lastRow="0" w:firstColumn="0" w:lastColumn="0" w:oddVBand="0" w:evenVBand="0" w:oddHBand="0" w:evenHBand="1" w:firstRowFirstColumn="0" w:firstRowLastColumn="0" w:lastRowFirstColumn="0" w:lastRowLastColumn="0"/>
              <w:rPr>
                <w:b/>
                <w:color w:val="000000"/>
                <w:sz w:val="24"/>
                <w:szCs w:val="24"/>
              </w:rPr>
            </w:pPr>
            <w:r w:rsidRPr="007E7A18">
              <w:rPr>
                <w:sz w:val="24"/>
                <w:szCs w:val="24"/>
              </w:rPr>
              <w:t>-37,420</w:t>
            </w:r>
          </w:p>
        </w:tc>
        <w:tc>
          <w:tcPr>
            <w:tcW w:w="2037" w:type="pct"/>
            <w:shd w:val="clear" w:color="auto" w:fill="FFFFFF" w:themeFill="background1"/>
            <w:noWrap/>
            <w:vAlign w:val="center"/>
            <w:hideMark/>
          </w:tcPr>
          <w:p w:rsidR="006607BC" w:rsidRPr="007E7A18" w:rsidRDefault="006607BC" w:rsidP="00FA02C9">
            <w:pPr>
              <w:spacing w:line="240" w:lineRule="auto"/>
              <w:jc w:val="center"/>
              <w:cnfStyle w:val="000000010000" w:firstRow="0" w:lastRow="0" w:firstColumn="0" w:lastColumn="0" w:oddVBand="0" w:evenVBand="0" w:oddHBand="0" w:evenHBand="1" w:firstRowFirstColumn="0" w:firstRowLastColumn="0" w:lastRowFirstColumn="0" w:lastRowLastColumn="0"/>
              <w:rPr>
                <w:b/>
                <w:color w:val="000000"/>
                <w:sz w:val="24"/>
                <w:szCs w:val="24"/>
              </w:rPr>
            </w:pPr>
            <w:r w:rsidRPr="007E7A18">
              <w:rPr>
                <w:sz w:val="24"/>
                <w:szCs w:val="24"/>
              </w:rPr>
              <w:t>-10.5</w:t>
            </w:r>
          </w:p>
        </w:tc>
      </w:tr>
    </w:tbl>
    <w:p w:rsidR="00591BF3" w:rsidRPr="00CA47B9" w:rsidRDefault="00591BF3" w:rsidP="00FA02C9">
      <w:pPr>
        <w:pStyle w:val="11Bodytext"/>
        <w:numPr>
          <w:ilvl w:val="0"/>
          <w:numId w:val="0"/>
        </w:numPr>
        <w:spacing w:before="0" w:after="0" w:line="240" w:lineRule="auto"/>
      </w:pPr>
      <w:r w:rsidRPr="00CA47B9">
        <w:t>Source: GL Hearn based on Oxford Economics data</w:t>
      </w:r>
    </w:p>
    <w:p w:rsidR="00B0298E" w:rsidRPr="00CA47B9" w:rsidRDefault="00B0298E" w:rsidP="006765B7">
      <w:pPr>
        <w:pStyle w:val="Subheadingbold"/>
        <w:ind w:left="567" w:firstLine="0"/>
      </w:pPr>
      <w:r w:rsidRPr="00CA47B9">
        <w:t>Growth</w:t>
      </w:r>
      <w:r w:rsidR="004B41A2" w:rsidRPr="00CA47B9">
        <w:t xml:space="preserve"> </w:t>
      </w:r>
      <w:r w:rsidRPr="00CA47B9">
        <w:t>Scenario</w:t>
      </w:r>
    </w:p>
    <w:p w:rsidR="00B0298E" w:rsidRPr="00CA47B9" w:rsidRDefault="00B0298E" w:rsidP="001C73B8">
      <w:pPr>
        <w:pStyle w:val="11Bodytext"/>
        <w:tabs>
          <w:tab w:val="clear" w:pos="2212"/>
          <w:tab w:val="num" w:pos="567"/>
        </w:tabs>
        <w:ind w:left="567" w:hanging="567"/>
      </w:pPr>
      <w:r w:rsidRPr="00CA47B9">
        <w:t>The</w:t>
      </w:r>
      <w:r w:rsidR="004B41A2" w:rsidRPr="00CA47B9">
        <w:t xml:space="preserve"> </w:t>
      </w:r>
      <w:r w:rsidRPr="00CA47B9">
        <w:t>Growth</w:t>
      </w:r>
      <w:r w:rsidR="004B41A2" w:rsidRPr="00CA47B9">
        <w:t xml:space="preserve"> </w:t>
      </w:r>
      <w:r w:rsidRPr="00CA47B9">
        <w:t>Scenario</w:t>
      </w:r>
      <w:r w:rsidR="004B41A2" w:rsidRPr="00CA47B9">
        <w:t xml:space="preserve"> </w:t>
      </w:r>
      <w:r w:rsidRPr="00CA47B9">
        <w:t>considers</w:t>
      </w:r>
      <w:r w:rsidR="004B41A2" w:rsidRPr="00CA47B9">
        <w:t xml:space="preserve"> </w:t>
      </w:r>
      <w:r w:rsidRPr="00CA47B9">
        <w:t>the</w:t>
      </w:r>
      <w:r w:rsidR="004B41A2" w:rsidRPr="00CA47B9">
        <w:t xml:space="preserve"> </w:t>
      </w:r>
      <w:r w:rsidRPr="00CA47B9">
        <w:t>quantum</w:t>
      </w:r>
      <w:r w:rsidR="004B41A2" w:rsidRPr="00CA47B9">
        <w:t xml:space="preserve"> </w:t>
      </w:r>
      <w:r w:rsidRPr="00CA47B9">
        <w:t>of</w:t>
      </w:r>
      <w:r w:rsidR="004B41A2" w:rsidRPr="00CA47B9">
        <w:t xml:space="preserve"> </w:t>
      </w:r>
      <w:r w:rsidRPr="00CA47B9">
        <w:t>employment</w:t>
      </w:r>
      <w:r w:rsidR="004B41A2" w:rsidRPr="00CA47B9">
        <w:t xml:space="preserve"> </w:t>
      </w:r>
      <w:r w:rsidRPr="00CA47B9">
        <w:t>land</w:t>
      </w:r>
      <w:r w:rsidR="004B41A2" w:rsidRPr="00CA47B9">
        <w:t xml:space="preserve"> </w:t>
      </w:r>
      <w:r w:rsidRPr="00CA47B9">
        <w:t>required</w:t>
      </w:r>
      <w:r w:rsidR="004B41A2" w:rsidRPr="00CA47B9">
        <w:t xml:space="preserve"> </w:t>
      </w:r>
      <w:r w:rsidRPr="00CA47B9">
        <w:t>to</w:t>
      </w:r>
      <w:r w:rsidR="004B41A2" w:rsidRPr="00CA47B9">
        <w:t xml:space="preserve"> </w:t>
      </w:r>
      <w:r w:rsidRPr="00CA47B9">
        <w:t>support</w:t>
      </w:r>
      <w:r w:rsidR="004B41A2" w:rsidRPr="00CA47B9">
        <w:t xml:space="preserve"> </w:t>
      </w:r>
      <w:r w:rsidRPr="00CA47B9">
        <w:t>the</w:t>
      </w:r>
      <w:r w:rsidR="004B41A2" w:rsidRPr="00CA47B9">
        <w:t xml:space="preserve"> </w:t>
      </w:r>
      <w:r w:rsidRPr="00CA47B9">
        <w:t>growth</w:t>
      </w:r>
      <w:r w:rsidR="004B41A2" w:rsidRPr="00CA47B9">
        <w:t xml:space="preserve"> </w:t>
      </w:r>
      <w:r w:rsidRPr="00CA47B9">
        <w:t>of</w:t>
      </w:r>
      <w:r w:rsidR="004B41A2" w:rsidRPr="00CA47B9">
        <w:t xml:space="preserve"> </w:t>
      </w:r>
      <w:r w:rsidR="0032331A">
        <w:t>9,511</w:t>
      </w:r>
      <w:r w:rsidR="004B41A2" w:rsidRPr="00CA47B9">
        <w:t xml:space="preserve"> </w:t>
      </w:r>
      <w:r w:rsidRPr="00CA47B9">
        <w:t>jobs</w:t>
      </w:r>
      <w:r w:rsidR="004B41A2" w:rsidRPr="00CA47B9">
        <w:t xml:space="preserve"> </w:t>
      </w:r>
      <w:r w:rsidRPr="00CA47B9">
        <w:t>(</w:t>
      </w:r>
      <w:r w:rsidR="00F23B80" w:rsidRPr="00CA47B9">
        <w:t>201</w:t>
      </w:r>
      <w:r w:rsidR="006607BC">
        <w:t>9</w:t>
      </w:r>
      <w:r w:rsidRPr="00CA47B9">
        <w:t>-36)</w:t>
      </w:r>
      <w:r w:rsidR="004B41A2" w:rsidRPr="00CA47B9">
        <w:t xml:space="preserve"> </w:t>
      </w:r>
      <w:r w:rsidRPr="00CA47B9">
        <w:t>shown</w:t>
      </w:r>
      <w:r w:rsidR="004B41A2" w:rsidRPr="00CA47B9">
        <w:t xml:space="preserve"> </w:t>
      </w:r>
      <w:r w:rsidRPr="00CA47B9">
        <w:t>in</w:t>
      </w:r>
      <w:r w:rsidR="004B41A2" w:rsidRPr="00CA47B9">
        <w:t xml:space="preserve"> </w:t>
      </w:r>
      <w:r w:rsidRPr="00CA47B9">
        <w:t>the</w:t>
      </w:r>
      <w:r w:rsidR="004B41A2" w:rsidRPr="00CA47B9">
        <w:t xml:space="preserve"> </w:t>
      </w:r>
      <w:r w:rsidRPr="00CA47B9">
        <w:t>adjusted</w:t>
      </w:r>
      <w:r w:rsidR="004B41A2" w:rsidRPr="00CA47B9">
        <w:t xml:space="preserve"> </w:t>
      </w:r>
      <w:r w:rsidRPr="00CA47B9">
        <w:t>growth</w:t>
      </w:r>
      <w:r w:rsidR="004B41A2" w:rsidRPr="00CA47B9">
        <w:t xml:space="preserve"> </w:t>
      </w:r>
      <w:r w:rsidRPr="00CA47B9">
        <w:t>forecast</w:t>
      </w:r>
      <w:r w:rsidR="002E7618">
        <w:t xml:space="preserve"> that was first discussed in Chapter 4</w:t>
      </w:r>
      <w:r w:rsidRPr="00CA47B9">
        <w:t>.</w:t>
      </w:r>
      <w:r w:rsidR="004B41A2" w:rsidRPr="00CA47B9">
        <w:t xml:space="preserve"> </w:t>
      </w:r>
    </w:p>
    <w:p w:rsidR="00B0298E" w:rsidRPr="00CA47B9" w:rsidRDefault="00B0298E" w:rsidP="001C73B8">
      <w:pPr>
        <w:pStyle w:val="11Bodytext"/>
        <w:tabs>
          <w:tab w:val="clear" w:pos="2212"/>
          <w:tab w:val="num" w:pos="567"/>
        </w:tabs>
        <w:ind w:left="567" w:hanging="567"/>
      </w:pPr>
      <w:r w:rsidRPr="00CA47B9">
        <w:t>Using</w:t>
      </w:r>
      <w:r w:rsidR="004B41A2" w:rsidRPr="00CA47B9">
        <w:t xml:space="preserve"> </w:t>
      </w:r>
      <w:r w:rsidRPr="00CA47B9">
        <w:t>the</w:t>
      </w:r>
      <w:r w:rsidR="004B41A2" w:rsidRPr="00CA47B9">
        <w:t xml:space="preserve"> </w:t>
      </w:r>
      <w:r w:rsidRPr="00CA47B9">
        <w:t>same</w:t>
      </w:r>
      <w:r w:rsidR="004B41A2" w:rsidRPr="00CA47B9">
        <w:t xml:space="preserve"> </w:t>
      </w:r>
      <w:r w:rsidRPr="00CA47B9">
        <w:t>modelling</w:t>
      </w:r>
      <w:r w:rsidR="004B41A2" w:rsidRPr="00CA47B9">
        <w:t xml:space="preserve"> </w:t>
      </w:r>
      <w:r w:rsidRPr="00CA47B9">
        <w:t>assumptions</w:t>
      </w:r>
      <w:r w:rsidR="004B41A2" w:rsidRPr="00CA47B9">
        <w:t xml:space="preserve"> </w:t>
      </w:r>
      <w:r w:rsidRPr="00CA47B9">
        <w:t>as</w:t>
      </w:r>
      <w:r w:rsidR="004B41A2" w:rsidRPr="00CA47B9">
        <w:t xml:space="preserve"> </w:t>
      </w:r>
      <w:r w:rsidRPr="00CA47B9">
        <w:t>for</w:t>
      </w:r>
      <w:r w:rsidR="004B41A2" w:rsidRPr="00CA47B9">
        <w:t xml:space="preserve"> </w:t>
      </w:r>
      <w:r w:rsidRPr="00CA47B9">
        <w:t>the</w:t>
      </w:r>
      <w:r w:rsidR="004B41A2" w:rsidRPr="00CA47B9">
        <w:t xml:space="preserve"> </w:t>
      </w:r>
      <w:r w:rsidRPr="00CA47B9">
        <w:t>Baseline</w:t>
      </w:r>
      <w:r w:rsidR="004B41A2" w:rsidRPr="00CA47B9">
        <w:t xml:space="preserve"> </w:t>
      </w:r>
      <w:r w:rsidRPr="00CA47B9">
        <w:t>Scenario,</w:t>
      </w:r>
      <w:r w:rsidR="004B41A2" w:rsidRPr="00CA47B9">
        <w:t xml:space="preserve"> </w:t>
      </w:r>
      <w:r w:rsidRPr="00CA47B9">
        <w:t>GLH</w:t>
      </w:r>
      <w:r w:rsidR="004B41A2" w:rsidRPr="00CA47B9">
        <w:t xml:space="preserve"> </w:t>
      </w:r>
      <w:r w:rsidRPr="00CA47B9">
        <w:t>has</w:t>
      </w:r>
      <w:r w:rsidR="004B41A2" w:rsidRPr="00CA47B9">
        <w:t xml:space="preserve"> </w:t>
      </w:r>
      <w:r w:rsidRPr="00CA47B9">
        <w:t>converted</w:t>
      </w:r>
      <w:r w:rsidR="004B41A2" w:rsidRPr="00CA47B9">
        <w:t xml:space="preserve"> </w:t>
      </w:r>
      <w:r w:rsidRPr="00CA47B9">
        <w:t>the</w:t>
      </w:r>
      <w:r w:rsidR="004B41A2" w:rsidRPr="00CA47B9">
        <w:t xml:space="preserve"> </w:t>
      </w:r>
      <w:r w:rsidRPr="00CA47B9">
        <w:t>forecasts</w:t>
      </w:r>
      <w:r w:rsidR="004B41A2" w:rsidRPr="00CA47B9">
        <w:t xml:space="preserve"> </w:t>
      </w:r>
      <w:r w:rsidRPr="00CA47B9">
        <w:t>for</w:t>
      </w:r>
      <w:r w:rsidR="004B41A2" w:rsidRPr="00CA47B9">
        <w:t xml:space="preserve"> </w:t>
      </w:r>
      <w:r w:rsidRPr="00CA47B9">
        <w:t>total</w:t>
      </w:r>
      <w:r w:rsidR="004B41A2" w:rsidRPr="00CA47B9">
        <w:t xml:space="preserve"> </w:t>
      </w:r>
      <w:r w:rsidRPr="00CA47B9">
        <w:t>employment</w:t>
      </w:r>
      <w:r w:rsidR="004B41A2" w:rsidRPr="00CA47B9">
        <w:t xml:space="preserve"> </w:t>
      </w:r>
      <w:r w:rsidRPr="00CA47B9">
        <w:t>by</w:t>
      </w:r>
      <w:r w:rsidR="004B41A2" w:rsidRPr="00CA47B9">
        <w:t xml:space="preserve"> </w:t>
      </w:r>
      <w:r w:rsidRPr="00CA47B9">
        <w:t>sector</w:t>
      </w:r>
      <w:r w:rsidR="004B41A2" w:rsidRPr="00CA47B9">
        <w:t xml:space="preserve"> </w:t>
      </w:r>
      <w:r w:rsidRPr="00CA47B9">
        <w:t>into</w:t>
      </w:r>
      <w:r w:rsidR="004B41A2" w:rsidRPr="00CA47B9">
        <w:t xml:space="preserve"> </w:t>
      </w:r>
      <w:r w:rsidRPr="00CA47B9">
        <w:t>forecasts</w:t>
      </w:r>
      <w:r w:rsidR="004B41A2" w:rsidRPr="00CA47B9">
        <w:t xml:space="preserve"> </w:t>
      </w:r>
      <w:r w:rsidRPr="00CA47B9">
        <w:t>for</w:t>
      </w:r>
      <w:r w:rsidR="004B41A2" w:rsidRPr="00CA47B9">
        <w:t xml:space="preserve"> </w:t>
      </w:r>
      <w:r w:rsidRPr="00CA47B9">
        <w:t>Full-Time</w:t>
      </w:r>
      <w:r w:rsidR="004B41A2" w:rsidRPr="00CA47B9">
        <w:t xml:space="preserve"> </w:t>
      </w:r>
      <w:r w:rsidRPr="00CA47B9">
        <w:t>Equivalent</w:t>
      </w:r>
      <w:r w:rsidR="004B41A2" w:rsidRPr="00CA47B9">
        <w:t xml:space="preserve"> </w:t>
      </w:r>
      <w:r w:rsidRPr="00CA47B9">
        <w:t>(FTE)</w:t>
      </w:r>
      <w:r w:rsidR="004B41A2" w:rsidRPr="00CA47B9">
        <w:t xml:space="preserve"> </w:t>
      </w:r>
      <w:r w:rsidRPr="00CA47B9">
        <w:t>employment</w:t>
      </w:r>
      <w:r w:rsidR="004B41A2" w:rsidRPr="00CA47B9">
        <w:t xml:space="preserve"> </w:t>
      </w:r>
      <w:r w:rsidRPr="00CA47B9">
        <w:t>by</w:t>
      </w:r>
      <w:r w:rsidR="004B41A2" w:rsidRPr="00CA47B9">
        <w:t xml:space="preserve"> </w:t>
      </w:r>
      <w:r w:rsidRPr="00CA47B9">
        <w:t>sector.</w:t>
      </w:r>
      <w:r w:rsidR="004B41A2" w:rsidRPr="00CA47B9">
        <w:t xml:space="preserve"> </w:t>
      </w:r>
      <w:r w:rsidRPr="00CA47B9">
        <w:t>This</w:t>
      </w:r>
      <w:r w:rsidR="004B41A2" w:rsidRPr="00CA47B9">
        <w:t xml:space="preserve"> </w:t>
      </w:r>
      <w:r w:rsidRPr="00CA47B9">
        <w:t>provides</w:t>
      </w:r>
      <w:r w:rsidR="004B41A2" w:rsidRPr="00CA47B9">
        <w:t xml:space="preserve"> </w:t>
      </w:r>
      <w:r w:rsidRPr="00CA47B9">
        <w:t>a</w:t>
      </w:r>
      <w:r w:rsidR="004B41A2" w:rsidRPr="00CA47B9">
        <w:t xml:space="preserve"> </w:t>
      </w:r>
      <w:r w:rsidRPr="00CA47B9">
        <w:t>figure</w:t>
      </w:r>
      <w:r w:rsidR="004B41A2" w:rsidRPr="00CA47B9">
        <w:t xml:space="preserve"> </w:t>
      </w:r>
      <w:r w:rsidRPr="00CA47B9">
        <w:t>for</w:t>
      </w:r>
      <w:r w:rsidR="004B41A2" w:rsidRPr="00CA47B9">
        <w:t xml:space="preserve"> </w:t>
      </w:r>
      <w:r w:rsidR="00855CA6">
        <w:t xml:space="preserve">the </w:t>
      </w:r>
      <w:r w:rsidRPr="00CA47B9">
        <w:t>net</w:t>
      </w:r>
      <w:r w:rsidR="004B41A2" w:rsidRPr="00CA47B9">
        <w:t xml:space="preserve"> </w:t>
      </w:r>
      <w:r w:rsidRPr="00CA47B9">
        <w:t>change</w:t>
      </w:r>
      <w:r w:rsidR="004B41A2" w:rsidRPr="00CA47B9">
        <w:t xml:space="preserve"> </w:t>
      </w:r>
      <w:r w:rsidRPr="00CA47B9">
        <w:t>in</w:t>
      </w:r>
      <w:r w:rsidR="004B41A2" w:rsidRPr="00CA47B9">
        <w:t xml:space="preserve"> </w:t>
      </w:r>
      <w:r w:rsidRPr="00CA47B9">
        <w:t>the</w:t>
      </w:r>
      <w:r w:rsidR="004B41A2" w:rsidRPr="00CA47B9">
        <w:t xml:space="preserve"> </w:t>
      </w:r>
      <w:r w:rsidRPr="00CA47B9">
        <w:t>number</w:t>
      </w:r>
      <w:r w:rsidR="004B41A2" w:rsidRPr="00CA47B9">
        <w:t xml:space="preserve"> </w:t>
      </w:r>
      <w:r w:rsidRPr="00CA47B9">
        <w:t>of</w:t>
      </w:r>
      <w:r w:rsidR="004B41A2" w:rsidRPr="00CA47B9">
        <w:t xml:space="preserve"> </w:t>
      </w:r>
      <w:r w:rsidRPr="00CA47B9">
        <w:t>FTE</w:t>
      </w:r>
      <w:r w:rsidR="004B41A2" w:rsidRPr="00CA47B9">
        <w:t xml:space="preserve"> </w:t>
      </w:r>
      <w:r w:rsidRPr="00CA47B9">
        <w:t>jobs</w:t>
      </w:r>
      <w:r w:rsidR="004B41A2" w:rsidRPr="00CA47B9">
        <w:t xml:space="preserve"> </w:t>
      </w:r>
      <w:r w:rsidRPr="00CA47B9">
        <w:t>in</w:t>
      </w:r>
      <w:r w:rsidR="004B41A2" w:rsidRPr="00CA47B9">
        <w:t xml:space="preserve"> </w:t>
      </w:r>
      <w:r w:rsidRPr="00CA47B9">
        <w:t>each</w:t>
      </w:r>
      <w:r w:rsidR="004B41A2" w:rsidRPr="00CA47B9">
        <w:t xml:space="preserve"> </w:t>
      </w:r>
      <w:r w:rsidRPr="00CA47B9">
        <w:t>sector</w:t>
      </w:r>
      <w:r w:rsidR="004B41A2" w:rsidRPr="00CA47B9">
        <w:t xml:space="preserve"> </w:t>
      </w:r>
      <w:r w:rsidRPr="00CA47B9">
        <w:t>over</w:t>
      </w:r>
      <w:r w:rsidR="004B41A2" w:rsidRPr="00CA47B9">
        <w:t xml:space="preserve"> </w:t>
      </w:r>
      <w:r w:rsidRPr="00CA47B9">
        <w:t>the</w:t>
      </w:r>
      <w:r w:rsidR="004B41A2" w:rsidRPr="00CA47B9">
        <w:t xml:space="preserve"> </w:t>
      </w:r>
      <w:r w:rsidRPr="00CA47B9">
        <w:t>plan</w:t>
      </w:r>
      <w:r w:rsidR="004B41A2" w:rsidRPr="00CA47B9">
        <w:t xml:space="preserve"> </w:t>
      </w:r>
      <w:r w:rsidRPr="00CA47B9">
        <w:t>period.</w:t>
      </w:r>
      <w:r w:rsidR="004B41A2" w:rsidRPr="00CA47B9">
        <w:t xml:space="preserve"> </w:t>
      </w:r>
      <w:r w:rsidRPr="00CA47B9">
        <w:t>The</w:t>
      </w:r>
      <w:r w:rsidR="004B41A2" w:rsidRPr="00CA47B9">
        <w:t xml:space="preserve"> </w:t>
      </w:r>
      <w:r w:rsidR="008842A9" w:rsidRPr="00CA47B9">
        <w:t>Growth</w:t>
      </w:r>
      <w:r w:rsidR="004B41A2" w:rsidRPr="00CA47B9">
        <w:t xml:space="preserve"> </w:t>
      </w:r>
      <w:r w:rsidR="008842A9" w:rsidRPr="00CA47B9">
        <w:t>Scenario</w:t>
      </w:r>
      <w:r w:rsidR="004B41A2" w:rsidRPr="00CA47B9">
        <w:t xml:space="preserve"> </w:t>
      </w:r>
      <w:r w:rsidRPr="00CA47B9">
        <w:t>forecasts</w:t>
      </w:r>
      <w:r w:rsidR="004B41A2" w:rsidRPr="00CA47B9">
        <w:t xml:space="preserve"> </w:t>
      </w:r>
      <w:r w:rsidRPr="00CA47B9">
        <w:t>show</w:t>
      </w:r>
      <w:r w:rsidR="004B41A2" w:rsidRPr="00CA47B9">
        <w:t xml:space="preserve"> </w:t>
      </w:r>
      <w:r w:rsidRPr="00CA47B9">
        <w:t>a</w:t>
      </w:r>
      <w:r w:rsidR="004B41A2" w:rsidRPr="00CA47B9">
        <w:t xml:space="preserve"> </w:t>
      </w:r>
      <w:r w:rsidRPr="00CA47B9">
        <w:t>net</w:t>
      </w:r>
      <w:r w:rsidR="004B41A2" w:rsidRPr="00CA47B9">
        <w:t xml:space="preserve"> </w:t>
      </w:r>
      <w:r w:rsidRPr="00CA47B9">
        <w:t>jobs</w:t>
      </w:r>
      <w:r w:rsidR="004B41A2" w:rsidRPr="00CA47B9">
        <w:t xml:space="preserve"> </w:t>
      </w:r>
      <w:r w:rsidRPr="00CA47B9">
        <w:t>growth</w:t>
      </w:r>
      <w:r w:rsidR="004B41A2" w:rsidRPr="00CA47B9">
        <w:t xml:space="preserve"> </w:t>
      </w:r>
      <w:r w:rsidRPr="00CA47B9">
        <w:t>of</w:t>
      </w:r>
      <w:r w:rsidR="004B41A2" w:rsidRPr="00CA47B9">
        <w:t xml:space="preserve"> </w:t>
      </w:r>
      <w:r w:rsidR="002E7618">
        <w:t>7,468</w:t>
      </w:r>
      <w:r w:rsidR="0023102B" w:rsidRPr="00CA47B9">
        <w:t xml:space="preserve"> </w:t>
      </w:r>
      <w:r w:rsidRPr="00CA47B9">
        <w:t>FTE</w:t>
      </w:r>
      <w:r w:rsidR="004B41A2" w:rsidRPr="00CA47B9">
        <w:t xml:space="preserve"> </w:t>
      </w:r>
      <w:r w:rsidRPr="00CA47B9">
        <w:t>jobs</w:t>
      </w:r>
      <w:r w:rsidR="004B41A2" w:rsidRPr="00CA47B9">
        <w:t xml:space="preserve"> </w:t>
      </w:r>
      <w:r w:rsidRPr="00CA47B9">
        <w:t>over</w:t>
      </w:r>
      <w:r w:rsidR="004B41A2" w:rsidRPr="00CA47B9">
        <w:t xml:space="preserve"> </w:t>
      </w:r>
      <w:r w:rsidRPr="00CA47B9">
        <w:t>the</w:t>
      </w:r>
      <w:r w:rsidR="004B41A2" w:rsidRPr="00CA47B9">
        <w:t xml:space="preserve"> </w:t>
      </w:r>
      <w:r w:rsidRPr="00CA47B9">
        <w:t>period</w:t>
      </w:r>
      <w:r w:rsidR="004B41A2" w:rsidRPr="00CA47B9">
        <w:t xml:space="preserve"> </w:t>
      </w:r>
      <w:r w:rsidR="00F23B80" w:rsidRPr="00CA47B9">
        <w:t>201</w:t>
      </w:r>
      <w:r w:rsidR="002E7618">
        <w:t>9</w:t>
      </w:r>
      <w:r w:rsidRPr="00CA47B9">
        <w:t>-36.</w:t>
      </w:r>
    </w:p>
    <w:p w:rsidR="00C405F0" w:rsidRPr="00CA47B9" w:rsidRDefault="00B0298E" w:rsidP="00FA02C9">
      <w:pPr>
        <w:pStyle w:val="FigureHeading"/>
        <w:tabs>
          <w:tab w:val="clear" w:pos="794"/>
          <w:tab w:val="clear" w:pos="1843"/>
          <w:tab w:val="left" w:pos="0"/>
        </w:tabs>
        <w:spacing w:line="240" w:lineRule="auto"/>
        <w:ind w:left="0" w:firstLine="0"/>
      </w:pPr>
      <w:r w:rsidRPr="00CA47B9">
        <w:lastRenderedPageBreak/>
        <w:t>Growth</w:t>
      </w:r>
      <w:r w:rsidR="004B41A2" w:rsidRPr="00CA47B9">
        <w:t xml:space="preserve"> </w:t>
      </w:r>
      <w:r w:rsidRPr="00CA47B9">
        <w:t>Scenario</w:t>
      </w:r>
      <w:r w:rsidR="004B41A2" w:rsidRPr="00CA47B9">
        <w:t xml:space="preserve"> </w:t>
      </w:r>
      <w:r w:rsidRPr="00CA47B9">
        <w:t>–</w:t>
      </w:r>
      <w:r w:rsidR="004B41A2" w:rsidRPr="00CA47B9">
        <w:t xml:space="preserve"> </w:t>
      </w:r>
      <w:r w:rsidRPr="00CA47B9">
        <w:t>Net</w:t>
      </w:r>
      <w:r w:rsidR="004B41A2" w:rsidRPr="00CA47B9">
        <w:t xml:space="preserve"> </w:t>
      </w:r>
      <w:r w:rsidRPr="00CA47B9">
        <w:t>change</w:t>
      </w:r>
      <w:r w:rsidR="004B41A2" w:rsidRPr="00CA47B9">
        <w:t xml:space="preserve"> </w:t>
      </w:r>
      <w:r w:rsidRPr="00CA47B9">
        <w:t>in</w:t>
      </w:r>
      <w:r w:rsidR="004B41A2" w:rsidRPr="00CA47B9">
        <w:t xml:space="preserve"> </w:t>
      </w:r>
      <w:r w:rsidRPr="00CA47B9">
        <w:t>FTE</w:t>
      </w:r>
      <w:r w:rsidR="004B41A2" w:rsidRPr="00CA47B9">
        <w:t xml:space="preserve"> </w:t>
      </w:r>
      <w:r w:rsidRPr="00CA47B9">
        <w:t>jobs,</w:t>
      </w:r>
      <w:r w:rsidR="004B41A2" w:rsidRPr="00CA47B9">
        <w:t xml:space="preserve"> </w:t>
      </w:r>
      <w:r w:rsidR="00F23B80" w:rsidRPr="00CA47B9">
        <w:t>201</w:t>
      </w:r>
      <w:r w:rsidR="0032331A">
        <w:t>9</w:t>
      </w:r>
      <w:r w:rsidRPr="00CA47B9">
        <w:t>-2036</w:t>
      </w:r>
      <w:r w:rsidR="003902B9" w:rsidRPr="00CA47B9">
        <w:t xml:space="preserve"> </w:t>
      </w:r>
      <w:r w:rsidR="003902B9" w:rsidRPr="00CA47B9">
        <w:rPr>
          <w:color w:val="auto"/>
          <w:szCs w:val="20"/>
        </w:rPr>
        <w:t>– Chichester District</w:t>
      </w:r>
    </w:p>
    <w:p w:rsidR="00591BF3" w:rsidRPr="00CA47B9" w:rsidRDefault="00591BF3" w:rsidP="00031E60">
      <w:pPr>
        <w:pStyle w:val="11Bodytext"/>
        <w:numPr>
          <w:ilvl w:val="0"/>
          <w:numId w:val="0"/>
        </w:numPr>
        <w:spacing w:before="0" w:after="0" w:line="240" w:lineRule="auto"/>
      </w:pPr>
      <w:r>
        <w:rPr>
          <w:noProof/>
          <w:lang w:eastAsia="en-GB"/>
        </w:rPr>
        <w:drawing>
          <wp:inline distT="0" distB="0" distL="0" distR="0" wp14:anchorId="29927A63" wp14:editId="736DFFC7">
            <wp:extent cx="6134400" cy="3391200"/>
            <wp:effectExtent l="0" t="0" r="19050" b="19050"/>
            <wp:docPr id="1061" name="Chart 1061" descr="Bar chart showing employment change by broad sector over the plan period" title="Figure 67: Growth Scenario – Net change in FTE jobs, 2019-2036 – Chichester District">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FF8414-E148-4F6D-9335-62F7229E99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591BF3" w:rsidRPr="00CA47B9" w:rsidRDefault="00591BF3" w:rsidP="00FA02C9">
      <w:pPr>
        <w:pStyle w:val="11Bodytext"/>
        <w:numPr>
          <w:ilvl w:val="0"/>
          <w:numId w:val="0"/>
        </w:numPr>
        <w:spacing w:before="0" w:after="0" w:line="240" w:lineRule="auto"/>
      </w:pPr>
      <w:r w:rsidRPr="00CA47B9">
        <w:t>Source: GL Hearn based on Oxford Economics data</w:t>
      </w:r>
    </w:p>
    <w:p w:rsidR="00E74F15" w:rsidRPr="00CA47B9" w:rsidRDefault="00B0298E" w:rsidP="001C73B8">
      <w:pPr>
        <w:pStyle w:val="11Bodytext"/>
        <w:tabs>
          <w:tab w:val="clear" w:pos="2212"/>
          <w:tab w:val="num" w:pos="567"/>
        </w:tabs>
        <w:ind w:left="567" w:hanging="567"/>
      </w:pPr>
      <w:r w:rsidRPr="00CA47B9">
        <w:t>Using</w:t>
      </w:r>
      <w:r w:rsidR="004B41A2" w:rsidRPr="00CA47B9">
        <w:t xml:space="preserve"> </w:t>
      </w:r>
      <w:r w:rsidRPr="00CA47B9">
        <w:t>the</w:t>
      </w:r>
      <w:r w:rsidR="004B41A2" w:rsidRPr="00CA47B9">
        <w:t xml:space="preserve"> </w:t>
      </w:r>
      <w:r w:rsidRPr="00CA47B9">
        <w:t>same</w:t>
      </w:r>
      <w:r w:rsidR="004B41A2" w:rsidRPr="00CA47B9">
        <w:t xml:space="preserve"> </w:t>
      </w:r>
      <w:r w:rsidRPr="00CA47B9">
        <w:t>modelling</w:t>
      </w:r>
      <w:r w:rsidR="004B41A2" w:rsidRPr="00CA47B9">
        <w:t xml:space="preserve"> </w:t>
      </w:r>
      <w:r w:rsidRPr="00CA47B9">
        <w:t>assumptions</w:t>
      </w:r>
      <w:r w:rsidR="004B41A2" w:rsidRPr="00CA47B9">
        <w:t xml:space="preserve"> </w:t>
      </w:r>
      <w:r w:rsidRPr="00CA47B9">
        <w:t>as</w:t>
      </w:r>
      <w:r w:rsidR="004B41A2" w:rsidRPr="00CA47B9">
        <w:t xml:space="preserve"> </w:t>
      </w:r>
      <w:r w:rsidRPr="00CA47B9">
        <w:t>the</w:t>
      </w:r>
      <w:r w:rsidR="004B41A2" w:rsidRPr="00CA47B9">
        <w:t xml:space="preserve"> </w:t>
      </w:r>
      <w:r w:rsidRPr="00CA47B9">
        <w:t>Baseline</w:t>
      </w:r>
      <w:r w:rsidR="004B41A2" w:rsidRPr="00CA47B9">
        <w:t xml:space="preserve"> </w:t>
      </w:r>
      <w:r w:rsidRPr="00CA47B9">
        <w:t>scenario,</w:t>
      </w:r>
      <w:r w:rsidR="004B41A2" w:rsidRPr="00CA47B9">
        <w:t xml:space="preserve"> </w:t>
      </w:r>
      <w:r w:rsidRPr="00CA47B9">
        <w:t>the</w:t>
      </w:r>
      <w:r w:rsidR="004B41A2" w:rsidRPr="00CA47B9">
        <w:t xml:space="preserve"> </w:t>
      </w:r>
      <w:r w:rsidRPr="00CA47B9">
        <w:t>Growth</w:t>
      </w:r>
      <w:r w:rsidR="004B41A2" w:rsidRPr="00CA47B9">
        <w:t xml:space="preserve"> </w:t>
      </w:r>
      <w:r w:rsidRPr="00CA47B9">
        <w:t>Scenario</w:t>
      </w:r>
      <w:r w:rsidR="004B41A2" w:rsidRPr="00CA47B9">
        <w:t xml:space="preserve"> </w:t>
      </w:r>
      <w:r w:rsidRPr="00CA47B9">
        <w:t>results</w:t>
      </w:r>
      <w:r w:rsidR="004B41A2" w:rsidRPr="00CA47B9">
        <w:t xml:space="preserve"> </w:t>
      </w:r>
      <w:r w:rsidRPr="00CA47B9">
        <w:t>in</w:t>
      </w:r>
      <w:r w:rsidR="004B41A2" w:rsidRPr="00CA47B9">
        <w:t xml:space="preserve"> </w:t>
      </w:r>
      <w:r w:rsidRPr="00CA47B9">
        <w:t>the</w:t>
      </w:r>
      <w:r w:rsidR="004B41A2" w:rsidRPr="00CA47B9">
        <w:t xml:space="preserve"> </w:t>
      </w:r>
      <w:r w:rsidRPr="00CA47B9">
        <w:t>following</w:t>
      </w:r>
      <w:r w:rsidR="004B41A2" w:rsidRPr="00CA47B9">
        <w:t xml:space="preserve"> </w:t>
      </w:r>
      <w:r w:rsidRPr="00CA47B9">
        <w:t>forecasts</w:t>
      </w:r>
      <w:r w:rsidR="004B41A2" w:rsidRPr="00CA47B9">
        <w:t xml:space="preserve"> </w:t>
      </w:r>
      <w:r w:rsidRPr="00CA47B9">
        <w:t>of</w:t>
      </w:r>
      <w:r w:rsidR="004B41A2" w:rsidRPr="00CA47B9">
        <w:t xml:space="preserve"> </w:t>
      </w:r>
      <w:r w:rsidRPr="00CA47B9">
        <w:t>net</w:t>
      </w:r>
      <w:r w:rsidR="004B41A2" w:rsidRPr="00CA47B9">
        <w:t xml:space="preserve"> </w:t>
      </w:r>
      <w:r w:rsidRPr="00CA47B9">
        <w:t>growth</w:t>
      </w:r>
      <w:r w:rsidR="004B41A2" w:rsidRPr="00CA47B9">
        <w:t xml:space="preserve"> </w:t>
      </w:r>
      <w:r w:rsidRPr="00CA47B9">
        <w:t>in</w:t>
      </w:r>
      <w:r w:rsidR="004B41A2" w:rsidRPr="00CA47B9">
        <w:t xml:space="preserve"> </w:t>
      </w:r>
      <w:r w:rsidRPr="00CA47B9">
        <w:t>FTE</w:t>
      </w:r>
      <w:r w:rsidR="004B41A2" w:rsidRPr="00CA47B9">
        <w:t xml:space="preserve"> </w:t>
      </w:r>
      <w:r w:rsidRPr="00CA47B9">
        <w:t>employment</w:t>
      </w:r>
      <w:r w:rsidR="004B41A2" w:rsidRPr="00CA47B9">
        <w:t xml:space="preserve"> </w:t>
      </w:r>
      <w:r w:rsidRPr="00CA47B9">
        <w:t>by</w:t>
      </w:r>
      <w:r w:rsidR="004B41A2" w:rsidRPr="00CA47B9">
        <w:t xml:space="preserve"> </w:t>
      </w:r>
      <w:r w:rsidRPr="00CA47B9">
        <w:t>use</w:t>
      </w:r>
      <w:r w:rsidR="004B41A2" w:rsidRPr="00CA47B9">
        <w:t xml:space="preserve"> </w:t>
      </w:r>
      <w:r w:rsidRPr="00CA47B9">
        <w:t>class</w:t>
      </w:r>
      <w:r w:rsidR="004B41A2" w:rsidRPr="00CA47B9">
        <w:t xml:space="preserve"> </w:t>
      </w:r>
      <w:r w:rsidRPr="00CA47B9">
        <w:t>over</w:t>
      </w:r>
      <w:r w:rsidR="004B41A2" w:rsidRPr="00CA47B9">
        <w:t xml:space="preserve"> </w:t>
      </w:r>
      <w:r w:rsidRPr="00CA47B9">
        <w:t>the</w:t>
      </w:r>
      <w:r w:rsidR="004B41A2" w:rsidRPr="00CA47B9">
        <w:t xml:space="preserve"> </w:t>
      </w:r>
      <w:r w:rsidRPr="00CA47B9">
        <w:t>period</w:t>
      </w:r>
      <w:r w:rsidR="004B41A2" w:rsidRPr="00CA47B9">
        <w:t xml:space="preserve"> </w:t>
      </w:r>
      <w:r w:rsidR="00F23B80" w:rsidRPr="00CA47B9">
        <w:t>201</w:t>
      </w:r>
      <w:r w:rsidR="002E7618">
        <w:t>9</w:t>
      </w:r>
      <w:r w:rsidR="00857E16" w:rsidRPr="00CA47B9">
        <w:t>-2036</w:t>
      </w:r>
      <w:r w:rsidRPr="00CA47B9">
        <w:t>:</w:t>
      </w:r>
    </w:p>
    <w:p w:rsidR="00591BF3" w:rsidRPr="00CA47B9" w:rsidRDefault="00591BF3" w:rsidP="00FA02C9">
      <w:pPr>
        <w:pStyle w:val="Tableheading"/>
        <w:tabs>
          <w:tab w:val="clear" w:pos="794"/>
          <w:tab w:val="clear" w:pos="1843"/>
          <w:tab w:val="left" w:pos="0"/>
        </w:tabs>
        <w:spacing w:line="240" w:lineRule="auto"/>
        <w:ind w:left="0" w:firstLine="0"/>
      </w:pPr>
      <w:r w:rsidRPr="00CA47B9">
        <w:t>Growth Scenario – FTE Job Growth by B-Class Sector, 201</w:t>
      </w:r>
      <w:r>
        <w:t>9</w:t>
      </w:r>
      <w:r w:rsidRPr="00CA47B9">
        <w:t xml:space="preserve">-36 </w:t>
      </w:r>
      <w:r w:rsidRPr="00CA47B9">
        <w:rPr>
          <w:color w:val="auto"/>
          <w:szCs w:val="20"/>
        </w:rPr>
        <w:t>– Chichester District</w:t>
      </w:r>
    </w:p>
    <w:tbl>
      <w:tblPr>
        <w:tblStyle w:val="GLHearntable1"/>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56: Growth Scenario – FTE Job Growth by B-Class Sector, 2019-36 – Chichester District"/>
      </w:tblPr>
      <w:tblGrid>
        <w:gridCol w:w="1892"/>
        <w:gridCol w:w="1672"/>
        <w:gridCol w:w="1667"/>
        <w:gridCol w:w="1334"/>
        <w:gridCol w:w="1504"/>
        <w:gridCol w:w="1569"/>
      </w:tblGrid>
      <w:tr w:rsidR="002E7618" w:rsidRPr="007E7A18" w:rsidTr="00FA02C9">
        <w:trPr>
          <w:cnfStyle w:val="100000000000" w:firstRow="1" w:lastRow="0" w:firstColumn="0" w:lastColumn="0" w:oddVBand="0" w:evenVBand="0" w:oddHBand="0" w:evenHBand="0" w:firstRowFirstColumn="0" w:firstRowLastColumn="0" w:lastRowFirstColumn="0" w:lastRowLastColumn="0"/>
          <w:trHeight w:val="135"/>
          <w:tblHeader/>
        </w:trPr>
        <w:tc>
          <w:tcPr>
            <w:cnfStyle w:val="001000000000" w:firstRow="0" w:lastRow="0" w:firstColumn="1" w:lastColumn="0" w:oddVBand="0" w:evenVBand="0" w:oddHBand="0" w:evenHBand="0" w:firstRowFirstColumn="0" w:firstRowLastColumn="0" w:lastRowFirstColumn="0" w:lastRowLastColumn="0"/>
            <w:tcW w:w="981" w:type="pct"/>
            <w:noWrap/>
            <w:hideMark/>
          </w:tcPr>
          <w:p w:rsidR="002E7618" w:rsidRPr="007E7A18" w:rsidRDefault="002E7618" w:rsidP="00E519C8">
            <w:pPr>
              <w:spacing w:line="240" w:lineRule="auto"/>
              <w:rPr>
                <w:rFonts w:eastAsia="Times New Roman"/>
                <w:bCs/>
                <w:color w:val="FFFFFF"/>
                <w:sz w:val="24"/>
                <w:szCs w:val="24"/>
                <w:lang w:eastAsia="en-GB"/>
              </w:rPr>
            </w:pPr>
            <w:r w:rsidRPr="007E7A18">
              <w:rPr>
                <w:rFonts w:eastAsia="Times New Roman"/>
                <w:bCs/>
                <w:color w:val="FFFFFF"/>
                <w:sz w:val="24"/>
                <w:szCs w:val="24"/>
                <w:lang w:eastAsia="en-GB"/>
              </w:rPr>
              <w:t> </w:t>
            </w:r>
          </w:p>
        </w:tc>
        <w:tc>
          <w:tcPr>
            <w:tcW w:w="867" w:type="pct"/>
            <w:noWrap/>
            <w:hideMark/>
          </w:tcPr>
          <w:p w:rsidR="002E7618" w:rsidRPr="007E7A18" w:rsidRDefault="002E7618" w:rsidP="00E519C8">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4"/>
                <w:szCs w:val="24"/>
                <w:lang w:eastAsia="en-GB"/>
              </w:rPr>
            </w:pPr>
            <w:r w:rsidRPr="007E7A18">
              <w:rPr>
                <w:rFonts w:eastAsia="Times New Roman"/>
                <w:bCs/>
                <w:color w:val="FFFFFF"/>
                <w:sz w:val="24"/>
                <w:szCs w:val="24"/>
                <w:lang w:eastAsia="en-GB"/>
              </w:rPr>
              <w:t>2019-21</w:t>
            </w:r>
          </w:p>
        </w:tc>
        <w:tc>
          <w:tcPr>
            <w:tcW w:w="865" w:type="pct"/>
            <w:noWrap/>
            <w:hideMark/>
          </w:tcPr>
          <w:p w:rsidR="002E7618" w:rsidRPr="007E7A18" w:rsidRDefault="002E7618" w:rsidP="00E519C8">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4"/>
                <w:szCs w:val="24"/>
                <w:lang w:eastAsia="en-GB"/>
              </w:rPr>
            </w:pPr>
            <w:r w:rsidRPr="007E7A18">
              <w:rPr>
                <w:rFonts w:eastAsia="Times New Roman"/>
                <w:bCs/>
                <w:color w:val="FFFFFF"/>
                <w:sz w:val="24"/>
                <w:szCs w:val="24"/>
                <w:lang w:eastAsia="en-GB"/>
              </w:rPr>
              <w:t>2021-26</w:t>
            </w:r>
          </w:p>
        </w:tc>
        <w:tc>
          <w:tcPr>
            <w:tcW w:w="692" w:type="pct"/>
            <w:noWrap/>
            <w:hideMark/>
          </w:tcPr>
          <w:p w:rsidR="002E7618" w:rsidRPr="007E7A18" w:rsidRDefault="002E7618" w:rsidP="00E519C8">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4"/>
                <w:szCs w:val="24"/>
                <w:lang w:eastAsia="en-GB"/>
              </w:rPr>
            </w:pPr>
            <w:r w:rsidRPr="007E7A18">
              <w:rPr>
                <w:rFonts w:eastAsia="Times New Roman"/>
                <w:bCs/>
                <w:color w:val="FFFFFF"/>
                <w:sz w:val="24"/>
                <w:szCs w:val="24"/>
                <w:lang w:eastAsia="en-GB"/>
              </w:rPr>
              <w:t>2026-31</w:t>
            </w:r>
          </w:p>
        </w:tc>
        <w:tc>
          <w:tcPr>
            <w:tcW w:w="780" w:type="pct"/>
            <w:noWrap/>
            <w:hideMark/>
          </w:tcPr>
          <w:p w:rsidR="002E7618" w:rsidRPr="007E7A18" w:rsidRDefault="002E7618" w:rsidP="00E519C8">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4"/>
                <w:szCs w:val="24"/>
                <w:lang w:eastAsia="en-GB"/>
              </w:rPr>
            </w:pPr>
            <w:r w:rsidRPr="007E7A18">
              <w:rPr>
                <w:rFonts w:eastAsia="Times New Roman"/>
                <w:bCs/>
                <w:color w:val="FFFFFF"/>
                <w:sz w:val="24"/>
                <w:szCs w:val="24"/>
                <w:lang w:eastAsia="en-GB"/>
              </w:rPr>
              <w:t>2031-36</w:t>
            </w:r>
          </w:p>
        </w:tc>
        <w:tc>
          <w:tcPr>
            <w:tcW w:w="814" w:type="pct"/>
            <w:noWrap/>
            <w:hideMark/>
          </w:tcPr>
          <w:p w:rsidR="002E7618" w:rsidRPr="007E7A18" w:rsidRDefault="002E7618" w:rsidP="00E519C8">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4"/>
                <w:szCs w:val="24"/>
                <w:lang w:eastAsia="en-GB"/>
              </w:rPr>
            </w:pPr>
            <w:r w:rsidRPr="007E7A18">
              <w:rPr>
                <w:rFonts w:eastAsia="Times New Roman"/>
                <w:bCs/>
                <w:color w:val="FFFFFF"/>
                <w:sz w:val="24"/>
                <w:szCs w:val="24"/>
                <w:lang w:eastAsia="en-GB"/>
              </w:rPr>
              <w:t>2019-2036</w:t>
            </w:r>
          </w:p>
        </w:tc>
      </w:tr>
      <w:tr w:rsidR="002E7618" w:rsidRPr="007E7A18" w:rsidTr="00FA02C9">
        <w:trPr>
          <w:trHeight w:val="125"/>
        </w:trPr>
        <w:tc>
          <w:tcPr>
            <w:cnfStyle w:val="001000000000" w:firstRow="0" w:lastRow="0" w:firstColumn="1" w:lastColumn="0" w:oddVBand="0" w:evenVBand="0" w:oddHBand="0" w:evenHBand="0" w:firstRowFirstColumn="0" w:firstRowLastColumn="0" w:lastRowFirstColumn="0" w:lastRowLastColumn="0"/>
            <w:tcW w:w="981" w:type="pct"/>
            <w:shd w:val="clear" w:color="auto" w:fill="FFFFFF" w:themeFill="background1"/>
            <w:noWrap/>
            <w:hideMark/>
          </w:tcPr>
          <w:p w:rsidR="002E7618" w:rsidRPr="007E7A18" w:rsidRDefault="002E7618" w:rsidP="00E519C8">
            <w:pPr>
              <w:spacing w:line="240" w:lineRule="auto"/>
              <w:rPr>
                <w:rFonts w:eastAsia="Times New Roman"/>
                <w:b w:val="0"/>
                <w:bCs/>
                <w:color w:val="000000"/>
                <w:sz w:val="24"/>
                <w:szCs w:val="24"/>
                <w:lang w:eastAsia="en-GB"/>
              </w:rPr>
            </w:pPr>
            <w:r w:rsidRPr="007E7A18">
              <w:rPr>
                <w:rFonts w:eastAsia="Times New Roman"/>
                <w:b w:val="0"/>
                <w:bCs/>
                <w:color w:val="000000"/>
                <w:sz w:val="24"/>
                <w:szCs w:val="24"/>
                <w:lang w:eastAsia="en-GB"/>
              </w:rPr>
              <w:t>B1a/b</w:t>
            </w:r>
          </w:p>
        </w:tc>
        <w:tc>
          <w:tcPr>
            <w:tcW w:w="867" w:type="pct"/>
            <w:shd w:val="clear" w:color="auto" w:fill="FFFFFF" w:themeFill="background1"/>
            <w:noWrap/>
            <w:vAlign w:val="center"/>
            <w:hideMark/>
          </w:tcPr>
          <w:p w:rsidR="002E7618" w:rsidRPr="007E7A18" w:rsidRDefault="002E7618" w:rsidP="00E519C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n-GB"/>
              </w:rPr>
            </w:pPr>
            <w:r w:rsidRPr="007E7A18">
              <w:rPr>
                <w:rFonts w:eastAsia="Times New Roman"/>
                <w:color w:val="000000"/>
                <w:sz w:val="24"/>
                <w:szCs w:val="24"/>
                <w:lang w:eastAsia="en-GB"/>
              </w:rPr>
              <w:t>299</w:t>
            </w:r>
          </w:p>
        </w:tc>
        <w:tc>
          <w:tcPr>
            <w:tcW w:w="865" w:type="pct"/>
            <w:shd w:val="clear" w:color="auto" w:fill="FFFFFF" w:themeFill="background1"/>
            <w:noWrap/>
            <w:vAlign w:val="center"/>
            <w:hideMark/>
          </w:tcPr>
          <w:p w:rsidR="002E7618" w:rsidRPr="007E7A18" w:rsidRDefault="002E7618" w:rsidP="00E519C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n-GB"/>
              </w:rPr>
            </w:pPr>
            <w:r w:rsidRPr="007E7A18">
              <w:rPr>
                <w:rFonts w:eastAsia="Times New Roman"/>
                <w:color w:val="000000"/>
                <w:sz w:val="24"/>
                <w:szCs w:val="24"/>
                <w:lang w:eastAsia="en-GB"/>
              </w:rPr>
              <w:t>524</w:t>
            </w:r>
          </w:p>
        </w:tc>
        <w:tc>
          <w:tcPr>
            <w:tcW w:w="692" w:type="pct"/>
            <w:shd w:val="clear" w:color="auto" w:fill="FFFFFF" w:themeFill="background1"/>
            <w:noWrap/>
            <w:vAlign w:val="center"/>
            <w:hideMark/>
          </w:tcPr>
          <w:p w:rsidR="002E7618" w:rsidRPr="007E7A18" w:rsidRDefault="002E7618" w:rsidP="00E519C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n-GB"/>
              </w:rPr>
            </w:pPr>
            <w:r w:rsidRPr="007E7A18">
              <w:rPr>
                <w:rFonts w:eastAsia="Times New Roman"/>
                <w:color w:val="000000"/>
                <w:sz w:val="24"/>
                <w:szCs w:val="24"/>
                <w:lang w:eastAsia="en-GB"/>
              </w:rPr>
              <w:t>417</w:t>
            </w:r>
          </w:p>
        </w:tc>
        <w:tc>
          <w:tcPr>
            <w:tcW w:w="780" w:type="pct"/>
            <w:shd w:val="clear" w:color="auto" w:fill="FFFFFF" w:themeFill="background1"/>
            <w:noWrap/>
            <w:vAlign w:val="center"/>
            <w:hideMark/>
          </w:tcPr>
          <w:p w:rsidR="002E7618" w:rsidRPr="007E7A18" w:rsidRDefault="002E7618" w:rsidP="00E519C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n-GB"/>
              </w:rPr>
            </w:pPr>
            <w:r w:rsidRPr="007E7A18">
              <w:rPr>
                <w:rFonts w:eastAsia="Times New Roman"/>
                <w:color w:val="000000"/>
                <w:sz w:val="24"/>
                <w:szCs w:val="24"/>
                <w:lang w:eastAsia="en-GB"/>
              </w:rPr>
              <w:t>420</w:t>
            </w:r>
          </w:p>
        </w:tc>
        <w:tc>
          <w:tcPr>
            <w:tcW w:w="814" w:type="pct"/>
            <w:shd w:val="clear" w:color="auto" w:fill="FFFFFF" w:themeFill="background1"/>
            <w:noWrap/>
            <w:vAlign w:val="center"/>
            <w:hideMark/>
          </w:tcPr>
          <w:p w:rsidR="002E7618" w:rsidRPr="007E7A18" w:rsidRDefault="002E7618" w:rsidP="00E519C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n-GB"/>
              </w:rPr>
            </w:pPr>
            <w:r w:rsidRPr="007E7A18">
              <w:rPr>
                <w:rFonts w:eastAsia="Times New Roman"/>
                <w:color w:val="000000"/>
                <w:sz w:val="24"/>
                <w:szCs w:val="24"/>
                <w:lang w:eastAsia="en-GB"/>
              </w:rPr>
              <w:t>1,660</w:t>
            </w:r>
          </w:p>
        </w:tc>
      </w:tr>
      <w:tr w:rsidR="002E7618" w:rsidRPr="007E7A18" w:rsidTr="00FA02C9">
        <w:trPr>
          <w:cnfStyle w:val="000000010000" w:firstRow="0" w:lastRow="0" w:firstColumn="0" w:lastColumn="0" w:oddVBand="0" w:evenVBand="0" w:oddHBand="0" w:evenHBand="1"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981" w:type="pct"/>
            <w:shd w:val="clear" w:color="auto" w:fill="FFFFFF" w:themeFill="background1"/>
            <w:noWrap/>
            <w:hideMark/>
          </w:tcPr>
          <w:p w:rsidR="002E7618" w:rsidRPr="007E7A18" w:rsidRDefault="002E7618" w:rsidP="00E519C8">
            <w:pPr>
              <w:spacing w:line="240" w:lineRule="auto"/>
              <w:rPr>
                <w:rFonts w:eastAsia="Times New Roman"/>
                <w:b w:val="0"/>
                <w:bCs/>
                <w:color w:val="000000"/>
                <w:sz w:val="24"/>
                <w:szCs w:val="24"/>
                <w:lang w:eastAsia="en-GB"/>
              </w:rPr>
            </w:pPr>
            <w:r w:rsidRPr="007E7A18">
              <w:rPr>
                <w:rFonts w:eastAsia="Times New Roman"/>
                <w:b w:val="0"/>
                <w:bCs/>
                <w:color w:val="000000"/>
                <w:sz w:val="24"/>
                <w:szCs w:val="24"/>
                <w:lang w:eastAsia="en-GB"/>
              </w:rPr>
              <w:t>B1c/B2</w:t>
            </w:r>
          </w:p>
        </w:tc>
        <w:tc>
          <w:tcPr>
            <w:tcW w:w="867" w:type="pct"/>
            <w:shd w:val="clear" w:color="auto" w:fill="FFFFFF" w:themeFill="background1"/>
            <w:noWrap/>
            <w:vAlign w:val="center"/>
            <w:hideMark/>
          </w:tcPr>
          <w:p w:rsidR="002E7618" w:rsidRPr="007E7A18" w:rsidRDefault="002E7618" w:rsidP="00E519C8">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4"/>
                <w:szCs w:val="24"/>
                <w:lang w:eastAsia="en-GB"/>
              </w:rPr>
            </w:pPr>
            <w:r w:rsidRPr="007E7A18">
              <w:rPr>
                <w:rFonts w:eastAsia="Times New Roman"/>
                <w:color w:val="000000"/>
                <w:sz w:val="24"/>
                <w:szCs w:val="24"/>
                <w:lang w:eastAsia="en-GB"/>
              </w:rPr>
              <w:t>20</w:t>
            </w:r>
          </w:p>
        </w:tc>
        <w:tc>
          <w:tcPr>
            <w:tcW w:w="865" w:type="pct"/>
            <w:shd w:val="clear" w:color="auto" w:fill="FFFFFF" w:themeFill="background1"/>
            <w:noWrap/>
            <w:vAlign w:val="center"/>
            <w:hideMark/>
          </w:tcPr>
          <w:p w:rsidR="002E7618" w:rsidRPr="007E7A18" w:rsidRDefault="002E7618" w:rsidP="00E519C8">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4"/>
                <w:szCs w:val="24"/>
                <w:lang w:eastAsia="en-GB"/>
              </w:rPr>
            </w:pPr>
            <w:r w:rsidRPr="007E7A18">
              <w:rPr>
                <w:rFonts w:eastAsia="Times New Roman"/>
                <w:color w:val="000000"/>
                <w:sz w:val="24"/>
                <w:szCs w:val="24"/>
                <w:lang w:eastAsia="en-GB"/>
              </w:rPr>
              <w:t>-6</w:t>
            </w:r>
          </w:p>
        </w:tc>
        <w:tc>
          <w:tcPr>
            <w:tcW w:w="692" w:type="pct"/>
            <w:shd w:val="clear" w:color="auto" w:fill="FFFFFF" w:themeFill="background1"/>
            <w:noWrap/>
            <w:vAlign w:val="center"/>
            <w:hideMark/>
          </w:tcPr>
          <w:p w:rsidR="002E7618" w:rsidRPr="007E7A18" w:rsidRDefault="002E7618" w:rsidP="00E519C8">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4"/>
                <w:szCs w:val="24"/>
                <w:lang w:eastAsia="en-GB"/>
              </w:rPr>
            </w:pPr>
            <w:r w:rsidRPr="007E7A18">
              <w:rPr>
                <w:rFonts w:eastAsia="Times New Roman"/>
                <w:color w:val="000000"/>
                <w:sz w:val="24"/>
                <w:szCs w:val="24"/>
                <w:lang w:eastAsia="en-GB"/>
              </w:rPr>
              <w:t>-17</w:t>
            </w:r>
          </w:p>
        </w:tc>
        <w:tc>
          <w:tcPr>
            <w:tcW w:w="780" w:type="pct"/>
            <w:shd w:val="clear" w:color="auto" w:fill="FFFFFF" w:themeFill="background1"/>
            <w:noWrap/>
            <w:vAlign w:val="center"/>
            <w:hideMark/>
          </w:tcPr>
          <w:p w:rsidR="002E7618" w:rsidRPr="007E7A18" w:rsidRDefault="002E7618" w:rsidP="00E519C8">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4"/>
                <w:szCs w:val="24"/>
                <w:lang w:eastAsia="en-GB"/>
              </w:rPr>
            </w:pPr>
            <w:r w:rsidRPr="007E7A18">
              <w:rPr>
                <w:rFonts w:eastAsia="Times New Roman"/>
                <w:color w:val="000000"/>
                <w:sz w:val="24"/>
                <w:szCs w:val="24"/>
                <w:lang w:eastAsia="en-GB"/>
              </w:rPr>
              <w:t>20</w:t>
            </w:r>
          </w:p>
        </w:tc>
        <w:tc>
          <w:tcPr>
            <w:tcW w:w="814" w:type="pct"/>
            <w:shd w:val="clear" w:color="auto" w:fill="FFFFFF" w:themeFill="background1"/>
            <w:noWrap/>
            <w:vAlign w:val="center"/>
            <w:hideMark/>
          </w:tcPr>
          <w:p w:rsidR="002E7618" w:rsidRPr="007E7A18" w:rsidRDefault="002E7618" w:rsidP="00E519C8">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4"/>
                <w:szCs w:val="24"/>
                <w:lang w:eastAsia="en-GB"/>
              </w:rPr>
            </w:pPr>
            <w:r w:rsidRPr="007E7A18">
              <w:rPr>
                <w:rFonts w:eastAsia="Times New Roman"/>
                <w:color w:val="000000"/>
                <w:sz w:val="24"/>
                <w:szCs w:val="24"/>
                <w:lang w:eastAsia="en-GB"/>
              </w:rPr>
              <w:t>17</w:t>
            </w:r>
          </w:p>
        </w:tc>
      </w:tr>
      <w:tr w:rsidR="002E7618" w:rsidRPr="007E7A18" w:rsidTr="00FA02C9">
        <w:trPr>
          <w:trHeight w:val="133"/>
        </w:trPr>
        <w:tc>
          <w:tcPr>
            <w:cnfStyle w:val="001000000000" w:firstRow="0" w:lastRow="0" w:firstColumn="1" w:lastColumn="0" w:oddVBand="0" w:evenVBand="0" w:oddHBand="0" w:evenHBand="0" w:firstRowFirstColumn="0" w:firstRowLastColumn="0" w:lastRowFirstColumn="0" w:lastRowLastColumn="0"/>
            <w:tcW w:w="981" w:type="pct"/>
            <w:shd w:val="clear" w:color="auto" w:fill="FFFFFF" w:themeFill="background1"/>
            <w:noWrap/>
            <w:hideMark/>
          </w:tcPr>
          <w:p w:rsidR="002E7618" w:rsidRPr="007E7A18" w:rsidRDefault="002E7618" w:rsidP="00E519C8">
            <w:pPr>
              <w:spacing w:line="240" w:lineRule="auto"/>
              <w:rPr>
                <w:rFonts w:eastAsia="Times New Roman"/>
                <w:b w:val="0"/>
                <w:bCs/>
                <w:color w:val="000000"/>
                <w:sz w:val="24"/>
                <w:szCs w:val="24"/>
                <w:lang w:eastAsia="en-GB"/>
              </w:rPr>
            </w:pPr>
            <w:r w:rsidRPr="007E7A18">
              <w:rPr>
                <w:rFonts w:eastAsia="Times New Roman"/>
                <w:b w:val="0"/>
                <w:bCs/>
                <w:color w:val="000000"/>
                <w:sz w:val="24"/>
                <w:szCs w:val="24"/>
                <w:lang w:eastAsia="en-GB"/>
              </w:rPr>
              <w:t>B8</w:t>
            </w:r>
          </w:p>
        </w:tc>
        <w:tc>
          <w:tcPr>
            <w:tcW w:w="867" w:type="pct"/>
            <w:shd w:val="clear" w:color="auto" w:fill="FFFFFF" w:themeFill="background1"/>
            <w:noWrap/>
            <w:vAlign w:val="center"/>
            <w:hideMark/>
          </w:tcPr>
          <w:p w:rsidR="002E7618" w:rsidRPr="007E7A18" w:rsidRDefault="002E7618" w:rsidP="00E519C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n-GB"/>
              </w:rPr>
            </w:pPr>
            <w:r w:rsidRPr="007E7A18">
              <w:rPr>
                <w:rFonts w:eastAsia="Times New Roman"/>
                <w:color w:val="000000"/>
                <w:sz w:val="24"/>
                <w:szCs w:val="24"/>
                <w:lang w:eastAsia="en-GB"/>
              </w:rPr>
              <w:t>63</w:t>
            </w:r>
          </w:p>
        </w:tc>
        <w:tc>
          <w:tcPr>
            <w:tcW w:w="865" w:type="pct"/>
            <w:shd w:val="clear" w:color="auto" w:fill="FFFFFF" w:themeFill="background1"/>
            <w:noWrap/>
            <w:vAlign w:val="center"/>
            <w:hideMark/>
          </w:tcPr>
          <w:p w:rsidR="002E7618" w:rsidRPr="007E7A18" w:rsidRDefault="002E7618" w:rsidP="00E519C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n-GB"/>
              </w:rPr>
            </w:pPr>
            <w:r w:rsidRPr="007E7A18">
              <w:rPr>
                <w:rFonts w:eastAsia="Times New Roman"/>
                <w:color w:val="000000"/>
                <w:sz w:val="24"/>
                <w:szCs w:val="24"/>
                <w:lang w:eastAsia="en-GB"/>
              </w:rPr>
              <w:t>142</w:t>
            </w:r>
          </w:p>
        </w:tc>
        <w:tc>
          <w:tcPr>
            <w:tcW w:w="692" w:type="pct"/>
            <w:shd w:val="clear" w:color="auto" w:fill="FFFFFF" w:themeFill="background1"/>
            <w:noWrap/>
            <w:vAlign w:val="center"/>
            <w:hideMark/>
          </w:tcPr>
          <w:p w:rsidR="002E7618" w:rsidRPr="007E7A18" w:rsidRDefault="002E7618" w:rsidP="00E519C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n-GB"/>
              </w:rPr>
            </w:pPr>
            <w:r w:rsidRPr="007E7A18">
              <w:rPr>
                <w:rFonts w:eastAsia="Times New Roman"/>
                <w:color w:val="000000"/>
                <w:sz w:val="24"/>
                <w:szCs w:val="24"/>
                <w:lang w:eastAsia="en-GB"/>
              </w:rPr>
              <w:t>125</w:t>
            </w:r>
          </w:p>
        </w:tc>
        <w:tc>
          <w:tcPr>
            <w:tcW w:w="780" w:type="pct"/>
            <w:shd w:val="clear" w:color="auto" w:fill="FFFFFF" w:themeFill="background1"/>
            <w:noWrap/>
            <w:vAlign w:val="center"/>
            <w:hideMark/>
          </w:tcPr>
          <w:p w:rsidR="002E7618" w:rsidRPr="007E7A18" w:rsidRDefault="002E7618" w:rsidP="00E519C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n-GB"/>
              </w:rPr>
            </w:pPr>
            <w:r w:rsidRPr="007E7A18">
              <w:rPr>
                <w:rFonts w:eastAsia="Times New Roman"/>
                <w:color w:val="000000"/>
                <w:sz w:val="24"/>
                <w:szCs w:val="24"/>
                <w:lang w:eastAsia="en-GB"/>
              </w:rPr>
              <w:t>127</w:t>
            </w:r>
          </w:p>
        </w:tc>
        <w:tc>
          <w:tcPr>
            <w:tcW w:w="814" w:type="pct"/>
            <w:shd w:val="clear" w:color="auto" w:fill="FFFFFF" w:themeFill="background1"/>
            <w:noWrap/>
            <w:vAlign w:val="center"/>
            <w:hideMark/>
          </w:tcPr>
          <w:p w:rsidR="002E7618" w:rsidRPr="007E7A18" w:rsidRDefault="002E7618" w:rsidP="00E519C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n-GB"/>
              </w:rPr>
            </w:pPr>
            <w:r w:rsidRPr="007E7A18">
              <w:rPr>
                <w:rFonts w:eastAsia="Times New Roman"/>
                <w:color w:val="000000"/>
                <w:sz w:val="24"/>
                <w:szCs w:val="24"/>
                <w:lang w:eastAsia="en-GB"/>
              </w:rPr>
              <w:t>456</w:t>
            </w:r>
          </w:p>
        </w:tc>
      </w:tr>
      <w:tr w:rsidR="002E7618" w:rsidRPr="007E7A18" w:rsidTr="00FA02C9">
        <w:trPr>
          <w:cnfStyle w:val="000000010000" w:firstRow="0" w:lastRow="0" w:firstColumn="0" w:lastColumn="0" w:oddVBand="0" w:evenVBand="0" w:oddHBand="0" w:evenHBand="1"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981" w:type="pct"/>
            <w:shd w:val="clear" w:color="auto" w:fill="FFFFFF" w:themeFill="background1"/>
            <w:noWrap/>
            <w:hideMark/>
          </w:tcPr>
          <w:p w:rsidR="002E7618" w:rsidRPr="007E7A18" w:rsidRDefault="00855CA6" w:rsidP="00E519C8">
            <w:pPr>
              <w:spacing w:line="240" w:lineRule="auto"/>
              <w:rPr>
                <w:rFonts w:eastAsia="Times New Roman"/>
                <w:b w:val="0"/>
                <w:bCs/>
                <w:color w:val="000000"/>
                <w:sz w:val="24"/>
                <w:szCs w:val="24"/>
                <w:lang w:eastAsia="en-GB"/>
              </w:rPr>
            </w:pPr>
            <w:r w:rsidRPr="007E7A18">
              <w:rPr>
                <w:rFonts w:eastAsia="Times New Roman"/>
                <w:b w:val="0"/>
                <w:bCs/>
                <w:color w:val="000000"/>
                <w:sz w:val="24"/>
                <w:szCs w:val="24"/>
                <w:lang w:eastAsia="en-GB"/>
              </w:rPr>
              <w:t>Non</w:t>
            </w:r>
            <w:r w:rsidR="002E7618" w:rsidRPr="007E7A18">
              <w:rPr>
                <w:rFonts w:eastAsia="Times New Roman"/>
                <w:b w:val="0"/>
                <w:bCs/>
                <w:color w:val="000000"/>
                <w:sz w:val="24"/>
                <w:szCs w:val="24"/>
                <w:lang w:eastAsia="en-GB"/>
              </w:rPr>
              <w:t>-B</w:t>
            </w:r>
          </w:p>
        </w:tc>
        <w:tc>
          <w:tcPr>
            <w:tcW w:w="867" w:type="pct"/>
            <w:shd w:val="clear" w:color="auto" w:fill="FFFFFF" w:themeFill="background1"/>
            <w:noWrap/>
            <w:vAlign w:val="center"/>
            <w:hideMark/>
          </w:tcPr>
          <w:p w:rsidR="002E7618" w:rsidRPr="007E7A18" w:rsidRDefault="002E7618" w:rsidP="00E519C8">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4"/>
                <w:szCs w:val="24"/>
                <w:lang w:eastAsia="en-GB"/>
              </w:rPr>
            </w:pPr>
            <w:r w:rsidRPr="007E7A18">
              <w:rPr>
                <w:rFonts w:eastAsia="Times New Roman"/>
                <w:color w:val="000000"/>
                <w:sz w:val="24"/>
                <w:szCs w:val="24"/>
                <w:lang w:eastAsia="en-GB"/>
              </w:rPr>
              <w:t>763</w:t>
            </w:r>
          </w:p>
        </w:tc>
        <w:tc>
          <w:tcPr>
            <w:tcW w:w="865" w:type="pct"/>
            <w:shd w:val="clear" w:color="auto" w:fill="FFFFFF" w:themeFill="background1"/>
            <w:noWrap/>
            <w:vAlign w:val="center"/>
            <w:hideMark/>
          </w:tcPr>
          <w:p w:rsidR="002E7618" w:rsidRPr="007E7A18" w:rsidRDefault="002E7618" w:rsidP="00E519C8">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4"/>
                <w:szCs w:val="24"/>
                <w:lang w:eastAsia="en-GB"/>
              </w:rPr>
            </w:pPr>
            <w:r w:rsidRPr="007E7A18">
              <w:rPr>
                <w:rFonts w:eastAsia="Times New Roman"/>
                <w:color w:val="000000"/>
                <w:sz w:val="24"/>
                <w:szCs w:val="24"/>
                <w:lang w:eastAsia="en-GB"/>
              </w:rPr>
              <w:t>1,744</w:t>
            </w:r>
          </w:p>
        </w:tc>
        <w:tc>
          <w:tcPr>
            <w:tcW w:w="692" w:type="pct"/>
            <w:shd w:val="clear" w:color="auto" w:fill="FFFFFF" w:themeFill="background1"/>
            <w:noWrap/>
            <w:vAlign w:val="center"/>
            <w:hideMark/>
          </w:tcPr>
          <w:p w:rsidR="002E7618" w:rsidRPr="007E7A18" w:rsidRDefault="002E7618" w:rsidP="00E519C8">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4"/>
                <w:szCs w:val="24"/>
                <w:lang w:eastAsia="en-GB"/>
              </w:rPr>
            </w:pPr>
            <w:r w:rsidRPr="007E7A18">
              <w:rPr>
                <w:rFonts w:eastAsia="Times New Roman"/>
                <w:color w:val="000000"/>
                <w:sz w:val="24"/>
                <w:szCs w:val="24"/>
                <w:lang w:eastAsia="en-GB"/>
              </w:rPr>
              <w:t>1,474</w:t>
            </w:r>
          </w:p>
        </w:tc>
        <w:tc>
          <w:tcPr>
            <w:tcW w:w="780" w:type="pct"/>
            <w:shd w:val="clear" w:color="auto" w:fill="FFFFFF" w:themeFill="background1"/>
            <w:noWrap/>
            <w:vAlign w:val="center"/>
            <w:hideMark/>
          </w:tcPr>
          <w:p w:rsidR="002E7618" w:rsidRPr="007E7A18" w:rsidRDefault="002E7618" w:rsidP="00E519C8">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4"/>
                <w:szCs w:val="24"/>
                <w:lang w:eastAsia="en-GB"/>
              </w:rPr>
            </w:pPr>
            <w:r w:rsidRPr="007E7A18">
              <w:rPr>
                <w:rFonts w:eastAsia="Times New Roman"/>
                <w:color w:val="000000"/>
                <w:sz w:val="24"/>
                <w:szCs w:val="24"/>
                <w:lang w:eastAsia="en-GB"/>
              </w:rPr>
              <w:t>1,354</w:t>
            </w:r>
          </w:p>
        </w:tc>
        <w:tc>
          <w:tcPr>
            <w:tcW w:w="814" w:type="pct"/>
            <w:shd w:val="clear" w:color="auto" w:fill="FFFFFF" w:themeFill="background1"/>
            <w:noWrap/>
            <w:vAlign w:val="center"/>
            <w:hideMark/>
          </w:tcPr>
          <w:p w:rsidR="002E7618" w:rsidRPr="007E7A18" w:rsidRDefault="002E7618" w:rsidP="00E519C8">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4"/>
                <w:szCs w:val="24"/>
                <w:lang w:eastAsia="en-GB"/>
              </w:rPr>
            </w:pPr>
            <w:r w:rsidRPr="007E7A18">
              <w:rPr>
                <w:rFonts w:eastAsia="Times New Roman"/>
                <w:color w:val="000000"/>
                <w:sz w:val="24"/>
                <w:szCs w:val="24"/>
                <w:lang w:eastAsia="en-GB"/>
              </w:rPr>
              <w:t>5,335</w:t>
            </w:r>
          </w:p>
        </w:tc>
      </w:tr>
      <w:tr w:rsidR="002E7618" w:rsidRPr="007E7A18" w:rsidTr="00FA02C9">
        <w:trPr>
          <w:trHeight w:val="127"/>
        </w:trPr>
        <w:tc>
          <w:tcPr>
            <w:cnfStyle w:val="001000000000" w:firstRow="0" w:lastRow="0" w:firstColumn="1" w:lastColumn="0" w:oddVBand="0" w:evenVBand="0" w:oddHBand="0" w:evenHBand="0" w:firstRowFirstColumn="0" w:firstRowLastColumn="0" w:lastRowFirstColumn="0" w:lastRowLastColumn="0"/>
            <w:tcW w:w="981" w:type="pct"/>
            <w:shd w:val="clear" w:color="auto" w:fill="FFFFFF" w:themeFill="background1"/>
            <w:noWrap/>
            <w:hideMark/>
          </w:tcPr>
          <w:p w:rsidR="002E7618" w:rsidRPr="007E7A18" w:rsidRDefault="002E7618" w:rsidP="00E519C8">
            <w:pPr>
              <w:spacing w:line="240" w:lineRule="auto"/>
              <w:rPr>
                <w:rFonts w:eastAsia="Times New Roman"/>
                <w:b w:val="0"/>
                <w:bCs/>
                <w:color w:val="000000"/>
                <w:sz w:val="24"/>
                <w:szCs w:val="24"/>
                <w:lang w:eastAsia="en-GB"/>
              </w:rPr>
            </w:pPr>
            <w:r w:rsidRPr="007E7A18">
              <w:rPr>
                <w:rFonts w:eastAsia="Times New Roman"/>
                <w:b w:val="0"/>
                <w:bCs/>
                <w:color w:val="000000"/>
                <w:sz w:val="24"/>
                <w:szCs w:val="24"/>
                <w:lang w:eastAsia="en-GB"/>
              </w:rPr>
              <w:t>Total</w:t>
            </w:r>
          </w:p>
        </w:tc>
        <w:tc>
          <w:tcPr>
            <w:tcW w:w="867" w:type="pct"/>
            <w:shd w:val="clear" w:color="auto" w:fill="FFFFFF" w:themeFill="background1"/>
            <w:noWrap/>
            <w:vAlign w:val="center"/>
            <w:hideMark/>
          </w:tcPr>
          <w:p w:rsidR="002E7618" w:rsidRPr="007E7A18" w:rsidRDefault="002E7618" w:rsidP="00E519C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n-GB"/>
              </w:rPr>
            </w:pPr>
            <w:r w:rsidRPr="007E7A18">
              <w:rPr>
                <w:rFonts w:eastAsia="Times New Roman"/>
                <w:color w:val="000000"/>
                <w:sz w:val="24"/>
                <w:szCs w:val="24"/>
                <w:lang w:eastAsia="en-GB"/>
              </w:rPr>
              <w:t>1,145</w:t>
            </w:r>
          </w:p>
        </w:tc>
        <w:tc>
          <w:tcPr>
            <w:tcW w:w="865" w:type="pct"/>
            <w:shd w:val="clear" w:color="auto" w:fill="FFFFFF" w:themeFill="background1"/>
            <w:noWrap/>
            <w:vAlign w:val="center"/>
            <w:hideMark/>
          </w:tcPr>
          <w:p w:rsidR="002E7618" w:rsidRPr="007E7A18" w:rsidRDefault="002E7618" w:rsidP="00E519C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n-GB"/>
              </w:rPr>
            </w:pPr>
            <w:r w:rsidRPr="007E7A18">
              <w:rPr>
                <w:rFonts w:eastAsia="Times New Roman"/>
                <w:color w:val="000000"/>
                <w:sz w:val="24"/>
                <w:szCs w:val="24"/>
                <w:lang w:eastAsia="en-GB"/>
              </w:rPr>
              <w:t>2,404</w:t>
            </w:r>
          </w:p>
        </w:tc>
        <w:tc>
          <w:tcPr>
            <w:tcW w:w="692" w:type="pct"/>
            <w:shd w:val="clear" w:color="auto" w:fill="FFFFFF" w:themeFill="background1"/>
            <w:noWrap/>
            <w:vAlign w:val="center"/>
            <w:hideMark/>
          </w:tcPr>
          <w:p w:rsidR="002E7618" w:rsidRPr="007E7A18" w:rsidRDefault="002E7618" w:rsidP="00E519C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n-GB"/>
              </w:rPr>
            </w:pPr>
            <w:r w:rsidRPr="007E7A18">
              <w:rPr>
                <w:rFonts w:eastAsia="Times New Roman"/>
                <w:color w:val="000000"/>
                <w:sz w:val="24"/>
                <w:szCs w:val="24"/>
                <w:lang w:eastAsia="en-GB"/>
              </w:rPr>
              <w:t>1,999</w:t>
            </w:r>
          </w:p>
        </w:tc>
        <w:tc>
          <w:tcPr>
            <w:tcW w:w="780" w:type="pct"/>
            <w:shd w:val="clear" w:color="auto" w:fill="FFFFFF" w:themeFill="background1"/>
            <w:noWrap/>
            <w:vAlign w:val="center"/>
            <w:hideMark/>
          </w:tcPr>
          <w:p w:rsidR="002E7618" w:rsidRPr="007E7A18" w:rsidRDefault="002E7618" w:rsidP="00E519C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n-GB"/>
              </w:rPr>
            </w:pPr>
            <w:r w:rsidRPr="007E7A18">
              <w:rPr>
                <w:rFonts w:eastAsia="Times New Roman"/>
                <w:color w:val="000000"/>
                <w:sz w:val="24"/>
                <w:szCs w:val="24"/>
                <w:lang w:eastAsia="en-GB"/>
              </w:rPr>
              <w:t>1,920</w:t>
            </w:r>
          </w:p>
        </w:tc>
        <w:tc>
          <w:tcPr>
            <w:tcW w:w="814" w:type="pct"/>
            <w:shd w:val="clear" w:color="auto" w:fill="FFFFFF" w:themeFill="background1"/>
            <w:noWrap/>
            <w:vAlign w:val="center"/>
            <w:hideMark/>
          </w:tcPr>
          <w:p w:rsidR="002E7618" w:rsidRPr="007E7A18" w:rsidRDefault="002E7618" w:rsidP="00E519C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n-GB"/>
              </w:rPr>
            </w:pPr>
            <w:r w:rsidRPr="007E7A18">
              <w:rPr>
                <w:rFonts w:eastAsia="Times New Roman"/>
                <w:color w:val="000000"/>
                <w:sz w:val="24"/>
                <w:szCs w:val="24"/>
                <w:lang w:eastAsia="en-GB"/>
              </w:rPr>
              <w:t>7,468</w:t>
            </w:r>
          </w:p>
        </w:tc>
      </w:tr>
      <w:tr w:rsidR="002E7618" w:rsidRPr="007E7A18" w:rsidTr="00FA02C9">
        <w:trPr>
          <w:cnfStyle w:val="000000010000" w:firstRow="0" w:lastRow="0" w:firstColumn="0" w:lastColumn="0" w:oddVBand="0" w:evenVBand="0" w:oddHBand="0" w:evenHBand="1"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981" w:type="pct"/>
            <w:shd w:val="clear" w:color="auto" w:fill="FFFFFF" w:themeFill="background1"/>
            <w:noWrap/>
            <w:hideMark/>
          </w:tcPr>
          <w:p w:rsidR="002E7618" w:rsidRPr="007E7A18" w:rsidRDefault="002E7618" w:rsidP="00E519C8">
            <w:pPr>
              <w:spacing w:line="240" w:lineRule="auto"/>
              <w:rPr>
                <w:rFonts w:eastAsia="Times New Roman"/>
                <w:b w:val="0"/>
                <w:bCs/>
                <w:color w:val="000000"/>
                <w:sz w:val="24"/>
                <w:szCs w:val="24"/>
                <w:lang w:eastAsia="en-GB"/>
              </w:rPr>
            </w:pPr>
            <w:r w:rsidRPr="007E7A18">
              <w:rPr>
                <w:rFonts w:eastAsia="Times New Roman"/>
                <w:b w:val="0"/>
                <w:bCs/>
                <w:color w:val="000000"/>
                <w:sz w:val="24"/>
                <w:szCs w:val="24"/>
                <w:lang w:eastAsia="en-GB"/>
              </w:rPr>
              <w:t>B-Class Total</w:t>
            </w:r>
          </w:p>
        </w:tc>
        <w:tc>
          <w:tcPr>
            <w:tcW w:w="867" w:type="pct"/>
            <w:shd w:val="clear" w:color="auto" w:fill="FFFFFF" w:themeFill="background1"/>
            <w:noWrap/>
            <w:vAlign w:val="center"/>
            <w:hideMark/>
          </w:tcPr>
          <w:p w:rsidR="002E7618" w:rsidRPr="007E7A18" w:rsidRDefault="002E7618" w:rsidP="00E519C8">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4"/>
                <w:szCs w:val="24"/>
                <w:lang w:eastAsia="en-GB"/>
              </w:rPr>
            </w:pPr>
            <w:r w:rsidRPr="007E7A18">
              <w:rPr>
                <w:rFonts w:eastAsia="Times New Roman"/>
                <w:color w:val="000000"/>
                <w:sz w:val="24"/>
                <w:szCs w:val="24"/>
                <w:lang w:eastAsia="en-GB"/>
              </w:rPr>
              <w:t>382</w:t>
            </w:r>
          </w:p>
        </w:tc>
        <w:tc>
          <w:tcPr>
            <w:tcW w:w="865" w:type="pct"/>
            <w:shd w:val="clear" w:color="auto" w:fill="FFFFFF" w:themeFill="background1"/>
            <w:noWrap/>
            <w:vAlign w:val="center"/>
            <w:hideMark/>
          </w:tcPr>
          <w:p w:rsidR="002E7618" w:rsidRPr="007E7A18" w:rsidRDefault="002E7618" w:rsidP="00E519C8">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4"/>
                <w:szCs w:val="24"/>
                <w:lang w:eastAsia="en-GB"/>
              </w:rPr>
            </w:pPr>
            <w:r w:rsidRPr="007E7A18">
              <w:rPr>
                <w:rFonts w:eastAsia="Times New Roman"/>
                <w:color w:val="000000"/>
                <w:sz w:val="24"/>
                <w:szCs w:val="24"/>
                <w:lang w:eastAsia="en-GB"/>
              </w:rPr>
              <w:t>660</w:t>
            </w:r>
          </w:p>
        </w:tc>
        <w:tc>
          <w:tcPr>
            <w:tcW w:w="692" w:type="pct"/>
            <w:shd w:val="clear" w:color="auto" w:fill="FFFFFF" w:themeFill="background1"/>
            <w:noWrap/>
            <w:vAlign w:val="center"/>
            <w:hideMark/>
          </w:tcPr>
          <w:p w:rsidR="002E7618" w:rsidRPr="007E7A18" w:rsidRDefault="002E7618" w:rsidP="00E519C8">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4"/>
                <w:szCs w:val="24"/>
                <w:lang w:eastAsia="en-GB"/>
              </w:rPr>
            </w:pPr>
            <w:r w:rsidRPr="007E7A18">
              <w:rPr>
                <w:rFonts w:eastAsia="Times New Roman"/>
                <w:color w:val="000000"/>
                <w:sz w:val="24"/>
                <w:szCs w:val="24"/>
                <w:lang w:eastAsia="en-GB"/>
              </w:rPr>
              <w:t>526</w:t>
            </w:r>
          </w:p>
        </w:tc>
        <w:tc>
          <w:tcPr>
            <w:tcW w:w="780" w:type="pct"/>
            <w:shd w:val="clear" w:color="auto" w:fill="FFFFFF" w:themeFill="background1"/>
            <w:noWrap/>
            <w:vAlign w:val="center"/>
            <w:hideMark/>
          </w:tcPr>
          <w:p w:rsidR="002E7618" w:rsidRPr="007E7A18" w:rsidRDefault="002E7618" w:rsidP="00E519C8">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4"/>
                <w:szCs w:val="24"/>
                <w:lang w:eastAsia="en-GB"/>
              </w:rPr>
            </w:pPr>
            <w:r w:rsidRPr="007E7A18">
              <w:rPr>
                <w:rFonts w:eastAsia="Times New Roman"/>
                <w:color w:val="000000"/>
                <w:sz w:val="24"/>
                <w:szCs w:val="24"/>
                <w:lang w:eastAsia="en-GB"/>
              </w:rPr>
              <w:t>566</w:t>
            </w:r>
          </w:p>
        </w:tc>
        <w:tc>
          <w:tcPr>
            <w:tcW w:w="814" w:type="pct"/>
            <w:shd w:val="clear" w:color="auto" w:fill="FFFFFF" w:themeFill="background1"/>
            <w:noWrap/>
            <w:vAlign w:val="center"/>
            <w:hideMark/>
          </w:tcPr>
          <w:p w:rsidR="002E7618" w:rsidRPr="007E7A18" w:rsidRDefault="002E7618" w:rsidP="00E519C8">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24"/>
                <w:szCs w:val="24"/>
                <w:lang w:eastAsia="en-GB"/>
              </w:rPr>
            </w:pPr>
            <w:r w:rsidRPr="007E7A18">
              <w:rPr>
                <w:rFonts w:eastAsia="Times New Roman"/>
                <w:color w:val="000000"/>
                <w:sz w:val="24"/>
                <w:szCs w:val="24"/>
                <w:lang w:eastAsia="en-GB"/>
              </w:rPr>
              <w:t>2,133</w:t>
            </w:r>
          </w:p>
        </w:tc>
      </w:tr>
    </w:tbl>
    <w:p w:rsidR="00591BF3" w:rsidRPr="00CA47B9" w:rsidRDefault="00591BF3" w:rsidP="00FA02C9">
      <w:pPr>
        <w:pStyle w:val="11Bodytext"/>
        <w:numPr>
          <w:ilvl w:val="0"/>
          <w:numId w:val="0"/>
        </w:numPr>
        <w:spacing w:before="0" w:after="0" w:line="240" w:lineRule="auto"/>
      </w:pPr>
      <w:r w:rsidRPr="00CA47B9">
        <w:t>Source: GL Hearn based on Oxford Economics data (2019)</w:t>
      </w:r>
    </w:p>
    <w:p w:rsidR="00B0298E" w:rsidRPr="00CA47B9" w:rsidRDefault="00B0298E" w:rsidP="001C73B8">
      <w:pPr>
        <w:pStyle w:val="11Bodytext"/>
        <w:tabs>
          <w:tab w:val="clear" w:pos="2212"/>
          <w:tab w:val="num" w:pos="567"/>
        </w:tabs>
        <w:ind w:left="567" w:hanging="567"/>
      </w:pPr>
      <w:r w:rsidRPr="00CA47B9">
        <w:t>Applying</w:t>
      </w:r>
      <w:r w:rsidR="004B41A2" w:rsidRPr="00CA47B9">
        <w:t xml:space="preserve"> </w:t>
      </w:r>
      <w:r w:rsidRPr="00CA47B9">
        <w:t>the</w:t>
      </w:r>
      <w:r w:rsidR="004B41A2" w:rsidRPr="00CA47B9">
        <w:t xml:space="preserve"> </w:t>
      </w:r>
      <w:r w:rsidRPr="00CA47B9">
        <w:t>employment</w:t>
      </w:r>
      <w:r w:rsidR="004B41A2" w:rsidRPr="00CA47B9">
        <w:t xml:space="preserve"> </w:t>
      </w:r>
      <w:r w:rsidRPr="00CA47B9">
        <w:t>densities</w:t>
      </w:r>
      <w:r w:rsidR="004B41A2" w:rsidRPr="00CA47B9">
        <w:t xml:space="preserve"> </w:t>
      </w:r>
      <w:r w:rsidRPr="00CA47B9">
        <w:t>to</w:t>
      </w:r>
      <w:r w:rsidR="004B41A2" w:rsidRPr="00CA47B9">
        <w:t xml:space="preserve"> </w:t>
      </w:r>
      <w:r w:rsidRPr="00CA47B9">
        <w:t>the</w:t>
      </w:r>
      <w:r w:rsidR="004B41A2" w:rsidRPr="00CA47B9">
        <w:t xml:space="preserve"> </w:t>
      </w:r>
      <w:r w:rsidRPr="00CA47B9">
        <w:t>forecasts</w:t>
      </w:r>
      <w:r w:rsidR="004B41A2" w:rsidRPr="00CA47B9">
        <w:t xml:space="preserve"> </w:t>
      </w:r>
      <w:r w:rsidRPr="00CA47B9">
        <w:t>of</w:t>
      </w:r>
      <w:r w:rsidR="004B41A2" w:rsidRPr="00CA47B9">
        <w:t xml:space="preserve"> </w:t>
      </w:r>
      <w:r w:rsidRPr="00CA47B9">
        <w:t>net</w:t>
      </w:r>
      <w:r w:rsidR="004B41A2" w:rsidRPr="00CA47B9">
        <w:t xml:space="preserve"> </w:t>
      </w:r>
      <w:r w:rsidRPr="00CA47B9">
        <w:t>growth</w:t>
      </w:r>
      <w:r w:rsidR="004B41A2" w:rsidRPr="00CA47B9">
        <w:t xml:space="preserve"> </w:t>
      </w:r>
      <w:r w:rsidRPr="00CA47B9">
        <w:t>in</w:t>
      </w:r>
      <w:r w:rsidR="004B41A2" w:rsidRPr="00CA47B9">
        <w:t xml:space="preserve"> </w:t>
      </w:r>
      <w:r w:rsidRPr="00CA47B9">
        <w:t>jobs</w:t>
      </w:r>
      <w:r w:rsidR="004B41A2" w:rsidRPr="00CA47B9">
        <w:t xml:space="preserve"> </w:t>
      </w:r>
      <w:r w:rsidRPr="00CA47B9">
        <w:t>in</w:t>
      </w:r>
      <w:r w:rsidR="004B41A2" w:rsidRPr="00CA47B9">
        <w:t xml:space="preserve"> </w:t>
      </w:r>
      <w:r w:rsidRPr="00CA47B9">
        <w:t>B-class</w:t>
      </w:r>
      <w:r w:rsidR="004B41A2" w:rsidRPr="00CA47B9">
        <w:t xml:space="preserve"> </w:t>
      </w:r>
      <w:r w:rsidRPr="00CA47B9">
        <w:t>activities,</w:t>
      </w:r>
      <w:r w:rsidR="004B41A2" w:rsidRPr="00CA47B9">
        <w:t xml:space="preserve"> </w:t>
      </w:r>
      <w:r w:rsidRPr="00CA47B9">
        <w:t>we</w:t>
      </w:r>
      <w:r w:rsidR="004B41A2" w:rsidRPr="00CA47B9">
        <w:t xml:space="preserve"> </w:t>
      </w:r>
      <w:r w:rsidRPr="00CA47B9">
        <w:t>can</w:t>
      </w:r>
      <w:r w:rsidR="004B41A2" w:rsidRPr="00CA47B9">
        <w:t xml:space="preserve"> </w:t>
      </w:r>
      <w:r w:rsidRPr="00CA47B9">
        <w:t>derive</w:t>
      </w:r>
      <w:r w:rsidR="004B41A2" w:rsidRPr="00CA47B9">
        <w:t xml:space="preserve"> </w:t>
      </w:r>
      <w:r w:rsidRPr="00CA47B9">
        <w:t>forecasts</w:t>
      </w:r>
      <w:r w:rsidR="004B41A2" w:rsidRPr="00CA47B9">
        <w:t xml:space="preserve"> </w:t>
      </w:r>
      <w:r w:rsidRPr="00CA47B9">
        <w:t>for</w:t>
      </w:r>
      <w:r w:rsidR="004B41A2" w:rsidRPr="00CA47B9">
        <w:t xml:space="preserve"> </w:t>
      </w:r>
      <w:r w:rsidRPr="00CA47B9">
        <w:t>net</w:t>
      </w:r>
      <w:r w:rsidR="004B41A2" w:rsidRPr="00CA47B9">
        <w:t xml:space="preserve"> </w:t>
      </w:r>
      <w:r w:rsidRPr="00CA47B9">
        <w:t>changes</w:t>
      </w:r>
      <w:r w:rsidR="004B41A2" w:rsidRPr="00CA47B9">
        <w:t xml:space="preserve"> </w:t>
      </w:r>
      <w:r w:rsidRPr="00CA47B9">
        <w:t>in</w:t>
      </w:r>
      <w:r w:rsidR="004B41A2" w:rsidRPr="00CA47B9">
        <w:t xml:space="preserve"> </w:t>
      </w:r>
      <w:r w:rsidRPr="00CA47B9">
        <w:t>employment</w:t>
      </w:r>
      <w:r w:rsidR="004B41A2" w:rsidRPr="00CA47B9">
        <w:t xml:space="preserve"> </w:t>
      </w:r>
      <w:r w:rsidRPr="00CA47B9">
        <w:t>floorspace.</w:t>
      </w:r>
      <w:r w:rsidR="004B41A2" w:rsidRPr="00CA47B9">
        <w:t xml:space="preserve"> </w:t>
      </w:r>
      <w:r w:rsidRPr="00CA47B9">
        <w:t>This</w:t>
      </w:r>
      <w:r w:rsidR="004B41A2" w:rsidRPr="00CA47B9">
        <w:t xml:space="preserve"> </w:t>
      </w:r>
      <w:r w:rsidRPr="00CA47B9">
        <w:t>forecasts</w:t>
      </w:r>
      <w:r w:rsidR="004B41A2" w:rsidRPr="00CA47B9">
        <w:t xml:space="preserve"> </w:t>
      </w:r>
      <w:r w:rsidRPr="00CA47B9">
        <w:t>a</w:t>
      </w:r>
      <w:r w:rsidR="004B41A2" w:rsidRPr="00CA47B9">
        <w:t xml:space="preserve"> </w:t>
      </w:r>
      <w:r w:rsidRPr="00CA47B9">
        <w:t>net</w:t>
      </w:r>
      <w:r w:rsidR="004B41A2" w:rsidRPr="00CA47B9">
        <w:t xml:space="preserve"> </w:t>
      </w:r>
      <w:r w:rsidRPr="00CA47B9">
        <w:t>requirement</w:t>
      </w:r>
      <w:r w:rsidR="004B41A2" w:rsidRPr="00CA47B9">
        <w:t xml:space="preserve"> </w:t>
      </w:r>
      <w:r w:rsidRPr="00CA47B9">
        <w:t>for</w:t>
      </w:r>
      <w:r w:rsidR="004B41A2" w:rsidRPr="00CA47B9">
        <w:t xml:space="preserve"> </w:t>
      </w:r>
      <w:r w:rsidRPr="00CA47B9">
        <w:t>additional</w:t>
      </w:r>
      <w:r w:rsidR="004B41A2" w:rsidRPr="00CA47B9">
        <w:t xml:space="preserve"> </w:t>
      </w:r>
      <w:r w:rsidRPr="00CA47B9">
        <w:t>B-Class</w:t>
      </w:r>
      <w:r w:rsidR="004B41A2" w:rsidRPr="00CA47B9">
        <w:t xml:space="preserve"> </w:t>
      </w:r>
      <w:r w:rsidRPr="00CA47B9">
        <w:t>floorspace</w:t>
      </w:r>
      <w:r w:rsidR="004B41A2" w:rsidRPr="00CA47B9">
        <w:t xml:space="preserve"> </w:t>
      </w:r>
      <w:r w:rsidRPr="00CA47B9">
        <w:t>of</w:t>
      </w:r>
      <w:r w:rsidR="004B41A2" w:rsidRPr="00CA47B9">
        <w:t xml:space="preserve"> </w:t>
      </w:r>
      <w:r w:rsidR="0032331A">
        <w:t>56,685</w:t>
      </w:r>
      <w:r w:rsidR="004B41A2" w:rsidRPr="00CA47B9">
        <w:t xml:space="preserve"> </w:t>
      </w:r>
      <w:r w:rsidRPr="00CA47B9">
        <w:t>sqm</w:t>
      </w:r>
      <w:r w:rsidR="00BB7196" w:rsidRPr="00CA47B9">
        <w:t xml:space="preserve"> or </w:t>
      </w:r>
      <w:r w:rsidR="0032331A">
        <w:t>9.6</w:t>
      </w:r>
      <w:r w:rsidR="00BB7196" w:rsidRPr="00CA47B9">
        <w:t xml:space="preserve"> ha</w:t>
      </w:r>
      <w:r w:rsidR="002E7618">
        <w:t xml:space="preserve"> across Chichester District</w:t>
      </w:r>
      <w:r w:rsidR="002C6A95" w:rsidRPr="00CA47B9">
        <w:t>.</w:t>
      </w:r>
      <w:r w:rsidR="004B41A2" w:rsidRPr="00CA47B9">
        <w:t xml:space="preserve"> </w:t>
      </w:r>
      <w:r w:rsidRPr="00CA47B9">
        <w:t>The</w:t>
      </w:r>
      <w:r w:rsidR="004B41A2" w:rsidRPr="00CA47B9">
        <w:t xml:space="preserve"> </w:t>
      </w:r>
      <w:r w:rsidRPr="00CA47B9">
        <w:t>breakdown</w:t>
      </w:r>
      <w:r w:rsidR="004B41A2" w:rsidRPr="00CA47B9">
        <w:t xml:space="preserve"> </w:t>
      </w:r>
      <w:r w:rsidRPr="00CA47B9">
        <w:t>by</w:t>
      </w:r>
      <w:r w:rsidR="004B41A2" w:rsidRPr="00CA47B9">
        <w:t xml:space="preserve"> </w:t>
      </w:r>
      <w:r w:rsidRPr="00CA47B9">
        <w:t>use</w:t>
      </w:r>
      <w:r w:rsidR="004B41A2" w:rsidRPr="00CA47B9">
        <w:t xml:space="preserve"> </w:t>
      </w:r>
      <w:r w:rsidRPr="00CA47B9">
        <w:t>class</w:t>
      </w:r>
      <w:r w:rsidR="004B41A2" w:rsidRPr="00CA47B9">
        <w:t xml:space="preserve"> </w:t>
      </w:r>
      <w:r w:rsidRPr="00CA47B9">
        <w:t>is</w:t>
      </w:r>
      <w:r w:rsidR="004B41A2" w:rsidRPr="00CA47B9">
        <w:t xml:space="preserve"> </w:t>
      </w:r>
      <w:r w:rsidRPr="00CA47B9">
        <w:t>shown</w:t>
      </w:r>
      <w:r w:rsidR="004B41A2" w:rsidRPr="00CA47B9">
        <w:t xml:space="preserve"> </w:t>
      </w:r>
      <w:r w:rsidRPr="00CA47B9">
        <w:t>below.</w:t>
      </w:r>
      <w:r w:rsidR="004B41A2" w:rsidRPr="00CA47B9">
        <w:t xml:space="preserve"> </w:t>
      </w:r>
      <w:r w:rsidR="002E7618">
        <w:t>Please note that the adjustment for SDNP has not been made as part of this calculation</w:t>
      </w:r>
      <w:r w:rsidR="00EF6DB2">
        <w:t xml:space="preserve"> – an adjustment is made later on as referred to in para 11.42</w:t>
      </w:r>
      <w:r w:rsidR="002E7618">
        <w:t>.</w:t>
      </w:r>
    </w:p>
    <w:p w:rsidR="00591BF3" w:rsidRPr="00CA47B9" w:rsidRDefault="00AF6C48" w:rsidP="00FA02C9">
      <w:pPr>
        <w:pStyle w:val="Tableheading"/>
        <w:tabs>
          <w:tab w:val="clear" w:pos="794"/>
          <w:tab w:val="clear" w:pos="1843"/>
          <w:tab w:val="left" w:pos="0"/>
        </w:tabs>
        <w:spacing w:line="240" w:lineRule="auto"/>
        <w:ind w:left="0" w:firstLine="0"/>
      </w:pPr>
      <w:r w:rsidRPr="00CA47B9">
        <w:lastRenderedPageBreak/>
        <w:t>Growth Labour Demand Scenario – Net Requirements, 201</w:t>
      </w:r>
      <w:r w:rsidR="0032331A">
        <w:t>9</w:t>
      </w:r>
      <w:r w:rsidRPr="00CA47B9">
        <w:t xml:space="preserve">-2036 </w:t>
      </w:r>
      <w:r w:rsidRPr="00CA47B9">
        <w:rPr>
          <w:color w:val="auto"/>
          <w:szCs w:val="20"/>
        </w:rPr>
        <w:t>– Chichester District</w:t>
      </w:r>
    </w:p>
    <w:tbl>
      <w:tblPr>
        <w:tblStyle w:val="GLHearntable1"/>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57: Growth Labour Demand Scenario – Net Requirements, 2019-2036 – Chichester District"/>
      </w:tblPr>
      <w:tblGrid>
        <w:gridCol w:w="2631"/>
        <w:gridCol w:w="3181"/>
        <w:gridCol w:w="3826"/>
      </w:tblGrid>
      <w:tr w:rsidR="00591BF3" w:rsidRPr="007E7A18" w:rsidTr="00FA02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65" w:type="pct"/>
            <w:noWrap/>
            <w:hideMark/>
          </w:tcPr>
          <w:p w:rsidR="00591BF3" w:rsidRPr="007E7A18" w:rsidRDefault="00591BF3" w:rsidP="007E7A18">
            <w:pPr>
              <w:keepNext/>
              <w:spacing w:line="240" w:lineRule="auto"/>
              <w:rPr>
                <w:b w:val="0"/>
                <w:bCs/>
                <w:sz w:val="24"/>
                <w:szCs w:val="24"/>
              </w:rPr>
            </w:pPr>
          </w:p>
        </w:tc>
        <w:tc>
          <w:tcPr>
            <w:tcW w:w="1650" w:type="pct"/>
          </w:tcPr>
          <w:p w:rsidR="00591BF3" w:rsidRPr="007E7A18" w:rsidRDefault="00591BF3" w:rsidP="007E7A18">
            <w:pPr>
              <w:keepNext/>
              <w:spacing w:line="240" w:lineRule="auto"/>
              <w:jc w:val="center"/>
              <w:cnfStyle w:val="100000000000" w:firstRow="1" w:lastRow="0" w:firstColumn="0" w:lastColumn="0" w:oddVBand="0" w:evenVBand="0" w:oddHBand="0" w:evenHBand="0" w:firstRowFirstColumn="0" w:firstRowLastColumn="0" w:lastRowFirstColumn="0" w:lastRowLastColumn="0"/>
              <w:rPr>
                <w:b w:val="0"/>
                <w:bCs/>
                <w:sz w:val="24"/>
                <w:szCs w:val="24"/>
              </w:rPr>
            </w:pPr>
            <w:r w:rsidRPr="007E7A18">
              <w:rPr>
                <w:bCs/>
                <w:sz w:val="24"/>
                <w:szCs w:val="24"/>
              </w:rPr>
              <w:t>Employment Floorspace Requirement (sq. m)</w:t>
            </w:r>
          </w:p>
        </w:tc>
        <w:tc>
          <w:tcPr>
            <w:tcW w:w="1985" w:type="pct"/>
            <w:noWrap/>
            <w:hideMark/>
          </w:tcPr>
          <w:p w:rsidR="00591BF3" w:rsidRPr="007E7A18" w:rsidRDefault="00591BF3" w:rsidP="007E7A18">
            <w:pPr>
              <w:keepNext/>
              <w:spacing w:line="240" w:lineRule="auto"/>
              <w:jc w:val="center"/>
              <w:cnfStyle w:val="100000000000" w:firstRow="1" w:lastRow="0" w:firstColumn="0" w:lastColumn="0" w:oddVBand="0" w:evenVBand="0" w:oddHBand="0" w:evenHBand="0" w:firstRowFirstColumn="0" w:firstRowLastColumn="0" w:lastRowFirstColumn="0" w:lastRowLastColumn="0"/>
              <w:rPr>
                <w:b w:val="0"/>
                <w:bCs/>
                <w:sz w:val="24"/>
                <w:szCs w:val="24"/>
              </w:rPr>
            </w:pPr>
            <w:r w:rsidRPr="007E7A18">
              <w:rPr>
                <w:bCs/>
                <w:sz w:val="24"/>
                <w:szCs w:val="24"/>
              </w:rPr>
              <w:t>Employment Land Requirement (Ha)</w:t>
            </w:r>
          </w:p>
        </w:tc>
      </w:tr>
      <w:tr w:rsidR="004226B0" w:rsidRPr="007E7A18" w:rsidTr="00FA02C9">
        <w:tc>
          <w:tcPr>
            <w:cnfStyle w:val="001000000000" w:firstRow="0" w:lastRow="0" w:firstColumn="1" w:lastColumn="0" w:oddVBand="0" w:evenVBand="0" w:oddHBand="0" w:evenHBand="0" w:firstRowFirstColumn="0" w:firstRowLastColumn="0" w:lastRowFirstColumn="0" w:lastRowLastColumn="0"/>
            <w:tcW w:w="1365" w:type="pct"/>
            <w:shd w:val="clear" w:color="auto" w:fill="FFFFFF" w:themeFill="background1"/>
            <w:noWrap/>
            <w:vAlign w:val="center"/>
            <w:hideMark/>
          </w:tcPr>
          <w:p w:rsidR="004226B0" w:rsidRPr="007E7A18" w:rsidRDefault="004226B0" w:rsidP="00FA02C9">
            <w:pPr>
              <w:keepNext/>
              <w:tabs>
                <w:tab w:val="center" w:pos="1400"/>
              </w:tabs>
              <w:spacing w:line="240" w:lineRule="auto"/>
              <w:rPr>
                <w:b w:val="0"/>
                <w:bCs/>
                <w:color w:val="000000"/>
                <w:sz w:val="24"/>
                <w:szCs w:val="24"/>
              </w:rPr>
            </w:pPr>
            <w:r w:rsidRPr="007E7A18">
              <w:rPr>
                <w:b w:val="0"/>
                <w:bCs/>
                <w:color w:val="000000"/>
                <w:sz w:val="24"/>
                <w:szCs w:val="24"/>
              </w:rPr>
              <w:t>B1a/b</w:t>
            </w:r>
          </w:p>
        </w:tc>
        <w:tc>
          <w:tcPr>
            <w:tcW w:w="1650" w:type="pct"/>
            <w:shd w:val="clear" w:color="auto" w:fill="FFFFFF" w:themeFill="background1"/>
            <w:vAlign w:val="center"/>
          </w:tcPr>
          <w:p w:rsidR="004226B0" w:rsidRPr="007E7A18" w:rsidRDefault="004226B0" w:rsidP="00FA02C9">
            <w:pPr>
              <w:keepNext/>
              <w:spacing w:line="240" w:lineRule="auto"/>
              <w:contextualSpacing/>
              <w:jc w:val="center"/>
              <w:cnfStyle w:val="000000000000" w:firstRow="0" w:lastRow="0" w:firstColumn="0" w:lastColumn="0" w:oddVBand="0" w:evenVBand="0" w:oddHBand="0" w:evenHBand="0" w:firstRowFirstColumn="0" w:firstRowLastColumn="0" w:lastRowFirstColumn="0" w:lastRowLastColumn="0"/>
              <w:rPr>
                <w:bCs/>
                <w:color w:val="000000"/>
                <w:sz w:val="24"/>
                <w:szCs w:val="24"/>
              </w:rPr>
            </w:pPr>
            <w:r w:rsidRPr="007E7A18">
              <w:rPr>
                <w:sz w:val="24"/>
                <w:szCs w:val="24"/>
              </w:rPr>
              <w:t>25,200</w:t>
            </w:r>
          </w:p>
        </w:tc>
        <w:tc>
          <w:tcPr>
            <w:tcW w:w="1985" w:type="pct"/>
            <w:shd w:val="clear" w:color="auto" w:fill="FFFFFF" w:themeFill="background1"/>
            <w:noWrap/>
            <w:vAlign w:val="center"/>
            <w:hideMark/>
          </w:tcPr>
          <w:p w:rsidR="004226B0" w:rsidRPr="007E7A18" w:rsidRDefault="004226B0" w:rsidP="00FA02C9">
            <w:pPr>
              <w:keepNext/>
              <w:spacing w:line="240" w:lineRule="auto"/>
              <w:jc w:val="center"/>
              <w:cnfStyle w:val="000000000000" w:firstRow="0" w:lastRow="0" w:firstColumn="0" w:lastColumn="0" w:oddVBand="0" w:evenVBand="0" w:oddHBand="0" w:evenHBand="0" w:firstRowFirstColumn="0" w:firstRowLastColumn="0" w:lastRowFirstColumn="0" w:lastRowLastColumn="0"/>
              <w:rPr>
                <w:bCs/>
                <w:color w:val="000000"/>
                <w:sz w:val="24"/>
                <w:szCs w:val="24"/>
              </w:rPr>
            </w:pPr>
            <w:r w:rsidRPr="007E7A18">
              <w:rPr>
                <w:sz w:val="24"/>
                <w:szCs w:val="24"/>
              </w:rPr>
              <w:t>3.4</w:t>
            </w:r>
          </w:p>
        </w:tc>
      </w:tr>
      <w:tr w:rsidR="004226B0" w:rsidRPr="007E7A18" w:rsidTr="00FA02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pct"/>
            <w:shd w:val="clear" w:color="auto" w:fill="FFFFFF" w:themeFill="background1"/>
            <w:noWrap/>
            <w:vAlign w:val="center"/>
            <w:hideMark/>
          </w:tcPr>
          <w:p w:rsidR="004226B0" w:rsidRPr="007E7A18" w:rsidRDefault="004226B0" w:rsidP="00FA02C9">
            <w:pPr>
              <w:keepNext/>
              <w:spacing w:line="240" w:lineRule="auto"/>
              <w:rPr>
                <w:b w:val="0"/>
                <w:bCs/>
                <w:color w:val="000000"/>
                <w:sz w:val="24"/>
                <w:szCs w:val="24"/>
              </w:rPr>
            </w:pPr>
            <w:r w:rsidRPr="007E7A18">
              <w:rPr>
                <w:b w:val="0"/>
                <w:bCs/>
                <w:color w:val="000000"/>
                <w:sz w:val="24"/>
                <w:szCs w:val="24"/>
              </w:rPr>
              <w:t>B1c/B2</w:t>
            </w:r>
          </w:p>
        </w:tc>
        <w:tc>
          <w:tcPr>
            <w:tcW w:w="1650" w:type="pct"/>
            <w:shd w:val="clear" w:color="auto" w:fill="FFFFFF" w:themeFill="background1"/>
            <w:vAlign w:val="center"/>
          </w:tcPr>
          <w:p w:rsidR="004226B0" w:rsidRPr="007E7A18" w:rsidRDefault="004226B0" w:rsidP="00FA02C9">
            <w:pPr>
              <w:keepNext/>
              <w:spacing w:line="240" w:lineRule="auto"/>
              <w:contextualSpacing/>
              <w:jc w:val="center"/>
              <w:cnfStyle w:val="000000010000" w:firstRow="0" w:lastRow="0" w:firstColumn="0" w:lastColumn="0" w:oddVBand="0" w:evenVBand="0" w:oddHBand="0" w:evenHBand="1" w:firstRowFirstColumn="0" w:firstRowLastColumn="0" w:lastRowFirstColumn="0" w:lastRowLastColumn="0"/>
              <w:rPr>
                <w:bCs/>
                <w:color w:val="000000"/>
                <w:sz w:val="24"/>
                <w:szCs w:val="24"/>
              </w:rPr>
            </w:pPr>
            <w:r w:rsidRPr="007E7A18">
              <w:rPr>
                <w:sz w:val="24"/>
                <w:szCs w:val="24"/>
              </w:rPr>
              <w:t>-1,388</w:t>
            </w:r>
          </w:p>
        </w:tc>
        <w:tc>
          <w:tcPr>
            <w:tcW w:w="1985" w:type="pct"/>
            <w:shd w:val="clear" w:color="auto" w:fill="FFFFFF" w:themeFill="background1"/>
            <w:noWrap/>
            <w:vAlign w:val="center"/>
            <w:hideMark/>
          </w:tcPr>
          <w:p w:rsidR="004226B0" w:rsidRPr="007E7A18" w:rsidRDefault="004226B0" w:rsidP="00FA02C9">
            <w:pPr>
              <w:keepNext/>
              <w:spacing w:line="240" w:lineRule="auto"/>
              <w:jc w:val="center"/>
              <w:cnfStyle w:val="000000010000" w:firstRow="0" w:lastRow="0" w:firstColumn="0" w:lastColumn="0" w:oddVBand="0" w:evenVBand="0" w:oddHBand="0" w:evenHBand="1" w:firstRowFirstColumn="0" w:firstRowLastColumn="0" w:lastRowFirstColumn="0" w:lastRowLastColumn="0"/>
              <w:rPr>
                <w:bCs/>
                <w:color w:val="000000"/>
                <w:sz w:val="24"/>
                <w:szCs w:val="24"/>
              </w:rPr>
            </w:pPr>
            <w:r w:rsidRPr="007E7A18">
              <w:rPr>
                <w:sz w:val="24"/>
                <w:szCs w:val="24"/>
              </w:rPr>
              <w:t>-0.3</w:t>
            </w:r>
          </w:p>
        </w:tc>
      </w:tr>
      <w:tr w:rsidR="004226B0" w:rsidRPr="007E7A18" w:rsidTr="00FA02C9">
        <w:tc>
          <w:tcPr>
            <w:cnfStyle w:val="001000000000" w:firstRow="0" w:lastRow="0" w:firstColumn="1" w:lastColumn="0" w:oddVBand="0" w:evenVBand="0" w:oddHBand="0" w:evenHBand="0" w:firstRowFirstColumn="0" w:firstRowLastColumn="0" w:lastRowFirstColumn="0" w:lastRowLastColumn="0"/>
            <w:tcW w:w="1365" w:type="pct"/>
            <w:shd w:val="clear" w:color="auto" w:fill="FFFFFF" w:themeFill="background1"/>
            <w:noWrap/>
            <w:vAlign w:val="center"/>
          </w:tcPr>
          <w:p w:rsidR="004226B0" w:rsidRPr="007E7A18" w:rsidRDefault="004226B0" w:rsidP="00FA02C9">
            <w:pPr>
              <w:keepNext/>
              <w:spacing w:line="240" w:lineRule="auto"/>
              <w:rPr>
                <w:b w:val="0"/>
                <w:bCs/>
                <w:color w:val="000000"/>
                <w:sz w:val="24"/>
                <w:szCs w:val="24"/>
              </w:rPr>
            </w:pPr>
            <w:r w:rsidRPr="007E7A18">
              <w:rPr>
                <w:b w:val="0"/>
                <w:bCs/>
                <w:color w:val="000000"/>
                <w:sz w:val="24"/>
                <w:szCs w:val="24"/>
              </w:rPr>
              <w:t>B8</w:t>
            </w:r>
          </w:p>
        </w:tc>
        <w:tc>
          <w:tcPr>
            <w:tcW w:w="1650" w:type="pct"/>
            <w:shd w:val="clear" w:color="auto" w:fill="FFFFFF" w:themeFill="background1"/>
            <w:vAlign w:val="center"/>
          </w:tcPr>
          <w:p w:rsidR="004226B0" w:rsidRPr="007E7A18" w:rsidRDefault="004226B0" w:rsidP="00FA02C9">
            <w:pPr>
              <w:keepNext/>
              <w:spacing w:line="240" w:lineRule="auto"/>
              <w:contextualSpacing/>
              <w:jc w:val="center"/>
              <w:cnfStyle w:val="000000000000" w:firstRow="0" w:lastRow="0" w:firstColumn="0" w:lastColumn="0" w:oddVBand="0" w:evenVBand="0" w:oddHBand="0" w:evenHBand="0" w:firstRowFirstColumn="0" w:firstRowLastColumn="0" w:lastRowFirstColumn="0" w:lastRowLastColumn="0"/>
              <w:rPr>
                <w:bCs/>
                <w:color w:val="000000"/>
                <w:sz w:val="24"/>
                <w:szCs w:val="24"/>
              </w:rPr>
            </w:pPr>
            <w:r w:rsidRPr="007E7A18">
              <w:rPr>
                <w:sz w:val="24"/>
                <w:szCs w:val="24"/>
              </w:rPr>
              <w:t>32,873</w:t>
            </w:r>
          </w:p>
        </w:tc>
        <w:tc>
          <w:tcPr>
            <w:tcW w:w="1985" w:type="pct"/>
            <w:shd w:val="clear" w:color="auto" w:fill="FFFFFF" w:themeFill="background1"/>
            <w:noWrap/>
            <w:vAlign w:val="center"/>
          </w:tcPr>
          <w:p w:rsidR="004226B0" w:rsidRPr="007E7A18" w:rsidRDefault="004226B0" w:rsidP="00FA02C9">
            <w:pPr>
              <w:keepNext/>
              <w:spacing w:line="240" w:lineRule="auto"/>
              <w:jc w:val="center"/>
              <w:cnfStyle w:val="000000000000" w:firstRow="0" w:lastRow="0" w:firstColumn="0" w:lastColumn="0" w:oddVBand="0" w:evenVBand="0" w:oddHBand="0" w:evenHBand="0" w:firstRowFirstColumn="0" w:firstRowLastColumn="0" w:lastRowFirstColumn="0" w:lastRowLastColumn="0"/>
              <w:rPr>
                <w:bCs/>
                <w:color w:val="000000"/>
                <w:sz w:val="24"/>
                <w:szCs w:val="24"/>
              </w:rPr>
            </w:pPr>
            <w:r w:rsidRPr="007E7A18">
              <w:rPr>
                <w:sz w:val="24"/>
                <w:szCs w:val="24"/>
              </w:rPr>
              <w:t>6.6</w:t>
            </w:r>
          </w:p>
        </w:tc>
      </w:tr>
      <w:tr w:rsidR="004226B0" w:rsidRPr="007E7A18" w:rsidTr="00FA02C9">
        <w:trPr>
          <w:cnfStyle w:val="000000010000" w:firstRow="0" w:lastRow="0" w:firstColumn="0" w:lastColumn="0" w:oddVBand="0" w:evenVBand="0" w:oddHBand="0" w:evenHBand="1"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1365" w:type="pct"/>
            <w:shd w:val="clear" w:color="auto" w:fill="FFFFFF" w:themeFill="background1"/>
            <w:noWrap/>
            <w:vAlign w:val="center"/>
            <w:hideMark/>
          </w:tcPr>
          <w:p w:rsidR="004226B0" w:rsidRPr="007E7A18" w:rsidRDefault="004226B0" w:rsidP="00FA02C9">
            <w:pPr>
              <w:keepNext/>
              <w:spacing w:line="240" w:lineRule="auto"/>
              <w:rPr>
                <w:b w:val="0"/>
                <w:bCs/>
                <w:color w:val="000000"/>
                <w:sz w:val="24"/>
                <w:szCs w:val="24"/>
              </w:rPr>
            </w:pPr>
            <w:r w:rsidRPr="007E7A18">
              <w:rPr>
                <w:b w:val="0"/>
                <w:bCs/>
                <w:color w:val="000000"/>
                <w:sz w:val="24"/>
                <w:szCs w:val="24"/>
              </w:rPr>
              <w:t>Total B Class</w:t>
            </w:r>
          </w:p>
        </w:tc>
        <w:tc>
          <w:tcPr>
            <w:tcW w:w="1650" w:type="pct"/>
            <w:shd w:val="clear" w:color="auto" w:fill="FFFFFF" w:themeFill="background1"/>
            <w:vAlign w:val="center"/>
          </w:tcPr>
          <w:p w:rsidR="004226B0" w:rsidRPr="007E7A18" w:rsidRDefault="004226B0" w:rsidP="00FA02C9">
            <w:pPr>
              <w:keepNext/>
              <w:spacing w:line="240" w:lineRule="auto"/>
              <w:contextualSpacing/>
              <w:jc w:val="center"/>
              <w:cnfStyle w:val="000000010000" w:firstRow="0" w:lastRow="0" w:firstColumn="0" w:lastColumn="0" w:oddVBand="0" w:evenVBand="0" w:oddHBand="0" w:evenHBand="1" w:firstRowFirstColumn="0" w:firstRowLastColumn="0" w:lastRowFirstColumn="0" w:lastRowLastColumn="0"/>
              <w:rPr>
                <w:bCs/>
                <w:color w:val="000000"/>
                <w:sz w:val="24"/>
                <w:szCs w:val="24"/>
              </w:rPr>
            </w:pPr>
            <w:r w:rsidRPr="007E7A18">
              <w:rPr>
                <w:sz w:val="24"/>
                <w:szCs w:val="24"/>
              </w:rPr>
              <w:t>56,685</w:t>
            </w:r>
          </w:p>
        </w:tc>
        <w:tc>
          <w:tcPr>
            <w:tcW w:w="1985" w:type="pct"/>
            <w:shd w:val="clear" w:color="auto" w:fill="FFFFFF" w:themeFill="background1"/>
            <w:noWrap/>
            <w:vAlign w:val="center"/>
            <w:hideMark/>
          </w:tcPr>
          <w:p w:rsidR="004226B0" w:rsidRPr="007E7A18" w:rsidRDefault="004226B0" w:rsidP="00FA02C9">
            <w:pPr>
              <w:keepNext/>
              <w:spacing w:line="240" w:lineRule="auto"/>
              <w:jc w:val="center"/>
              <w:cnfStyle w:val="000000010000" w:firstRow="0" w:lastRow="0" w:firstColumn="0" w:lastColumn="0" w:oddVBand="0" w:evenVBand="0" w:oddHBand="0" w:evenHBand="1" w:firstRowFirstColumn="0" w:firstRowLastColumn="0" w:lastRowFirstColumn="0" w:lastRowLastColumn="0"/>
              <w:rPr>
                <w:bCs/>
                <w:color w:val="000000"/>
                <w:sz w:val="24"/>
                <w:szCs w:val="24"/>
              </w:rPr>
            </w:pPr>
            <w:r w:rsidRPr="007E7A18">
              <w:rPr>
                <w:sz w:val="24"/>
                <w:szCs w:val="24"/>
              </w:rPr>
              <w:t>9.6</w:t>
            </w:r>
          </w:p>
        </w:tc>
      </w:tr>
    </w:tbl>
    <w:p w:rsidR="00591BF3" w:rsidRPr="00CA47B9" w:rsidRDefault="00591BF3" w:rsidP="00FA02C9">
      <w:pPr>
        <w:pStyle w:val="11Bodytext"/>
        <w:numPr>
          <w:ilvl w:val="0"/>
          <w:numId w:val="0"/>
        </w:numPr>
        <w:spacing w:before="0" w:after="0" w:line="240" w:lineRule="auto"/>
      </w:pPr>
      <w:r w:rsidRPr="00CA47B9">
        <w:t>Source: GL Hearn based on Oxford Economics data</w:t>
      </w:r>
    </w:p>
    <w:p w:rsidR="00A85884" w:rsidRPr="00CA47B9" w:rsidRDefault="00B0298E" w:rsidP="001C73B8">
      <w:pPr>
        <w:pStyle w:val="11Bodytext"/>
        <w:tabs>
          <w:tab w:val="clear" w:pos="2212"/>
          <w:tab w:val="num" w:pos="567"/>
        </w:tabs>
        <w:ind w:left="567" w:hanging="567"/>
      </w:pPr>
      <w:r w:rsidRPr="00CA47B9">
        <w:t>The</w:t>
      </w:r>
      <w:r w:rsidR="004B41A2" w:rsidRPr="00CA47B9">
        <w:t xml:space="preserve"> </w:t>
      </w:r>
      <w:r w:rsidRPr="00CA47B9">
        <w:t>Growth</w:t>
      </w:r>
      <w:r w:rsidR="004B41A2" w:rsidRPr="00CA47B9">
        <w:t xml:space="preserve"> </w:t>
      </w:r>
      <w:r w:rsidRPr="00CA47B9">
        <w:t>Scenario</w:t>
      </w:r>
      <w:r w:rsidR="004B41A2" w:rsidRPr="00CA47B9">
        <w:t xml:space="preserve"> </w:t>
      </w:r>
      <w:r w:rsidRPr="00CA47B9">
        <w:t>forecasts</w:t>
      </w:r>
      <w:r w:rsidR="004B41A2" w:rsidRPr="00CA47B9">
        <w:t xml:space="preserve"> </w:t>
      </w:r>
      <w:r w:rsidRPr="00CA47B9">
        <w:t>an</w:t>
      </w:r>
      <w:r w:rsidR="004B41A2" w:rsidRPr="00CA47B9">
        <w:t xml:space="preserve"> </w:t>
      </w:r>
      <w:r w:rsidRPr="00CA47B9">
        <w:t>employment</w:t>
      </w:r>
      <w:r w:rsidR="004B41A2" w:rsidRPr="00CA47B9">
        <w:t xml:space="preserve"> </w:t>
      </w:r>
      <w:r w:rsidRPr="00CA47B9">
        <w:t>land</w:t>
      </w:r>
      <w:r w:rsidR="004B41A2" w:rsidRPr="00CA47B9">
        <w:t xml:space="preserve"> </w:t>
      </w:r>
      <w:r w:rsidRPr="00CA47B9">
        <w:t>requirement</w:t>
      </w:r>
      <w:r w:rsidR="004B41A2" w:rsidRPr="00CA47B9">
        <w:t xml:space="preserve"> </w:t>
      </w:r>
      <w:r w:rsidR="00DD4479">
        <w:t xml:space="preserve">of 9.6 ha </w:t>
      </w:r>
      <w:r w:rsidRPr="00CA47B9">
        <w:t>which</w:t>
      </w:r>
      <w:r w:rsidR="004B41A2" w:rsidRPr="00CA47B9">
        <w:t xml:space="preserve"> </w:t>
      </w:r>
      <w:r w:rsidRPr="00CA47B9">
        <w:t>is</w:t>
      </w:r>
      <w:r w:rsidR="004B41A2" w:rsidRPr="00CA47B9">
        <w:t xml:space="preserve"> </w:t>
      </w:r>
      <w:r w:rsidR="00BB7196" w:rsidRPr="00CA47B9">
        <w:t>2</w:t>
      </w:r>
      <w:r w:rsidR="0032331A">
        <w:t>0.1</w:t>
      </w:r>
      <w:r w:rsidR="004B41A2" w:rsidRPr="00CA47B9">
        <w:t xml:space="preserve"> </w:t>
      </w:r>
      <w:r w:rsidRPr="00CA47B9">
        <w:t>ha</w:t>
      </w:r>
      <w:r w:rsidR="004B41A2" w:rsidRPr="00CA47B9">
        <w:t xml:space="preserve"> </w:t>
      </w:r>
      <w:r w:rsidRPr="00CA47B9">
        <w:t>greater</w:t>
      </w:r>
      <w:r w:rsidR="004B41A2" w:rsidRPr="00CA47B9">
        <w:t xml:space="preserve"> </w:t>
      </w:r>
      <w:r w:rsidRPr="00CA47B9">
        <w:t>than</w:t>
      </w:r>
      <w:r w:rsidR="004B41A2" w:rsidRPr="00CA47B9">
        <w:t xml:space="preserve"> </w:t>
      </w:r>
      <w:r w:rsidRPr="00CA47B9">
        <w:t>the</w:t>
      </w:r>
      <w:r w:rsidR="004B41A2" w:rsidRPr="00CA47B9">
        <w:t xml:space="preserve"> </w:t>
      </w:r>
      <w:r w:rsidRPr="00CA47B9">
        <w:t>Baseline</w:t>
      </w:r>
      <w:r w:rsidR="004B41A2" w:rsidRPr="00CA47B9">
        <w:t xml:space="preserve"> </w:t>
      </w:r>
      <w:r w:rsidRPr="00CA47B9">
        <w:t>Scenario</w:t>
      </w:r>
      <w:r w:rsidR="004B41A2" w:rsidRPr="00CA47B9">
        <w:t xml:space="preserve"> </w:t>
      </w:r>
      <w:r w:rsidRPr="00CA47B9">
        <w:t>(</w:t>
      </w:r>
      <w:r w:rsidR="0032331A" w:rsidRPr="00447944">
        <w:t>-10.5</w:t>
      </w:r>
      <w:r w:rsidR="004B41A2" w:rsidRPr="00CA47B9">
        <w:t xml:space="preserve"> </w:t>
      </w:r>
      <w:r w:rsidRPr="00CA47B9">
        <w:t>ha).</w:t>
      </w:r>
      <w:r w:rsidR="004B41A2" w:rsidRPr="00CA47B9">
        <w:t xml:space="preserve"> </w:t>
      </w:r>
      <w:r w:rsidRPr="00CA47B9">
        <w:t>The</w:t>
      </w:r>
      <w:r w:rsidR="004B41A2" w:rsidRPr="00CA47B9">
        <w:t xml:space="preserve"> </w:t>
      </w:r>
      <w:r w:rsidRPr="00CA47B9">
        <w:t>Growth</w:t>
      </w:r>
      <w:r w:rsidR="004B41A2" w:rsidRPr="00CA47B9">
        <w:t xml:space="preserve"> </w:t>
      </w:r>
      <w:r w:rsidRPr="00CA47B9">
        <w:t>Scenario</w:t>
      </w:r>
      <w:r w:rsidR="004B41A2" w:rsidRPr="00CA47B9">
        <w:t xml:space="preserve"> </w:t>
      </w:r>
      <w:r w:rsidRPr="00CA47B9">
        <w:t>forecasts</w:t>
      </w:r>
      <w:r w:rsidR="004B41A2" w:rsidRPr="00CA47B9">
        <w:t xml:space="preserve"> </w:t>
      </w:r>
      <w:r w:rsidRPr="00CA47B9">
        <w:t>a</w:t>
      </w:r>
      <w:r w:rsidR="004B41A2" w:rsidRPr="00CA47B9">
        <w:t xml:space="preserve"> </w:t>
      </w:r>
      <w:r w:rsidRPr="00CA47B9">
        <w:t>greater</w:t>
      </w:r>
      <w:r w:rsidR="004B41A2" w:rsidRPr="00CA47B9">
        <w:t xml:space="preserve"> </w:t>
      </w:r>
      <w:r w:rsidRPr="00CA47B9">
        <w:t>need</w:t>
      </w:r>
      <w:r w:rsidR="004B41A2" w:rsidRPr="00CA47B9">
        <w:t xml:space="preserve"> </w:t>
      </w:r>
      <w:r w:rsidRPr="00CA47B9">
        <w:t>for</w:t>
      </w:r>
      <w:r w:rsidR="004B41A2" w:rsidRPr="00CA47B9">
        <w:t xml:space="preserve"> </w:t>
      </w:r>
      <w:r w:rsidRPr="00CA47B9">
        <w:t>all</w:t>
      </w:r>
      <w:r w:rsidR="004B41A2" w:rsidRPr="00CA47B9">
        <w:t xml:space="preserve"> </w:t>
      </w:r>
      <w:r w:rsidRPr="00CA47B9">
        <w:t>types</w:t>
      </w:r>
      <w:r w:rsidR="004B41A2" w:rsidRPr="00CA47B9">
        <w:t xml:space="preserve"> </w:t>
      </w:r>
      <w:r w:rsidRPr="00CA47B9">
        <w:t>of</w:t>
      </w:r>
      <w:r w:rsidR="004B41A2" w:rsidRPr="00CA47B9">
        <w:t xml:space="preserve"> </w:t>
      </w:r>
      <w:r w:rsidRPr="00CA47B9">
        <w:t>employment</w:t>
      </w:r>
      <w:r w:rsidR="004B41A2" w:rsidRPr="00CA47B9">
        <w:t xml:space="preserve"> </w:t>
      </w:r>
      <w:r w:rsidRPr="00CA47B9">
        <w:t>land</w:t>
      </w:r>
      <w:r w:rsidR="00BB7196" w:rsidRPr="00CA47B9">
        <w:t xml:space="preserve"> albeit that a loss of light and general industrial </w:t>
      </w:r>
      <w:r w:rsidR="00855CA6">
        <w:t xml:space="preserve">land </w:t>
      </w:r>
      <w:r w:rsidR="00BB7196" w:rsidRPr="00CA47B9">
        <w:t>is still forecast</w:t>
      </w:r>
      <w:r w:rsidR="00855CA6">
        <w:t>ed</w:t>
      </w:r>
      <w:r w:rsidRPr="00CA47B9">
        <w:t>.</w:t>
      </w:r>
      <w:r w:rsidR="004B41A2" w:rsidRPr="00CA47B9">
        <w:t xml:space="preserve"> </w:t>
      </w:r>
    </w:p>
    <w:p w:rsidR="00B036C4" w:rsidRPr="00CA47B9" w:rsidRDefault="00B036C4" w:rsidP="006765B7">
      <w:pPr>
        <w:pStyle w:val="SubheadBlue12"/>
        <w:ind w:left="567" w:firstLine="0"/>
      </w:pPr>
      <w:r w:rsidRPr="00CA47B9">
        <w:t>Labour Supply</w:t>
      </w:r>
      <w:r w:rsidR="00D01C66">
        <w:t xml:space="preserve"> Scenario</w:t>
      </w:r>
    </w:p>
    <w:p w:rsidR="004E0AC9" w:rsidRPr="0006168B" w:rsidRDefault="0081171A" w:rsidP="001C73B8">
      <w:pPr>
        <w:pStyle w:val="11Bodytext"/>
        <w:tabs>
          <w:tab w:val="clear" w:pos="2212"/>
          <w:tab w:val="num" w:pos="567"/>
        </w:tabs>
        <w:ind w:left="567" w:hanging="567"/>
      </w:pPr>
      <w:r w:rsidRPr="00911BD9">
        <w:t xml:space="preserve">Section 2 of this report sets out the situation in relation to </w:t>
      </w:r>
      <w:r w:rsidR="007E1F59" w:rsidRPr="00911BD9">
        <w:t>forecast housing needs and associated population growth. Two</w:t>
      </w:r>
      <w:r w:rsidR="00855CA6">
        <w:t xml:space="preserve"> </w:t>
      </w:r>
      <w:r w:rsidR="008B7215">
        <w:t>scenarios</w:t>
      </w:r>
      <w:r w:rsidR="007E1F59" w:rsidRPr="00911BD9">
        <w:t xml:space="preserve"> are considered</w:t>
      </w:r>
      <w:r w:rsidR="00E81B39" w:rsidRPr="00911BD9">
        <w:t xml:space="preserve">, being the Local Plan over 5 years old </w:t>
      </w:r>
      <w:r w:rsidR="004E0AC9" w:rsidRPr="0006168B">
        <w:t>result</w:t>
      </w:r>
      <w:r w:rsidR="00E81B39" w:rsidRPr="0006168B">
        <w:t>ing</w:t>
      </w:r>
      <w:r w:rsidR="004E0AC9" w:rsidRPr="0006168B">
        <w:t xml:space="preserve"> in a housing need of 7</w:t>
      </w:r>
      <w:r w:rsidR="00F552BC">
        <w:t>31</w:t>
      </w:r>
      <w:r w:rsidR="004E0AC9" w:rsidRPr="0006168B">
        <w:t xml:space="preserve"> </w:t>
      </w:r>
      <w:r w:rsidR="00E81B39" w:rsidRPr="0006168B">
        <w:t xml:space="preserve">dwellings per annum </w:t>
      </w:r>
      <w:r w:rsidR="004E0AC9" w:rsidRPr="0006168B">
        <w:t>for the District</w:t>
      </w:r>
      <w:r w:rsidR="00E81B39" w:rsidRPr="0006168B">
        <w:t xml:space="preserve"> and </w:t>
      </w:r>
      <w:r w:rsidR="0087796B">
        <w:t xml:space="preserve">the preferred  scenario of </w:t>
      </w:r>
      <w:r w:rsidR="00E81B39" w:rsidRPr="0006168B">
        <w:t xml:space="preserve"> 650 dwellings per annum (including an unmet need from SDNP).</w:t>
      </w:r>
    </w:p>
    <w:p w:rsidR="0014617A" w:rsidRDefault="0014617A" w:rsidP="001C73B8">
      <w:pPr>
        <w:pStyle w:val="11Bodytext"/>
        <w:tabs>
          <w:tab w:val="clear" w:pos="2212"/>
          <w:tab w:val="num" w:pos="567"/>
        </w:tabs>
        <w:ind w:left="567" w:hanging="567"/>
      </w:pPr>
      <w:r>
        <w:t>The table below sets out the population and associated change in employment for the housing scenarios. For completeness</w:t>
      </w:r>
      <w:r w:rsidR="00855CA6">
        <w:t>,</w:t>
      </w:r>
      <w:r>
        <w:t xml:space="preserve"> the housing requirement associated with the labour demand baseline and growth models is also included. </w:t>
      </w:r>
    </w:p>
    <w:p w:rsidR="0014617A" w:rsidRPr="00CA47B9" w:rsidRDefault="0014617A" w:rsidP="00FA02C9">
      <w:pPr>
        <w:pStyle w:val="Tableheading"/>
        <w:tabs>
          <w:tab w:val="clear" w:pos="794"/>
          <w:tab w:val="clear" w:pos="1843"/>
          <w:tab w:val="left" w:pos="0"/>
        </w:tabs>
        <w:spacing w:line="240" w:lineRule="auto"/>
        <w:ind w:left="0" w:firstLine="0"/>
      </w:pPr>
      <w:r>
        <w:t>Jobs by Housing Scenario (2019-2036)</w:t>
      </w:r>
    </w:p>
    <w:tbl>
      <w:tblPr>
        <w:tblStyle w:val="GLHearntable1"/>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58: Jobs by Housing Scenario (2019-2036)"/>
      </w:tblPr>
      <w:tblGrid>
        <w:gridCol w:w="5669"/>
        <w:gridCol w:w="2076"/>
        <w:gridCol w:w="1893"/>
      </w:tblGrid>
      <w:tr w:rsidR="0014617A" w:rsidRPr="007E7A18" w:rsidTr="00FA02C9">
        <w:trPr>
          <w:cnfStyle w:val="100000000000" w:firstRow="1" w:lastRow="0" w:firstColumn="0" w:lastColumn="0" w:oddVBand="0" w:evenVBand="0" w:oddHBand="0" w:evenHBand="0" w:firstRowFirstColumn="0" w:firstRowLastColumn="0" w:lastRowFirstColumn="0" w:lastRowLastColumn="0"/>
          <w:trHeight w:val="241"/>
          <w:tblHeader/>
        </w:trPr>
        <w:tc>
          <w:tcPr>
            <w:cnfStyle w:val="001000000000" w:firstRow="0" w:lastRow="0" w:firstColumn="1" w:lastColumn="0" w:oddVBand="0" w:evenVBand="0" w:oddHBand="0" w:evenHBand="0" w:firstRowFirstColumn="0" w:firstRowLastColumn="0" w:lastRowFirstColumn="0" w:lastRowLastColumn="0"/>
            <w:tcW w:w="2941" w:type="pct"/>
          </w:tcPr>
          <w:p w:rsidR="0014617A" w:rsidRPr="005B6632" w:rsidRDefault="00204231" w:rsidP="007E7A18">
            <w:pPr>
              <w:keepNext/>
              <w:spacing w:line="240" w:lineRule="auto"/>
              <w:rPr>
                <w:sz w:val="24"/>
                <w:szCs w:val="24"/>
              </w:rPr>
            </w:pPr>
            <w:r w:rsidRPr="005B6632">
              <w:rPr>
                <w:sz w:val="24"/>
                <w:szCs w:val="24"/>
              </w:rPr>
              <w:t>Scenario</w:t>
            </w:r>
          </w:p>
        </w:tc>
        <w:tc>
          <w:tcPr>
            <w:tcW w:w="1077" w:type="pct"/>
          </w:tcPr>
          <w:p w:rsidR="0014617A" w:rsidRPr="007E7A18" w:rsidRDefault="0014617A" w:rsidP="007E7A18">
            <w:pPr>
              <w:keepNext/>
              <w:spacing w:line="240" w:lineRule="auto"/>
              <w:jc w:val="center"/>
              <w:cnfStyle w:val="100000000000" w:firstRow="1" w:lastRow="0" w:firstColumn="0" w:lastColumn="0" w:oddVBand="0" w:evenVBand="0" w:oddHBand="0" w:evenHBand="0" w:firstRowFirstColumn="0" w:firstRowLastColumn="0" w:lastRowFirstColumn="0" w:lastRowLastColumn="0"/>
              <w:rPr>
                <w:bCs/>
                <w:sz w:val="24"/>
                <w:szCs w:val="24"/>
              </w:rPr>
            </w:pPr>
            <w:r w:rsidRPr="007E7A18">
              <w:rPr>
                <w:bCs/>
                <w:sz w:val="24"/>
                <w:szCs w:val="24"/>
              </w:rPr>
              <w:t>Jobs</w:t>
            </w:r>
          </w:p>
        </w:tc>
        <w:tc>
          <w:tcPr>
            <w:tcW w:w="982" w:type="pct"/>
          </w:tcPr>
          <w:p w:rsidR="0014617A" w:rsidRPr="007E7A18" w:rsidRDefault="0014617A" w:rsidP="007E7A18">
            <w:pPr>
              <w:keepNext/>
              <w:spacing w:line="240" w:lineRule="auto"/>
              <w:jc w:val="center"/>
              <w:cnfStyle w:val="100000000000" w:firstRow="1" w:lastRow="0" w:firstColumn="0" w:lastColumn="0" w:oddVBand="0" w:evenVBand="0" w:oddHBand="0" w:evenHBand="0" w:firstRowFirstColumn="0" w:firstRowLastColumn="0" w:lastRowFirstColumn="0" w:lastRowLastColumn="0"/>
              <w:rPr>
                <w:bCs/>
                <w:sz w:val="24"/>
                <w:szCs w:val="24"/>
              </w:rPr>
            </w:pPr>
            <w:r w:rsidRPr="007E7A18">
              <w:rPr>
                <w:bCs/>
                <w:sz w:val="24"/>
                <w:szCs w:val="24"/>
              </w:rPr>
              <w:t>Dwellings per annum</w:t>
            </w:r>
          </w:p>
        </w:tc>
      </w:tr>
      <w:tr w:rsidR="001806E5" w:rsidRPr="007E7A18" w:rsidTr="00FA02C9">
        <w:trPr>
          <w:trHeight w:val="241"/>
        </w:trPr>
        <w:tc>
          <w:tcPr>
            <w:cnfStyle w:val="001000000000" w:firstRow="0" w:lastRow="0" w:firstColumn="1" w:lastColumn="0" w:oddVBand="0" w:evenVBand="0" w:oddHBand="0" w:evenHBand="0" w:firstRowFirstColumn="0" w:firstRowLastColumn="0" w:lastRowFirstColumn="0" w:lastRowLastColumn="0"/>
            <w:tcW w:w="2941" w:type="pct"/>
            <w:shd w:val="clear" w:color="auto" w:fill="FFFFFF" w:themeFill="background1"/>
            <w:vAlign w:val="center"/>
          </w:tcPr>
          <w:p w:rsidR="001806E5" w:rsidRPr="007E7A18" w:rsidRDefault="005C0113" w:rsidP="00FA02C9">
            <w:pPr>
              <w:keepNext/>
              <w:spacing w:line="240" w:lineRule="auto"/>
              <w:rPr>
                <w:b w:val="0"/>
                <w:bCs/>
                <w:sz w:val="24"/>
                <w:szCs w:val="24"/>
              </w:rPr>
            </w:pPr>
            <w:r w:rsidRPr="007E7A18">
              <w:rPr>
                <w:b w:val="0"/>
                <w:bCs/>
                <w:sz w:val="24"/>
                <w:szCs w:val="24"/>
              </w:rPr>
              <w:t>Standard Methodology</w:t>
            </w:r>
            <w:r w:rsidR="001806E5" w:rsidRPr="007E7A18">
              <w:rPr>
                <w:b w:val="0"/>
                <w:bCs/>
                <w:sz w:val="24"/>
                <w:szCs w:val="24"/>
              </w:rPr>
              <w:t xml:space="preserve"> (District Wide)</w:t>
            </w:r>
          </w:p>
        </w:tc>
        <w:tc>
          <w:tcPr>
            <w:tcW w:w="1077" w:type="pct"/>
            <w:shd w:val="clear" w:color="auto" w:fill="FFFFFF" w:themeFill="background1"/>
            <w:vAlign w:val="center"/>
          </w:tcPr>
          <w:p w:rsidR="001806E5" w:rsidRPr="007E7A18" w:rsidRDefault="001806E5" w:rsidP="00FA02C9">
            <w:pPr>
              <w:keepNext/>
              <w:spacing w:line="240" w:lineRule="auto"/>
              <w:contextualSpacing/>
              <w:jc w:val="center"/>
              <w:cnfStyle w:val="000000000000" w:firstRow="0" w:lastRow="0" w:firstColumn="0" w:lastColumn="0" w:oddVBand="0" w:evenVBand="0" w:oddHBand="0" w:evenHBand="0" w:firstRowFirstColumn="0" w:firstRowLastColumn="0" w:lastRowFirstColumn="0" w:lastRowLastColumn="0"/>
              <w:rPr>
                <w:bCs/>
                <w:sz w:val="24"/>
                <w:szCs w:val="24"/>
              </w:rPr>
            </w:pPr>
            <w:r w:rsidRPr="007E7A18">
              <w:rPr>
                <w:bCs/>
                <w:sz w:val="24"/>
                <w:szCs w:val="24"/>
              </w:rPr>
              <w:t>10,194</w:t>
            </w:r>
          </w:p>
        </w:tc>
        <w:tc>
          <w:tcPr>
            <w:tcW w:w="982" w:type="pct"/>
            <w:shd w:val="clear" w:color="auto" w:fill="FFFFFF" w:themeFill="background1"/>
            <w:vAlign w:val="center"/>
          </w:tcPr>
          <w:p w:rsidR="001806E5" w:rsidRPr="007E7A18" w:rsidRDefault="001806E5" w:rsidP="00FA02C9">
            <w:pPr>
              <w:keepNext/>
              <w:spacing w:line="240" w:lineRule="auto"/>
              <w:contextualSpacing/>
              <w:jc w:val="center"/>
              <w:cnfStyle w:val="000000000000" w:firstRow="0" w:lastRow="0" w:firstColumn="0" w:lastColumn="0" w:oddVBand="0" w:evenVBand="0" w:oddHBand="0" w:evenHBand="0" w:firstRowFirstColumn="0" w:firstRowLastColumn="0" w:lastRowFirstColumn="0" w:lastRowLastColumn="0"/>
              <w:rPr>
                <w:bCs/>
                <w:sz w:val="24"/>
                <w:szCs w:val="24"/>
              </w:rPr>
            </w:pPr>
            <w:r w:rsidRPr="007E7A18">
              <w:rPr>
                <w:bCs/>
                <w:sz w:val="24"/>
                <w:szCs w:val="24"/>
              </w:rPr>
              <w:t>731</w:t>
            </w:r>
          </w:p>
        </w:tc>
      </w:tr>
      <w:tr w:rsidR="0014617A" w:rsidRPr="007E7A18" w:rsidTr="00FA02C9">
        <w:trPr>
          <w:cnfStyle w:val="000000010000" w:firstRow="0" w:lastRow="0" w:firstColumn="0" w:lastColumn="0" w:oddVBand="0" w:evenVBand="0" w:oddHBand="0" w:evenHBand="1"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941" w:type="pct"/>
            <w:shd w:val="clear" w:color="auto" w:fill="FFFFFF" w:themeFill="background1"/>
            <w:vAlign w:val="center"/>
          </w:tcPr>
          <w:p w:rsidR="0014617A" w:rsidRPr="007E7A18" w:rsidRDefault="0014617A" w:rsidP="00FA02C9">
            <w:pPr>
              <w:keepNext/>
              <w:spacing w:line="240" w:lineRule="auto"/>
              <w:rPr>
                <w:b w:val="0"/>
                <w:bCs/>
                <w:color w:val="000000"/>
                <w:sz w:val="24"/>
                <w:szCs w:val="24"/>
              </w:rPr>
            </w:pPr>
            <w:r w:rsidRPr="007E7A18">
              <w:rPr>
                <w:b w:val="0"/>
                <w:bCs/>
                <w:sz w:val="24"/>
                <w:szCs w:val="24"/>
              </w:rPr>
              <w:t>Labour demand baseline</w:t>
            </w:r>
            <w:r w:rsidR="001806E5" w:rsidRPr="007E7A18">
              <w:rPr>
                <w:b w:val="0"/>
                <w:bCs/>
                <w:sz w:val="24"/>
                <w:szCs w:val="24"/>
              </w:rPr>
              <w:t xml:space="preserve"> (District)</w:t>
            </w:r>
          </w:p>
        </w:tc>
        <w:tc>
          <w:tcPr>
            <w:tcW w:w="1077" w:type="pct"/>
            <w:shd w:val="clear" w:color="auto" w:fill="FFFFFF" w:themeFill="background1"/>
            <w:vAlign w:val="center"/>
          </w:tcPr>
          <w:p w:rsidR="0014617A" w:rsidRPr="007E7A18" w:rsidRDefault="0014617A" w:rsidP="00FA02C9">
            <w:pPr>
              <w:keepNext/>
              <w:spacing w:line="240" w:lineRule="auto"/>
              <w:contextualSpacing/>
              <w:jc w:val="center"/>
              <w:cnfStyle w:val="000000010000" w:firstRow="0" w:lastRow="0" w:firstColumn="0" w:lastColumn="0" w:oddVBand="0" w:evenVBand="0" w:oddHBand="0" w:evenHBand="1" w:firstRowFirstColumn="0" w:firstRowLastColumn="0" w:lastRowFirstColumn="0" w:lastRowLastColumn="0"/>
              <w:rPr>
                <w:bCs/>
                <w:color w:val="000000"/>
                <w:sz w:val="24"/>
                <w:szCs w:val="24"/>
              </w:rPr>
            </w:pPr>
            <w:r w:rsidRPr="007E7A18">
              <w:rPr>
                <w:bCs/>
                <w:sz w:val="24"/>
                <w:szCs w:val="24"/>
              </w:rPr>
              <w:t>3,655</w:t>
            </w:r>
          </w:p>
        </w:tc>
        <w:tc>
          <w:tcPr>
            <w:tcW w:w="982" w:type="pct"/>
            <w:shd w:val="clear" w:color="auto" w:fill="FFFFFF" w:themeFill="background1"/>
            <w:vAlign w:val="center"/>
          </w:tcPr>
          <w:p w:rsidR="0014617A" w:rsidRPr="007E7A18" w:rsidRDefault="0014617A" w:rsidP="00FA02C9">
            <w:pPr>
              <w:keepNext/>
              <w:spacing w:line="240" w:lineRule="auto"/>
              <w:contextualSpacing/>
              <w:jc w:val="center"/>
              <w:cnfStyle w:val="000000010000" w:firstRow="0" w:lastRow="0" w:firstColumn="0" w:lastColumn="0" w:oddVBand="0" w:evenVBand="0" w:oddHBand="0" w:evenHBand="1" w:firstRowFirstColumn="0" w:firstRowLastColumn="0" w:lastRowFirstColumn="0" w:lastRowLastColumn="0"/>
              <w:rPr>
                <w:bCs/>
                <w:sz w:val="24"/>
                <w:szCs w:val="24"/>
              </w:rPr>
            </w:pPr>
            <w:r w:rsidRPr="007E7A18">
              <w:rPr>
                <w:bCs/>
                <w:sz w:val="24"/>
                <w:szCs w:val="24"/>
              </w:rPr>
              <w:t>513</w:t>
            </w:r>
          </w:p>
        </w:tc>
      </w:tr>
      <w:tr w:rsidR="0014617A" w:rsidRPr="007E7A18" w:rsidTr="00FA02C9">
        <w:trPr>
          <w:trHeight w:val="241"/>
        </w:trPr>
        <w:tc>
          <w:tcPr>
            <w:cnfStyle w:val="001000000000" w:firstRow="0" w:lastRow="0" w:firstColumn="1" w:lastColumn="0" w:oddVBand="0" w:evenVBand="0" w:oddHBand="0" w:evenHBand="0" w:firstRowFirstColumn="0" w:firstRowLastColumn="0" w:lastRowFirstColumn="0" w:lastRowLastColumn="0"/>
            <w:tcW w:w="2941" w:type="pct"/>
            <w:shd w:val="clear" w:color="auto" w:fill="FFFFFF" w:themeFill="background1"/>
            <w:vAlign w:val="center"/>
          </w:tcPr>
          <w:p w:rsidR="0014617A" w:rsidRPr="007E7A18" w:rsidRDefault="0014617A" w:rsidP="00FA02C9">
            <w:pPr>
              <w:keepNext/>
              <w:spacing w:line="240" w:lineRule="auto"/>
              <w:rPr>
                <w:b w:val="0"/>
                <w:bCs/>
                <w:color w:val="000000"/>
                <w:sz w:val="24"/>
                <w:szCs w:val="24"/>
              </w:rPr>
            </w:pPr>
            <w:r w:rsidRPr="007E7A18">
              <w:rPr>
                <w:b w:val="0"/>
                <w:bCs/>
                <w:sz w:val="24"/>
                <w:szCs w:val="24"/>
              </w:rPr>
              <w:t xml:space="preserve">Labour demand growth </w:t>
            </w:r>
            <w:r w:rsidR="001806E5" w:rsidRPr="007E7A18">
              <w:rPr>
                <w:b w:val="0"/>
                <w:bCs/>
                <w:sz w:val="24"/>
                <w:szCs w:val="24"/>
              </w:rPr>
              <w:t>(District)</w:t>
            </w:r>
          </w:p>
        </w:tc>
        <w:tc>
          <w:tcPr>
            <w:tcW w:w="1077" w:type="pct"/>
            <w:shd w:val="clear" w:color="auto" w:fill="FFFFFF" w:themeFill="background1"/>
            <w:vAlign w:val="center"/>
          </w:tcPr>
          <w:p w:rsidR="0014617A" w:rsidRPr="007E7A18" w:rsidRDefault="0014617A" w:rsidP="00FA02C9">
            <w:pPr>
              <w:keepNext/>
              <w:spacing w:line="240" w:lineRule="auto"/>
              <w:contextualSpacing/>
              <w:jc w:val="center"/>
              <w:cnfStyle w:val="000000000000" w:firstRow="0" w:lastRow="0" w:firstColumn="0" w:lastColumn="0" w:oddVBand="0" w:evenVBand="0" w:oddHBand="0" w:evenHBand="0" w:firstRowFirstColumn="0" w:firstRowLastColumn="0" w:lastRowFirstColumn="0" w:lastRowLastColumn="0"/>
              <w:rPr>
                <w:bCs/>
                <w:color w:val="000000"/>
                <w:sz w:val="24"/>
                <w:szCs w:val="24"/>
              </w:rPr>
            </w:pPr>
            <w:r w:rsidRPr="007E7A18">
              <w:rPr>
                <w:bCs/>
                <w:sz w:val="24"/>
                <w:szCs w:val="24"/>
              </w:rPr>
              <w:t>9,</w:t>
            </w:r>
            <w:r w:rsidR="001806E5" w:rsidRPr="007E7A18">
              <w:rPr>
                <w:bCs/>
                <w:sz w:val="24"/>
                <w:szCs w:val="24"/>
              </w:rPr>
              <w:t>5</w:t>
            </w:r>
            <w:r w:rsidRPr="007E7A18">
              <w:rPr>
                <w:bCs/>
                <w:sz w:val="24"/>
                <w:szCs w:val="24"/>
              </w:rPr>
              <w:t>11</w:t>
            </w:r>
          </w:p>
        </w:tc>
        <w:tc>
          <w:tcPr>
            <w:tcW w:w="982" w:type="pct"/>
            <w:shd w:val="clear" w:color="auto" w:fill="FFFFFF" w:themeFill="background1"/>
            <w:vAlign w:val="center"/>
          </w:tcPr>
          <w:p w:rsidR="0014617A" w:rsidRPr="007E7A18" w:rsidRDefault="0014617A" w:rsidP="00FA02C9">
            <w:pPr>
              <w:keepNext/>
              <w:spacing w:line="240" w:lineRule="auto"/>
              <w:contextualSpacing/>
              <w:jc w:val="center"/>
              <w:cnfStyle w:val="000000000000" w:firstRow="0" w:lastRow="0" w:firstColumn="0" w:lastColumn="0" w:oddVBand="0" w:evenVBand="0" w:oddHBand="0" w:evenHBand="0" w:firstRowFirstColumn="0" w:firstRowLastColumn="0" w:lastRowFirstColumn="0" w:lastRowLastColumn="0"/>
              <w:rPr>
                <w:bCs/>
                <w:sz w:val="24"/>
                <w:szCs w:val="24"/>
              </w:rPr>
            </w:pPr>
            <w:r w:rsidRPr="007E7A18">
              <w:rPr>
                <w:bCs/>
                <w:sz w:val="24"/>
                <w:szCs w:val="24"/>
              </w:rPr>
              <w:t>685</w:t>
            </w:r>
          </w:p>
        </w:tc>
      </w:tr>
    </w:tbl>
    <w:p w:rsidR="004E0AC9" w:rsidRPr="0006168B" w:rsidRDefault="0014617A" w:rsidP="00FA02C9">
      <w:pPr>
        <w:pStyle w:val="11Bodytext"/>
        <w:numPr>
          <w:ilvl w:val="0"/>
          <w:numId w:val="0"/>
        </w:numPr>
        <w:spacing w:before="0" w:after="0" w:line="240" w:lineRule="auto"/>
      </w:pPr>
      <w:r w:rsidRPr="00CA47B9">
        <w:t xml:space="preserve">Source: </w:t>
      </w:r>
      <w:r w:rsidR="0006168B">
        <w:t>GL Hearn / Justin Gardner / Oxford Economics 2019</w:t>
      </w:r>
    </w:p>
    <w:p w:rsidR="00281B87" w:rsidRDefault="00AD2549" w:rsidP="001C73B8">
      <w:pPr>
        <w:pStyle w:val="11Bodytext"/>
        <w:tabs>
          <w:tab w:val="clear" w:pos="2212"/>
          <w:tab w:val="num" w:pos="567"/>
        </w:tabs>
        <w:ind w:left="567" w:hanging="567"/>
      </w:pPr>
      <w:r>
        <w:t xml:space="preserve">Labour supply and resulting jobs generated at the </w:t>
      </w:r>
      <w:r w:rsidR="00855CA6">
        <w:t>district-</w:t>
      </w:r>
      <w:r>
        <w:t xml:space="preserve">wide level is higher than the labour demand growth scenario by some 683 jobs. Both of these are at the district level. </w:t>
      </w:r>
    </w:p>
    <w:p w:rsidR="00AD2549" w:rsidRDefault="00AD2549" w:rsidP="001C73B8">
      <w:pPr>
        <w:pStyle w:val="11Bodytext"/>
        <w:tabs>
          <w:tab w:val="clear" w:pos="2212"/>
          <w:tab w:val="num" w:pos="567"/>
        </w:tabs>
        <w:ind w:left="567" w:hanging="567"/>
      </w:pPr>
      <w:r>
        <w:t xml:space="preserve">The labour supply at the plan area is 12% lower (comparable with the 15% downward adjustment in floorspace reported below related to completions trends). </w:t>
      </w:r>
    </w:p>
    <w:p w:rsidR="00AD2549" w:rsidRPr="003A2A5A" w:rsidRDefault="00AD2549" w:rsidP="001C73B8">
      <w:pPr>
        <w:pStyle w:val="11Bodytext"/>
        <w:tabs>
          <w:tab w:val="clear" w:pos="2212"/>
          <w:tab w:val="num" w:pos="567"/>
        </w:tabs>
        <w:ind w:left="567" w:hanging="567"/>
      </w:pPr>
      <w:r>
        <w:lastRenderedPageBreak/>
        <w:t xml:space="preserve">Assuming a 12% downward adjustment on labour demand for the growth scenario to align </w:t>
      </w:r>
      <w:r w:rsidRPr="003A2A5A">
        <w:t xml:space="preserve">with the plan area population results in a 509 job difference, being 509 additional potential employees above those considered to be required by local employment. There would be a minor increase in population services i.e. retail, health and education over the labour demand position due to a higher population but this is considered to be negligible particularly in B Class requirement terms. Some additional out commuting may also occur under this scenario. </w:t>
      </w:r>
    </w:p>
    <w:p w:rsidR="00AD2549" w:rsidRPr="003A2A5A" w:rsidRDefault="00AD2549" w:rsidP="001C73B8">
      <w:pPr>
        <w:pStyle w:val="11Bodytext"/>
        <w:tabs>
          <w:tab w:val="clear" w:pos="2212"/>
          <w:tab w:val="num" w:pos="567"/>
        </w:tabs>
        <w:ind w:left="567" w:hanging="567"/>
      </w:pPr>
      <w:r w:rsidRPr="003A2A5A">
        <w:t>In forecasting the jobs and housing relationships the current commuting patterns as reported in the 2011 Census are held steady. On the basis that the above housing figures are taken forward in the Plan – which may not be the case – the current commuting ratio would remain relatively unchanged.</w:t>
      </w:r>
    </w:p>
    <w:p w:rsidR="00AD2549" w:rsidRDefault="00AD2549" w:rsidP="001C73B8">
      <w:pPr>
        <w:pStyle w:val="11Bodytext"/>
        <w:tabs>
          <w:tab w:val="clear" w:pos="2212"/>
          <w:tab w:val="num" w:pos="567"/>
        </w:tabs>
        <w:ind w:left="567" w:hanging="567"/>
      </w:pPr>
      <w:r w:rsidRPr="003A2A5A">
        <w:t>On balance</w:t>
      </w:r>
      <w:r w:rsidR="00855CA6">
        <w:t>,</w:t>
      </w:r>
      <w:r w:rsidRPr="003A2A5A">
        <w:t xml:space="preserve"> the marginal differences between the labour supply and labour demand (grow</w:t>
      </w:r>
      <w:r>
        <w:t xml:space="preserve">th) scenarios indicate that the B Class requirements established under the latter can suitably represent the labour supply position for employment land needs. </w:t>
      </w:r>
    </w:p>
    <w:p w:rsidR="00B0298E" w:rsidRPr="00CA47B9" w:rsidRDefault="00B0298E" w:rsidP="006765B7">
      <w:pPr>
        <w:pStyle w:val="SubheadBlue12"/>
        <w:ind w:left="567" w:firstLine="0"/>
      </w:pPr>
      <w:r w:rsidRPr="00CA47B9">
        <w:t>Past</w:t>
      </w:r>
      <w:r w:rsidR="004B41A2" w:rsidRPr="00CA47B9">
        <w:t xml:space="preserve"> </w:t>
      </w:r>
      <w:r w:rsidRPr="00CA47B9">
        <w:t>Completions</w:t>
      </w:r>
      <w:r w:rsidR="004B41A2" w:rsidRPr="00CA47B9">
        <w:t xml:space="preserve"> </w:t>
      </w:r>
      <w:r w:rsidR="008B2A57" w:rsidRPr="00CA47B9">
        <w:t>Trend</w:t>
      </w:r>
    </w:p>
    <w:p w:rsidR="00FB1C6C" w:rsidRPr="00F8757F" w:rsidRDefault="00BB7196" w:rsidP="001C73B8">
      <w:pPr>
        <w:pStyle w:val="11Bodytext"/>
        <w:tabs>
          <w:tab w:val="clear" w:pos="2212"/>
          <w:tab w:val="num" w:pos="567"/>
        </w:tabs>
        <w:ind w:left="567" w:hanging="567"/>
      </w:pPr>
      <w:r w:rsidRPr="00F8757F">
        <w:t>W</w:t>
      </w:r>
      <w:r w:rsidR="00B0298E" w:rsidRPr="00F8757F">
        <w:t>e</w:t>
      </w:r>
      <w:r w:rsidR="004B41A2" w:rsidRPr="00F8757F">
        <w:t xml:space="preserve"> </w:t>
      </w:r>
      <w:r w:rsidR="00B0298E" w:rsidRPr="00F8757F">
        <w:t>have</w:t>
      </w:r>
      <w:r w:rsidR="004B41A2" w:rsidRPr="00F8757F">
        <w:t xml:space="preserve"> </w:t>
      </w:r>
      <w:r w:rsidR="00B0298E" w:rsidRPr="00F8757F">
        <w:t>considered</w:t>
      </w:r>
      <w:r w:rsidR="004B41A2" w:rsidRPr="00F8757F">
        <w:t xml:space="preserve"> </w:t>
      </w:r>
      <w:r w:rsidR="00B0298E" w:rsidRPr="00F8757F">
        <w:t>historic</w:t>
      </w:r>
      <w:r w:rsidR="004B41A2" w:rsidRPr="00F8757F">
        <w:t xml:space="preserve"> </w:t>
      </w:r>
      <w:r w:rsidR="00B0298E" w:rsidRPr="00F8757F">
        <w:t>completions</w:t>
      </w:r>
      <w:r w:rsidR="004B41A2" w:rsidRPr="00F8757F">
        <w:t xml:space="preserve"> </w:t>
      </w:r>
      <w:r w:rsidR="00B0298E" w:rsidRPr="00F8757F">
        <w:t>of</w:t>
      </w:r>
      <w:r w:rsidR="004B41A2" w:rsidRPr="00F8757F">
        <w:t xml:space="preserve"> </w:t>
      </w:r>
      <w:r w:rsidR="00B0298E" w:rsidRPr="00F8757F">
        <w:t>employment</w:t>
      </w:r>
      <w:r w:rsidR="004B41A2" w:rsidRPr="00F8757F">
        <w:t xml:space="preserve"> </w:t>
      </w:r>
      <w:r w:rsidR="00B0298E" w:rsidRPr="00F8757F">
        <w:t>floorspace</w:t>
      </w:r>
      <w:r w:rsidR="004B41A2" w:rsidRPr="00F8757F">
        <w:t xml:space="preserve"> </w:t>
      </w:r>
      <w:r w:rsidR="00B0298E" w:rsidRPr="00F8757F">
        <w:t>in</w:t>
      </w:r>
      <w:r w:rsidR="004B41A2" w:rsidRPr="00F8757F">
        <w:t xml:space="preserve"> </w:t>
      </w:r>
      <w:r w:rsidR="00B0298E" w:rsidRPr="00F8757F">
        <w:t>Chichester</w:t>
      </w:r>
      <w:r w:rsidR="00F8757F" w:rsidRPr="00F8757F">
        <w:t xml:space="preserve"> Local Plan area.</w:t>
      </w:r>
      <w:r w:rsidR="00F8757F">
        <w:t xml:space="preserve"> </w:t>
      </w:r>
      <w:r w:rsidR="00855CA6">
        <w:t xml:space="preserve">From 2001 to </w:t>
      </w:r>
      <w:r w:rsidR="00B0298E" w:rsidRPr="00F8757F">
        <w:t>201</w:t>
      </w:r>
      <w:r w:rsidR="006C4617" w:rsidRPr="00F8757F">
        <w:t>9</w:t>
      </w:r>
      <w:r w:rsidR="00855CA6">
        <w:t>,</w:t>
      </w:r>
      <w:r w:rsidR="004B41A2" w:rsidRPr="00F8757F">
        <w:t xml:space="preserve"> </w:t>
      </w:r>
      <w:r w:rsidR="00B0298E" w:rsidRPr="00F8757F">
        <w:t>there</w:t>
      </w:r>
      <w:r w:rsidR="004B41A2" w:rsidRPr="00F8757F">
        <w:t xml:space="preserve"> </w:t>
      </w:r>
      <w:r w:rsidR="00B0298E" w:rsidRPr="00F8757F">
        <w:t>has</w:t>
      </w:r>
      <w:r w:rsidR="004B41A2" w:rsidRPr="00F8757F">
        <w:t xml:space="preserve"> </w:t>
      </w:r>
      <w:r w:rsidR="00B0298E" w:rsidRPr="00F8757F">
        <w:t>been</w:t>
      </w:r>
      <w:r w:rsidR="004B41A2" w:rsidRPr="00F8757F">
        <w:t xml:space="preserve"> </w:t>
      </w:r>
      <w:r w:rsidR="00B0298E" w:rsidRPr="00F8757F">
        <w:t>a</w:t>
      </w:r>
      <w:r w:rsidR="004B41A2" w:rsidRPr="00F8757F">
        <w:t xml:space="preserve"> </w:t>
      </w:r>
      <w:r w:rsidR="00B0298E" w:rsidRPr="00F8757F">
        <w:t>total</w:t>
      </w:r>
      <w:r w:rsidR="004B41A2" w:rsidRPr="00F8757F">
        <w:t xml:space="preserve"> </w:t>
      </w:r>
      <w:r w:rsidR="00B0298E" w:rsidRPr="00F8757F">
        <w:t>of</w:t>
      </w:r>
      <w:r w:rsidR="004B41A2" w:rsidRPr="00F8757F">
        <w:t xml:space="preserve"> </w:t>
      </w:r>
      <w:r w:rsidR="006C4617" w:rsidRPr="00F8757F">
        <w:t>319,400</w:t>
      </w:r>
      <w:r w:rsidR="004B41A2" w:rsidRPr="00F8757F">
        <w:t xml:space="preserve"> </w:t>
      </w:r>
      <w:r w:rsidR="00B0298E" w:rsidRPr="00F8757F">
        <w:t>sqm</w:t>
      </w:r>
      <w:r w:rsidR="004B41A2" w:rsidRPr="00F8757F">
        <w:t xml:space="preserve"> </w:t>
      </w:r>
      <w:r w:rsidR="00B0298E" w:rsidRPr="00F8757F">
        <w:t>of</w:t>
      </w:r>
      <w:r w:rsidR="004B41A2" w:rsidRPr="00F8757F">
        <w:t xml:space="preserve"> </w:t>
      </w:r>
      <w:r w:rsidR="00B0298E" w:rsidRPr="00F8757F">
        <w:t>employment</w:t>
      </w:r>
      <w:r w:rsidR="004B41A2" w:rsidRPr="00F8757F">
        <w:t xml:space="preserve"> </w:t>
      </w:r>
      <w:r w:rsidR="00B0298E" w:rsidRPr="00F8757F">
        <w:t>floorspace</w:t>
      </w:r>
      <w:r w:rsidR="004B41A2" w:rsidRPr="00F8757F">
        <w:t xml:space="preserve"> </w:t>
      </w:r>
      <w:r w:rsidR="00857E16" w:rsidRPr="00F8757F">
        <w:t>(gross)</w:t>
      </w:r>
      <w:r w:rsidR="004B41A2" w:rsidRPr="00F8757F">
        <w:t xml:space="preserve"> </w:t>
      </w:r>
      <w:r w:rsidR="00B0298E" w:rsidRPr="00F8757F">
        <w:t>completed</w:t>
      </w:r>
      <w:r w:rsidR="004B41A2" w:rsidRPr="00F8757F">
        <w:t xml:space="preserve"> </w:t>
      </w:r>
      <w:r w:rsidR="00B0298E" w:rsidRPr="00F8757F">
        <w:t>in</w:t>
      </w:r>
      <w:r w:rsidR="004B41A2" w:rsidRPr="00F8757F">
        <w:t xml:space="preserve"> </w:t>
      </w:r>
      <w:r w:rsidR="004374A9">
        <w:t xml:space="preserve">the </w:t>
      </w:r>
      <w:r w:rsidR="00EC1FA7" w:rsidRPr="00F8757F">
        <w:t>CLP area</w:t>
      </w:r>
      <w:r w:rsidR="00B0298E" w:rsidRPr="00F8757F">
        <w:t>.</w:t>
      </w:r>
      <w:r w:rsidR="004B41A2" w:rsidRPr="00F8757F">
        <w:t xml:space="preserve"> </w:t>
      </w:r>
      <w:r w:rsidR="00B0298E" w:rsidRPr="00F8757F">
        <w:t>This</w:t>
      </w:r>
      <w:r w:rsidR="004B41A2" w:rsidRPr="00F8757F">
        <w:t xml:space="preserve"> </w:t>
      </w:r>
      <w:r w:rsidR="00B0298E" w:rsidRPr="00F8757F">
        <w:t>is</w:t>
      </w:r>
      <w:r w:rsidR="004B41A2" w:rsidRPr="00F8757F">
        <w:t xml:space="preserve"> </w:t>
      </w:r>
      <w:r w:rsidR="00B0298E" w:rsidRPr="00F8757F">
        <w:t>equivalent</w:t>
      </w:r>
      <w:r w:rsidR="004B41A2" w:rsidRPr="00F8757F">
        <w:t xml:space="preserve"> </w:t>
      </w:r>
      <w:r w:rsidR="00B0298E" w:rsidRPr="00F8757F">
        <w:t>to</w:t>
      </w:r>
      <w:r w:rsidR="004B41A2" w:rsidRPr="00F8757F">
        <w:t xml:space="preserve"> </w:t>
      </w:r>
      <w:r w:rsidR="00B0298E" w:rsidRPr="00F8757F">
        <w:t>an</w:t>
      </w:r>
      <w:r w:rsidR="004B41A2" w:rsidRPr="00F8757F">
        <w:t xml:space="preserve"> </w:t>
      </w:r>
      <w:r w:rsidR="00B0298E" w:rsidRPr="00F8757F">
        <w:t>annual</w:t>
      </w:r>
      <w:r w:rsidR="004B41A2" w:rsidRPr="00F8757F">
        <w:t xml:space="preserve"> </w:t>
      </w:r>
      <w:r w:rsidR="00B0298E" w:rsidRPr="00F8757F">
        <w:t>completion</w:t>
      </w:r>
      <w:r w:rsidR="004B41A2" w:rsidRPr="00F8757F">
        <w:t xml:space="preserve"> </w:t>
      </w:r>
      <w:r w:rsidR="00B0298E" w:rsidRPr="00F8757F">
        <w:t>rate</w:t>
      </w:r>
      <w:r w:rsidR="004B41A2" w:rsidRPr="00F8757F">
        <w:t xml:space="preserve"> </w:t>
      </w:r>
      <w:r w:rsidR="00B0298E" w:rsidRPr="00F8757F">
        <w:t>of</w:t>
      </w:r>
      <w:r w:rsidR="004B41A2" w:rsidRPr="00F8757F">
        <w:t xml:space="preserve"> </w:t>
      </w:r>
      <w:r w:rsidR="00B0298E" w:rsidRPr="00F8757F">
        <w:t>1</w:t>
      </w:r>
      <w:r w:rsidR="006C4617" w:rsidRPr="00F8757F">
        <w:t>7</w:t>
      </w:r>
      <w:r w:rsidR="00B0298E" w:rsidRPr="00F8757F">
        <w:t>,</w:t>
      </w:r>
      <w:r w:rsidR="006C4617" w:rsidRPr="00F8757F">
        <w:t>5</w:t>
      </w:r>
      <w:r w:rsidR="00B0298E" w:rsidRPr="00F8757F">
        <w:t>00</w:t>
      </w:r>
      <w:r w:rsidR="004B41A2" w:rsidRPr="00F8757F">
        <w:t xml:space="preserve"> </w:t>
      </w:r>
      <w:r w:rsidR="00B0298E" w:rsidRPr="00F8757F">
        <w:t>sqm</w:t>
      </w:r>
      <w:r w:rsidR="004B41A2" w:rsidRPr="00F8757F">
        <w:t xml:space="preserve"> </w:t>
      </w:r>
      <w:r w:rsidR="00B0298E" w:rsidRPr="00F8757F">
        <w:t>per</w:t>
      </w:r>
      <w:r w:rsidR="004B41A2" w:rsidRPr="00F8757F">
        <w:t xml:space="preserve"> </w:t>
      </w:r>
      <w:r w:rsidR="00B0298E" w:rsidRPr="00F8757F">
        <w:t>annum</w:t>
      </w:r>
      <w:r w:rsidR="00E46031">
        <w:t xml:space="preserve"> (2001-18 data)</w:t>
      </w:r>
      <w:r w:rsidR="00B0298E" w:rsidRPr="00F8757F">
        <w:t>.</w:t>
      </w:r>
      <w:r w:rsidR="008A6A55" w:rsidRPr="00F8757F">
        <w:t xml:space="preserve"> The data shows a higher completion rate in the first half of the period </w:t>
      </w:r>
      <w:r w:rsidR="000E3721">
        <w:t>before</w:t>
      </w:r>
      <w:r w:rsidR="008A6A55" w:rsidRPr="00F8757F">
        <w:t xml:space="preserve"> 2008 when the average annual completions figure was 2</w:t>
      </w:r>
      <w:r w:rsidR="006C4617" w:rsidRPr="00F8757F">
        <w:t>8</w:t>
      </w:r>
      <w:r w:rsidR="008A6A55" w:rsidRPr="00F8757F">
        <w:t>,</w:t>
      </w:r>
      <w:r w:rsidR="006C4617" w:rsidRPr="00F8757F">
        <w:t>8</w:t>
      </w:r>
      <w:r w:rsidR="008A6A55" w:rsidRPr="00F8757F">
        <w:t xml:space="preserve">00 sqm per annum, compared to post-2008 when the average annual figure was </w:t>
      </w:r>
      <w:r w:rsidR="006C4617" w:rsidRPr="00F8757F">
        <w:t>9</w:t>
      </w:r>
      <w:r w:rsidR="008A6A55" w:rsidRPr="00F8757F">
        <w:t>,</w:t>
      </w:r>
      <w:r w:rsidR="006C4617" w:rsidRPr="00F8757F">
        <w:t>6</w:t>
      </w:r>
      <w:r w:rsidR="008A6A55" w:rsidRPr="00F8757F">
        <w:t>00 sqm per annum</w:t>
      </w:r>
      <w:r w:rsidR="006C4617" w:rsidRPr="00F8757F">
        <w:t xml:space="preserve"> however the 2014-2018 average was 13,100 sqm.</w:t>
      </w:r>
      <w:r w:rsidR="00EC1FA7" w:rsidRPr="00F8757F">
        <w:t xml:space="preserve"> </w:t>
      </w:r>
    </w:p>
    <w:p w:rsidR="009E68CB" w:rsidRPr="00CA47B9" w:rsidRDefault="009E68CB" w:rsidP="00D238E7">
      <w:pPr>
        <w:pStyle w:val="FigureHeading"/>
        <w:tabs>
          <w:tab w:val="clear" w:pos="794"/>
          <w:tab w:val="clear" w:pos="1843"/>
          <w:tab w:val="left" w:pos="0"/>
        </w:tabs>
        <w:spacing w:line="240" w:lineRule="auto"/>
        <w:ind w:left="0" w:firstLine="0"/>
      </w:pPr>
      <w:r w:rsidRPr="00CA47B9">
        <w:lastRenderedPageBreak/>
        <w:t>Employment Completions</w:t>
      </w:r>
      <w:r w:rsidR="006C4617" w:rsidRPr="00CA47B9">
        <w:t xml:space="preserve"> </w:t>
      </w:r>
      <w:r w:rsidR="005D3506" w:rsidRPr="00CA47B9">
        <w:t xml:space="preserve">Chichester </w:t>
      </w:r>
      <w:r w:rsidR="00DE17D7">
        <w:t>Local Plan Area</w:t>
      </w:r>
      <w:r w:rsidR="005D3506" w:rsidRPr="00CA47B9">
        <w:t xml:space="preserve"> </w:t>
      </w:r>
      <w:r w:rsidR="006C4617" w:rsidRPr="00CA47B9">
        <w:t>(</w:t>
      </w:r>
      <w:r w:rsidR="005D3506" w:rsidRPr="00CA47B9">
        <w:t xml:space="preserve">SQM, </w:t>
      </w:r>
      <w:r w:rsidR="006C4617" w:rsidRPr="00CA47B9">
        <w:t>Gross)</w:t>
      </w:r>
    </w:p>
    <w:p w:rsidR="00FB1C6C" w:rsidRPr="00CA47B9" w:rsidRDefault="005D3506" w:rsidP="00031E60">
      <w:pPr>
        <w:pStyle w:val="11Bodytext"/>
        <w:numPr>
          <w:ilvl w:val="0"/>
          <w:numId w:val="0"/>
        </w:numPr>
        <w:spacing w:before="0" w:after="0" w:line="240" w:lineRule="auto"/>
      </w:pPr>
      <w:r w:rsidRPr="00CA47B9">
        <w:rPr>
          <w:noProof/>
          <w:lang w:eastAsia="en-GB"/>
        </w:rPr>
        <w:drawing>
          <wp:inline distT="0" distB="0" distL="0" distR="0" wp14:anchorId="5DFA7100" wp14:editId="6BCDE2A4">
            <wp:extent cx="6120000" cy="3592800"/>
            <wp:effectExtent l="0" t="0" r="14605" b="27305"/>
            <wp:docPr id="1062" name="Chart 1062" descr="Stacked bar chart showing completed floorspace by planning use class type from 2001 to 2019" title="Figure 68: Employment Completions Chichester Local Plan Area (SQM, Gross)">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6F2DB4-E772-4E5E-AE87-E530957764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9E68CB" w:rsidRPr="00CA47B9" w:rsidRDefault="009E68CB" w:rsidP="00D238E7">
      <w:pPr>
        <w:pStyle w:val="11Bodytext"/>
        <w:numPr>
          <w:ilvl w:val="0"/>
          <w:numId w:val="0"/>
        </w:numPr>
        <w:spacing w:before="0" w:after="0" w:line="240" w:lineRule="auto"/>
      </w:pPr>
      <w:r w:rsidRPr="00CA47B9">
        <w:t>Source: Chichester District Council</w:t>
      </w:r>
    </w:p>
    <w:p w:rsidR="00AE0222" w:rsidRPr="00CA47B9" w:rsidRDefault="009E68CB" w:rsidP="001C73B8">
      <w:pPr>
        <w:pStyle w:val="11Bodytext"/>
        <w:tabs>
          <w:tab w:val="clear" w:pos="2212"/>
          <w:tab w:val="num" w:pos="567"/>
        </w:tabs>
        <w:ind w:left="567" w:hanging="567"/>
      </w:pPr>
      <w:r w:rsidRPr="00CA47B9">
        <w:t>The data</w:t>
      </w:r>
      <w:r w:rsidR="00834A3C" w:rsidRPr="00CA47B9">
        <w:t xml:space="preserve"> </w:t>
      </w:r>
      <w:r w:rsidRPr="00CA47B9">
        <w:t xml:space="preserve">shows a clear spike in 2004 when </w:t>
      </w:r>
      <w:r w:rsidR="00B0298E" w:rsidRPr="00CA47B9">
        <w:t>just</w:t>
      </w:r>
      <w:r w:rsidR="004B41A2" w:rsidRPr="00CA47B9">
        <w:t xml:space="preserve"> </w:t>
      </w:r>
      <w:r w:rsidR="00B0298E" w:rsidRPr="00CA47B9">
        <w:t>under</w:t>
      </w:r>
      <w:r w:rsidR="004B41A2" w:rsidRPr="00CA47B9">
        <w:t xml:space="preserve"> </w:t>
      </w:r>
      <w:r w:rsidR="00B0298E" w:rsidRPr="00CA47B9">
        <w:t>90,000</w:t>
      </w:r>
      <w:r w:rsidR="004B41A2" w:rsidRPr="00CA47B9">
        <w:t xml:space="preserve"> </w:t>
      </w:r>
      <w:r w:rsidR="00B0298E" w:rsidRPr="00CA47B9">
        <w:t>s</w:t>
      </w:r>
      <w:r w:rsidR="00DD4479">
        <w:t>q</w:t>
      </w:r>
      <w:r w:rsidR="00B0298E" w:rsidRPr="00CA47B9">
        <w:t>m</w:t>
      </w:r>
      <w:r w:rsidR="004B41A2" w:rsidRPr="00CA47B9">
        <w:t xml:space="preserve"> </w:t>
      </w:r>
      <w:r w:rsidR="00B0298E" w:rsidRPr="00CA47B9">
        <w:t>of</w:t>
      </w:r>
      <w:r w:rsidR="004B41A2" w:rsidRPr="00CA47B9">
        <w:t xml:space="preserve"> </w:t>
      </w:r>
      <w:r w:rsidR="00B0298E" w:rsidRPr="00CA47B9">
        <w:t>employment</w:t>
      </w:r>
      <w:r w:rsidR="004B41A2" w:rsidRPr="00CA47B9">
        <w:t xml:space="preserve"> </w:t>
      </w:r>
      <w:r w:rsidR="00B0298E" w:rsidRPr="00CA47B9">
        <w:t>space</w:t>
      </w:r>
      <w:r w:rsidR="004B41A2" w:rsidRPr="00CA47B9">
        <w:t xml:space="preserve"> </w:t>
      </w:r>
      <w:r w:rsidR="00B0298E" w:rsidRPr="00CA47B9">
        <w:t>completed.</w:t>
      </w:r>
      <w:r w:rsidR="004B41A2" w:rsidRPr="00CA47B9">
        <w:t xml:space="preserve"> </w:t>
      </w:r>
      <w:r w:rsidRPr="00CA47B9">
        <w:t>The majority</w:t>
      </w:r>
      <w:r w:rsidR="004B41A2" w:rsidRPr="00CA47B9">
        <w:t xml:space="preserve"> </w:t>
      </w:r>
      <w:r w:rsidR="00B0298E" w:rsidRPr="00CA47B9">
        <w:t>of</w:t>
      </w:r>
      <w:r w:rsidR="004B41A2" w:rsidRPr="00CA47B9">
        <w:t xml:space="preserve"> </w:t>
      </w:r>
      <w:r w:rsidR="00B0298E" w:rsidRPr="00CA47B9">
        <w:t>this</w:t>
      </w:r>
      <w:r w:rsidR="004B41A2" w:rsidRPr="00CA47B9">
        <w:t xml:space="preserve"> </w:t>
      </w:r>
      <w:r w:rsidR="00B0298E" w:rsidRPr="00CA47B9">
        <w:t>was</w:t>
      </w:r>
      <w:r w:rsidR="004B41A2" w:rsidRPr="00CA47B9">
        <w:t xml:space="preserve"> </w:t>
      </w:r>
      <w:r w:rsidR="00B0298E" w:rsidRPr="00CA47B9">
        <w:t>due</w:t>
      </w:r>
      <w:r w:rsidR="004B41A2" w:rsidRPr="00CA47B9">
        <w:t xml:space="preserve"> </w:t>
      </w:r>
      <w:r w:rsidR="00B0298E" w:rsidRPr="00CA47B9">
        <w:t>to</w:t>
      </w:r>
      <w:r w:rsidR="004B41A2" w:rsidRPr="00CA47B9">
        <w:t xml:space="preserve"> </w:t>
      </w:r>
      <w:r w:rsidRPr="00CA47B9">
        <w:t xml:space="preserve">a single development – </w:t>
      </w:r>
      <w:r w:rsidR="00B0298E" w:rsidRPr="00CA47B9">
        <w:t>the</w:t>
      </w:r>
      <w:r w:rsidR="004B41A2" w:rsidRPr="00CA47B9">
        <w:t xml:space="preserve"> </w:t>
      </w:r>
      <w:r w:rsidR="00B0298E" w:rsidRPr="00CA47B9">
        <w:t>55,500</w:t>
      </w:r>
      <w:r w:rsidR="004B41A2" w:rsidRPr="00CA47B9">
        <w:t xml:space="preserve"> </w:t>
      </w:r>
      <w:r w:rsidR="00B0298E" w:rsidRPr="00CA47B9">
        <w:t>sqm</w:t>
      </w:r>
      <w:r w:rsidR="004B41A2" w:rsidRPr="00CA47B9">
        <w:t xml:space="preserve"> </w:t>
      </w:r>
      <w:r w:rsidR="00B0298E" w:rsidRPr="00CA47B9">
        <w:t>Rolls</w:t>
      </w:r>
      <w:r w:rsidR="004B41A2" w:rsidRPr="00CA47B9">
        <w:t xml:space="preserve"> </w:t>
      </w:r>
      <w:r w:rsidR="00B0298E" w:rsidRPr="00CA47B9">
        <w:t>Royce</w:t>
      </w:r>
      <w:r w:rsidR="004B41A2" w:rsidRPr="00CA47B9">
        <w:t xml:space="preserve"> </w:t>
      </w:r>
      <w:r w:rsidR="00B0298E" w:rsidRPr="00CA47B9">
        <w:t>factory</w:t>
      </w:r>
      <w:r w:rsidR="004B41A2" w:rsidRPr="00CA47B9">
        <w:t xml:space="preserve"> </w:t>
      </w:r>
      <w:r w:rsidR="00B0298E" w:rsidRPr="00CA47B9">
        <w:t>at</w:t>
      </w:r>
      <w:r w:rsidR="004B41A2" w:rsidRPr="00CA47B9">
        <w:t xml:space="preserve"> </w:t>
      </w:r>
      <w:r w:rsidR="00B0298E" w:rsidRPr="00CA47B9">
        <w:t>Westhampnett.</w:t>
      </w:r>
      <w:r w:rsidR="004B41A2" w:rsidRPr="00CA47B9">
        <w:t xml:space="preserve"> </w:t>
      </w:r>
      <w:r w:rsidRPr="00CA47B9">
        <w:t xml:space="preserve">This development alone accounts for well over the average annual </w:t>
      </w:r>
      <w:r w:rsidR="008A6A55" w:rsidRPr="00CA47B9">
        <w:t>figure for the period or even the next highest yearly figure (</w:t>
      </w:r>
      <w:r w:rsidR="00ED0A80" w:rsidRPr="00CA47B9">
        <w:t>32</w:t>
      </w:r>
      <w:r w:rsidR="008A6A55" w:rsidRPr="00CA47B9">
        <w:t>,000 sqm in 2007).</w:t>
      </w:r>
      <w:r w:rsidR="008E4484" w:rsidRPr="00CA47B9">
        <w:t xml:space="preserve"> </w:t>
      </w:r>
    </w:p>
    <w:p w:rsidR="00B0298E" w:rsidRPr="00CA47B9" w:rsidRDefault="00855CA6" w:rsidP="001C73B8">
      <w:pPr>
        <w:pStyle w:val="11Bodytext"/>
        <w:tabs>
          <w:tab w:val="clear" w:pos="2212"/>
          <w:tab w:val="num" w:pos="567"/>
        </w:tabs>
        <w:ind w:left="567" w:hanging="567"/>
      </w:pPr>
      <w:r>
        <w:t>T</w:t>
      </w:r>
      <w:r w:rsidR="00834A3C" w:rsidRPr="00CA47B9">
        <w:t xml:space="preserve">his single development is considerably out of scale with other developments. Any forecast which extrapolates forward using this data will be heavily influenced by this single development. </w:t>
      </w:r>
      <w:r w:rsidR="00F8757F">
        <w:t>I</w:t>
      </w:r>
      <w:r w:rsidR="00834A3C" w:rsidRPr="00CA47B9">
        <w:t xml:space="preserve">t is reasonable to consider the 2004 Rolls Royce development as an outlier. </w:t>
      </w:r>
      <w:r w:rsidR="00DE5579">
        <w:t>The table below summaries the position – note that B1</w:t>
      </w:r>
      <w:r w:rsidR="008B7215">
        <w:t xml:space="preserve"> </w:t>
      </w:r>
      <w:r w:rsidR="00DE5579">
        <w:t>mix completions have been included under B1a/b.</w:t>
      </w:r>
    </w:p>
    <w:p w:rsidR="00B0298E" w:rsidRPr="00CA47B9" w:rsidRDefault="00B0298E" w:rsidP="00D238E7">
      <w:pPr>
        <w:pStyle w:val="Tableheading"/>
        <w:tabs>
          <w:tab w:val="clear" w:pos="794"/>
          <w:tab w:val="clear" w:pos="1843"/>
          <w:tab w:val="left" w:pos="0"/>
        </w:tabs>
        <w:spacing w:line="240" w:lineRule="auto"/>
        <w:ind w:left="0" w:firstLine="0"/>
      </w:pPr>
      <w:bookmarkStart w:id="234" w:name="_Toc481156707"/>
      <w:r w:rsidRPr="00CA47B9">
        <w:lastRenderedPageBreak/>
        <w:t>Past</w:t>
      </w:r>
      <w:r w:rsidR="004B41A2" w:rsidRPr="00CA47B9">
        <w:t xml:space="preserve"> </w:t>
      </w:r>
      <w:r w:rsidR="00857E16" w:rsidRPr="00CA47B9">
        <w:t>Floorspace</w:t>
      </w:r>
      <w:r w:rsidR="004B41A2" w:rsidRPr="00CA47B9">
        <w:t xml:space="preserve"> </w:t>
      </w:r>
      <w:r w:rsidRPr="00CA47B9">
        <w:t>Completions</w:t>
      </w:r>
      <w:bookmarkEnd w:id="234"/>
      <w:r w:rsidRPr="00CA47B9">
        <w:t>,</w:t>
      </w:r>
      <w:r w:rsidR="004B41A2" w:rsidRPr="00CA47B9">
        <w:t xml:space="preserve"> </w:t>
      </w:r>
      <w:r w:rsidRPr="00CA47B9">
        <w:t>2001-1</w:t>
      </w:r>
      <w:r w:rsidR="00ED0A80" w:rsidRPr="00CA47B9">
        <w:t>8</w:t>
      </w:r>
      <w:r w:rsidR="003902B9" w:rsidRPr="00CA47B9">
        <w:t xml:space="preserve"> </w:t>
      </w:r>
      <w:r w:rsidR="003902B9" w:rsidRPr="00CA47B9">
        <w:rPr>
          <w:color w:val="auto"/>
          <w:szCs w:val="20"/>
        </w:rPr>
        <w:t xml:space="preserve">– </w:t>
      </w:r>
      <w:r w:rsidR="006955A6" w:rsidRPr="00CA47B9">
        <w:rPr>
          <w:color w:val="auto"/>
          <w:szCs w:val="20"/>
        </w:rPr>
        <w:t xml:space="preserve">Chichester </w:t>
      </w:r>
      <w:r w:rsidR="00DE17D7">
        <w:rPr>
          <w:color w:val="auto"/>
          <w:szCs w:val="20"/>
        </w:rPr>
        <w:t>Local Plan Area</w:t>
      </w:r>
      <w:r w:rsidR="006955A6" w:rsidRPr="00CA47B9">
        <w:rPr>
          <w:color w:val="auto"/>
          <w:szCs w:val="20"/>
        </w:rPr>
        <w:t xml:space="preserve"> </w:t>
      </w:r>
    </w:p>
    <w:tbl>
      <w:tblPr>
        <w:tblStyle w:val="GLHearntable1"/>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59: Past Floorspace Completions, 2001-18 – Chichester Local Plan Area"/>
      </w:tblPr>
      <w:tblGrid>
        <w:gridCol w:w="1885"/>
        <w:gridCol w:w="1945"/>
        <w:gridCol w:w="1841"/>
        <w:gridCol w:w="2090"/>
        <w:gridCol w:w="1877"/>
      </w:tblGrid>
      <w:tr w:rsidR="007D3639" w:rsidRPr="00513337" w:rsidTr="00D238E7">
        <w:trPr>
          <w:cnfStyle w:val="100000000000" w:firstRow="1" w:lastRow="0" w:firstColumn="0" w:lastColumn="0" w:oddVBand="0" w:evenVBand="0" w:oddHBand="0" w:evenHBand="0" w:firstRowFirstColumn="0" w:firstRowLastColumn="0" w:lastRowFirstColumn="0" w:lastRowLastColumn="0"/>
          <w:trHeight w:val="241"/>
          <w:tblHeader/>
        </w:trPr>
        <w:tc>
          <w:tcPr>
            <w:cnfStyle w:val="001000000000" w:firstRow="0" w:lastRow="0" w:firstColumn="1" w:lastColumn="0" w:oddVBand="0" w:evenVBand="0" w:oddHBand="0" w:evenHBand="0" w:firstRowFirstColumn="0" w:firstRowLastColumn="0" w:lastRowFirstColumn="0" w:lastRowLastColumn="0"/>
            <w:tcW w:w="978" w:type="pct"/>
          </w:tcPr>
          <w:p w:rsidR="007D3639" w:rsidRPr="00513337" w:rsidRDefault="007D3639" w:rsidP="00513337">
            <w:pPr>
              <w:keepNext/>
              <w:spacing w:line="240" w:lineRule="auto"/>
              <w:rPr>
                <w:b w:val="0"/>
                <w:bCs/>
                <w:color w:val="000000"/>
                <w:sz w:val="24"/>
                <w:szCs w:val="24"/>
              </w:rPr>
            </w:pPr>
          </w:p>
        </w:tc>
        <w:tc>
          <w:tcPr>
            <w:tcW w:w="1964" w:type="pct"/>
            <w:gridSpan w:val="2"/>
          </w:tcPr>
          <w:p w:rsidR="007D3639" w:rsidRPr="00513337" w:rsidRDefault="007D3639" w:rsidP="00513337">
            <w:pPr>
              <w:keepNext/>
              <w:spacing w:line="240" w:lineRule="auto"/>
              <w:jc w:val="center"/>
              <w:cnfStyle w:val="100000000000" w:firstRow="1" w:lastRow="0" w:firstColumn="0" w:lastColumn="0" w:oddVBand="0" w:evenVBand="0" w:oddHBand="0" w:evenHBand="0" w:firstRowFirstColumn="0" w:firstRowLastColumn="0" w:lastRowFirstColumn="0" w:lastRowLastColumn="0"/>
              <w:rPr>
                <w:b w:val="0"/>
                <w:bCs/>
                <w:sz w:val="24"/>
                <w:szCs w:val="24"/>
              </w:rPr>
            </w:pPr>
            <w:r w:rsidRPr="00513337">
              <w:rPr>
                <w:b w:val="0"/>
                <w:bCs/>
                <w:sz w:val="24"/>
                <w:szCs w:val="24"/>
              </w:rPr>
              <w:t xml:space="preserve">Including </w:t>
            </w:r>
            <w:r w:rsidR="008E4484" w:rsidRPr="00513337">
              <w:rPr>
                <w:b w:val="0"/>
                <w:bCs/>
                <w:sz w:val="24"/>
                <w:szCs w:val="24"/>
              </w:rPr>
              <w:t>Rolls Royce Development</w:t>
            </w:r>
          </w:p>
        </w:tc>
        <w:tc>
          <w:tcPr>
            <w:tcW w:w="2059" w:type="pct"/>
            <w:gridSpan w:val="2"/>
          </w:tcPr>
          <w:p w:rsidR="007D3639" w:rsidRPr="00513337" w:rsidRDefault="007D3639" w:rsidP="00513337">
            <w:pPr>
              <w:keepNext/>
              <w:spacing w:line="240" w:lineRule="auto"/>
              <w:jc w:val="center"/>
              <w:cnfStyle w:val="100000000000" w:firstRow="1" w:lastRow="0" w:firstColumn="0" w:lastColumn="0" w:oddVBand="0" w:evenVBand="0" w:oddHBand="0" w:evenHBand="0" w:firstRowFirstColumn="0" w:firstRowLastColumn="0" w:lastRowFirstColumn="0" w:lastRowLastColumn="0"/>
              <w:rPr>
                <w:b w:val="0"/>
                <w:bCs/>
                <w:sz w:val="24"/>
                <w:szCs w:val="24"/>
              </w:rPr>
            </w:pPr>
            <w:r w:rsidRPr="00513337">
              <w:rPr>
                <w:b w:val="0"/>
                <w:bCs/>
                <w:sz w:val="24"/>
                <w:szCs w:val="24"/>
              </w:rPr>
              <w:t xml:space="preserve">Excluding </w:t>
            </w:r>
            <w:r w:rsidR="008E4484" w:rsidRPr="00513337">
              <w:rPr>
                <w:b w:val="0"/>
                <w:bCs/>
                <w:sz w:val="24"/>
                <w:szCs w:val="24"/>
              </w:rPr>
              <w:t>Rolls Royce Development</w:t>
            </w:r>
          </w:p>
        </w:tc>
      </w:tr>
      <w:tr w:rsidR="007D3639" w:rsidRPr="00513337" w:rsidTr="00D238E7">
        <w:trPr>
          <w:trHeight w:val="241"/>
        </w:trPr>
        <w:tc>
          <w:tcPr>
            <w:cnfStyle w:val="001000000000" w:firstRow="0" w:lastRow="0" w:firstColumn="1" w:lastColumn="0" w:oddVBand="0" w:evenVBand="0" w:oddHBand="0" w:evenHBand="0" w:firstRowFirstColumn="0" w:firstRowLastColumn="0" w:lastRowFirstColumn="0" w:lastRowLastColumn="0"/>
            <w:tcW w:w="978" w:type="pct"/>
            <w:shd w:val="clear" w:color="auto" w:fill="0093D5"/>
          </w:tcPr>
          <w:p w:rsidR="007D3639" w:rsidRPr="00513337" w:rsidRDefault="007D3639" w:rsidP="00513337">
            <w:pPr>
              <w:keepNext/>
              <w:spacing w:line="240" w:lineRule="auto"/>
              <w:rPr>
                <w:b w:val="0"/>
                <w:bCs/>
                <w:color w:val="FFFFFF" w:themeColor="background1"/>
                <w:sz w:val="24"/>
                <w:szCs w:val="24"/>
              </w:rPr>
            </w:pPr>
          </w:p>
        </w:tc>
        <w:tc>
          <w:tcPr>
            <w:tcW w:w="1009" w:type="pct"/>
            <w:shd w:val="clear" w:color="auto" w:fill="0093D5"/>
          </w:tcPr>
          <w:p w:rsidR="004A553E" w:rsidRPr="00513337" w:rsidRDefault="007D3639" w:rsidP="00513337">
            <w:pPr>
              <w:keepNext/>
              <w:spacing w:line="240" w:lineRule="auto"/>
              <w:jc w:val="center"/>
              <w:cnfStyle w:val="000000000000" w:firstRow="0" w:lastRow="0" w:firstColumn="0" w:lastColumn="0" w:oddVBand="0" w:evenVBand="0" w:oddHBand="0" w:evenHBand="0" w:firstRowFirstColumn="0" w:firstRowLastColumn="0" w:lastRowFirstColumn="0" w:lastRowLastColumn="0"/>
              <w:rPr>
                <w:bCs/>
                <w:color w:val="FFFFFF" w:themeColor="background1"/>
                <w:sz w:val="24"/>
                <w:szCs w:val="24"/>
              </w:rPr>
            </w:pPr>
            <w:r w:rsidRPr="00513337">
              <w:rPr>
                <w:bCs/>
                <w:color w:val="FFFFFF" w:themeColor="background1"/>
                <w:sz w:val="24"/>
                <w:szCs w:val="24"/>
              </w:rPr>
              <w:t xml:space="preserve">Total </w:t>
            </w:r>
          </w:p>
          <w:p w:rsidR="007D3639" w:rsidRPr="00513337" w:rsidRDefault="004A553E" w:rsidP="00513337">
            <w:pPr>
              <w:keepNext/>
              <w:spacing w:line="240" w:lineRule="auto"/>
              <w:jc w:val="center"/>
              <w:cnfStyle w:val="000000000000" w:firstRow="0" w:lastRow="0" w:firstColumn="0" w:lastColumn="0" w:oddVBand="0" w:evenVBand="0" w:oddHBand="0" w:evenHBand="0" w:firstRowFirstColumn="0" w:firstRowLastColumn="0" w:lastRowFirstColumn="0" w:lastRowLastColumn="0"/>
              <w:rPr>
                <w:bCs/>
                <w:color w:val="FFFFFF" w:themeColor="background1"/>
                <w:sz w:val="24"/>
                <w:szCs w:val="24"/>
              </w:rPr>
            </w:pPr>
            <w:r w:rsidRPr="00513337">
              <w:rPr>
                <w:bCs/>
                <w:color w:val="FFFFFF" w:themeColor="background1"/>
                <w:sz w:val="24"/>
                <w:szCs w:val="24"/>
              </w:rPr>
              <w:t>(sqm)</w:t>
            </w:r>
          </w:p>
        </w:tc>
        <w:tc>
          <w:tcPr>
            <w:tcW w:w="955" w:type="pct"/>
            <w:shd w:val="clear" w:color="auto" w:fill="0093D5"/>
          </w:tcPr>
          <w:p w:rsidR="007D3639" w:rsidRPr="00513337" w:rsidRDefault="007D3639" w:rsidP="00513337">
            <w:pPr>
              <w:keepNext/>
              <w:spacing w:line="240" w:lineRule="auto"/>
              <w:jc w:val="center"/>
              <w:cnfStyle w:val="000000000000" w:firstRow="0" w:lastRow="0" w:firstColumn="0" w:lastColumn="0" w:oddVBand="0" w:evenVBand="0" w:oddHBand="0" w:evenHBand="0" w:firstRowFirstColumn="0" w:firstRowLastColumn="0" w:lastRowFirstColumn="0" w:lastRowLastColumn="0"/>
              <w:rPr>
                <w:bCs/>
                <w:color w:val="FFFFFF" w:themeColor="background1"/>
                <w:sz w:val="24"/>
                <w:szCs w:val="24"/>
              </w:rPr>
            </w:pPr>
            <w:r w:rsidRPr="00513337">
              <w:rPr>
                <w:bCs/>
                <w:color w:val="FFFFFF" w:themeColor="background1"/>
                <w:sz w:val="24"/>
                <w:szCs w:val="24"/>
              </w:rPr>
              <w:t xml:space="preserve">Annual Average </w:t>
            </w:r>
            <w:r w:rsidR="004A553E" w:rsidRPr="00513337">
              <w:rPr>
                <w:bCs/>
                <w:color w:val="FFFFFF" w:themeColor="background1"/>
                <w:sz w:val="24"/>
                <w:szCs w:val="24"/>
              </w:rPr>
              <w:t>(sqm)</w:t>
            </w:r>
          </w:p>
        </w:tc>
        <w:tc>
          <w:tcPr>
            <w:tcW w:w="1084" w:type="pct"/>
            <w:shd w:val="clear" w:color="auto" w:fill="0093D5"/>
          </w:tcPr>
          <w:p w:rsidR="004A553E" w:rsidRPr="00513337" w:rsidRDefault="007D3639" w:rsidP="00513337">
            <w:pPr>
              <w:keepNext/>
              <w:spacing w:line="240" w:lineRule="auto"/>
              <w:jc w:val="center"/>
              <w:cnfStyle w:val="000000000000" w:firstRow="0" w:lastRow="0" w:firstColumn="0" w:lastColumn="0" w:oddVBand="0" w:evenVBand="0" w:oddHBand="0" w:evenHBand="0" w:firstRowFirstColumn="0" w:firstRowLastColumn="0" w:lastRowFirstColumn="0" w:lastRowLastColumn="0"/>
              <w:rPr>
                <w:bCs/>
                <w:color w:val="FFFFFF" w:themeColor="background1"/>
                <w:sz w:val="24"/>
                <w:szCs w:val="24"/>
              </w:rPr>
            </w:pPr>
            <w:r w:rsidRPr="00513337">
              <w:rPr>
                <w:bCs/>
                <w:color w:val="FFFFFF" w:themeColor="background1"/>
                <w:sz w:val="24"/>
                <w:szCs w:val="24"/>
              </w:rPr>
              <w:t xml:space="preserve">Total </w:t>
            </w:r>
          </w:p>
          <w:p w:rsidR="007D3639" w:rsidRPr="00513337" w:rsidRDefault="004A553E" w:rsidP="00513337">
            <w:pPr>
              <w:keepNext/>
              <w:spacing w:line="240" w:lineRule="auto"/>
              <w:jc w:val="center"/>
              <w:cnfStyle w:val="000000000000" w:firstRow="0" w:lastRow="0" w:firstColumn="0" w:lastColumn="0" w:oddVBand="0" w:evenVBand="0" w:oddHBand="0" w:evenHBand="0" w:firstRowFirstColumn="0" w:firstRowLastColumn="0" w:lastRowFirstColumn="0" w:lastRowLastColumn="0"/>
              <w:rPr>
                <w:bCs/>
                <w:color w:val="FFFFFF" w:themeColor="background1"/>
                <w:sz w:val="24"/>
                <w:szCs w:val="24"/>
              </w:rPr>
            </w:pPr>
            <w:r w:rsidRPr="00513337">
              <w:rPr>
                <w:bCs/>
                <w:color w:val="FFFFFF" w:themeColor="background1"/>
                <w:sz w:val="24"/>
                <w:szCs w:val="24"/>
              </w:rPr>
              <w:t>(sqm)</w:t>
            </w:r>
            <w:r w:rsidR="007D3639" w:rsidRPr="00513337">
              <w:rPr>
                <w:bCs/>
                <w:color w:val="FFFFFF" w:themeColor="background1"/>
                <w:sz w:val="24"/>
                <w:szCs w:val="24"/>
              </w:rPr>
              <w:t xml:space="preserve"> </w:t>
            </w:r>
          </w:p>
        </w:tc>
        <w:tc>
          <w:tcPr>
            <w:tcW w:w="975" w:type="pct"/>
            <w:shd w:val="clear" w:color="auto" w:fill="0093D5"/>
          </w:tcPr>
          <w:p w:rsidR="007D3639" w:rsidRPr="00513337" w:rsidRDefault="007D3639" w:rsidP="00513337">
            <w:pPr>
              <w:keepNext/>
              <w:spacing w:line="240" w:lineRule="auto"/>
              <w:jc w:val="center"/>
              <w:cnfStyle w:val="000000000000" w:firstRow="0" w:lastRow="0" w:firstColumn="0" w:lastColumn="0" w:oddVBand="0" w:evenVBand="0" w:oddHBand="0" w:evenHBand="0" w:firstRowFirstColumn="0" w:firstRowLastColumn="0" w:lastRowFirstColumn="0" w:lastRowLastColumn="0"/>
              <w:rPr>
                <w:bCs/>
                <w:color w:val="FFFFFF" w:themeColor="background1"/>
                <w:sz w:val="24"/>
                <w:szCs w:val="24"/>
              </w:rPr>
            </w:pPr>
            <w:r w:rsidRPr="00513337">
              <w:rPr>
                <w:bCs/>
                <w:color w:val="FFFFFF" w:themeColor="background1"/>
                <w:sz w:val="24"/>
                <w:szCs w:val="24"/>
              </w:rPr>
              <w:t xml:space="preserve">Annual Average </w:t>
            </w:r>
            <w:r w:rsidR="004A553E" w:rsidRPr="00513337">
              <w:rPr>
                <w:bCs/>
                <w:color w:val="FFFFFF" w:themeColor="background1"/>
                <w:sz w:val="24"/>
                <w:szCs w:val="24"/>
              </w:rPr>
              <w:t>(sqm)</w:t>
            </w:r>
            <w:r w:rsidRPr="00513337">
              <w:rPr>
                <w:bCs/>
                <w:color w:val="FFFFFF" w:themeColor="background1"/>
                <w:sz w:val="24"/>
                <w:szCs w:val="24"/>
              </w:rPr>
              <w:t xml:space="preserve"> </w:t>
            </w:r>
          </w:p>
        </w:tc>
      </w:tr>
      <w:tr w:rsidR="007D3639" w:rsidRPr="00513337" w:rsidTr="00D238E7">
        <w:trPr>
          <w:cnfStyle w:val="000000010000" w:firstRow="0" w:lastRow="0" w:firstColumn="0" w:lastColumn="0" w:oddVBand="0" w:evenVBand="0" w:oddHBand="0" w:evenHBand="1"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978" w:type="pct"/>
            <w:shd w:val="clear" w:color="auto" w:fill="FFFFFF" w:themeFill="background1"/>
          </w:tcPr>
          <w:p w:rsidR="007D3639" w:rsidRPr="00513337" w:rsidRDefault="007D3639" w:rsidP="00513337">
            <w:pPr>
              <w:keepNext/>
              <w:spacing w:line="240" w:lineRule="auto"/>
              <w:rPr>
                <w:b w:val="0"/>
                <w:bCs/>
                <w:color w:val="000000"/>
                <w:sz w:val="24"/>
                <w:szCs w:val="24"/>
              </w:rPr>
            </w:pPr>
            <w:r w:rsidRPr="00513337">
              <w:rPr>
                <w:b w:val="0"/>
                <w:bCs/>
                <w:sz w:val="24"/>
                <w:szCs w:val="24"/>
              </w:rPr>
              <w:t>B1a/b</w:t>
            </w:r>
          </w:p>
        </w:tc>
        <w:tc>
          <w:tcPr>
            <w:tcW w:w="1009" w:type="pct"/>
            <w:shd w:val="clear" w:color="auto" w:fill="FFFFFF" w:themeFill="background1"/>
            <w:vAlign w:val="center"/>
          </w:tcPr>
          <w:p w:rsidR="007D3639" w:rsidRPr="00513337" w:rsidRDefault="00ED0A80" w:rsidP="00513337">
            <w:pPr>
              <w:keepNext/>
              <w:spacing w:line="240" w:lineRule="auto"/>
              <w:contextualSpacing/>
              <w:jc w:val="center"/>
              <w:cnfStyle w:val="000000010000" w:firstRow="0" w:lastRow="0" w:firstColumn="0" w:lastColumn="0" w:oddVBand="0" w:evenVBand="0" w:oddHBand="0" w:evenHBand="1" w:firstRowFirstColumn="0" w:firstRowLastColumn="0" w:lastRowFirstColumn="0" w:lastRowLastColumn="0"/>
              <w:rPr>
                <w:bCs/>
                <w:color w:val="000000"/>
                <w:sz w:val="24"/>
                <w:szCs w:val="24"/>
              </w:rPr>
            </w:pPr>
            <w:r w:rsidRPr="00513337">
              <w:rPr>
                <w:bCs/>
                <w:sz w:val="24"/>
                <w:szCs w:val="24"/>
              </w:rPr>
              <w:t>71,700</w:t>
            </w:r>
          </w:p>
        </w:tc>
        <w:tc>
          <w:tcPr>
            <w:tcW w:w="955" w:type="pct"/>
            <w:shd w:val="clear" w:color="auto" w:fill="FFFFFF" w:themeFill="background1"/>
            <w:vAlign w:val="center"/>
          </w:tcPr>
          <w:p w:rsidR="007D3639" w:rsidRPr="00513337" w:rsidRDefault="002B0C2F" w:rsidP="00513337">
            <w:pPr>
              <w:keepNext/>
              <w:spacing w:line="240" w:lineRule="auto"/>
              <w:contextualSpacing/>
              <w:jc w:val="center"/>
              <w:cnfStyle w:val="000000010000" w:firstRow="0" w:lastRow="0" w:firstColumn="0" w:lastColumn="0" w:oddVBand="0" w:evenVBand="0" w:oddHBand="0" w:evenHBand="1" w:firstRowFirstColumn="0" w:firstRowLastColumn="0" w:lastRowFirstColumn="0" w:lastRowLastColumn="0"/>
              <w:rPr>
                <w:bCs/>
                <w:color w:val="000000"/>
                <w:sz w:val="24"/>
                <w:szCs w:val="24"/>
              </w:rPr>
            </w:pPr>
            <w:r w:rsidRPr="00513337">
              <w:rPr>
                <w:bCs/>
                <w:sz w:val="24"/>
                <w:szCs w:val="24"/>
              </w:rPr>
              <w:t>4,2</w:t>
            </w:r>
            <w:r w:rsidR="00B93EA4" w:rsidRPr="00513337">
              <w:rPr>
                <w:bCs/>
                <w:sz w:val="24"/>
                <w:szCs w:val="24"/>
              </w:rPr>
              <w:t>0</w:t>
            </w:r>
            <w:r w:rsidRPr="00513337">
              <w:rPr>
                <w:bCs/>
                <w:sz w:val="24"/>
                <w:szCs w:val="24"/>
              </w:rPr>
              <w:t>0</w:t>
            </w:r>
          </w:p>
        </w:tc>
        <w:tc>
          <w:tcPr>
            <w:tcW w:w="1084" w:type="pct"/>
            <w:shd w:val="clear" w:color="auto" w:fill="FFFFFF" w:themeFill="background1"/>
            <w:vAlign w:val="center"/>
          </w:tcPr>
          <w:p w:rsidR="007D3639" w:rsidRPr="00513337" w:rsidRDefault="00ED0A80" w:rsidP="00513337">
            <w:pPr>
              <w:keepNext/>
              <w:spacing w:line="240" w:lineRule="auto"/>
              <w:contextualSpacing/>
              <w:jc w:val="center"/>
              <w:cnfStyle w:val="000000010000" w:firstRow="0" w:lastRow="0" w:firstColumn="0" w:lastColumn="0" w:oddVBand="0" w:evenVBand="0" w:oddHBand="0" w:evenHBand="1" w:firstRowFirstColumn="0" w:firstRowLastColumn="0" w:lastRowFirstColumn="0" w:lastRowLastColumn="0"/>
              <w:rPr>
                <w:bCs/>
                <w:sz w:val="24"/>
                <w:szCs w:val="24"/>
              </w:rPr>
            </w:pPr>
            <w:r w:rsidRPr="00513337">
              <w:rPr>
                <w:bCs/>
                <w:sz w:val="24"/>
                <w:szCs w:val="24"/>
              </w:rPr>
              <w:t>71,700</w:t>
            </w:r>
          </w:p>
        </w:tc>
        <w:tc>
          <w:tcPr>
            <w:tcW w:w="975" w:type="pct"/>
            <w:shd w:val="clear" w:color="auto" w:fill="FFFFFF" w:themeFill="background1"/>
            <w:vAlign w:val="center"/>
          </w:tcPr>
          <w:p w:rsidR="007D3639" w:rsidRPr="00513337" w:rsidRDefault="00B93EA4" w:rsidP="00513337">
            <w:pPr>
              <w:keepNext/>
              <w:spacing w:line="240" w:lineRule="auto"/>
              <w:contextualSpacing/>
              <w:jc w:val="center"/>
              <w:cnfStyle w:val="000000010000" w:firstRow="0" w:lastRow="0" w:firstColumn="0" w:lastColumn="0" w:oddVBand="0" w:evenVBand="0" w:oddHBand="0" w:evenHBand="1" w:firstRowFirstColumn="0" w:firstRowLastColumn="0" w:lastRowFirstColumn="0" w:lastRowLastColumn="0"/>
              <w:rPr>
                <w:bCs/>
                <w:sz w:val="24"/>
                <w:szCs w:val="24"/>
              </w:rPr>
            </w:pPr>
            <w:r w:rsidRPr="00513337">
              <w:rPr>
                <w:bCs/>
                <w:sz w:val="24"/>
                <w:szCs w:val="24"/>
              </w:rPr>
              <w:t>4,200</w:t>
            </w:r>
          </w:p>
        </w:tc>
      </w:tr>
      <w:tr w:rsidR="007D3639" w:rsidRPr="00513337" w:rsidTr="00D238E7">
        <w:trPr>
          <w:trHeight w:val="223"/>
        </w:trPr>
        <w:tc>
          <w:tcPr>
            <w:cnfStyle w:val="001000000000" w:firstRow="0" w:lastRow="0" w:firstColumn="1" w:lastColumn="0" w:oddVBand="0" w:evenVBand="0" w:oddHBand="0" w:evenHBand="0" w:firstRowFirstColumn="0" w:firstRowLastColumn="0" w:lastRowFirstColumn="0" w:lastRowLastColumn="0"/>
            <w:tcW w:w="978" w:type="pct"/>
            <w:shd w:val="clear" w:color="auto" w:fill="FFFFFF" w:themeFill="background1"/>
          </w:tcPr>
          <w:p w:rsidR="007D3639" w:rsidRPr="00513337" w:rsidRDefault="007D3639" w:rsidP="00513337">
            <w:pPr>
              <w:keepNext/>
              <w:spacing w:line="240" w:lineRule="auto"/>
              <w:rPr>
                <w:b w:val="0"/>
                <w:bCs/>
                <w:sz w:val="24"/>
                <w:szCs w:val="24"/>
              </w:rPr>
            </w:pPr>
            <w:r w:rsidRPr="00513337">
              <w:rPr>
                <w:b w:val="0"/>
                <w:bCs/>
                <w:sz w:val="24"/>
                <w:szCs w:val="24"/>
              </w:rPr>
              <w:t>B1c/B2</w:t>
            </w:r>
          </w:p>
        </w:tc>
        <w:tc>
          <w:tcPr>
            <w:tcW w:w="1009" w:type="pct"/>
            <w:shd w:val="clear" w:color="auto" w:fill="FFFFFF" w:themeFill="background1"/>
            <w:vAlign w:val="center"/>
          </w:tcPr>
          <w:p w:rsidR="007D3639" w:rsidRPr="00513337" w:rsidRDefault="00ED0A80" w:rsidP="00513337">
            <w:pPr>
              <w:keepNext/>
              <w:spacing w:line="240" w:lineRule="auto"/>
              <w:contextualSpacing/>
              <w:jc w:val="center"/>
              <w:cnfStyle w:val="000000000000" w:firstRow="0" w:lastRow="0" w:firstColumn="0" w:lastColumn="0" w:oddVBand="0" w:evenVBand="0" w:oddHBand="0" w:evenHBand="0" w:firstRowFirstColumn="0" w:firstRowLastColumn="0" w:lastRowFirstColumn="0" w:lastRowLastColumn="0"/>
              <w:rPr>
                <w:bCs/>
                <w:color w:val="000000"/>
                <w:sz w:val="24"/>
                <w:szCs w:val="24"/>
              </w:rPr>
            </w:pPr>
            <w:r w:rsidRPr="00513337">
              <w:rPr>
                <w:bCs/>
                <w:sz w:val="24"/>
                <w:szCs w:val="24"/>
              </w:rPr>
              <w:t>137,200</w:t>
            </w:r>
          </w:p>
        </w:tc>
        <w:tc>
          <w:tcPr>
            <w:tcW w:w="955" w:type="pct"/>
            <w:shd w:val="clear" w:color="auto" w:fill="FFFFFF" w:themeFill="background1"/>
            <w:vAlign w:val="center"/>
          </w:tcPr>
          <w:p w:rsidR="007D3639" w:rsidRPr="00513337" w:rsidRDefault="002B0C2F" w:rsidP="00513337">
            <w:pPr>
              <w:keepNext/>
              <w:spacing w:line="240" w:lineRule="auto"/>
              <w:contextualSpacing/>
              <w:jc w:val="center"/>
              <w:cnfStyle w:val="000000000000" w:firstRow="0" w:lastRow="0" w:firstColumn="0" w:lastColumn="0" w:oddVBand="0" w:evenVBand="0" w:oddHBand="0" w:evenHBand="0" w:firstRowFirstColumn="0" w:firstRowLastColumn="0" w:lastRowFirstColumn="0" w:lastRowLastColumn="0"/>
              <w:rPr>
                <w:bCs/>
                <w:color w:val="000000"/>
                <w:sz w:val="24"/>
                <w:szCs w:val="24"/>
              </w:rPr>
            </w:pPr>
            <w:r w:rsidRPr="00513337">
              <w:rPr>
                <w:bCs/>
                <w:sz w:val="24"/>
                <w:szCs w:val="24"/>
              </w:rPr>
              <w:t>8,070</w:t>
            </w:r>
          </w:p>
        </w:tc>
        <w:tc>
          <w:tcPr>
            <w:tcW w:w="1084" w:type="pct"/>
            <w:shd w:val="clear" w:color="auto" w:fill="FFFFFF" w:themeFill="background1"/>
          </w:tcPr>
          <w:p w:rsidR="007D3639" w:rsidRPr="00513337" w:rsidDel="00834A3C" w:rsidRDefault="00FF5A93" w:rsidP="00513337">
            <w:pPr>
              <w:keepNext/>
              <w:spacing w:line="240" w:lineRule="auto"/>
              <w:contextualSpacing/>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81,700</w:t>
            </w:r>
          </w:p>
        </w:tc>
        <w:tc>
          <w:tcPr>
            <w:tcW w:w="975" w:type="pct"/>
            <w:shd w:val="clear" w:color="auto" w:fill="FFFFFF" w:themeFill="background1"/>
          </w:tcPr>
          <w:p w:rsidR="007D3639" w:rsidRPr="00513337" w:rsidDel="00834A3C" w:rsidRDefault="002B0C2F" w:rsidP="00513337">
            <w:pPr>
              <w:keepNext/>
              <w:spacing w:line="240" w:lineRule="auto"/>
              <w:contextualSpacing/>
              <w:jc w:val="center"/>
              <w:cnfStyle w:val="000000000000" w:firstRow="0" w:lastRow="0" w:firstColumn="0" w:lastColumn="0" w:oddVBand="0" w:evenVBand="0" w:oddHBand="0" w:evenHBand="0" w:firstRowFirstColumn="0" w:firstRowLastColumn="0" w:lastRowFirstColumn="0" w:lastRowLastColumn="0"/>
              <w:rPr>
                <w:bCs/>
                <w:sz w:val="24"/>
                <w:szCs w:val="24"/>
              </w:rPr>
            </w:pPr>
            <w:r w:rsidRPr="00513337">
              <w:rPr>
                <w:bCs/>
                <w:sz w:val="24"/>
                <w:szCs w:val="24"/>
              </w:rPr>
              <w:t>4,800</w:t>
            </w:r>
          </w:p>
        </w:tc>
      </w:tr>
      <w:tr w:rsidR="007D3639" w:rsidRPr="00513337" w:rsidTr="00D238E7">
        <w:trPr>
          <w:cnfStyle w:val="000000010000" w:firstRow="0" w:lastRow="0" w:firstColumn="0" w:lastColumn="0" w:oddVBand="0" w:evenVBand="0" w:oddHBand="0" w:evenHBand="1"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978" w:type="pct"/>
            <w:shd w:val="clear" w:color="auto" w:fill="FFFFFF" w:themeFill="background1"/>
          </w:tcPr>
          <w:p w:rsidR="007D3639" w:rsidRPr="00513337" w:rsidRDefault="007D3639" w:rsidP="00513337">
            <w:pPr>
              <w:keepNext/>
              <w:spacing w:line="240" w:lineRule="auto"/>
              <w:rPr>
                <w:b w:val="0"/>
                <w:bCs/>
                <w:color w:val="000000"/>
                <w:sz w:val="24"/>
                <w:szCs w:val="24"/>
              </w:rPr>
            </w:pPr>
            <w:r w:rsidRPr="00513337">
              <w:rPr>
                <w:b w:val="0"/>
                <w:bCs/>
                <w:sz w:val="24"/>
                <w:szCs w:val="24"/>
              </w:rPr>
              <w:t>B8</w:t>
            </w:r>
          </w:p>
        </w:tc>
        <w:tc>
          <w:tcPr>
            <w:tcW w:w="1009" w:type="pct"/>
            <w:shd w:val="clear" w:color="auto" w:fill="FFFFFF" w:themeFill="background1"/>
            <w:vAlign w:val="center"/>
          </w:tcPr>
          <w:p w:rsidR="007D3639" w:rsidRPr="00513337" w:rsidRDefault="00ED0A80" w:rsidP="00513337">
            <w:pPr>
              <w:keepNext/>
              <w:spacing w:line="240" w:lineRule="auto"/>
              <w:contextualSpacing/>
              <w:jc w:val="center"/>
              <w:cnfStyle w:val="000000010000" w:firstRow="0" w:lastRow="0" w:firstColumn="0" w:lastColumn="0" w:oddVBand="0" w:evenVBand="0" w:oddHBand="0" w:evenHBand="1" w:firstRowFirstColumn="0" w:firstRowLastColumn="0" w:lastRowFirstColumn="0" w:lastRowLastColumn="0"/>
              <w:rPr>
                <w:bCs/>
                <w:color w:val="000000"/>
                <w:sz w:val="24"/>
                <w:szCs w:val="24"/>
              </w:rPr>
            </w:pPr>
            <w:r w:rsidRPr="00513337">
              <w:rPr>
                <w:bCs/>
                <w:sz w:val="24"/>
                <w:szCs w:val="24"/>
              </w:rPr>
              <w:t>89,400</w:t>
            </w:r>
          </w:p>
        </w:tc>
        <w:tc>
          <w:tcPr>
            <w:tcW w:w="955" w:type="pct"/>
            <w:shd w:val="clear" w:color="auto" w:fill="FFFFFF" w:themeFill="background1"/>
            <w:vAlign w:val="center"/>
          </w:tcPr>
          <w:p w:rsidR="007D3639" w:rsidRPr="00513337" w:rsidRDefault="002B0C2F" w:rsidP="00513337">
            <w:pPr>
              <w:keepNext/>
              <w:spacing w:line="240" w:lineRule="auto"/>
              <w:contextualSpacing/>
              <w:jc w:val="center"/>
              <w:cnfStyle w:val="000000010000" w:firstRow="0" w:lastRow="0" w:firstColumn="0" w:lastColumn="0" w:oddVBand="0" w:evenVBand="0" w:oddHBand="0" w:evenHBand="1" w:firstRowFirstColumn="0" w:firstRowLastColumn="0" w:lastRowFirstColumn="0" w:lastRowLastColumn="0"/>
              <w:rPr>
                <w:bCs/>
                <w:color w:val="000000"/>
                <w:sz w:val="24"/>
                <w:szCs w:val="24"/>
              </w:rPr>
            </w:pPr>
            <w:r w:rsidRPr="00513337">
              <w:rPr>
                <w:bCs/>
                <w:sz w:val="24"/>
                <w:szCs w:val="24"/>
              </w:rPr>
              <w:t>5,300</w:t>
            </w:r>
          </w:p>
        </w:tc>
        <w:tc>
          <w:tcPr>
            <w:tcW w:w="1084" w:type="pct"/>
            <w:shd w:val="clear" w:color="auto" w:fill="FFFFFF" w:themeFill="background1"/>
            <w:vAlign w:val="center"/>
          </w:tcPr>
          <w:p w:rsidR="007D3639" w:rsidRPr="00513337" w:rsidDel="00834A3C" w:rsidRDefault="00ED0A80" w:rsidP="00513337">
            <w:pPr>
              <w:keepNext/>
              <w:spacing w:line="240" w:lineRule="auto"/>
              <w:contextualSpacing/>
              <w:jc w:val="center"/>
              <w:cnfStyle w:val="000000010000" w:firstRow="0" w:lastRow="0" w:firstColumn="0" w:lastColumn="0" w:oddVBand="0" w:evenVBand="0" w:oddHBand="0" w:evenHBand="1" w:firstRowFirstColumn="0" w:firstRowLastColumn="0" w:lastRowFirstColumn="0" w:lastRowLastColumn="0"/>
              <w:rPr>
                <w:bCs/>
                <w:sz w:val="24"/>
                <w:szCs w:val="24"/>
              </w:rPr>
            </w:pPr>
            <w:r w:rsidRPr="00513337">
              <w:rPr>
                <w:bCs/>
                <w:sz w:val="24"/>
                <w:szCs w:val="24"/>
              </w:rPr>
              <w:t>89,400</w:t>
            </w:r>
          </w:p>
        </w:tc>
        <w:tc>
          <w:tcPr>
            <w:tcW w:w="975" w:type="pct"/>
            <w:shd w:val="clear" w:color="auto" w:fill="FFFFFF" w:themeFill="background1"/>
            <w:vAlign w:val="center"/>
          </w:tcPr>
          <w:p w:rsidR="007D3639" w:rsidRPr="00513337" w:rsidDel="00834A3C" w:rsidRDefault="00990236" w:rsidP="00513337">
            <w:pPr>
              <w:keepNext/>
              <w:spacing w:line="240" w:lineRule="auto"/>
              <w:contextualSpacing/>
              <w:jc w:val="center"/>
              <w:cnfStyle w:val="000000010000" w:firstRow="0" w:lastRow="0" w:firstColumn="0" w:lastColumn="0" w:oddVBand="0" w:evenVBand="0" w:oddHBand="0" w:evenHBand="1" w:firstRowFirstColumn="0" w:firstRowLastColumn="0" w:lastRowFirstColumn="0" w:lastRowLastColumn="0"/>
              <w:rPr>
                <w:bCs/>
                <w:sz w:val="24"/>
                <w:szCs w:val="24"/>
              </w:rPr>
            </w:pPr>
            <w:r w:rsidRPr="00513337">
              <w:rPr>
                <w:bCs/>
                <w:sz w:val="24"/>
                <w:szCs w:val="24"/>
              </w:rPr>
              <w:t>5,300</w:t>
            </w:r>
          </w:p>
        </w:tc>
      </w:tr>
      <w:tr w:rsidR="007D3639" w:rsidRPr="00513337" w:rsidTr="00D238E7">
        <w:trPr>
          <w:trHeight w:val="241"/>
        </w:trPr>
        <w:tc>
          <w:tcPr>
            <w:cnfStyle w:val="001000000000" w:firstRow="0" w:lastRow="0" w:firstColumn="1" w:lastColumn="0" w:oddVBand="0" w:evenVBand="0" w:oddHBand="0" w:evenHBand="0" w:firstRowFirstColumn="0" w:firstRowLastColumn="0" w:lastRowFirstColumn="0" w:lastRowLastColumn="0"/>
            <w:tcW w:w="978" w:type="pct"/>
            <w:shd w:val="clear" w:color="auto" w:fill="FFFFFF" w:themeFill="background1"/>
          </w:tcPr>
          <w:p w:rsidR="007D3639" w:rsidRPr="00513337" w:rsidRDefault="007D3639" w:rsidP="00513337">
            <w:pPr>
              <w:keepNext/>
              <w:spacing w:line="240" w:lineRule="auto"/>
              <w:rPr>
                <w:b w:val="0"/>
                <w:bCs/>
                <w:color w:val="000000"/>
                <w:sz w:val="24"/>
                <w:szCs w:val="24"/>
              </w:rPr>
            </w:pPr>
            <w:r w:rsidRPr="00513337">
              <w:rPr>
                <w:b w:val="0"/>
                <w:bCs/>
                <w:color w:val="000000"/>
                <w:sz w:val="24"/>
                <w:szCs w:val="24"/>
              </w:rPr>
              <w:t>Total</w:t>
            </w:r>
          </w:p>
        </w:tc>
        <w:tc>
          <w:tcPr>
            <w:tcW w:w="1009" w:type="pct"/>
            <w:shd w:val="clear" w:color="auto" w:fill="FFFFFF" w:themeFill="background1"/>
            <w:vAlign w:val="center"/>
          </w:tcPr>
          <w:p w:rsidR="007D3639" w:rsidRPr="00513337" w:rsidRDefault="007D3639" w:rsidP="00513337">
            <w:pPr>
              <w:keepNext/>
              <w:spacing w:line="240" w:lineRule="auto"/>
              <w:contextualSpacing/>
              <w:jc w:val="center"/>
              <w:cnfStyle w:val="000000000000" w:firstRow="0" w:lastRow="0" w:firstColumn="0" w:lastColumn="0" w:oddVBand="0" w:evenVBand="0" w:oddHBand="0" w:evenHBand="0" w:firstRowFirstColumn="0" w:firstRowLastColumn="0" w:lastRowFirstColumn="0" w:lastRowLastColumn="0"/>
              <w:rPr>
                <w:bCs/>
                <w:color w:val="000000"/>
                <w:sz w:val="24"/>
                <w:szCs w:val="24"/>
              </w:rPr>
            </w:pPr>
            <w:r w:rsidRPr="00513337">
              <w:rPr>
                <w:bCs/>
                <w:sz w:val="24"/>
                <w:szCs w:val="24"/>
              </w:rPr>
              <w:t>2</w:t>
            </w:r>
            <w:r w:rsidR="002B0C2F" w:rsidRPr="00513337">
              <w:rPr>
                <w:bCs/>
                <w:sz w:val="24"/>
                <w:szCs w:val="24"/>
              </w:rPr>
              <w:t>9</w:t>
            </w:r>
            <w:r w:rsidRPr="00513337">
              <w:rPr>
                <w:bCs/>
                <w:sz w:val="24"/>
                <w:szCs w:val="24"/>
              </w:rPr>
              <w:t>8,300</w:t>
            </w:r>
          </w:p>
        </w:tc>
        <w:tc>
          <w:tcPr>
            <w:tcW w:w="955" w:type="pct"/>
            <w:shd w:val="clear" w:color="auto" w:fill="FFFFFF" w:themeFill="background1"/>
            <w:vAlign w:val="center"/>
          </w:tcPr>
          <w:p w:rsidR="007D3639" w:rsidRPr="00513337" w:rsidRDefault="002B0C2F" w:rsidP="00513337">
            <w:pPr>
              <w:keepNext/>
              <w:spacing w:line="240" w:lineRule="auto"/>
              <w:contextualSpacing/>
              <w:jc w:val="center"/>
              <w:cnfStyle w:val="000000000000" w:firstRow="0" w:lastRow="0" w:firstColumn="0" w:lastColumn="0" w:oddVBand="0" w:evenVBand="0" w:oddHBand="0" w:evenHBand="0" w:firstRowFirstColumn="0" w:firstRowLastColumn="0" w:lastRowFirstColumn="0" w:lastRowLastColumn="0"/>
              <w:rPr>
                <w:bCs/>
                <w:color w:val="000000"/>
                <w:sz w:val="24"/>
                <w:szCs w:val="24"/>
              </w:rPr>
            </w:pPr>
            <w:r w:rsidRPr="00513337">
              <w:rPr>
                <w:bCs/>
                <w:sz w:val="24"/>
                <w:szCs w:val="24"/>
              </w:rPr>
              <w:t>17,5</w:t>
            </w:r>
            <w:r w:rsidR="00E46031" w:rsidRPr="00513337">
              <w:rPr>
                <w:bCs/>
                <w:sz w:val="24"/>
                <w:szCs w:val="24"/>
              </w:rPr>
              <w:t>0</w:t>
            </w:r>
            <w:r w:rsidRPr="00513337">
              <w:rPr>
                <w:bCs/>
                <w:sz w:val="24"/>
                <w:szCs w:val="24"/>
              </w:rPr>
              <w:t>0</w:t>
            </w:r>
          </w:p>
        </w:tc>
        <w:tc>
          <w:tcPr>
            <w:tcW w:w="1084" w:type="pct"/>
            <w:shd w:val="clear" w:color="auto" w:fill="FFFFFF" w:themeFill="background1"/>
          </w:tcPr>
          <w:p w:rsidR="007D3639" w:rsidRPr="00513337" w:rsidRDefault="00FF5A93" w:rsidP="00513337">
            <w:pPr>
              <w:keepNext/>
              <w:spacing w:line="240" w:lineRule="auto"/>
              <w:contextualSpacing/>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242,800</w:t>
            </w:r>
          </w:p>
        </w:tc>
        <w:tc>
          <w:tcPr>
            <w:tcW w:w="975" w:type="pct"/>
            <w:shd w:val="clear" w:color="auto" w:fill="FFFFFF" w:themeFill="background1"/>
          </w:tcPr>
          <w:p w:rsidR="007D3639" w:rsidRPr="00513337" w:rsidRDefault="007D3639" w:rsidP="00513337">
            <w:pPr>
              <w:keepNext/>
              <w:spacing w:line="240" w:lineRule="auto"/>
              <w:contextualSpacing/>
              <w:jc w:val="center"/>
              <w:cnfStyle w:val="000000000000" w:firstRow="0" w:lastRow="0" w:firstColumn="0" w:lastColumn="0" w:oddVBand="0" w:evenVBand="0" w:oddHBand="0" w:evenHBand="0" w:firstRowFirstColumn="0" w:firstRowLastColumn="0" w:lastRowFirstColumn="0" w:lastRowLastColumn="0"/>
              <w:rPr>
                <w:bCs/>
                <w:sz w:val="24"/>
                <w:szCs w:val="24"/>
              </w:rPr>
            </w:pPr>
            <w:r w:rsidRPr="00513337">
              <w:rPr>
                <w:bCs/>
                <w:sz w:val="24"/>
                <w:szCs w:val="24"/>
              </w:rPr>
              <w:t>1</w:t>
            </w:r>
            <w:r w:rsidR="002B0C2F" w:rsidRPr="00513337">
              <w:rPr>
                <w:bCs/>
                <w:sz w:val="24"/>
                <w:szCs w:val="24"/>
              </w:rPr>
              <w:t>4</w:t>
            </w:r>
            <w:r w:rsidRPr="00513337">
              <w:rPr>
                <w:bCs/>
                <w:sz w:val="24"/>
                <w:szCs w:val="24"/>
              </w:rPr>
              <w:t>,</w:t>
            </w:r>
            <w:r w:rsidR="002B0C2F" w:rsidRPr="00513337">
              <w:rPr>
                <w:bCs/>
                <w:sz w:val="24"/>
                <w:szCs w:val="24"/>
              </w:rPr>
              <w:t>300</w:t>
            </w:r>
          </w:p>
        </w:tc>
      </w:tr>
    </w:tbl>
    <w:p w:rsidR="00B0298E" w:rsidRPr="00CA47B9" w:rsidRDefault="00B0298E" w:rsidP="00D238E7">
      <w:pPr>
        <w:pStyle w:val="11Bodytext"/>
        <w:numPr>
          <w:ilvl w:val="0"/>
          <w:numId w:val="0"/>
        </w:numPr>
        <w:spacing w:before="0" w:after="0" w:line="240" w:lineRule="auto"/>
      </w:pPr>
      <w:r w:rsidRPr="00CA47B9">
        <w:t>Source:</w:t>
      </w:r>
      <w:r w:rsidR="004B41A2" w:rsidRPr="00CA47B9">
        <w:t xml:space="preserve"> </w:t>
      </w:r>
      <w:r w:rsidRPr="00CA47B9">
        <w:t>Chichester</w:t>
      </w:r>
      <w:r w:rsidR="004B41A2" w:rsidRPr="00CA47B9">
        <w:t xml:space="preserve"> </w:t>
      </w:r>
      <w:r w:rsidRPr="00CA47B9">
        <w:t>District</w:t>
      </w:r>
      <w:r w:rsidR="004B41A2" w:rsidRPr="00CA47B9">
        <w:t xml:space="preserve"> </w:t>
      </w:r>
      <w:r w:rsidRPr="00CA47B9">
        <w:t>Council</w:t>
      </w:r>
    </w:p>
    <w:p w:rsidR="000C2A2F" w:rsidRPr="00CA47B9" w:rsidRDefault="000C2A2F" w:rsidP="001C73B8">
      <w:pPr>
        <w:pStyle w:val="11Bodytext"/>
        <w:tabs>
          <w:tab w:val="clear" w:pos="2212"/>
          <w:tab w:val="num" w:pos="567"/>
        </w:tabs>
        <w:ind w:left="567" w:hanging="567"/>
      </w:pPr>
      <w:r w:rsidRPr="00CA47B9">
        <w:t>Next</w:t>
      </w:r>
      <w:r w:rsidR="00855CA6">
        <w:t>,</w:t>
      </w:r>
      <w:r w:rsidRPr="00CA47B9">
        <w:t xml:space="preserve"> we consider the historic trend in employment floorspace which has been lost through redevelopment. This includes through </w:t>
      </w:r>
      <w:r w:rsidR="00855CA6">
        <w:t xml:space="preserve">the </w:t>
      </w:r>
      <w:r w:rsidRPr="00CA47B9">
        <w:t xml:space="preserve">change of use to </w:t>
      </w:r>
      <w:r w:rsidR="00F8757F">
        <w:t xml:space="preserve">commercial and </w:t>
      </w:r>
      <w:r w:rsidRPr="00CA47B9">
        <w:t xml:space="preserve">non-B Class </w:t>
      </w:r>
      <w:r w:rsidR="00CA47B9" w:rsidRPr="00CA47B9">
        <w:t>uses;</w:t>
      </w:r>
      <w:r w:rsidR="00DF699A" w:rsidRPr="00CA47B9">
        <w:t xml:space="preserve"> </w:t>
      </w:r>
      <w:r w:rsidR="009E4D60" w:rsidRPr="00CA47B9">
        <w:t>however,</w:t>
      </w:r>
      <w:r w:rsidR="00DF699A" w:rsidRPr="00CA47B9">
        <w:t xml:space="preserve"> this </w:t>
      </w:r>
      <w:r w:rsidR="00F8757F">
        <w:t xml:space="preserve">latter </w:t>
      </w:r>
      <w:r w:rsidR="00DF699A" w:rsidRPr="00CA47B9">
        <w:t>data is only supplied from 2011</w:t>
      </w:r>
      <w:r w:rsidRPr="00CA47B9">
        <w:t>.</w:t>
      </w:r>
      <w:r w:rsidR="00EE79FA" w:rsidRPr="00CA47B9">
        <w:t xml:space="preserve"> For the </w:t>
      </w:r>
      <w:r w:rsidR="00DE17D7">
        <w:t>plan</w:t>
      </w:r>
      <w:r w:rsidR="00EE79FA" w:rsidRPr="00CA47B9">
        <w:t xml:space="preserve"> area o</w:t>
      </w:r>
      <w:r w:rsidR="008650A2" w:rsidRPr="00CA47B9">
        <w:t xml:space="preserve">ver </w:t>
      </w:r>
      <w:r w:rsidR="00DF699A" w:rsidRPr="00CA47B9">
        <w:t>the 20</w:t>
      </w:r>
      <w:r w:rsidR="00876369">
        <w:t>0</w:t>
      </w:r>
      <w:r w:rsidR="00DF699A" w:rsidRPr="00CA47B9">
        <w:t>1-2018</w:t>
      </w:r>
      <w:r w:rsidR="008650A2" w:rsidRPr="00CA47B9">
        <w:t xml:space="preserve"> </w:t>
      </w:r>
      <w:proofErr w:type="gramStart"/>
      <w:r w:rsidR="008650A2" w:rsidRPr="00CA47B9">
        <w:t>period</w:t>
      </w:r>
      <w:proofErr w:type="gramEnd"/>
      <w:r w:rsidR="00855CA6">
        <w:t>,</w:t>
      </w:r>
      <w:r w:rsidR="008650A2" w:rsidRPr="00CA47B9">
        <w:t xml:space="preserve"> there have been total </w:t>
      </w:r>
      <w:r w:rsidR="00A814A5">
        <w:t xml:space="preserve">recorded </w:t>
      </w:r>
      <w:r w:rsidR="008650A2" w:rsidRPr="00CA47B9">
        <w:t xml:space="preserve">losses of </w:t>
      </w:r>
      <w:r w:rsidR="0008699F">
        <w:t>118,000</w:t>
      </w:r>
      <w:r w:rsidR="008650A2" w:rsidRPr="00CA47B9">
        <w:t xml:space="preserve"> sqm of employment land – equivalent to </w:t>
      </w:r>
      <w:r w:rsidR="0008699F">
        <w:t>6,940</w:t>
      </w:r>
      <w:r w:rsidR="008650A2" w:rsidRPr="00CA47B9">
        <w:t xml:space="preserve"> sqm per annum. </w:t>
      </w:r>
      <w:r w:rsidR="00A814A5">
        <w:t>However</w:t>
      </w:r>
      <w:r w:rsidR="00855CA6">
        <w:t>,</w:t>
      </w:r>
      <w:r w:rsidR="00A814A5">
        <w:t xml:space="preserve"> based on the 2011 onwards data, </w:t>
      </w:r>
      <w:r w:rsidR="0008699F">
        <w:t xml:space="preserve">50,215 </w:t>
      </w:r>
      <w:r w:rsidR="005745CA">
        <w:t xml:space="preserve">total </w:t>
      </w:r>
      <w:r w:rsidR="0008699F">
        <w:t>s</w:t>
      </w:r>
      <w:r w:rsidR="009274F6">
        <w:t xml:space="preserve">qm was lost of which the majority </w:t>
      </w:r>
      <w:r w:rsidR="0008699F">
        <w:t>38,415</w:t>
      </w:r>
      <w:r w:rsidR="00A814A5">
        <w:t xml:space="preserve"> sqm was lost to housing.</w:t>
      </w:r>
    </w:p>
    <w:p w:rsidR="004A553E" w:rsidRDefault="00EE79FA" w:rsidP="001C73B8">
      <w:pPr>
        <w:pStyle w:val="11Bodytext"/>
        <w:tabs>
          <w:tab w:val="clear" w:pos="2212"/>
          <w:tab w:val="num" w:pos="567"/>
        </w:tabs>
        <w:ind w:left="567" w:hanging="567"/>
      </w:pPr>
      <w:r w:rsidRPr="00CA47B9">
        <w:t xml:space="preserve">The </w:t>
      </w:r>
      <w:r w:rsidR="00990236" w:rsidRPr="00CA47B9">
        <w:t>table</w:t>
      </w:r>
      <w:r w:rsidRPr="00CA47B9">
        <w:t xml:space="preserve"> below</w:t>
      </w:r>
      <w:r w:rsidR="004A553E" w:rsidRPr="00CA47B9">
        <w:t xml:space="preserve"> compares the completions and losses data</w:t>
      </w:r>
      <w:r w:rsidR="00F8757F">
        <w:t>.</w:t>
      </w:r>
      <w:r w:rsidR="004A553E" w:rsidRPr="00CA47B9">
        <w:t xml:space="preserve"> The</w:t>
      </w:r>
      <w:r w:rsidR="008E4484" w:rsidRPr="00CA47B9">
        <w:t xml:space="preserve"> </w:t>
      </w:r>
      <w:r w:rsidR="004A553E" w:rsidRPr="00CA47B9">
        <w:t xml:space="preserve">2004 </w:t>
      </w:r>
      <w:r w:rsidR="00F8757F">
        <w:t xml:space="preserve">Rolls Royce </w:t>
      </w:r>
      <w:r w:rsidR="004A553E" w:rsidRPr="00CA47B9">
        <w:t xml:space="preserve">outlier is excluded from the data. </w:t>
      </w:r>
      <w:r w:rsidR="00F65BCE" w:rsidRPr="00CA47B9">
        <w:t>It should be noted that los</w:t>
      </w:r>
      <w:r w:rsidR="00C84DAD" w:rsidRPr="00CA47B9">
        <w:t xml:space="preserve">ses to residential are recorded in hectares and conversions </w:t>
      </w:r>
      <w:r w:rsidR="00F8757F">
        <w:t xml:space="preserve">to sqm </w:t>
      </w:r>
      <w:r w:rsidR="00C84DAD" w:rsidRPr="00CA47B9">
        <w:t>have been made on the assumptions noted previously regarding</w:t>
      </w:r>
      <w:r w:rsidR="00F8757F">
        <w:t xml:space="preserve"> average plot ratios</w:t>
      </w:r>
      <w:r w:rsidR="00C84DAD" w:rsidRPr="00CA47B9">
        <w:t>.</w:t>
      </w:r>
    </w:p>
    <w:p w:rsidR="008650A2" w:rsidRDefault="00990236" w:rsidP="001C73B8">
      <w:pPr>
        <w:pStyle w:val="11Bodytext"/>
        <w:tabs>
          <w:tab w:val="clear" w:pos="2212"/>
          <w:tab w:val="num" w:pos="567"/>
        </w:tabs>
        <w:ind w:left="567" w:hanging="567"/>
      </w:pPr>
      <w:r w:rsidRPr="00CA47B9">
        <w:t>T</w:t>
      </w:r>
      <w:r w:rsidR="007E30FA" w:rsidRPr="00CA47B9">
        <w:t>he losses data reflect</w:t>
      </w:r>
      <w:r w:rsidRPr="00CA47B9">
        <w:t>s</w:t>
      </w:r>
      <w:r w:rsidR="007E30FA" w:rsidRPr="00CA47B9">
        <w:t xml:space="preserve"> the high demand for residential uses in the </w:t>
      </w:r>
      <w:r w:rsidRPr="00CA47B9">
        <w:t>area</w:t>
      </w:r>
      <w:r w:rsidR="007E30FA" w:rsidRPr="00CA47B9">
        <w:t xml:space="preserve"> and the relative land values</w:t>
      </w:r>
      <w:r w:rsidR="008E4484" w:rsidRPr="00CA47B9">
        <w:t xml:space="preserve"> </w:t>
      </w:r>
      <w:r w:rsidR="007E30FA" w:rsidRPr="00CA47B9">
        <w:t>associated with residential compared to</w:t>
      </w:r>
      <w:r w:rsidR="008E4484" w:rsidRPr="00CA47B9">
        <w:t xml:space="preserve"> </w:t>
      </w:r>
      <w:r w:rsidR="007E30FA" w:rsidRPr="00CA47B9">
        <w:t xml:space="preserve">employment uses. </w:t>
      </w:r>
      <w:r w:rsidR="00B47593">
        <w:t xml:space="preserve">Losses of industrial to residential may represent land that no longer required by industry reflecting changes in the economy as well as in some instances land that may still have had potential commercial use but where redevelopment </w:t>
      </w:r>
      <w:r w:rsidR="00E46031">
        <w:t xml:space="preserve">for employment </w:t>
      </w:r>
      <w:r w:rsidR="00B47593">
        <w:t xml:space="preserve">is not viable. Losses </w:t>
      </w:r>
      <w:r w:rsidR="00862E2B">
        <w:t xml:space="preserve">from </w:t>
      </w:r>
      <w:r w:rsidR="00B47593">
        <w:t xml:space="preserve">office </w:t>
      </w:r>
      <w:r w:rsidR="00862E2B">
        <w:t xml:space="preserve">use </w:t>
      </w:r>
      <w:r w:rsidR="00B47593">
        <w:t>include a mix of permitted development and changes of use from vacant or redundant offices.</w:t>
      </w:r>
    </w:p>
    <w:p w:rsidR="00E46031" w:rsidRPr="00CA47B9" w:rsidRDefault="00E46031" w:rsidP="001C73B8">
      <w:pPr>
        <w:pStyle w:val="11Bodytext"/>
        <w:tabs>
          <w:tab w:val="clear" w:pos="2212"/>
          <w:tab w:val="num" w:pos="567"/>
        </w:tabs>
        <w:ind w:left="567" w:hanging="567"/>
      </w:pPr>
      <w:r>
        <w:t>The table below examines the net trend both between losses to commercial and losses to residential</w:t>
      </w:r>
      <w:r w:rsidR="008D534D">
        <w:t xml:space="preserve">, rounded where </w:t>
      </w:r>
      <w:r w:rsidR="009D3DA3">
        <w:t>appropriate</w:t>
      </w:r>
      <w:r>
        <w:t>.</w:t>
      </w:r>
    </w:p>
    <w:p w:rsidR="00FF7C73" w:rsidRPr="00CA47B9" w:rsidRDefault="00563546" w:rsidP="00D238E7">
      <w:pPr>
        <w:pStyle w:val="Tableheading"/>
        <w:tabs>
          <w:tab w:val="clear" w:pos="794"/>
          <w:tab w:val="clear" w:pos="1843"/>
          <w:tab w:val="left" w:pos="0"/>
        </w:tabs>
        <w:ind w:left="0" w:firstLine="0"/>
      </w:pPr>
      <w:r w:rsidRPr="00CA47B9">
        <w:lastRenderedPageBreak/>
        <w:t xml:space="preserve">Net Completions Excluding Rolls Royce Development (sqm) – </w:t>
      </w:r>
      <w:r>
        <w:t>Plan Area</w:t>
      </w:r>
    </w:p>
    <w:tbl>
      <w:tblPr>
        <w:tblStyle w:val="TableGridLight1"/>
        <w:tblW w:w="4914" w:type="pct"/>
        <w:tblInd w:w="108" w:type="dxa"/>
        <w:tblLook w:val="04A0" w:firstRow="1" w:lastRow="0" w:firstColumn="1" w:lastColumn="0" w:noHBand="0" w:noVBand="1"/>
        <w:tblCaption w:val="Table 60: Net Completions Excluding Rolls Royce Development (sqm) – Plan Area"/>
      </w:tblPr>
      <w:tblGrid>
        <w:gridCol w:w="3330"/>
        <w:gridCol w:w="2690"/>
        <w:gridCol w:w="896"/>
        <w:gridCol w:w="1047"/>
        <w:gridCol w:w="896"/>
        <w:gridCol w:w="819"/>
      </w:tblGrid>
      <w:tr w:rsidR="009C69BA" w:rsidRPr="00513337" w:rsidTr="00D238E7">
        <w:trPr>
          <w:trHeight w:val="260"/>
          <w:tblHeader/>
        </w:trPr>
        <w:tc>
          <w:tcPr>
            <w:tcW w:w="1720" w:type="pct"/>
            <w:shd w:val="clear" w:color="auto" w:fill="0093D5"/>
            <w:noWrap/>
            <w:hideMark/>
          </w:tcPr>
          <w:p w:rsidR="009C69BA" w:rsidRPr="00513337" w:rsidRDefault="009C69BA" w:rsidP="00C67726">
            <w:pPr>
              <w:keepNext/>
              <w:spacing w:line="300" w:lineRule="auto"/>
              <w:rPr>
                <w:rFonts w:ascii="Arial Narrow" w:hAnsi="Arial Narrow" w:cs="Arial"/>
                <w:bCs/>
                <w:color w:val="FFFFFF" w:themeColor="background1"/>
                <w:sz w:val="24"/>
                <w:szCs w:val="24"/>
                <w:lang w:eastAsia="en-GB"/>
              </w:rPr>
            </w:pPr>
          </w:p>
        </w:tc>
        <w:tc>
          <w:tcPr>
            <w:tcW w:w="1390" w:type="pct"/>
            <w:shd w:val="clear" w:color="auto" w:fill="0093D5"/>
            <w:noWrap/>
            <w:hideMark/>
          </w:tcPr>
          <w:p w:rsidR="009C69BA" w:rsidRPr="00513337" w:rsidRDefault="005C1A48" w:rsidP="00C67726">
            <w:pPr>
              <w:keepNext/>
              <w:spacing w:line="300" w:lineRule="auto"/>
              <w:rPr>
                <w:rFonts w:ascii="Arial Narrow" w:hAnsi="Arial Narrow" w:cs="Arial"/>
                <w:bCs/>
                <w:color w:val="FFFFFF" w:themeColor="background1"/>
                <w:sz w:val="24"/>
                <w:szCs w:val="24"/>
                <w:lang w:eastAsia="en-GB"/>
              </w:rPr>
            </w:pPr>
            <w:r w:rsidRPr="00513337">
              <w:rPr>
                <w:rFonts w:ascii="Arial Narrow" w:hAnsi="Arial Narrow" w:cs="Arial"/>
                <w:bCs/>
                <w:color w:val="FFFFFF" w:themeColor="background1"/>
                <w:sz w:val="24"/>
                <w:szCs w:val="24"/>
                <w:lang w:eastAsia="en-GB"/>
              </w:rPr>
              <w:t>Measure</w:t>
            </w:r>
          </w:p>
        </w:tc>
        <w:tc>
          <w:tcPr>
            <w:tcW w:w="463" w:type="pct"/>
            <w:shd w:val="clear" w:color="auto" w:fill="0093D5"/>
            <w:noWrap/>
            <w:vAlign w:val="center"/>
            <w:hideMark/>
          </w:tcPr>
          <w:p w:rsidR="009C69BA" w:rsidRPr="00513337" w:rsidRDefault="009C69BA" w:rsidP="00C67726">
            <w:pPr>
              <w:keepNext/>
              <w:spacing w:line="300" w:lineRule="auto"/>
              <w:jc w:val="center"/>
              <w:rPr>
                <w:rFonts w:ascii="Arial Narrow" w:hAnsi="Arial Narrow" w:cs="Arial"/>
                <w:bCs/>
                <w:color w:val="FFFFFF" w:themeColor="background1"/>
                <w:sz w:val="24"/>
                <w:szCs w:val="24"/>
                <w:lang w:eastAsia="en-GB"/>
              </w:rPr>
            </w:pPr>
            <w:r w:rsidRPr="00513337">
              <w:rPr>
                <w:rFonts w:ascii="Arial Narrow" w:hAnsi="Arial Narrow" w:cs="Arial"/>
                <w:bCs/>
                <w:color w:val="FFFFFF" w:themeColor="background1"/>
                <w:sz w:val="24"/>
                <w:szCs w:val="24"/>
                <w:lang w:eastAsia="en-GB"/>
              </w:rPr>
              <w:t>B1a/b</w:t>
            </w:r>
          </w:p>
        </w:tc>
        <w:tc>
          <w:tcPr>
            <w:tcW w:w="541" w:type="pct"/>
            <w:shd w:val="clear" w:color="auto" w:fill="0093D5"/>
            <w:noWrap/>
            <w:vAlign w:val="center"/>
            <w:hideMark/>
          </w:tcPr>
          <w:p w:rsidR="009C69BA" w:rsidRPr="00513337" w:rsidRDefault="009C69BA" w:rsidP="00C67726">
            <w:pPr>
              <w:keepNext/>
              <w:spacing w:line="300" w:lineRule="auto"/>
              <w:jc w:val="center"/>
              <w:rPr>
                <w:rFonts w:ascii="Arial Narrow" w:hAnsi="Arial Narrow" w:cs="Arial"/>
                <w:bCs/>
                <w:color w:val="FFFFFF" w:themeColor="background1"/>
                <w:sz w:val="24"/>
                <w:szCs w:val="24"/>
                <w:lang w:eastAsia="en-GB"/>
              </w:rPr>
            </w:pPr>
            <w:r w:rsidRPr="00513337">
              <w:rPr>
                <w:rFonts w:ascii="Arial Narrow" w:hAnsi="Arial Narrow" w:cs="Arial"/>
                <w:bCs/>
                <w:color w:val="FFFFFF" w:themeColor="background1"/>
                <w:sz w:val="24"/>
                <w:szCs w:val="24"/>
                <w:lang w:eastAsia="en-GB"/>
              </w:rPr>
              <w:t>B1c/B2</w:t>
            </w:r>
          </w:p>
        </w:tc>
        <w:tc>
          <w:tcPr>
            <w:tcW w:w="463" w:type="pct"/>
            <w:shd w:val="clear" w:color="auto" w:fill="0093D5"/>
            <w:noWrap/>
            <w:vAlign w:val="center"/>
            <w:hideMark/>
          </w:tcPr>
          <w:p w:rsidR="009C69BA" w:rsidRPr="00513337" w:rsidRDefault="009C69BA" w:rsidP="00C67726">
            <w:pPr>
              <w:keepNext/>
              <w:spacing w:line="300" w:lineRule="auto"/>
              <w:jc w:val="center"/>
              <w:rPr>
                <w:rFonts w:ascii="Arial Narrow" w:hAnsi="Arial Narrow" w:cs="Arial"/>
                <w:bCs/>
                <w:color w:val="FFFFFF" w:themeColor="background1"/>
                <w:sz w:val="24"/>
                <w:szCs w:val="24"/>
                <w:lang w:eastAsia="en-GB"/>
              </w:rPr>
            </w:pPr>
            <w:r w:rsidRPr="00513337">
              <w:rPr>
                <w:rFonts w:ascii="Arial Narrow" w:hAnsi="Arial Narrow" w:cs="Arial"/>
                <w:bCs/>
                <w:color w:val="FFFFFF" w:themeColor="background1"/>
                <w:sz w:val="24"/>
                <w:szCs w:val="24"/>
                <w:lang w:eastAsia="en-GB"/>
              </w:rPr>
              <w:t>B8</w:t>
            </w:r>
          </w:p>
        </w:tc>
        <w:tc>
          <w:tcPr>
            <w:tcW w:w="423" w:type="pct"/>
            <w:shd w:val="clear" w:color="auto" w:fill="0093D5"/>
            <w:noWrap/>
            <w:vAlign w:val="center"/>
            <w:hideMark/>
          </w:tcPr>
          <w:p w:rsidR="009C69BA" w:rsidRPr="00513337" w:rsidRDefault="009C69BA" w:rsidP="00C67726">
            <w:pPr>
              <w:keepNext/>
              <w:spacing w:line="300" w:lineRule="auto"/>
              <w:jc w:val="center"/>
              <w:rPr>
                <w:rFonts w:ascii="Arial Narrow" w:hAnsi="Arial Narrow" w:cs="Arial"/>
                <w:bCs/>
                <w:color w:val="FFFFFF" w:themeColor="background1"/>
                <w:sz w:val="24"/>
                <w:szCs w:val="24"/>
                <w:lang w:eastAsia="en-GB"/>
              </w:rPr>
            </w:pPr>
            <w:r w:rsidRPr="00513337">
              <w:rPr>
                <w:rFonts w:ascii="Arial Narrow" w:hAnsi="Arial Narrow" w:cs="Arial"/>
                <w:bCs/>
                <w:color w:val="FFFFFF" w:themeColor="background1"/>
                <w:sz w:val="24"/>
                <w:szCs w:val="24"/>
                <w:lang w:eastAsia="en-GB"/>
              </w:rPr>
              <w:t>Total</w:t>
            </w:r>
          </w:p>
        </w:tc>
      </w:tr>
      <w:tr w:rsidR="00B93EA4" w:rsidRPr="00513337" w:rsidTr="00D238E7">
        <w:trPr>
          <w:trHeight w:val="260"/>
        </w:trPr>
        <w:tc>
          <w:tcPr>
            <w:tcW w:w="1720" w:type="pct"/>
            <w:noWrap/>
            <w:vAlign w:val="center"/>
          </w:tcPr>
          <w:p w:rsidR="00B93EA4" w:rsidRPr="00513337" w:rsidRDefault="00B93EA4" w:rsidP="00C67726">
            <w:pPr>
              <w:keepNext/>
              <w:spacing w:line="300" w:lineRule="auto"/>
              <w:rPr>
                <w:rFonts w:ascii="Arial Narrow" w:hAnsi="Arial Narrow" w:cs="Arial"/>
                <w:sz w:val="24"/>
                <w:szCs w:val="24"/>
                <w:lang w:eastAsia="en-GB"/>
              </w:rPr>
            </w:pPr>
            <w:r w:rsidRPr="00513337">
              <w:rPr>
                <w:rFonts w:ascii="Arial Narrow" w:hAnsi="Arial Narrow" w:cs="Arial"/>
                <w:sz w:val="24"/>
                <w:szCs w:val="24"/>
                <w:lang w:eastAsia="en-GB"/>
              </w:rPr>
              <w:t>Gross Completions</w:t>
            </w:r>
            <w:r w:rsidR="00F8757F" w:rsidRPr="00513337">
              <w:rPr>
                <w:rFonts w:ascii="Arial Narrow" w:hAnsi="Arial Narrow" w:cs="Arial"/>
                <w:sz w:val="24"/>
                <w:szCs w:val="24"/>
                <w:lang w:eastAsia="en-GB"/>
              </w:rPr>
              <w:t xml:space="preserve"> (A)</w:t>
            </w:r>
          </w:p>
        </w:tc>
        <w:tc>
          <w:tcPr>
            <w:tcW w:w="1390" w:type="pct"/>
            <w:noWrap/>
            <w:vAlign w:val="center"/>
          </w:tcPr>
          <w:p w:rsidR="00B93EA4" w:rsidRPr="00513337" w:rsidRDefault="00B93EA4" w:rsidP="00C67726">
            <w:pPr>
              <w:keepNext/>
              <w:spacing w:line="300" w:lineRule="auto"/>
              <w:rPr>
                <w:rFonts w:ascii="Arial Narrow" w:hAnsi="Arial Narrow" w:cs="Arial"/>
                <w:sz w:val="24"/>
                <w:szCs w:val="24"/>
                <w:lang w:eastAsia="en-GB"/>
              </w:rPr>
            </w:pPr>
            <w:r w:rsidRPr="00513337">
              <w:rPr>
                <w:rFonts w:ascii="Arial Narrow" w:hAnsi="Arial Narrow" w:cs="Arial"/>
                <w:sz w:val="24"/>
                <w:szCs w:val="24"/>
                <w:lang w:eastAsia="en-GB"/>
              </w:rPr>
              <w:t>Annual average (2001-18)</w:t>
            </w:r>
          </w:p>
        </w:tc>
        <w:tc>
          <w:tcPr>
            <w:tcW w:w="463" w:type="pct"/>
            <w:noWrap/>
            <w:vAlign w:val="bottom"/>
          </w:tcPr>
          <w:p w:rsidR="00B93EA4" w:rsidRPr="00513337" w:rsidRDefault="00B93EA4" w:rsidP="00C67726">
            <w:pPr>
              <w:keepNext/>
              <w:spacing w:line="300" w:lineRule="auto"/>
              <w:jc w:val="center"/>
              <w:rPr>
                <w:rFonts w:ascii="Arial Narrow" w:hAnsi="Arial Narrow" w:cs="Arial"/>
                <w:sz w:val="24"/>
                <w:szCs w:val="24"/>
              </w:rPr>
            </w:pPr>
            <w:r w:rsidRPr="00513337">
              <w:rPr>
                <w:rFonts w:ascii="Arial Narrow" w:hAnsi="Arial Narrow" w:cs="Arial"/>
                <w:sz w:val="24"/>
                <w:szCs w:val="24"/>
              </w:rPr>
              <w:t>4,200</w:t>
            </w:r>
          </w:p>
        </w:tc>
        <w:tc>
          <w:tcPr>
            <w:tcW w:w="541" w:type="pct"/>
            <w:noWrap/>
            <w:vAlign w:val="bottom"/>
          </w:tcPr>
          <w:p w:rsidR="00B93EA4" w:rsidRPr="00513337" w:rsidRDefault="00B93EA4" w:rsidP="00C67726">
            <w:pPr>
              <w:keepNext/>
              <w:spacing w:line="300" w:lineRule="auto"/>
              <w:jc w:val="center"/>
              <w:rPr>
                <w:rFonts w:ascii="Arial Narrow" w:hAnsi="Arial Narrow" w:cs="Arial"/>
                <w:sz w:val="24"/>
                <w:szCs w:val="24"/>
              </w:rPr>
            </w:pPr>
            <w:r w:rsidRPr="00513337">
              <w:rPr>
                <w:rFonts w:ascii="Arial Narrow" w:hAnsi="Arial Narrow" w:cs="Arial"/>
                <w:sz w:val="24"/>
                <w:szCs w:val="24"/>
              </w:rPr>
              <w:t>4,800</w:t>
            </w:r>
          </w:p>
        </w:tc>
        <w:tc>
          <w:tcPr>
            <w:tcW w:w="463" w:type="pct"/>
            <w:noWrap/>
            <w:vAlign w:val="bottom"/>
          </w:tcPr>
          <w:p w:rsidR="00B93EA4" w:rsidRPr="00513337" w:rsidRDefault="00B93EA4" w:rsidP="00C67726">
            <w:pPr>
              <w:keepNext/>
              <w:spacing w:line="300" w:lineRule="auto"/>
              <w:jc w:val="center"/>
              <w:rPr>
                <w:rFonts w:ascii="Arial Narrow" w:hAnsi="Arial Narrow" w:cs="Arial"/>
                <w:sz w:val="24"/>
                <w:szCs w:val="24"/>
              </w:rPr>
            </w:pPr>
            <w:r w:rsidRPr="00513337">
              <w:rPr>
                <w:rFonts w:ascii="Arial Narrow" w:hAnsi="Arial Narrow" w:cs="Arial"/>
                <w:sz w:val="24"/>
                <w:szCs w:val="24"/>
              </w:rPr>
              <w:t>5,300</w:t>
            </w:r>
          </w:p>
        </w:tc>
        <w:tc>
          <w:tcPr>
            <w:tcW w:w="423" w:type="pct"/>
            <w:noWrap/>
            <w:vAlign w:val="bottom"/>
          </w:tcPr>
          <w:p w:rsidR="00B93EA4" w:rsidRPr="00513337" w:rsidRDefault="00B93EA4" w:rsidP="00C67726">
            <w:pPr>
              <w:keepNext/>
              <w:spacing w:line="300" w:lineRule="auto"/>
              <w:jc w:val="center"/>
              <w:rPr>
                <w:rFonts w:ascii="Arial Narrow" w:hAnsi="Arial Narrow" w:cs="Arial"/>
                <w:sz w:val="24"/>
                <w:szCs w:val="24"/>
              </w:rPr>
            </w:pPr>
            <w:r w:rsidRPr="00513337">
              <w:rPr>
                <w:rFonts w:ascii="Arial Narrow" w:hAnsi="Arial Narrow" w:cs="Arial"/>
                <w:sz w:val="24"/>
                <w:szCs w:val="24"/>
              </w:rPr>
              <w:t>14,300</w:t>
            </w:r>
          </w:p>
        </w:tc>
      </w:tr>
      <w:tr w:rsidR="00B93EA4" w:rsidRPr="00513337" w:rsidTr="00D238E7">
        <w:trPr>
          <w:trHeight w:val="260"/>
        </w:trPr>
        <w:tc>
          <w:tcPr>
            <w:tcW w:w="1720" w:type="pct"/>
            <w:noWrap/>
            <w:vAlign w:val="center"/>
            <w:hideMark/>
          </w:tcPr>
          <w:p w:rsidR="00B93EA4" w:rsidRPr="00513337" w:rsidRDefault="00B93EA4" w:rsidP="00C67726">
            <w:pPr>
              <w:keepNext/>
              <w:spacing w:line="300" w:lineRule="auto"/>
              <w:rPr>
                <w:rFonts w:ascii="Arial Narrow" w:hAnsi="Arial Narrow" w:cs="Arial"/>
                <w:sz w:val="24"/>
                <w:szCs w:val="24"/>
                <w:lang w:eastAsia="en-GB"/>
              </w:rPr>
            </w:pPr>
            <w:r w:rsidRPr="00513337">
              <w:rPr>
                <w:rFonts w:ascii="Arial Narrow" w:hAnsi="Arial Narrow" w:cs="Arial"/>
                <w:sz w:val="24"/>
                <w:szCs w:val="24"/>
                <w:lang w:eastAsia="en-GB"/>
              </w:rPr>
              <w:t xml:space="preserve">Losses (to </w:t>
            </w:r>
            <w:r w:rsidR="00F8757F" w:rsidRPr="00513337">
              <w:rPr>
                <w:rFonts w:ascii="Arial Narrow" w:hAnsi="Arial Narrow" w:cs="Arial"/>
                <w:sz w:val="24"/>
                <w:szCs w:val="24"/>
                <w:lang w:eastAsia="en-GB"/>
              </w:rPr>
              <w:t xml:space="preserve">Commercial </w:t>
            </w:r>
            <w:r w:rsidRPr="00513337">
              <w:rPr>
                <w:rFonts w:ascii="Arial Narrow" w:hAnsi="Arial Narrow" w:cs="Arial"/>
                <w:sz w:val="24"/>
                <w:szCs w:val="24"/>
                <w:lang w:eastAsia="en-GB"/>
              </w:rPr>
              <w:t>uses)</w:t>
            </w:r>
            <w:r w:rsidR="00F8757F" w:rsidRPr="00513337">
              <w:rPr>
                <w:rFonts w:ascii="Arial Narrow" w:hAnsi="Arial Narrow" w:cs="Arial"/>
                <w:sz w:val="24"/>
                <w:szCs w:val="24"/>
                <w:lang w:eastAsia="en-GB"/>
              </w:rPr>
              <w:t xml:space="preserve"> (B)</w:t>
            </w:r>
          </w:p>
        </w:tc>
        <w:tc>
          <w:tcPr>
            <w:tcW w:w="1390" w:type="pct"/>
            <w:noWrap/>
            <w:vAlign w:val="center"/>
            <w:hideMark/>
          </w:tcPr>
          <w:p w:rsidR="00B93EA4" w:rsidRPr="00513337" w:rsidRDefault="00B93EA4" w:rsidP="00C67726">
            <w:pPr>
              <w:keepNext/>
              <w:spacing w:line="300" w:lineRule="auto"/>
              <w:rPr>
                <w:rFonts w:ascii="Arial Narrow" w:hAnsi="Arial Narrow" w:cs="Arial"/>
                <w:sz w:val="24"/>
                <w:szCs w:val="24"/>
                <w:lang w:eastAsia="en-GB"/>
              </w:rPr>
            </w:pPr>
            <w:r w:rsidRPr="00513337">
              <w:rPr>
                <w:rFonts w:ascii="Arial Narrow" w:hAnsi="Arial Narrow" w:cs="Arial"/>
                <w:sz w:val="24"/>
                <w:szCs w:val="24"/>
                <w:lang w:eastAsia="en-GB"/>
              </w:rPr>
              <w:t>Annual average (2001-18)</w:t>
            </w:r>
          </w:p>
        </w:tc>
        <w:tc>
          <w:tcPr>
            <w:tcW w:w="463" w:type="pct"/>
            <w:noWrap/>
            <w:vAlign w:val="bottom"/>
            <w:hideMark/>
          </w:tcPr>
          <w:p w:rsidR="00B93EA4" w:rsidRPr="00513337" w:rsidRDefault="00B93EA4" w:rsidP="00C67726">
            <w:pPr>
              <w:keepNext/>
              <w:spacing w:line="300" w:lineRule="auto"/>
              <w:jc w:val="center"/>
              <w:rPr>
                <w:rFonts w:ascii="Arial Narrow" w:hAnsi="Arial Narrow" w:cs="Arial"/>
                <w:sz w:val="24"/>
                <w:szCs w:val="24"/>
                <w:lang w:eastAsia="en-GB"/>
              </w:rPr>
            </w:pPr>
            <w:r w:rsidRPr="00513337">
              <w:rPr>
                <w:rFonts w:ascii="Arial Narrow" w:hAnsi="Arial Narrow" w:cs="Arial"/>
                <w:sz w:val="24"/>
                <w:szCs w:val="24"/>
              </w:rPr>
              <w:t>20</w:t>
            </w:r>
          </w:p>
        </w:tc>
        <w:tc>
          <w:tcPr>
            <w:tcW w:w="541" w:type="pct"/>
            <w:noWrap/>
            <w:vAlign w:val="bottom"/>
            <w:hideMark/>
          </w:tcPr>
          <w:p w:rsidR="00B93EA4" w:rsidRPr="00513337" w:rsidRDefault="00B93EA4" w:rsidP="00C67726">
            <w:pPr>
              <w:keepNext/>
              <w:spacing w:line="300" w:lineRule="auto"/>
              <w:jc w:val="center"/>
              <w:rPr>
                <w:rFonts w:ascii="Arial Narrow" w:hAnsi="Arial Narrow" w:cs="Arial"/>
                <w:sz w:val="24"/>
                <w:szCs w:val="24"/>
                <w:lang w:eastAsia="en-GB"/>
              </w:rPr>
            </w:pPr>
            <w:r w:rsidRPr="00513337">
              <w:rPr>
                <w:rFonts w:ascii="Arial Narrow" w:hAnsi="Arial Narrow" w:cs="Arial"/>
                <w:sz w:val="24"/>
                <w:szCs w:val="24"/>
              </w:rPr>
              <w:t>2,700</w:t>
            </w:r>
          </w:p>
        </w:tc>
        <w:tc>
          <w:tcPr>
            <w:tcW w:w="463" w:type="pct"/>
            <w:noWrap/>
            <w:vAlign w:val="bottom"/>
            <w:hideMark/>
          </w:tcPr>
          <w:p w:rsidR="00B93EA4" w:rsidRPr="00513337" w:rsidRDefault="00B93EA4" w:rsidP="00C67726">
            <w:pPr>
              <w:keepNext/>
              <w:spacing w:line="300" w:lineRule="auto"/>
              <w:jc w:val="center"/>
              <w:rPr>
                <w:rFonts w:ascii="Arial Narrow" w:hAnsi="Arial Narrow" w:cs="Arial"/>
                <w:sz w:val="24"/>
                <w:szCs w:val="24"/>
                <w:lang w:eastAsia="en-GB"/>
              </w:rPr>
            </w:pPr>
            <w:r w:rsidRPr="00513337">
              <w:rPr>
                <w:rFonts w:ascii="Arial Narrow" w:hAnsi="Arial Narrow" w:cs="Arial"/>
                <w:sz w:val="24"/>
                <w:szCs w:val="24"/>
              </w:rPr>
              <w:t>2,000</w:t>
            </w:r>
          </w:p>
        </w:tc>
        <w:tc>
          <w:tcPr>
            <w:tcW w:w="423" w:type="pct"/>
            <w:noWrap/>
            <w:vAlign w:val="bottom"/>
            <w:hideMark/>
          </w:tcPr>
          <w:p w:rsidR="00B93EA4" w:rsidRPr="00513337" w:rsidRDefault="00B93EA4" w:rsidP="00C67726">
            <w:pPr>
              <w:keepNext/>
              <w:spacing w:line="300" w:lineRule="auto"/>
              <w:jc w:val="center"/>
              <w:rPr>
                <w:rFonts w:ascii="Arial Narrow" w:hAnsi="Arial Narrow" w:cs="Arial"/>
                <w:sz w:val="24"/>
                <w:szCs w:val="24"/>
                <w:lang w:eastAsia="en-GB"/>
              </w:rPr>
            </w:pPr>
            <w:r w:rsidRPr="00513337">
              <w:rPr>
                <w:rFonts w:ascii="Arial Narrow" w:hAnsi="Arial Narrow" w:cs="Arial"/>
                <w:sz w:val="24"/>
                <w:szCs w:val="24"/>
              </w:rPr>
              <w:t>4,700</w:t>
            </w:r>
          </w:p>
        </w:tc>
      </w:tr>
      <w:tr w:rsidR="00B93EA4" w:rsidRPr="00513337" w:rsidTr="00D238E7">
        <w:trPr>
          <w:trHeight w:val="260"/>
        </w:trPr>
        <w:tc>
          <w:tcPr>
            <w:tcW w:w="1720" w:type="pct"/>
            <w:noWrap/>
            <w:vAlign w:val="center"/>
          </w:tcPr>
          <w:p w:rsidR="00B93EA4" w:rsidRPr="00513337" w:rsidRDefault="00B93EA4" w:rsidP="00C67726">
            <w:pPr>
              <w:keepNext/>
              <w:spacing w:line="300" w:lineRule="auto"/>
              <w:rPr>
                <w:rFonts w:ascii="Arial Narrow" w:hAnsi="Arial Narrow" w:cs="Arial"/>
                <w:sz w:val="24"/>
                <w:szCs w:val="24"/>
                <w:lang w:eastAsia="en-GB"/>
              </w:rPr>
            </w:pPr>
            <w:r w:rsidRPr="00513337">
              <w:rPr>
                <w:rFonts w:ascii="Arial Narrow" w:hAnsi="Arial Narrow" w:cs="Arial"/>
                <w:sz w:val="24"/>
                <w:szCs w:val="24"/>
                <w:lang w:eastAsia="en-GB"/>
              </w:rPr>
              <w:t xml:space="preserve">Losses (to </w:t>
            </w:r>
            <w:r w:rsidR="00F8757F" w:rsidRPr="00513337">
              <w:rPr>
                <w:rFonts w:ascii="Arial Narrow" w:hAnsi="Arial Narrow" w:cs="Arial"/>
                <w:sz w:val="24"/>
                <w:szCs w:val="24"/>
                <w:lang w:eastAsia="en-GB"/>
              </w:rPr>
              <w:t>Residential</w:t>
            </w:r>
            <w:r w:rsidRPr="00513337">
              <w:rPr>
                <w:rFonts w:ascii="Arial Narrow" w:hAnsi="Arial Narrow" w:cs="Arial"/>
                <w:sz w:val="24"/>
                <w:szCs w:val="24"/>
                <w:lang w:eastAsia="en-GB"/>
              </w:rPr>
              <w:t xml:space="preserve"> uses)</w:t>
            </w:r>
            <w:r w:rsidR="00F8757F" w:rsidRPr="00513337">
              <w:rPr>
                <w:rFonts w:ascii="Arial Narrow" w:hAnsi="Arial Narrow" w:cs="Arial"/>
                <w:sz w:val="24"/>
                <w:szCs w:val="24"/>
                <w:lang w:eastAsia="en-GB"/>
              </w:rPr>
              <w:t xml:space="preserve"> (C)</w:t>
            </w:r>
          </w:p>
        </w:tc>
        <w:tc>
          <w:tcPr>
            <w:tcW w:w="1390" w:type="pct"/>
            <w:noWrap/>
            <w:vAlign w:val="center"/>
          </w:tcPr>
          <w:p w:rsidR="00B93EA4" w:rsidRPr="00513337" w:rsidRDefault="00B93EA4" w:rsidP="00C67726">
            <w:pPr>
              <w:keepNext/>
              <w:spacing w:line="300" w:lineRule="auto"/>
              <w:rPr>
                <w:rFonts w:ascii="Arial Narrow" w:hAnsi="Arial Narrow" w:cs="Arial"/>
                <w:sz w:val="24"/>
                <w:szCs w:val="24"/>
                <w:lang w:eastAsia="en-GB"/>
              </w:rPr>
            </w:pPr>
            <w:r w:rsidRPr="00513337">
              <w:rPr>
                <w:rFonts w:ascii="Arial Narrow" w:hAnsi="Arial Narrow" w:cs="Arial"/>
                <w:sz w:val="24"/>
                <w:szCs w:val="24"/>
                <w:lang w:eastAsia="en-GB"/>
              </w:rPr>
              <w:t>Annual average (2011-18)</w:t>
            </w:r>
          </w:p>
        </w:tc>
        <w:tc>
          <w:tcPr>
            <w:tcW w:w="463" w:type="pct"/>
            <w:noWrap/>
            <w:vAlign w:val="bottom"/>
          </w:tcPr>
          <w:p w:rsidR="00B93EA4" w:rsidRPr="00513337" w:rsidRDefault="00A36F64" w:rsidP="00C67726">
            <w:pPr>
              <w:keepNext/>
              <w:spacing w:line="300" w:lineRule="auto"/>
              <w:jc w:val="center"/>
              <w:rPr>
                <w:rFonts w:ascii="Arial Narrow" w:hAnsi="Arial Narrow" w:cs="Arial"/>
                <w:sz w:val="24"/>
                <w:szCs w:val="24"/>
              </w:rPr>
            </w:pPr>
            <w:r w:rsidRPr="00513337">
              <w:rPr>
                <w:rFonts w:ascii="Arial Narrow" w:hAnsi="Arial Narrow" w:cs="Arial"/>
                <w:sz w:val="24"/>
                <w:szCs w:val="24"/>
              </w:rPr>
              <w:t>2,500</w:t>
            </w:r>
          </w:p>
        </w:tc>
        <w:tc>
          <w:tcPr>
            <w:tcW w:w="541" w:type="pct"/>
            <w:noWrap/>
            <w:vAlign w:val="bottom"/>
          </w:tcPr>
          <w:p w:rsidR="00B93EA4" w:rsidRPr="00513337" w:rsidRDefault="0008699F" w:rsidP="00C67726">
            <w:pPr>
              <w:keepNext/>
              <w:spacing w:line="300" w:lineRule="auto"/>
              <w:jc w:val="center"/>
              <w:rPr>
                <w:rFonts w:ascii="Arial Narrow" w:hAnsi="Arial Narrow" w:cs="Arial"/>
                <w:sz w:val="24"/>
                <w:szCs w:val="24"/>
              </w:rPr>
            </w:pPr>
            <w:r w:rsidRPr="00513337">
              <w:rPr>
                <w:rFonts w:ascii="Arial Narrow" w:hAnsi="Arial Narrow" w:cs="Arial"/>
                <w:sz w:val="24"/>
                <w:szCs w:val="24"/>
              </w:rPr>
              <w:t>2,000</w:t>
            </w:r>
          </w:p>
        </w:tc>
        <w:tc>
          <w:tcPr>
            <w:tcW w:w="463" w:type="pct"/>
            <w:noWrap/>
            <w:vAlign w:val="bottom"/>
          </w:tcPr>
          <w:p w:rsidR="00B93EA4" w:rsidRPr="00513337" w:rsidRDefault="00281B87" w:rsidP="00C67726">
            <w:pPr>
              <w:keepNext/>
              <w:spacing w:line="300" w:lineRule="auto"/>
              <w:jc w:val="center"/>
              <w:rPr>
                <w:rFonts w:ascii="Arial Narrow" w:hAnsi="Arial Narrow" w:cs="Arial"/>
                <w:sz w:val="24"/>
                <w:szCs w:val="24"/>
              </w:rPr>
            </w:pPr>
            <w:r w:rsidRPr="00513337">
              <w:rPr>
                <w:rFonts w:ascii="Arial Narrow" w:hAnsi="Arial Narrow" w:cs="Arial"/>
                <w:sz w:val="24"/>
                <w:szCs w:val="24"/>
              </w:rPr>
              <w:t>350</w:t>
            </w:r>
          </w:p>
        </w:tc>
        <w:tc>
          <w:tcPr>
            <w:tcW w:w="423" w:type="pct"/>
            <w:noWrap/>
            <w:vAlign w:val="bottom"/>
          </w:tcPr>
          <w:p w:rsidR="00B93EA4" w:rsidRPr="00513337" w:rsidRDefault="0008699F" w:rsidP="00C67726">
            <w:pPr>
              <w:keepNext/>
              <w:spacing w:line="300" w:lineRule="auto"/>
              <w:jc w:val="center"/>
              <w:rPr>
                <w:rFonts w:ascii="Arial Narrow" w:hAnsi="Arial Narrow" w:cs="Arial"/>
                <w:sz w:val="24"/>
                <w:szCs w:val="24"/>
              </w:rPr>
            </w:pPr>
            <w:r w:rsidRPr="00513337">
              <w:rPr>
                <w:rFonts w:ascii="Arial Narrow" w:hAnsi="Arial Narrow" w:cs="Arial"/>
                <w:sz w:val="24"/>
                <w:szCs w:val="24"/>
              </w:rPr>
              <w:t>4,800</w:t>
            </w:r>
          </w:p>
        </w:tc>
      </w:tr>
      <w:tr w:rsidR="00B93EA4" w:rsidRPr="00513337" w:rsidTr="00D238E7">
        <w:trPr>
          <w:trHeight w:val="260"/>
        </w:trPr>
        <w:tc>
          <w:tcPr>
            <w:tcW w:w="1720" w:type="pct"/>
            <w:noWrap/>
            <w:vAlign w:val="center"/>
          </w:tcPr>
          <w:p w:rsidR="00B93EA4" w:rsidRPr="00513337" w:rsidRDefault="00B93EA4" w:rsidP="00C67726">
            <w:pPr>
              <w:keepNext/>
              <w:spacing w:line="300" w:lineRule="auto"/>
              <w:rPr>
                <w:rFonts w:ascii="Arial Narrow" w:hAnsi="Arial Narrow" w:cs="Arial"/>
                <w:sz w:val="24"/>
                <w:szCs w:val="24"/>
                <w:lang w:eastAsia="en-GB"/>
              </w:rPr>
            </w:pPr>
            <w:r w:rsidRPr="00513337">
              <w:rPr>
                <w:rFonts w:ascii="Arial Narrow" w:hAnsi="Arial Narrow" w:cs="Arial"/>
                <w:sz w:val="24"/>
                <w:szCs w:val="24"/>
                <w:lang w:eastAsia="en-GB"/>
              </w:rPr>
              <w:t>Net Completions (</w:t>
            </w:r>
            <w:r w:rsidR="00F8757F" w:rsidRPr="00513337">
              <w:rPr>
                <w:rFonts w:ascii="Arial Narrow" w:hAnsi="Arial Narrow" w:cs="Arial"/>
                <w:sz w:val="24"/>
                <w:szCs w:val="24"/>
                <w:lang w:eastAsia="en-GB"/>
              </w:rPr>
              <w:t>A-B</w:t>
            </w:r>
            <w:r w:rsidRPr="00513337">
              <w:rPr>
                <w:rFonts w:ascii="Arial Narrow" w:hAnsi="Arial Narrow" w:cs="Arial"/>
                <w:sz w:val="24"/>
                <w:szCs w:val="24"/>
                <w:lang w:eastAsia="en-GB"/>
              </w:rPr>
              <w:t>)</w:t>
            </w:r>
          </w:p>
        </w:tc>
        <w:tc>
          <w:tcPr>
            <w:tcW w:w="1390" w:type="pct"/>
            <w:noWrap/>
            <w:vAlign w:val="center"/>
          </w:tcPr>
          <w:p w:rsidR="00B93EA4" w:rsidRPr="00513337" w:rsidRDefault="00B93EA4" w:rsidP="00C67726">
            <w:pPr>
              <w:keepNext/>
              <w:spacing w:line="300" w:lineRule="auto"/>
              <w:rPr>
                <w:rFonts w:ascii="Arial Narrow" w:hAnsi="Arial Narrow" w:cs="Arial"/>
                <w:sz w:val="24"/>
                <w:szCs w:val="24"/>
                <w:lang w:eastAsia="en-GB"/>
              </w:rPr>
            </w:pPr>
            <w:r w:rsidRPr="00513337">
              <w:rPr>
                <w:rFonts w:ascii="Arial Narrow" w:hAnsi="Arial Narrow" w:cs="Arial"/>
                <w:sz w:val="24"/>
                <w:szCs w:val="24"/>
                <w:lang w:eastAsia="en-GB"/>
              </w:rPr>
              <w:t>Per annum</w:t>
            </w:r>
          </w:p>
        </w:tc>
        <w:tc>
          <w:tcPr>
            <w:tcW w:w="463" w:type="pct"/>
            <w:noWrap/>
            <w:vAlign w:val="bottom"/>
          </w:tcPr>
          <w:p w:rsidR="00B93EA4" w:rsidRPr="00513337" w:rsidRDefault="00B93EA4" w:rsidP="00C67726">
            <w:pPr>
              <w:keepNext/>
              <w:spacing w:line="300" w:lineRule="auto"/>
              <w:jc w:val="center"/>
              <w:rPr>
                <w:rFonts w:ascii="Arial Narrow" w:hAnsi="Arial Narrow" w:cs="Arial"/>
                <w:sz w:val="24"/>
                <w:szCs w:val="24"/>
              </w:rPr>
            </w:pPr>
            <w:r w:rsidRPr="00513337">
              <w:rPr>
                <w:rFonts w:ascii="Arial Narrow" w:hAnsi="Arial Narrow" w:cs="Arial"/>
                <w:sz w:val="24"/>
                <w:szCs w:val="24"/>
              </w:rPr>
              <w:t>4,200</w:t>
            </w:r>
          </w:p>
        </w:tc>
        <w:tc>
          <w:tcPr>
            <w:tcW w:w="541" w:type="pct"/>
            <w:noWrap/>
            <w:vAlign w:val="bottom"/>
          </w:tcPr>
          <w:p w:rsidR="00B93EA4" w:rsidRPr="00513337" w:rsidRDefault="00B93EA4" w:rsidP="00C67726">
            <w:pPr>
              <w:keepNext/>
              <w:spacing w:line="300" w:lineRule="auto"/>
              <w:jc w:val="center"/>
              <w:rPr>
                <w:rFonts w:ascii="Arial Narrow" w:hAnsi="Arial Narrow" w:cs="Arial"/>
                <w:sz w:val="24"/>
                <w:szCs w:val="24"/>
              </w:rPr>
            </w:pPr>
            <w:r w:rsidRPr="00513337">
              <w:rPr>
                <w:rFonts w:ascii="Arial Narrow" w:hAnsi="Arial Narrow" w:cs="Arial"/>
                <w:sz w:val="24"/>
                <w:szCs w:val="24"/>
              </w:rPr>
              <w:t>2,100</w:t>
            </w:r>
          </w:p>
        </w:tc>
        <w:tc>
          <w:tcPr>
            <w:tcW w:w="463" w:type="pct"/>
            <w:noWrap/>
            <w:vAlign w:val="bottom"/>
          </w:tcPr>
          <w:p w:rsidR="00B93EA4" w:rsidRPr="00513337" w:rsidRDefault="00B93EA4" w:rsidP="00C67726">
            <w:pPr>
              <w:keepNext/>
              <w:spacing w:line="300" w:lineRule="auto"/>
              <w:jc w:val="center"/>
              <w:rPr>
                <w:rFonts w:ascii="Arial Narrow" w:hAnsi="Arial Narrow" w:cs="Arial"/>
                <w:sz w:val="24"/>
                <w:szCs w:val="24"/>
              </w:rPr>
            </w:pPr>
            <w:r w:rsidRPr="00513337">
              <w:rPr>
                <w:rFonts w:ascii="Arial Narrow" w:hAnsi="Arial Narrow" w:cs="Arial"/>
                <w:sz w:val="24"/>
                <w:szCs w:val="24"/>
              </w:rPr>
              <w:t>3,300</w:t>
            </w:r>
          </w:p>
        </w:tc>
        <w:tc>
          <w:tcPr>
            <w:tcW w:w="423" w:type="pct"/>
            <w:noWrap/>
            <w:vAlign w:val="bottom"/>
          </w:tcPr>
          <w:p w:rsidR="00B93EA4" w:rsidRPr="00513337" w:rsidRDefault="00B93EA4" w:rsidP="00C67726">
            <w:pPr>
              <w:keepNext/>
              <w:spacing w:line="300" w:lineRule="auto"/>
              <w:jc w:val="center"/>
              <w:rPr>
                <w:rFonts w:ascii="Arial Narrow" w:hAnsi="Arial Narrow" w:cs="Arial"/>
                <w:sz w:val="24"/>
                <w:szCs w:val="24"/>
              </w:rPr>
            </w:pPr>
            <w:r w:rsidRPr="00513337">
              <w:rPr>
                <w:rFonts w:ascii="Arial Narrow" w:hAnsi="Arial Narrow" w:cs="Arial"/>
                <w:sz w:val="24"/>
                <w:szCs w:val="24"/>
              </w:rPr>
              <w:t>9,600</w:t>
            </w:r>
          </w:p>
        </w:tc>
      </w:tr>
      <w:tr w:rsidR="00B93EA4" w:rsidRPr="00513337" w:rsidTr="00D238E7">
        <w:trPr>
          <w:trHeight w:val="260"/>
        </w:trPr>
        <w:tc>
          <w:tcPr>
            <w:tcW w:w="1720" w:type="pct"/>
            <w:noWrap/>
            <w:vAlign w:val="center"/>
            <w:hideMark/>
          </w:tcPr>
          <w:p w:rsidR="00B93EA4" w:rsidRPr="00513337" w:rsidRDefault="00B93EA4" w:rsidP="00C67726">
            <w:pPr>
              <w:keepNext/>
              <w:spacing w:line="300" w:lineRule="auto"/>
              <w:rPr>
                <w:rFonts w:ascii="Arial Narrow" w:hAnsi="Arial Narrow" w:cs="Arial"/>
                <w:sz w:val="24"/>
                <w:szCs w:val="24"/>
                <w:lang w:eastAsia="en-GB"/>
              </w:rPr>
            </w:pPr>
            <w:r w:rsidRPr="00513337">
              <w:rPr>
                <w:rFonts w:ascii="Arial Narrow" w:hAnsi="Arial Narrow" w:cs="Arial"/>
                <w:sz w:val="24"/>
                <w:szCs w:val="24"/>
                <w:lang w:eastAsia="en-GB"/>
              </w:rPr>
              <w:t>Net Completions (</w:t>
            </w:r>
            <w:r w:rsidR="00F8757F" w:rsidRPr="00513337">
              <w:rPr>
                <w:rFonts w:ascii="Arial Narrow" w:hAnsi="Arial Narrow" w:cs="Arial"/>
                <w:sz w:val="24"/>
                <w:szCs w:val="24"/>
                <w:lang w:eastAsia="en-GB"/>
              </w:rPr>
              <w:t>A-B-C</w:t>
            </w:r>
            <w:r w:rsidRPr="00513337">
              <w:rPr>
                <w:rFonts w:ascii="Arial Narrow" w:hAnsi="Arial Narrow" w:cs="Arial"/>
                <w:sz w:val="24"/>
                <w:szCs w:val="24"/>
                <w:lang w:eastAsia="en-GB"/>
              </w:rPr>
              <w:t>)</w:t>
            </w:r>
          </w:p>
        </w:tc>
        <w:tc>
          <w:tcPr>
            <w:tcW w:w="1390" w:type="pct"/>
            <w:noWrap/>
            <w:vAlign w:val="center"/>
            <w:hideMark/>
          </w:tcPr>
          <w:p w:rsidR="00B93EA4" w:rsidRPr="00513337" w:rsidRDefault="00B93EA4" w:rsidP="00C67726">
            <w:pPr>
              <w:keepNext/>
              <w:spacing w:line="300" w:lineRule="auto"/>
              <w:rPr>
                <w:rFonts w:ascii="Arial Narrow" w:hAnsi="Arial Narrow" w:cs="Arial"/>
                <w:sz w:val="24"/>
                <w:szCs w:val="24"/>
                <w:lang w:eastAsia="en-GB"/>
              </w:rPr>
            </w:pPr>
            <w:r w:rsidRPr="00513337">
              <w:rPr>
                <w:rFonts w:ascii="Arial Narrow" w:hAnsi="Arial Narrow" w:cs="Arial"/>
                <w:sz w:val="24"/>
                <w:szCs w:val="24"/>
                <w:lang w:eastAsia="en-GB"/>
              </w:rPr>
              <w:t>Per Annum</w:t>
            </w:r>
          </w:p>
        </w:tc>
        <w:tc>
          <w:tcPr>
            <w:tcW w:w="463" w:type="pct"/>
            <w:noWrap/>
            <w:vAlign w:val="bottom"/>
            <w:hideMark/>
          </w:tcPr>
          <w:p w:rsidR="00B93EA4" w:rsidRPr="00513337" w:rsidRDefault="00A36F64" w:rsidP="00C67726">
            <w:pPr>
              <w:keepNext/>
              <w:spacing w:line="300" w:lineRule="auto"/>
              <w:jc w:val="center"/>
              <w:rPr>
                <w:rFonts w:ascii="Arial Narrow" w:hAnsi="Arial Narrow" w:cs="Arial"/>
                <w:sz w:val="24"/>
                <w:szCs w:val="24"/>
                <w:lang w:eastAsia="en-GB"/>
              </w:rPr>
            </w:pPr>
            <w:r w:rsidRPr="00513337">
              <w:rPr>
                <w:rFonts w:ascii="Arial Narrow" w:hAnsi="Arial Narrow" w:cs="Arial"/>
                <w:sz w:val="24"/>
                <w:szCs w:val="24"/>
              </w:rPr>
              <w:t>1,700</w:t>
            </w:r>
          </w:p>
        </w:tc>
        <w:tc>
          <w:tcPr>
            <w:tcW w:w="541" w:type="pct"/>
            <w:noWrap/>
            <w:vAlign w:val="bottom"/>
            <w:hideMark/>
          </w:tcPr>
          <w:p w:rsidR="00B93EA4" w:rsidRPr="00513337" w:rsidRDefault="0008699F" w:rsidP="00C67726">
            <w:pPr>
              <w:keepNext/>
              <w:spacing w:line="300" w:lineRule="auto"/>
              <w:jc w:val="center"/>
              <w:rPr>
                <w:rFonts w:ascii="Arial Narrow" w:hAnsi="Arial Narrow" w:cs="Arial"/>
                <w:sz w:val="24"/>
                <w:szCs w:val="24"/>
                <w:lang w:eastAsia="en-GB"/>
              </w:rPr>
            </w:pPr>
            <w:r w:rsidRPr="00513337">
              <w:rPr>
                <w:rFonts w:ascii="Arial Narrow" w:hAnsi="Arial Narrow" w:cs="Arial"/>
                <w:sz w:val="24"/>
                <w:szCs w:val="24"/>
              </w:rPr>
              <w:t>200</w:t>
            </w:r>
          </w:p>
        </w:tc>
        <w:tc>
          <w:tcPr>
            <w:tcW w:w="463" w:type="pct"/>
            <w:noWrap/>
            <w:vAlign w:val="bottom"/>
            <w:hideMark/>
          </w:tcPr>
          <w:p w:rsidR="00B93EA4" w:rsidRPr="00513337" w:rsidRDefault="0008699F" w:rsidP="00C67726">
            <w:pPr>
              <w:keepNext/>
              <w:spacing w:line="300" w:lineRule="auto"/>
              <w:jc w:val="center"/>
              <w:rPr>
                <w:rFonts w:ascii="Arial Narrow" w:hAnsi="Arial Narrow" w:cs="Arial"/>
                <w:sz w:val="24"/>
                <w:szCs w:val="24"/>
                <w:lang w:eastAsia="en-GB"/>
              </w:rPr>
            </w:pPr>
            <w:r w:rsidRPr="00513337">
              <w:rPr>
                <w:rFonts w:ascii="Arial Narrow" w:hAnsi="Arial Narrow" w:cs="Arial"/>
                <w:sz w:val="24"/>
                <w:szCs w:val="24"/>
              </w:rPr>
              <w:t>2,900</w:t>
            </w:r>
          </w:p>
        </w:tc>
        <w:tc>
          <w:tcPr>
            <w:tcW w:w="423" w:type="pct"/>
            <w:noWrap/>
            <w:vAlign w:val="bottom"/>
            <w:hideMark/>
          </w:tcPr>
          <w:p w:rsidR="00B93EA4" w:rsidRPr="00513337" w:rsidRDefault="0008699F" w:rsidP="00C67726">
            <w:pPr>
              <w:keepNext/>
              <w:spacing w:line="300" w:lineRule="auto"/>
              <w:jc w:val="center"/>
              <w:rPr>
                <w:rFonts w:ascii="Arial Narrow" w:hAnsi="Arial Narrow" w:cs="Arial"/>
                <w:sz w:val="24"/>
                <w:szCs w:val="24"/>
                <w:lang w:eastAsia="en-GB"/>
              </w:rPr>
            </w:pPr>
            <w:r w:rsidRPr="00513337">
              <w:rPr>
                <w:rFonts w:ascii="Arial Narrow" w:hAnsi="Arial Narrow" w:cs="Arial"/>
                <w:sz w:val="24"/>
                <w:szCs w:val="24"/>
              </w:rPr>
              <w:t>4,800</w:t>
            </w:r>
          </w:p>
        </w:tc>
      </w:tr>
    </w:tbl>
    <w:p w:rsidR="00513337" w:rsidRPr="00CA47B9" w:rsidRDefault="00513337" w:rsidP="00D238E7">
      <w:pPr>
        <w:pStyle w:val="11Bodytext"/>
        <w:numPr>
          <w:ilvl w:val="0"/>
          <w:numId w:val="0"/>
        </w:numPr>
        <w:spacing w:before="0" w:after="0" w:line="240" w:lineRule="auto"/>
        <w:jc w:val="left"/>
      </w:pPr>
      <w:r w:rsidRPr="00CA47B9">
        <w:t>Source: GL Hearn based on Chichester District Council data</w:t>
      </w:r>
    </w:p>
    <w:p w:rsidR="00B0298E" w:rsidRPr="00CA47B9" w:rsidRDefault="00B0298E" w:rsidP="00A44164">
      <w:pPr>
        <w:pStyle w:val="11Bodytext"/>
        <w:tabs>
          <w:tab w:val="clear" w:pos="2212"/>
          <w:tab w:val="num" w:pos="567"/>
        </w:tabs>
        <w:ind w:left="567" w:hanging="567"/>
      </w:pPr>
      <w:r w:rsidRPr="00CA47B9">
        <w:t>Applying</w:t>
      </w:r>
      <w:r w:rsidR="004B41A2" w:rsidRPr="00CA47B9">
        <w:t xml:space="preserve"> </w:t>
      </w:r>
      <w:r w:rsidRPr="00CA47B9">
        <w:t>the</w:t>
      </w:r>
      <w:r w:rsidR="004B41A2" w:rsidRPr="00CA47B9">
        <w:t xml:space="preserve"> </w:t>
      </w:r>
      <w:r w:rsidRPr="00CA47B9">
        <w:t>same</w:t>
      </w:r>
      <w:r w:rsidR="004B41A2" w:rsidRPr="00CA47B9">
        <w:t xml:space="preserve"> </w:t>
      </w:r>
      <w:r w:rsidRPr="00CA47B9">
        <w:t>plot</w:t>
      </w:r>
      <w:r w:rsidR="004B41A2" w:rsidRPr="00CA47B9">
        <w:t xml:space="preserve"> </w:t>
      </w:r>
      <w:r w:rsidRPr="00CA47B9">
        <w:t>ratio</w:t>
      </w:r>
      <w:r w:rsidR="004B41A2" w:rsidRPr="00CA47B9">
        <w:t xml:space="preserve"> </w:t>
      </w:r>
      <w:r w:rsidRPr="00CA47B9">
        <w:t>assumptions</w:t>
      </w:r>
      <w:r w:rsidR="004B41A2" w:rsidRPr="00CA47B9">
        <w:t xml:space="preserve"> </w:t>
      </w:r>
      <w:r w:rsidRPr="00CA47B9">
        <w:t>as</w:t>
      </w:r>
      <w:r w:rsidR="004B41A2" w:rsidRPr="00CA47B9">
        <w:t xml:space="preserve"> </w:t>
      </w:r>
      <w:r w:rsidRPr="00CA47B9">
        <w:t>the</w:t>
      </w:r>
      <w:r w:rsidR="004B41A2" w:rsidRPr="00CA47B9">
        <w:t xml:space="preserve"> </w:t>
      </w:r>
      <w:r w:rsidRPr="00CA47B9">
        <w:t>labour</w:t>
      </w:r>
      <w:r w:rsidR="004B41A2" w:rsidRPr="00CA47B9">
        <w:t xml:space="preserve"> </w:t>
      </w:r>
      <w:r w:rsidRPr="00CA47B9">
        <w:t>demand</w:t>
      </w:r>
      <w:r w:rsidR="004B41A2" w:rsidRPr="00CA47B9">
        <w:t xml:space="preserve"> </w:t>
      </w:r>
      <w:r w:rsidRPr="00CA47B9">
        <w:t>scenarios,</w:t>
      </w:r>
      <w:r w:rsidR="004B41A2" w:rsidRPr="00CA47B9">
        <w:t xml:space="preserve"> </w:t>
      </w:r>
      <w:r w:rsidRPr="00CA47B9">
        <w:t>we</w:t>
      </w:r>
      <w:r w:rsidR="004B41A2" w:rsidRPr="00CA47B9">
        <w:t xml:space="preserve"> </w:t>
      </w:r>
      <w:r w:rsidRPr="00CA47B9">
        <w:t>can</w:t>
      </w:r>
      <w:r w:rsidR="004B41A2" w:rsidRPr="00CA47B9">
        <w:t xml:space="preserve"> </w:t>
      </w:r>
      <w:r w:rsidRPr="00CA47B9">
        <w:t>extrapolate</w:t>
      </w:r>
      <w:r w:rsidR="004B41A2" w:rsidRPr="00CA47B9">
        <w:t xml:space="preserve"> </w:t>
      </w:r>
      <w:r w:rsidRPr="00CA47B9">
        <w:t>the</w:t>
      </w:r>
      <w:r w:rsidR="004B41A2" w:rsidRPr="00CA47B9">
        <w:t xml:space="preserve"> </w:t>
      </w:r>
      <w:r w:rsidRPr="00CA47B9">
        <w:t>future</w:t>
      </w:r>
      <w:r w:rsidR="004B41A2" w:rsidRPr="00CA47B9">
        <w:t xml:space="preserve"> </w:t>
      </w:r>
      <w:r w:rsidRPr="00CA47B9">
        <w:t>quantum</w:t>
      </w:r>
      <w:r w:rsidR="004B41A2" w:rsidRPr="00CA47B9">
        <w:t xml:space="preserve"> </w:t>
      </w:r>
      <w:r w:rsidRPr="00CA47B9">
        <w:t>of</w:t>
      </w:r>
      <w:r w:rsidR="004B41A2" w:rsidRPr="00CA47B9">
        <w:t xml:space="preserve"> </w:t>
      </w:r>
      <w:r w:rsidRPr="00CA47B9">
        <w:t>employment</w:t>
      </w:r>
      <w:r w:rsidR="004B41A2" w:rsidRPr="00CA47B9">
        <w:t xml:space="preserve"> </w:t>
      </w:r>
      <w:r w:rsidRPr="00CA47B9">
        <w:t>land</w:t>
      </w:r>
      <w:r w:rsidR="004B41A2" w:rsidRPr="00CA47B9">
        <w:t xml:space="preserve"> </w:t>
      </w:r>
      <w:r w:rsidRPr="00CA47B9">
        <w:t>required</w:t>
      </w:r>
      <w:r w:rsidR="004B41A2" w:rsidRPr="00CA47B9">
        <w:t xml:space="preserve"> </w:t>
      </w:r>
      <w:r w:rsidRPr="00CA47B9">
        <w:t>to</w:t>
      </w:r>
      <w:r w:rsidR="004B41A2" w:rsidRPr="00CA47B9">
        <w:t xml:space="preserve"> </w:t>
      </w:r>
      <w:r w:rsidRPr="00CA47B9">
        <w:t>2036</w:t>
      </w:r>
      <w:r w:rsidR="004B41A2" w:rsidRPr="00CA47B9">
        <w:t xml:space="preserve"> </w:t>
      </w:r>
      <w:r w:rsidRPr="00CA47B9">
        <w:t>assuming</w:t>
      </w:r>
      <w:r w:rsidR="004B41A2" w:rsidRPr="00CA47B9">
        <w:t xml:space="preserve"> </w:t>
      </w:r>
      <w:r w:rsidRPr="00CA47B9">
        <w:t>that</w:t>
      </w:r>
      <w:r w:rsidR="004B41A2" w:rsidRPr="00CA47B9">
        <w:t xml:space="preserve"> </w:t>
      </w:r>
      <w:r w:rsidRPr="00CA47B9">
        <w:t>development</w:t>
      </w:r>
      <w:r w:rsidR="004B41A2" w:rsidRPr="00CA47B9">
        <w:t xml:space="preserve"> </w:t>
      </w:r>
      <w:r w:rsidRPr="00CA47B9">
        <w:t>trends</w:t>
      </w:r>
      <w:r w:rsidR="004B41A2" w:rsidRPr="00CA47B9">
        <w:t xml:space="preserve"> </w:t>
      </w:r>
      <w:r w:rsidR="00FC3EE3" w:rsidRPr="00CA47B9">
        <w:t>continue in line with past trends</w:t>
      </w:r>
      <w:r w:rsidRPr="00CA47B9">
        <w:t>.</w:t>
      </w:r>
      <w:r w:rsidR="00F8757F">
        <w:t xml:space="preserve"> </w:t>
      </w:r>
    </w:p>
    <w:p w:rsidR="004226B0" w:rsidRDefault="004226B0" w:rsidP="00D238E7">
      <w:pPr>
        <w:pStyle w:val="Tableheading"/>
        <w:tabs>
          <w:tab w:val="clear" w:pos="794"/>
          <w:tab w:val="clear" w:pos="1843"/>
          <w:tab w:val="left" w:pos="0"/>
        </w:tabs>
        <w:ind w:left="0" w:firstLine="0"/>
      </w:pPr>
      <w:bookmarkStart w:id="235" w:name="_Hlk34748940"/>
      <w:r w:rsidRPr="00CA47B9">
        <w:t>Completions Trend Scenarios Future Requirement, 201</w:t>
      </w:r>
      <w:r w:rsidR="0032331A">
        <w:t>9</w:t>
      </w:r>
      <w:r w:rsidRPr="00CA47B9">
        <w:t xml:space="preserve">-36 </w:t>
      </w:r>
      <w:r w:rsidRPr="00CA47B9">
        <w:rPr>
          <w:color w:val="auto"/>
          <w:szCs w:val="20"/>
        </w:rPr>
        <w:t xml:space="preserve">– </w:t>
      </w:r>
      <w:r>
        <w:rPr>
          <w:color w:val="auto"/>
          <w:szCs w:val="20"/>
        </w:rPr>
        <w:t>Plan Area</w:t>
      </w:r>
      <w:r w:rsidRPr="00CA47B9">
        <w:t xml:space="preserve"> </w:t>
      </w:r>
    </w:p>
    <w:tbl>
      <w:tblPr>
        <w:tblW w:w="4894" w:type="pct"/>
        <w:tblInd w:w="108" w:type="dxa"/>
        <w:tblLook w:val="04A0" w:firstRow="1" w:lastRow="0" w:firstColumn="1" w:lastColumn="0" w:noHBand="0" w:noVBand="1"/>
        <w:tblCaption w:val="Table 61: Completions Trend Scenarios Future Requirement, 2019-36 – Plan Area "/>
      </w:tblPr>
      <w:tblGrid>
        <w:gridCol w:w="1135"/>
        <w:gridCol w:w="1558"/>
        <w:gridCol w:w="1700"/>
        <w:gridCol w:w="1417"/>
        <w:gridCol w:w="1423"/>
        <w:gridCol w:w="1025"/>
        <w:gridCol w:w="1380"/>
      </w:tblGrid>
      <w:tr w:rsidR="004226B0" w:rsidRPr="00513337" w:rsidTr="00D238E7">
        <w:trPr>
          <w:trHeight w:val="315"/>
          <w:tblHeader/>
        </w:trPr>
        <w:tc>
          <w:tcPr>
            <w:tcW w:w="589" w:type="pct"/>
            <w:tcBorders>
              <w:top w:val="single" w:sz="8" w:space="0" w:color="auto"/>
              <w:left w:val="single" w:sz="8" w:space="0" w:color="auto"/>
              <w:bottom w:val="single" w:sz="8" w:space="0" w:color="auto"/>
              <w:right w:val="single" w:sz="8" w:space="0" w:color="auto"/>
            </w:tcBorders>
            <w:shd w:val="clear" w:color="000000" w:fill="0093D5"/>
            <w:vAlign w:val="center"/>
            <w:hideMark/>
          </w:tcPr>
          <w:p w:rsidR="004226B0" w:rsidRPr="00513337" w:rsidRDefault="004226B0" w:rsidP="003C34C3">
            <w:pPr>
              <w:rPr>
                <w:rFonts w:ascii="Arial Narrow" w:eastAsia="Times New Roman" w:hAnsi="Arial Narrow"/>
                <w:color w:val="000000"/>
                <w:sz w:val="24"/>
                <w:szCs w:val="24"/>
                <w:lang w:eastAsia="en-GB"/>
              </w:rPr>
            </w:pPr>
            <w:r w:rsidRPr="00513337">
              <w:rPr>
                <w:rFonts w:ascii="Arial Narrow" w:eastAsia="Times New Roman" w:hAnsi="Arial Narrow"/>
                <w:bCs/>
                <w:color w:val="000000"/>
                <w:sz w:val="24"/>
                <w:szCs w:val="24"/>
                <w:lang w:eastAsia="en-GB"/>
              </w:rPr>
              <w:t> </w:t>
            </w:r>
          </w:p>
        </w:tc>
        <w:tc>
          <w:tcPr>
            <w:tcW w:w="1690" w:type="pct"/>
            <w:gridSpan w:val="2"/>
            <w:tcBorders>
              <w:top w:val="single" w:sz="8" w:space="0" w:color="auto"/>
              <w:left w:val="nil"/>
              <w:bottom w:val="single" w:sz="8" w:space="0" w:color="auto"/>
              <w:right w:val="single" w:sz="8" w:space="0" w:color="000000"/>
            </w:tcBorders>
            <w:shd w:val="clear" w:color="000000" w:fill="0093D5"/>
            <w:vAlign w:val="center"/>
            <w:hideMark/>
          </w:tcPr>
          <w:p w:rsidR="004226B0" w:rsidRPr="00513337" w:rsidRDefault="004226B0" w:rsidP="003C34C3">
            <w:pPr>
              <w:jc w:val="center"/>
              <w:rPr>
                <w:rFonts w:ascii="Arial Narrow" w:eastAsia="Times New Roman" w:hAnsi="Arial Narrow"/>
                <w:color w:val="FFFFFF"/>
                <w:sz w:val="24"/>
                <w:szCs w:val="24"/>
                <w:lang w:eastAsia="en-GB"/>
              </w:rPr>
            </w:pPr>
            <w:r w:rsidRPr="00513337">
              <w:rPr>
                <w:rFonts w:ascii="Arial Narrow" w:eastAsia="Times New Roman" w:hAnsi="Arial Narrow"/>
                <w:bCs/>
                <w:color w:val="FFFFFF" w:themeColor="background1"/>
                <w:sz w:val="24"/>
                <w:szCs w:val="24"/>
                <w:lang w:eastAsia="en-GB"/>
              </w:rPr>
              <w:t>Net (</w:t>
            </w:r>
            <w:r w:rsidR="00FC3F0F">
              <w:rPr>
                <w:rFonts w:ascii="Arial Narrow" w:eastAsia="Times New Roman" w:hAnsi="Arial Narrow"/>
                <w:bCs/>
                <w:color w:val="FFFFFF" w:themeColor="background1"/>
                <w:sz w:val="24"/>
                <w:szCs w:val="24"/>
                <w:lang w:eastAsia="en-GB"/>
              </w:rPr>
              <w:t>exc</w:t>
            </w:r>
            <w:r w:rsidR="00FC3F0F" w:rsidRPr="00513337">
              <w:rPr>
                <w:rFonts w:ascii="Arial Narrow" w:eastAsia="Times New Roman" w:hAnsi="Arial Narrow"/>
                <w:bCs/>
                <w:color w:val="FFFFFF" w:themeColor="background1"/>
                <w:sz w:val="24"/>
                <w:szCs w:val="24"/>
                <w:lang w:eastAsia="en-GB"/>
              </w:rPr>
              <w:t xml:space="preserve"> </w:t>
            </w:r>
            <w:r w:rsidRPr="00513337">
              <w:rPr>
                <w:rFonts w:ascii="Arial Narrow" w:eastAsia="Times New Roman" w:hAnsi="Arial Narrow"/>
                <w:bCs/>
                <w:color w:val="FFFFFF" w:themeColor="background1"/>
                <w:sz w:val="24"/>
                <w:szCs w:val="24"/>
                <w:lang w:eastAsia="en-GB"/>
              </w:rPr>
              <w:t>losses to commercial &amp; residential uses)</w:t>
            </w:r>
          </w:p>
        </w:tc>
        <w:tc>
          <w:tcPr>
            <w:tcW w:w="1472" w:type="pct"/>
            <w:gridSpan w:val="2"/>
            <w:tcBorders>
              <w:top w:val="single" w:sz="8" w:space="0" w:color="auto"/>
              <w:left w:val="nil"/>
              <w:bottom w:val="single" w:sz="8" w:space="0" w:color="auto"/>
              <w:right w:val="single" w:sz="8" w:space="0" w:color="000000"/>
            </w:tcBorders>
            <w:shd w:val="clear" w:color="000000" w:fill="0093D5"/>
            <w:vAlign w:val="center"/>
            <w:hideMark/>
          </w:tcPr>
          <w:p w:rsidR="004226B0" w:rsidRPr="00513337" w:rsidRDefault="004226B0" w:rsidP="003C34C3">
            <w:pPr>
              <w:jc w:val="center"/>
              <w:rPr>
                <w:rFonts w:ascii="Arial Narrow" w:eastAsia="Times New Roman" w:hAnsi="Arial Narrow"/>
                <w:color w:val="FFFFFF"/>
                <w:sz w:val="24"/>
                <w:szCs w:val="24"/>
                <w:lang w:eastAsia="en-GB"/>
              </w:rPr>
            </w:pPr>
            <w:r w:rsidRPr="00513337">
              <w:rPr>
                <w:rFonts w:ascii="Arial Narrow" w:eastAsia="Times New Roman" w:hAnsi="Arial Narrow"/>
                <w:bCs/>
                <w:color w:val="FFFFFF" w:themeColor="background1"/>
                <w:sz w:val="24"/>
                <w:szCs w:val="24"/>
                <w:lang w:eastAsia="en-GB"/>
              </w:rPr>
              <w:t>Net (</w:t>
            </w:r>
            <w:r w:rsidR="00E056EA">
              <w:rPr>
                <w:rFonts w:ascii="Arial Narrow" w:eastAsia="Times New Roman" w:hAnsi="Arial Narrow"/>
                <w:bCs/>
                <w:color w:val="FFFFFF" w:themeColor="background1"/>
                <w:sz w:val="24"/>
                <w:szCs w:val="24"/>
                <w:lang w:eastAsia="en-GB"/>
              </w:rPr>
              <w:t>exc</w:t>
            </w:r>
            <w:r w:rsidR="00E056EA" w:rsidRPr="00513337">
              <w:rPr>
                <w:rFonts w:ascii="Arial Narrow" w:eastAsia="Times New Roman" w:hAnsi="Arial Narrow"/>
                <w:bCs/>
                <w:color w:val="FFFFFF" w:themeColor="background1"/>
                <w:sz w:val="24"/>
                <w:szCs w:val="24"/>
                <w:lang w:eastAsia="en-GB"/>
              </w:rPr>
              <w:t xml:space="preserve"> </w:t>
            </w:r>
            <w:r w:rsidRPr="00513337">
              <w:rPr>
                <w:rFonts w:ascii="Arial Narrow" w:eastAsia="Times New Roman" w:hAnsi="Arial Narrow"/>
                <w:bCs/>
                <w:color w:val="FFFFFF" w:themeColor="background1"/>
                <w:sz w:val="24"/>
                <w:szCs w:val="24"/>
                <w:lang w:eastAsia="en-GB"/>
              </w:rPr>
              <w:t>losses to commercial uses)</w:t>
            </w:r>
          </w:p>
        </w:tc>
        <w:tc>
          <w:tcPr>
            <w:tcW w:w="1249" w:type="pct"/>
            <w:gridSpan w:val="2"/>
            <w:tcBorders>
              <w:top w:val="single" w:sz="8" w:space="0" w:color="auto"/>
              <w:left w:val="nil"/>
              <w:bottom w:val="single" w:sz="8" w:space="0" w:color="auto"/>
              <w:right w:val="single" w:sz="8" w:space="0" w:color="000000"/>
            </w:tcBorders>
            <w:shd w:val="clear" w:color="000000" w:fill="0093D5"/>
            <w:vAlign w:val="center"/>
            <w:hideMark/>
          </w:tcPr>
          <w:p w:rsidR="004226B0" w:rsidRPr="00513337" w:rsidRDefault="004226B0" w:rsidP="003C34C3">
            <w:pPr>
              <w:jc w:val="center"/>
              <w:rPr>
                <w:rFonts w:ascii="Arial Narrow" w:eastAsia="Times New Roman" w:hAnsi="Arial Narrow"/>
                <w:color w:val="FFFFFF"/>
                <w:sz w:val="24"/>
                <w:szCs w:val="24"/>
                <w:lang w:eastAsia="en-GB"/>
              </w:rPr>
            </w:pPr>
            <w:r w:rsidRPr="00513337">
              <w:rPr>
                <w:rFonts w:ascii="Arial Narrow" w:eastAsia="Times New Roman" w:hAnsi="Arial Narrow"/>
                <w:bCs/>
                <w:color w:val="FFFFFF" w:themeColor="background1"/>
                <w:sz w:val="24"/>
                <w:szCs w:val="24"/>
                <w:lang w:eastAsia="en-GB"/>
              </w:rPr>
              <w:t>Gross</w:t>
            </w:r>
          </w:p>
        </w:tc>
      </w:tr>
      <w:tr w:rsidR="004226B0" w:rsidRPr="00513337" w:rsidTr="00D238E7">
        <w:trPr>
          <w:trHeight w:val="315"/>
        </w:trPr>
        <w:tc>
          <w:tcPr>
            <w:tcW w:w="589" w:type="pct"/>
            <w:tcBorders>
              <w:top w:val="nil"/>
              <w:left w:val="single" w:sz="8" w:space="0" w:color="auto"/>
              <w:bottom w:val="single" w:sz="8" w:space="0" w:color="auto"/>
              <w:right w:val="single" w:sz="8" w:space="0" w:color="auto"/>
            </w:tcBorders>
            <w:shd w:val="clear" w:color="000000" w:fill="0093D5"/>
            <w:vAlign w:val="center"/>
            <w:hideMark/>
          </w:tcPr>
          <w:p w:rsidR="004226B0" w:rsidRPr="00513337" w:rsidRDefault="004226B0" w:rsidP="003C34C3">
            <w:pPr>
              <w:rPr>
                <w:rFonts w:ascii="Arial Narrow" w:eastAsia="Times New Roman" w:hAnsi="Arial Narrow"/>
                <w:color w:val="FFFFFF"/>
                <w:sz w:val="24"/>
                <w:szCs w:val="24"/>
                <w:lang w:eastAsia="en-GB"/>
              </w:rPr>
            </w:pPr>
            <w:r w:rsidRPr="00513337">
              <w:rPr>
                <w:rFonts w:ascii="Arial Narrow" w:eastAsia="Times New Roman" w:hAnsi="Arial Narrow"/>
                <w:bCs/>
                <w:color w:val="FFFFFF" w:themeColor="background1"/>
                <w:sz w:val="24"/>
                <w:szCs w:val="24"/>
                <w:lang w:eastAsia="en-GB"/>
              </w:rPr>
              <w:t> </w:t>
            </w:r>
          </w:p>
        </w:tc>
        <w:tc>
          <w:tcPr>
            <w:tcW w:w="808" w:type="pct"/>
            <w:tcBorders>
              <w:top w:val="nil"/>
              <w:left w:val="nil"/>
              <w:bottom w:val="single" w:sz="8" w:space="0" w:color="auto"/>
              <w:right w:val="single" w:sz="8" w:space="0" w:color="auto"/>
            </w:tcBorders>
            <w:shd w:val="clear" w:color="000000" w:fill="0093D5"/>
            <w:vAlign w:val="center"/>
            <w:hideMark/>
          </w:tcPr>
          <w:p w:rsidR="004226B0" w:rsidRPr="00513337" w:rsidRDefault="004226B0" w:rsidP="003C34C3">
            <w:pPr>
              <w:jc w:val="center"/>
              <w:rPr>
                <w:rFonts w:ascii="Arial Narrow" w:eastAsia="Times New Roman" w:hAnsi="Arial Narrow"/>
                <w:color w:val="FFFFFF"/>
                <w:sz w:val="24"/>
                <w:szCs w:val="24"/>
                <w:lang w:eastAsia="en-GB"/>
              </w:rPr>
            </w:pPr>
            <w:r w:rsidRPr="00513337">
              <w:rPr>
                <w:rFonts w:ascii="Arial Narrow" w:eastAsia="Times New Roman" w:hAnsi="Arial Narrow"/>
                <w:bCs/>
                <w:color w:val="FFFFFF" w:themeColor="background1"/>
                <w:sz w:val="24"/>
                <w:szCs w:val="24"/>
                <w:lang w:eastAsia="en-GB"/>
              </w:rPr>
              <w:t>Sq m</w:t>
            </w:r>
          </w:p>
        </w:tc>
        <w:tc>
          <w:tcPr>
            <w:tcW w:w="882" w:type="pct"/>
            <w:tcBorders>
              <w:top w:val="nil"/>
              <w:left w:val="nil"/>
              <w:bottom w:val="single" w:sz="8" w:space="0" w:color="auto"/>
              <w:right w:val="single" w:sz="8" w:space="0" w:color="auto"/>
            </w:tcBorders>
            <w:shd w:val="clear" w:color="000000" w:fill="0093D5"/>
            <w:vAlign w:val="center"/>
            <w:hideMark/>
          </w:tcPr>
          <w:p w:rsidR="004226B0" w:rsidRPr="00513337" w:rsidRDefault="004226B0" w:rsidP="003C34C3">
            <w:pPr>
              <w:jc w:val="center"/>
              <w:rPr>
                <w:rFonts w:ascii="Arial Narrow" w:eastAsia="Times New Roman" w:hAnsi="Arial Narrow"/>
                <w:color w:val="FFFFFF"/>
                <w:sz w:val="24"/>
                <w:szCs w:val="24"/>
                <w:lang w:eastAsia="en-GB"/>
              </w:rPr>
            </w:pPr>
            <w:r w:rsidRPr="00513337">
              <w:rPr>
                <w:rFonts w:ascii="Arial Narrow" w:eastAsia="Times New Roman" w:hAnsi="Arial Narrow"/>
                <w:bCs/>
                <w:color w:val="FFFFFF" w:themeColor="background1"/>
                <w:sz w:val="24"/>
                <w:szCs w:val="24"/>
                <w:lang w:eastAsia="en-GB"/>
              </w:rPr>
              <w:t>Ha</w:t>
            </w:r>
          </w:p>
        </w:tc>
        <w:tc>
          <w:tcPr>
            <w:tcW w:w="735" w:type="pct"/>
            <w:tcBorders>
              <w:top w:val="nil"/>
              <w:left w:val="nil"/>
              <w:bottom w:val="single" w:sz="8" w:space="0" w:color="auto"/>
              <w:right w:val="single" w:sz="8" w:space="0" w:color="auto"/>
            </w:tcBorders>
            <w:shd w:val="clear" w:color="000000" w:fill="0093D5"/>
            <w:vAlign w:val="center"/>
            <w:hideMark/>
          </w:tcPr>
          <w:p w:rsidR="004226B0" w:rsidRPr="00513337" w:rsidRDefault="004226B0" w:rsidP="003C34C3">
            <w:pPr>
              <w:jc w:val="center"/>
              <w:rPr>
                <w:rFonts w:ascii="Arial Narrow" w:eastAsia="Times New Roman" w:hAnsi="Arial Narrow"/>
                <w:color w:val="FFFFFF"/>
                <w:sz w:val="24"/>
                <w:szCs w:val="24"/>
                <w:lang w:eastAsia="en-GB"/>
              </w:rPr>
            </w:pPr>
            <w:r w:rsidRPr="00513337">
              <w:rPr>
                <w:rFonts w:ascii="Arial Narrow" w:eastAsia="Times New Roman" w:hAnsi="Arial Narrow"/>
                <w:bCs/>
                <w:color w:val="FFFFFF" w:themeColor="background1"/>
                <w:sz w:val="24"/>
                <w:szCs w:val="24"/>
                <w:lang w:eastAsia="en-GB"/>
              </w:rPr>
              <w:t>Sq m</w:t>
            </w:r>
          </w:p>
        </w:tc>
        <w:tc>
          <w:tcPr>
            <w:tcW w:w="738" w:type="pct"/>
            <w:tcBorders>
              <w:top w:val="nil"/>
              <w:left w:val="nil"/>
              <w:bottom w:val="single" w:sz="8" w:space="0" w:color="auto"/>
              <w:right w:val="single" w:sz="8" w:space="0" w:color="auto"/>
            </w:tcBorders>
            <w:shd w:val="clear" w:color="000000" w:fill="0093D5"/>
            <w:vAlign w:val="center"/>
            <w:hideMark/>
          </w:tcPr>
          <w:p w:rsidR="004226B0" w:rsidRPr="00513337" w:rsidRDefault="004226B0" w:rsidP="003C34C3">
            <w:pPr>
              <w:jc w:val="center"/>
              <w:rPr>
                <w:rFonts w:ascii="Arial Narrow" w:eastAsia="Times New Roman" w:hAnsi="Arial Narrow"/>
                <w:color w:val="FFFFFF"/>
                <w:sz w:val="24"/>
                <w:szCs w:val="24"/>
                <w:lang w:eastAsia="en-GB"/>
              </w:rPr>
            </w:pPr>
            <w:r w:rsidRPr="00513337">
              <w:rPr>
                <w:rFonts w:ascii="Arial Narrow" w:eastAsia="Times New Roman" w:hAnsi="Arial Narrow"/>
                <w:bCs/>
                <w:color w:val="FFFFFF" w:themeColor="background1"/>
                <w:sz w:val="24"/>
                <w:szCs w:val="24"/>
                <w:lang w:eastAsia="en-GB"/>
              </w:rPr>
              <w:t>Ha</w:t>
            </w:r>
          </w:p>
        </w:tc>
        <w:tc>
          <w:tcPr>
            <w:tcW w:w="532" w:type="pct"/>
            <w:tcBorders>
              <w:top w:val="nil"/>
              <w:left w:val="nil"/>
              <w:bottom w:val="single" w:sz="8" w:space="0" w:color="auto"/>
              <w:right w:val="single" w:sz="8" w:space="0" w:color="auto"/>
            </w:tcBorders>
            <w:shd w:val="clear" w:color="000000" w:fill="0093D5"/>
            <w:vAlign w:val="center"/>
            <w:hideMark/>
          </w:tcPr>
          <w:p w:rsidR="004226B0" w:rsidRPr="00513337" w:rsidRDefault="004226B0" w:rsidP="003C34C3">
            <w:pPr>
              <w:jc w:val="center"/>
              <w:rPr>
                <w:rFonts w:ascii="Arial Narrow" w:eastAsia="Times New Roman" w:hAnsi="Arial Narrow"/>
                <w:color w:val="FFFFFF"/>
                <w:sz w:val="24"/>
                <w:szCs w:val="24"/>
                <w:lang w:eastAsia="en-GB"/>
              </w:rPr>
            </w:pPr>
            <w:r w:rsidRPr="00513337">
              <w:rPr>
                <w:rFonts w:ascii="Arial Narrow" w:eastAsia="Times New Roman" w:hAnsi="Arial Narrow"/>
                <w:bCs/>
                <w:color w:val="FFFFFF" w:themeColor="background1"/>
                <w:sz w:val="24"/>
                <w:szCs w:val="24"/>
                <w:lang w:eastAsia="en-GB"/>
              </w:rPr>
              <w:t>Sq m</w:t>
            </w:r>
          </w:p>
        </w:tc>
        <w:tc>
          <w:tcPr>
            <w:tcW w:w="717" w:type="pct"/>
            <w:tcBorders>
              <w:top w:val="nil"/>
              <w:left w:val="nil"/>
              <w:bottom w:val="single" w:sz="8" w:space="0" w:color="auto"/>
              <w:right w:val="single" w:sz="8" w:space="0" w:color="auto"/>
            </w:tcBorders>
            <w:shd w:val="clear" w:color="000000" w:fill="0093D5"/>
            <w:vAlign w:val="center"/>
            <w:hideMark/>
          </w:tcPr>
          <w:p w:rsidR="004226B0" w:rsidRPr="00513337" w:rsidRDefault="004226B0" w:rsidP="003C34C3">
            <w:pPr>
              <w:jc w:val="center"/>
              <w:rPr>
                <w:rFonts w:ascii="Arial Narrow" w:eastAsia="Times New Roman" w:hAnsi="Arial Narrow"/>
                <w:color w:val="FFFFFF"/>
                <w:sz w:val="24"/>
                <w:szCs w:val="24"/>
                <w:lang w:eastAsia="en-GB"/>
              </w:rPr>
            </w:pPr>
            <w:r w:rsidRPr="00513337">
              <w:rPr>
                <w:rFonts w:ascii="Arial Narrow" w:eastAsia="Times New Roman" w:hAnsi="Arial Narrow"/>
                <w:bCs/>
                <w:color w:val="FFFFFF" w:themeColor="background1"/>
                <w:sz w:val="24"/>
                <w:szCs w:val="24"/>
                <w:lang w:eastAsia="en-GB"/>
              </w:rPr>
              <w:t>Ha</w:t>
            </w:r>
          </w:p>
        </w:tc>
      </w:tr>
      <w:tr w:rsidR="004E7C65" w:rsidRPr="00513337" w:rsidTr="00D238E7">
        <w:trPr>
          <w:trHeight w:val="315"/>
        </w:trPr>
        <w:tc>
          <w:tcPr>
            <w:tcW w:w="589" w:type="pct"/>
            <w:tcBorders>
              <w:top w:val="nil"/>
              <w:left w:val="single" w:sz="8" w:space="0" w:color="auto"/>
              <w:bottom w:val="single" w:sz="8" w:space="0" w:color="auto"/>
              <w:right w:val="single" w:sz="8" w:space="0" w:color="auto"/>
            </w:tcBorders>
            <w:shd w:val="clear" w:color="000000" w:fill="FFFFFF"/>
            <w:vAlign w:val="center"/>
            <w:hideMark/>
          </w:tcPr>
          <w:p w:rsidR="004E7C65" w:rsidRPr="00513337" w:rsidRDefault="004E7C65" w:rsidP="004E7C65">
            <w:pPr>
              <w:rPr>
                <w:rFonts w:ascii="Arial Narrow" w:eastAsia="Times New Roman" w:hAnsi="Arial Narrow"/>
                <w:color w:val="000000"/>
                <w:sz w:val="24"/>
                <w:szCs w:val="24"/>
                <w:lang w:eastAsia="en-GB"/>
              </w:rPr>
            </w:pPr>
            <w:r w:rsidRPr="00513337">
              <w:rPr>
                <w:rFonts w:ascii="Arial Narrow" w:eastAsia="Times New Roman" w:hAnsi="Arial Narrow"/>
                <w:bCs/>
                <w:color w:val="000000"/>
                <w:sz w:val="24"/>
                <w:szCs w:val="24"/>
                <w:lang w:eastAsia="en-GB"/>
              </w:rPr>
              <w:t>B1a/b</w:t>
            </w:r>
            <w:r w:rsidR="00EB742D">
              <w:rPr>
                <w:rFonts w:ascii="Arial Narrow" w:eastAsia="Times New Roman" w:hAnsi="Arial Narrow"/>
                <w:bCs/>
                <w:color w:val="000000"/>
                <w:sz w:val="24"/>
                <w:szCs w:val="24"/>
                <w:lang w:eastAsia="en-GB"/>
              </w:rPr>
              <w:t xml:space="preserve"> inc B1</w:t>
            </w:r>
          </w:p>
        </w:tc>
        <w:tc>
          <w:tcPr>
            <w:tcW w:w="808" w:type="pct"/>
            <w:tcBorders>
              <w:top w:val="nil"/>
              <w:left w:val="nil"/>
              <w:bottom w:val="single" w:sz="8" w:space="0" w:color="auto"/>
              <w:right w:val="single" w:sz="8" w:space="0" w:color="auto"/>
            </w:tcBorders>
            <w:shd w:val="clear" w:color="000000" w:fill="FFFFFF"/>
            <w:vAlign w:val="center"/>
            <w:hideMark/>
          </w:tcPr>
          <w:p w:rsidR="004E7C65" w:rsidRPr="00EB742D" w:rsidRDefault="004E7C65" w:rsidP="004E7C65">
            <w:pPr>
              <w:jc w:val="center"/>
              <w:rPr>
                <w:rFonts w:ascii="Arial Narrow" w:eastAsia="Times New Roman" w:hAnsi="Arial Narrow"/>
                <w:color w:val="000000"/>
                <w:sz w:val="24"/>
                <w:szCs w:val="24"/>
                <w:lang w:eastAsia="en-GB"/>
              </w:rPr>
            </w:pPr>
            <w:r w:rsidRPr="00EB742D">
              <w:rPr>
                <w:rFonts w:ascii="Arial Narrow" w:hAnsi="Arial Narrow"/>
                <w:color w:val="000000"/>
                <w:sz w:val="24"/>
                <w:szCs w:val="24"/>
              </w:rPr>
              <w:t>29,</w:t>
            </w:r>
            <w:r w:rsidR="00EB742D">
              <w:rPr>
                <w:rFonts w:ascii="Arial Narrow" w:hAnsi="Arial Narrow"/>
                <w:color w:val="000000"/>
                <w:sz w:val="24"/>
                <w:szCs w:val="24"/>
              </w:rPr>
              <w:t>200</w:t>
            </w:r>
          </w:p>
        </w:tc>
        <w:tc>
          <w:tcPr>
            <w:tcW w:w="882" w:type="pct"/>
            <w:tcBorders>
              <w:top w:val="nil"/>
              <w:left w:val="nil"/>
              <w:bottom w:val="single" w:sz="8" w:space="0" w:color="auto"/>
              <w:right w:val="single" w:sz="8" w:space="0" w:color="auto"/>
            </w:tcBorders>
            <w:shd w:val="clear" w:color="000000" w:fill="FFFFFF"/>
            <w:vAlign w:val="center"/>
            <w:hideMark/>
          </w:tcPr>
          <w:p w:rsidR="004E7C65" w:rsidRPr="00EB742D" w:rsidRDefault="004E7C65" w:rsidP="004E7C65">
            <w:pPr>
              <w:jc w:val="center"/>
              <w:rPr>
                <w:rFonts w:ascii="Arial Narrow" w:eastAsia="Times New Roman" w:hAnsi="Arial Narrow"/>
                <w:color w:val="000000"/>
                <w:sz w:val="24"/>
                <w:szCs w:val="24"/>
                <w:lang w:eastAsia="en-GB"/>
              </w:rPr>
            </w:pPr>
            <w:r w:rsidRPr="00EB742D">
              <w:rPr>
                <w:rFonts w:ascii="Arial Narrow" w:hAnsi="Arial Narrow"/>
                <w:color w:val="000000"/>
                <w:sz w:val="24"/>
                <w:szCs w:val="24"/>
              </w:rPr>
              <w:t>3.9</w:t>
            </w:r>
          </w:p>
        </w:tc>
        <w:tc>
          <w:tcPr>
            <w:tcW w:w="735" w:type="pct"/>
            <w:tcBorders>
              <w:top w:val="nil"/>
              <w:left w:val="nil"/>
              <w:bottom w:val="single" w:sz="8" w:space="0" w:color="auto"/>
              <w:right w:val="single" w:sz="8" w:space="0" w:color="auto"/>
            </w:tcBorders>
            <w:shd w:val="clear" w:color="000000" w:fill="FFFFFF"/>
            <w:vAlign w:val="center"/>
            <w:hideMark/>
          </w:tcPr>
          <w:p w:rsidR="004E7C65" w:rsidRPr="00EB742D" w:rsidRDefault="004E7C65" w:rsidP="004E7C65">
            <w:pPr>
              <w:jc w:val="center"/>
              <w:rPr>
                <w:rFonts w:ascii="Arial Narrow" w:eastAsia="Times New Roman" w:hAnsi="Arial Narrow"/>
                <w:color w:val="000000"/>
                <w:sz w:val="24"/>
                <w:szCs w:val="24"/>
                <w:lang w:eastAsia="en-GB"/>
              </w:rPr>
            </w:pPr>
            <w:r w:rsidRPr="00EB742D">
              <w:rPr>
                <w:rFonts w:ascii="Arial Narrow" w:hAnsi="Arial Narrow"/>
                <w:color w:val="000000"/>
                <w:sz w:val="24"/>
                <w:szCs w:val="24"/>
              </w:rPr>
              <w:t>71,</w:t>
            </w:r>
            <w:r w:rsidR="00EB742D">
              <w:rPr>
                <w:rFonts w:ascii="Arial Narrow" w:hAnsi="Arial Narrow"/>
                <w:color w:val="000000"/>
                <w:sz w:val="24"/>
                <w:szCs w:val="24"/>
              </w:rPr>
              <w:t>400</w:t>
            </w:r>
          </w:p>
        </w:tc>
        <w:tc>
          <w:tcPr>
            <w:tcW w:w="738" w:type="pct"/>
            <w:tcBorders>
              <w:top w:val="nil"/>
              <w:left w:val="nil"/>
              <w:bottom w:val="single" w:sz="8" w:space="0" w:color="auto"/>
              <w:right w:val="single" w:sz="8" w:space="0" w:color="auto"/>
            </w:tcBorders>
            <w:shd w:val="clear" w:color="000000" w:fill="FFFFFF"/>
            <w:vAlign w:val="center"/>
            <w:hideMark/>
          </w:tcPr>
          <w:p w:rsidR="004E7C65" w:rsidRPr="00EB742D" w:rsidRDefault="004E7C65" w:rsidP="004E7C65">
            <w:pPr>
              <w:jc w:val="center"/>
              <w:rPr>
                <w:rFonts w:ascii="Arial Narrow" w:eastAsia="Times New Roman" w:hAnsi="Arial Narrow"/>
                <w:color w:val="000000"/>
                <w:sz w:val="24"/>
                <w:szCs w:val="24"/>
                <w:lang w:eastAsia="en-GB"/>
              </w:rPr>
            </w:pPr>
            <w:r w:rsidRPr="00EB742D">
              <w:rPr>
                <w:rFonts w:ascii="Arial Narrow" w:hAnsi="Arial Narrow"/>
                <w:color w:val="000000"/>
                <w:sz w:val="24"/>
                <w:szCs w:val="24"/>
              </w:rPr>
              <w:t>9.5</w:t>
            </w:r>
          </w:p>
        </w:tc>
        <w:tc>
          <w:tcPr>
            <w:tcW w:w="532" w:type="pct"/>
            <w:tcBorders>
              <w:top w:val="nil"/>
              <w:left w:val="nil"/>
              <w:bottom w:val="single" w:sz="8" w:space="0" w:color="auto"/>
              <w:right w:val="single" w:sz="8" w:space="0" w:color="auto"/>
            </w:tcBorders>
            <w:shd w:val="clear" w:color="000000" w:fill="FFFFFF"/>
            <w:vAlign w:val="center"/>
            <w:hideMark/>
          </w:tcPr>
          <w:p w:rsidR="004E7C65" w:rsidRPr="00EB742D" w:rsidRDefault="004E7C65" w:rsidP="004E7C65">
            <w:pPr>
              <w:jc w:val="center"/>
              <w:rPr>
                <w:rFonts w:ascii="Arial Narrow" w:eastAsia="Times New Roman" w:hAnsi="Arial Narrow"/>
                <w:color w:val="000000"/>
                <w:sz w:val="24"/>
                <w:szCs w:val="24"/>
                <w:lang w:eastAsia="en-GB"/>
              </w:rPr>
            </w:pPr>
            <w:r w:rsidRPr="00EB742D">
              <w:rPr>
                <w:rFonts w:ascii="Arial Narrow" w:hAnsi="Arial Narrow"/>
                <w:color w:val="000000"/>
                <w:sz w:val="24"/>
                <w:szCs w:val="24"/>
              </w:rPr>
              <w:t>71,</w:t>
            </w:r>
            <w:r w:rsidR="00EB742D" w:rsidRPr="00EB742D">
              <w:rPr>
                <w:rFonts w:ascii="Arial Narrow" w:hAnsi="Arial Narrow"/>
                <w:color w:val="000000"/>
                <w:sz w:val="24"/>
                <w:szCs w:val="24"/>
              </w:rPr>
              <w:t>7</w:t>
            </w:r>
            <w:r w:rsidR="00EB742D">
              <w:rPr>
                <w:rFonts w:ascii="Arial Narrow" w:hAnsi="Arial Narrow"/>
                <w:color w:val="000000"/>
                <w:sz w:val="24"/>
                <w:szCs w:val="24"/>
              </w:rPr>
              <w:t>00</w:t>
            </w:r>
          </w:p>
        </w:tc>
        <w:tc>
          <w:tcPr>
            <w:tcW w:w="717" w:type="pct"/>
            <w:tcBorders>
              <w:top w:val="nil"/>
              <w:left w:val="nil"/>
              <w:bottom w:val="single" w:sz="8" w:space="0" w:color="auto"/>
              <w:right w:val="single" w:sz="8" w:space="0" w:color="auto"/>
            </w:tcBorders>
            <w:shd w:val="clear" w:color="000000" w:fill="FFFFFF"/>
            <w:vAlign w:val="center"/>
            <w:hideMark/>
          </w:tcPr>
          <w:p w:rsidR="004E7C65" w:rsidRPr="00EB742D" w:rsidRDefault="004E7C65" w:rsidP="004E7C65">
            <w:pPr>
              <w:jc w:val="center"/>
              <w:rPr>
                <w:rFonts w:ascii="Arial Narrow" w:eastAsia="Times New Roman" w:hAnsi="Arial Narrow"/>
                <w:color w:val="000000"/>
                <w:sz w:val="24"/>
                <w:szCs w:val="24"/>
                <w:lang w:eastAsia="en-GB"/>
              </w:rPr>
            </w:pPr>
            <w:r w:rsidRPr="00EB742D">
              <w:rPr>
                <w:rFonts w:ascii="Arial Narrow" w:hAnsi="Arial Narrow"/>
                <w:color w:val="000000"/>
                <w:sz w:val="24"/>
                <w:szCs w:val="24"/>
              </w:rPr>
              <w:t>9.6</w:t>
            </w:r>
          </w:p>
        </w:tc>
      </w:tr>
      <w:tr w:rsidR="004E7C65" w:rsidRPr="00513337" w:rsidTr="00D238E7">
        <w:trPr>
          <w:trHeight w:val="315"/>
        </w:trPr>
        <w:tc>
          <w:tcPr>
            <w:tcW w:w="589" w:type="pct"/>
            <w:tcBorders>
              <w:top w:val="nil"/>
              <w:left w:val="single" w:sz="8" w:space="0" w:color="auto"/>
              <w:bottom w:val="single" w:sz="8" w:space="0" w:color="auto"/>
              <w:right w:val="single" w:sz="8" w:space="0" w:color="auto"/>
            </w:tcBorders>
            <w:shd w:val="clear" w:color="000000" w:fill="FFFFFF"/>
            <w:vAlign w:val="center"/>
            <w:hideMark/>
          </w:tcPr>
          <w:p w:rsidR="004E7C65" w:rsidRPr="00513337" w:rsidRDefault="004E7C65" w:rsidP="004E7C65">
            <w:pPr>
              <w:rPr>
                <w:rFonts w:ascii="Arial Narrow" w:eastAsia="Times New Roman" w:hAnsi="Arial Narrow"/>
                <w:color w:val="000000"/>
                <w:sz w:val="24"/>
                <w:szCs w:val="24"/>
                <w:lang w:eastAsia="en-GB"/>
              </w:rPr>
            </w:pPr>
            <w:r w:rsidRPr="00513337">
              <w:rPr>
                <w:rFonts w:ascii="Arial Narrow" w:eastAsia="Times New Roman" w:hAnsi="Arial Narrow"/>
                <w:bCs/>
                <w:color w:val="000000"/>
                <w:sz w:val="24"/>
                <w:szCs w:val="24"/>
                <w:lang w:eastAsia="en-GB"/>
              </w:rPr>
              <w:t>B1c/B2</w:t>
            </w:r>
          </w:p>
        </w:tc>
        <w:tc>
          <w:tcPr>
            <w:tcW w:w="808" w:type="pct"/>
            <w:tcBorders>
              <w:top w:val="nil"/>
              <w:left w:val="nil"/>
              <w:bottom w:val="single" w:sz="8" w:space="0" w:color="auto"/>
              <w:right w:val="single" w:sz="8" w:space="0" w:color="auto"/>
            </w:tcBorders>
            <w:shd w:val="clear" w:color="000000" w:fill="FFFFFF"/>
            <w:vAlign w:val="center"/>
            <w:hideMark/>
          </w:tcPr>
          <w:p w:rsidR="004E7C65" w:rsidRPr="00EB742D" w:rsidRDefault="004E7C65" w:rsidP="004E7C65">
            <w:pPr>
              <w:jc w:val="center"/>
              <w:rPr>
                <w:rFonts w:ascii="Arial Narrow" w:eastAsia="Times New Roman" w:hAnsi="Arial Narrow"/>
                <w:color w:val="000000"/>
                <w:sz w:val="24"/>
                <w:szCs w:val="24"/>
                <w:lang w:eastAsia="en-GB"/>
              </w:rPr>
            </w:pPr>
            <w:r w:rsidRPr="00EB742D">
              <w:rPr>
                <w:rFonts w:ascii="Arial Narrow" w:hAnsi="Arial Narrow"/>
                <w:color w:val="000000"/>
                <w:sz w:val="24"/>
                <w:szCs w:val="24"/>
              </w:rPr>
              <w:t>3,</w:t>
            </w:r>
            <w:r w:rsidR="00EB742D" w:rsidRPr="00EB742D">
              <w:rPr>
                <w:rFonts w:ascii="Arial Narrow" w:hAnsi="Arial Narrow"/>
                <w:color w:val="000000"/>
                <w:sz w:val="24"/>
                <w:szCs w:val="24"/>
              </w:rPr>
              <w:t>0</w:t>
            </w:r>
            <w:r w:rsidR="00EB742D">
              <w:rPr>
                <w:rFonts w:ascii="Arial Narrow" w:hAnsi="Arial Narrow"/>
                <w:color w:val="000000"/>
                <w:sz w:val="24"/>
                <w:szCs w:val="24"/>
              </w:rPr>
              <w:t>00</w:t>
            </w:r>
          </w:p>
        </w:tc>
        <w:tc>
          <w:tcPr>
            <w:tcW w:w="882" w:type="pct"/>
            <w:tcBorders>
              <w:top w:val="nil"/>
              <w:left w:val="nil"/>
              <w:bottom w:val="single" w:sz="8" w:space="0" w:color="auto"/>
              <w:right w:val="single" w:sz="8" w:space="0" w:color="auto"/>
            </w:tcBorders>
            <w:shd w:val="clear" w:color="000000" w:fill="FFFFFF"/>
            <w:vAlign w:val="center"/>
            <w:hideMark/>
          </w:tcPr>
          <w:p w:rsidR="004E7C65" w:rsidRPr="00EB742D" w:rsidRDefault="004E7C65" w:rsidP="004E7C65">
            <w:pPr>
              <w:jc w:val="center"/>
              <w:rPr>
                <w:rFonts w:ascii="Arial Narrow" w:eastAsia="Times New Roman" w:hAnsi="Arial Narrow"/>
                <w:color w:val="000000"/>
                <w:sz w:val="24"/>
                <w:szCs w:val="24"/>
                <w:lang w:eastAsia="en-GB"/>
              </w:rPr>
            </w:pPr>
            <w:r w:rsidRPr="00EB742D">
              <w:rPr>
                <w:rFonts w:ascii="Arial Narrow" w:hAnsi="Arial Narrow"/>
                <w:color w:val="000000"/>
                <w:sz w:val="24"/>
                <w:szCs w:val="24"/>
              </w:rPr>
              <w:t>0.8</w:t>
            </w:r>
          </w:p>
        </w:tc>
        <w:tc>
          <w:tcPr>
            <w:tcW w:w="735" w:type="pct"/>
            <w:tcBorders>
              <w:top w:val="nil"/>
              <w:left w:val="nil"/>
              <w:bottom w:val="single" w:sz="8" w:space="0" w:color="auto"/>
              <w:right w:val="single" w:sz="8" w:space="0" w:color="auto"/>
            </w:tcBorders>
            <w:shd w:val="clear" w:color="000000" w:fill="FFFFFF"/>
            <w:vAlign w:val="center"/>
            <w:hideMark/>
          </w:tcPr>
          <w:p w:rsidR="004E7C65" w:rsidRPr="00EB742D" w:rsidRDefault="004E7C65" w:rsidP="004E7C65">
            <w:pPr>
              <w:jc w:val="center"/>
              <w:rPr>
                <w:rFonts w:ascii="Arial Narrow" w:eastAsia="Times New Roman" w:hAnsi="Arial Narrow"/>
                <w:color w:val="000000"/>
                <w:sz w:val="24"/>
                <w:szCs w:val="24"/>
                <w:lang w:eastAsia="en-GB"/>
              </w:rPr>
            </w:pPr>
            <w:r w:rsidRPr="00EB742D">
              <w:rPr>
                <w:rFonts w:ascii="Arial Narrow" w:hAnsi="Arial Narrow"/>
                <w:color w:val="000000"/>
                <w:sz w:val="24"/>
                <w:szCs w:val="24"/>
              </w:rPr>
              <w:t>36,</w:t>
            </w:r>
            <w:r w:rsidR="00EB742D">
              <w:rPr>
                <w:rFonts w:ascii="Arial Narrow" w:hAnsi="Arial Narrow"/>
                <w:color w:val="000000"/>
                <w:sz w:val="24"/>
                <w:szCs w:val="24"/>
              </w:rPr>
              <w:t>200</w:t>
            </w:r>
          </w:p>
        </w:tc>
        <w:tc>
          <w:tcPr>
            <w:tcW w:w="738" w:type="pct"/>
            <w:tcBorders>
              <w:top w:val="nil"/>
              <w:left w:val="nil"/>
              <w:bottom w:val="single" w:sz="8" w:space="0" w:color="auto"/>
              <w:right w:val="single" w:sz="8" w:space="0" w:color="auto"/>
            </w:tcBorders>
            <w:shd w:val="clear" w:color="000000" w:fill="FFFFFF"/>
            <w:vAlign w:val="center"/>
            <w:hideMark/>
          </w:tcPr>
          <w:p w:rsidR="004E7C65" w:rsidRPr="00EB742D" w:rsidRDefault="004E7C65" w:rsidP="004E7C65">
            <w:pPr>
              <w:jc w:val="center"/>
              <w:rPr>
                <w:rFonts w:ascii="Arial Narrow" w:eastAsia="Times New Roman" w:hAnsi="Arial Narrow"/>
                <w:color w:val="000000"/>
                <w:sz w:val="24"/>
                <w:szCs w:val="24"/>
                <w:lang w:eastAsia="en-GB"/>
              </w:rPr>
            </w:pPr>
            <w:r w:rsidRPr="00EB742D">
              <w:rPr>
                <w:rFonts w:ascii="Arial Narrow" w:hAnsi="Arial Narrow"/>
                <w:color w:val="000000"/>
                <w:sz w:val="24"/>
                <w:szCs w:val="24"/>
              </w:rPr>
              <w:t>9.1</w:t>
            </w:r>
          </w:p>
        </w:tc>
        <w:tc>
          <w:tcPr>
            <w:tcW w:w="532" w:type="pct"/>
            <w:tcBorders>
              <w:top w:val="nil"/>
              <w:left w:val="nil"/>
              <w:bottom w:val="single" w:sz="8" w:space="0" w:color="auto"/>
              <w:right w:val="single" w:sz="8" w:space="0" w:color="auto"/>
            </w:tcBorders>
            <w:shd w:val="clear" w:color="000000" w:fill="FFFFFF"/>
            <w:vAlign w:val="center"/>
            <w:hideMark/>
          </w:tcPr>
          <w:p w:rsidR="004E7C65" w:rsidRPr="00EB742D" w:rsidRDefault="004E7C65" w:rsidP="004E7C65">
            <w:pPr>
              <w:jc w:val="center"/>
              <w:rPr>
                <w:rFonts w:ascii="Arial Narrow" w:eastAsia="Times New Roman" w:hAnsi="Arial Narrow"/>
                <w:color w:val="000000"/>
                <w:sz w:val="24"/>
                <w:szCs w:val="24"/>
                <w:lang w:eastAsia="en-GB"/>
              </w:rPr>
            </w:pPr>
            <w:r w:rsidRPr="00EB742D">
              <w:rPr>
                <w:rFonts w:ascii="Arial Narrow" w:hAnsi="Arial Narrow"/>
                <w:color w:val="000000"/>
                <w:sz w:val="24"/>
                <w:szCs w:val="24"/>
              </w:rPr>
              <w:t>81,</w:t>
            </w:r>
            <w:r w:rsidR="00EB742D">
              <w:rPr>
                <w:rFonts w:ascii="Arial Narrow" w:hAnsi="Arial Narrow"/>
                <w:color w:val="000000"/>
                <w:sz w:val="24"/>
                <w:szCs w:val="24"/>
              </w:rPr>
              <w:t>700</w:t>
            </w:r>
          </w:p>
        </w:tc>
        <w:tc>
          <w:tcPr>
            <w:tcW w:w="717" w:type="pct"/>
            <w:tcBorders>
              <w:top w:val="nil"/>
              <w:left w:val="nil"/>
              <w:bottom w:val="single" w:sz="8" w:space="0" w:color="auto"/>
              <w:right w:val="single" w:sz="8" w:space="0" w:color="auto"/>
            </w:tcBorders>
            <w:shd w:val="clear" w:color="000000" w:fill="FFFFFF"/>
            <w:vAlign w:val="center"/>
            <w:hideMark/>
          </w:tcPr>
          <w:p w:rsidR="004E7C65" w:rsidRPr="00EB742D" w:rsidRDefault="004E7C65" w:rsidP="004E7C65">
            <w:pPr>
              <w:jc w:val="center"/>
              <w:rPr>
                <w:rFonts w:ascii="Arial Narrow" w:eastAsia="Times New Roman" w:hAnsi="Arial Narrow"/>
                <w:color w:val="000000"/>
                <w:sz w:val="24"/>
                <w:szCs w:val="24"/>
                <w:lang w:eastAsia="en-GB"/>
              </w:rPr>
            </w:pPr>
            <w:r w:rsidRPr="00EB742D">
              <w:rPr>
                <w:rFonts w:ascii="Arial Narrow" w:hAnsi="Arial Narrow"/>
                <w:color w:val="000000"/>
                <w:sz w:val="24"/>
                <w:szCs w:val="24"/>
              </w:rPr>
              <w:t>20.4</w:t>
            </w:r>
          </w:p>
        </w:tc>
      </w:tr>
      <w:tr w:rsidR="004E7C65" w:rsidRPr="00513337" w:rsidTr="00D238E7">
        <w:trPr>
          <w:trHeight w:val="315"/>
        </w:trPr>
        <w:tc>
          <w:tcPr>
            <w:tcW w:w="589" w:type="pct"/>
            <w:tcBorders>
              <w:top w:val="nil"/>
              <w:left w:val="single" w:sz="8" w:space="0" w:color="auto"/>
              <w:bottom w:val="single" w:sz="8" w:space="0" w:color="auto"/>
              <w:right w:val="single" w:sz="8" w:space="0" w:color="auto"/>
            </w:tcBorders>
            <w:shd w:val="clear" w:color="000000" w:fill="FFFFFF"/>
            <w:vAlign w:val="center"/>
            <w:hideMark/>
          </w:tcPr>
          <w:p w:rsidR="004E7C65" w:rsidRPr="00513337" w:rsidRDefault="004E7C65" w:rsidP="004E7C65">
            <w:pPr>
              <w:rPr>
                <w:rFonts w:ascii="Arial Narrow" w:eastAsia="Times New Roman" w:hAnsi="Arial Narrow"/>
                <w:color w:val="000000"/>
                <w:sz w:val="24"/>
                <w:szCs w:val="24"/>
                <w:lang w:eastAsia="en-GB"/>
              </w:rPr>
            </w:pPr>
            <w:r w:rsidRPr="00513337">
              <w:rPr>
                <w:rFonts w:ascii="Arial Narrow" w:eastAsia="Times New Roman" w:hAnsi="Arial Narrow"/>
                <w:bCs/>
                <w:color w:val="000000"/>
                <w:sz w:val="24"/>
                <w:szCs w:val="24"/>
                <w:lang w:eastAsia="en-GB"/>
              </w:rPr>
              <w:t>B8</w:t>
            </w:r>
          </w:p>
        </w:tc>
        <w:tc>
          <w:tcPr>
            <w:tcW w:w="808" w:type="pct"/>
            <w:tcBorders>
              <w:top w:val="nil"/>
              <w:left w:val="nil"/>
              <w:bottom w:val="single" w:sz="8" w:space="0" w:color="auto"/>
              <w:right w:val="single" w:sz="8" w:space="0" w:color="auto"/>
            </w:tcBorders>
            <w:shd w:val="clear" w:color="000000" w:fill="FFFFFF"/>
            <w:vAlign w:val="center"/>
            <w:hideMark/>
          </w:tcPr>
          <w:p w:rsidR="004E7C65" w:rsidRPr="00EB742D" w:rsidRDefault="004E7C65" w:rsidP="004E7C65">
            <w:pPr>
              <w:jc w:val="center"/>
              <w:rPr>
                <w:rFonts w:ascii="Arial Narrow" w:eastAsia="Times New Roman" w:hAnsi="Arial Narrow"/>
                <w:color w:val="000000"/>
                <w:sz w:val="24"/>
                <w:szCs w:val="24"/>
                <w:lang w:eastAsia="en-GB"/>
              </w:rPr>
            </w:pPr>
            <w:r w:rsidRPr="00EB742D">
              <w:rPr>
                <w:rFonts w:ascii="Arial Narrow" w:hAnsi="Arial Narrow"/>
                <w:color w:val="000000"/>
                <w:sz w:val="24"/>
                <w:szCs w:val="24"/>
              </w:rPr>
              <w:t>49,</w:t>
            </w:r>
            <w:r w:rsidR="00EB742D">
              <w:rPr>
                <w:rFonts w:ascii="Arial Narrow" w:hAnsi="Arial Narrow"/>
                <w:color w:val="000000"/>
                <w:sz w:val="24"/>
                <w:szCs w:val="24"/>
              </w:rPr>
              <w:t>400</w:t>
            </w:r>
          </w:p>
        </w:tc>
        <w:tc>
          <w:tcPr>
            <w:tcW w:w="882" w:type="pct"/>
            <w:tcBorders>
              <w:top w:val="nil"/>
              <w:left w:val="nil"/>
              <w:bottom w:val="single" w:sz="8" w:space="0" w:color="auto"/>
              <w:right w:val="single" w:sz="8" w:space="0" w:color="auto"/>
            </w:tcBorders>
            <w:shd w:val="clear" w:color="000000" w:fill="FFFFFF"/>
            <w:vAlign w:val="center"/>
            <w:hideMark/>
          </w:tcPr>
          <w:p w:rsidR="004E7C65" w:rsidRPr="00EB742D" w:rsidRDefault="004E7C65" w:rsidP="004E7C65">
            <w:pPr>
              <w:jc w:val="center"/>
              <w:rPr>
                <w:rFonts w:ascii="Arial Narrow" w:eastAsia="Times New Roman" w:hAnsi="Arial Narrow"/>
                <w:color w:val="000000"/>
                <w:sz w:val="24"/>
                <w:szCs w:val="24"/>
                <w:lang w:eastAsia="en-GB"/>
              </w:rPr>
            </w:pPr>
            <w:r w:rsidRPr="00EB742D">
              <w:rPr>
                <w:rFonts w:ascii="Arial Narrow" w:hAnsi="Arial Narrow"/>
                <w:color w:val="000000"/>
                <w:sz w:val="24"/>
                <w:szCs w:val="24"/>
              </w:rPr>
              <w:t>9.0</w:t>
            </w:r>
          </w:p>
        </w:tc>
        <w:tc>
          <w:tcPr>
            <w:tcW w:w="735" w:type="pct"/>
            <w:tcBorders>
              <w:top w:val="nil"/>
              <w:left w:val="nil"/>
              <w:bottom w:val="single" w:sz="8" w:space="0" w:color="auto"/>
              <w:right w:val="single" w:sz="8" w:space="0" w:color="auto"/>
            </w:tcBorders>
            <w:shd w:val="clear" w:color="000000" w:fill="FFFFFF"/>
            <w:vAlign w:val="center"/>
            <w:hideMark/>
          </w:tcPr>
          <w:p w:rsidR="004E7C65" w:rsidRPr="00EB742D" w:rsidRDefault="004E7C65" w:rsidP="004E7C65">
            <w:pPr>
              <w:jc w:val="center"/>
              <w:rPr>
                <w:rFonts w:ascii="Arial Narrow" w:eastAsia="Times New Roman" w:hAnsi="Arial Narrow"/>
                <w:color w:val="000000"/>
                <w:sz w:val="24"/>
                <w:szCs w:val="24"/>
                <w:lang w:eastAsia="en-GB"/>
              </w:rPr>
            </w:pPr>
            <w:r w:rsidRPr="00EB742D">
              <w:rPr>
                <w:rFonts w:ascii="Arial Narrow" w:hAnsi="Arial Narrow"/>
                <w:color w:val="000000"/>
                <w:sz w:val="24"/>
                <w:szCs w:val="24"/>
              </w:rPr>
              <w:t>55,</w:t>
            </w:r>
            <w:r w:rsidR="00EB742D">
              <w:rPr>
                <w:rFonts w:ascii="Arial Narrow" w:hAnsi="Arial Narrow"/>
                <w:color w:val="000000"/>
                <w:sz w:val="24"/>
                <w:szCs w:val="24"/>
              </w:rPr>
              <w:t>600</w:t>
            </w:r>
          </w:p>
        </w:tc>
        <w:tc>
          <w:tcPr>
            <w:tcW w:w="738" w:type="pct"/>
            <w:tcBorders>
              <w:top w:val="nil"/>
              <w:left w:val="nil"/>
              <w:bottom w:val="single" w:sz="8" w:space="0" w:color="auto"/>
              <w:right w:val="single" w:sz="8" w:space="0" w:color="auto"/>
            </w:tcBorders>
            <w:shd w:val="clear" w:color="000000" w:fill="FFFFFF"/>
            <w:vAlign w:val="center"/>
            <w:hideMark/>
          </w:tcPr>
          <w:p w:rsidR="004E7C65" w:rsidRPr="00EB742D" w:rsidRDefault="004E7C65" w:rsidP="004E7C65">
            <w:pPr>
              <w:jc w:val="center"/>
              <w:rPr>
                <w:rFonts w:ascii="Arial Narrow" w:eastAsia="Times New Roman" w:hAnsi="Arial Narrow"/>
                <w:color w:val="000000"/>
                <w:sz w:val="24"/>
                <w:szCs w:val="24"/>
                <w:lang w:eastAsia="en-GB"/>
              </w:rPr>
            </w:pPr>
            <w:r w:rsidRPr="00EB742D">
              <w:rPr>
                <w:rFonts w:ascii="Arial Narrow" w:hAnsi="Arial Narrow"/>
                <w:color w:val="000000"/>
                <w:sz w:val="24"/>
                <w:szCs w:val="24"/>
              </w:rPr>
              <w:t>11.1</w:t>
            </w:r>
          </w:p>
        </w:tc>
        <w:tc>
          <w:tcPr>
            <w:tcW w:w="532" w:type="pct"/>
            <w:tcBorders>
              <w:top w:val="nil"/>
              <w:left w:val="nil"/>
              <w:bottom w:val="single" w:sz="8" w:space="0" w:color="auto"/>
              <w:right w:val="single" w:sz="8" w:space="0" w:color="auto"/>
            </w:tcBorders>
            <w:shd w:val="clear" w:color="000000" w:fill="FFFFFF"/>
            <w:vAlign w:val="center"/>
            <w:hideMark/>
          </w:tcPr>
          <w:p w:rsidR="004E7C65" w:rsidRPr="00EB742D" w:rsidRDefault="004E7C65" w:rsidP="004E7C65">
            <w:pPr>
              <w:jc w:val="center"/>
              <w:rPr>
                <w:rFonts w:ascii="Arial Narrow" w:eastAsia="Times New Roman" w:hAnsi="Arial Narrow"/>
                <w:color w:val="000000"/>
                <w:sz w:val="24"/>
                <w:szCs w:val="24"/>
                <w:lang w:eastAsia="en-GB"/>
              </w:rPr>
            </w:pPr>
            <w:r w:rsidRPr="00EB742D">
              <w:rPr>
                <w:rFonts w:ascii="Arial Narrow" w:hAnsi="Arial Narrow"/>
                <w:color w:val="000000"/>
                <w:sz w:val="24"/>
                <w:szCs w:val="24"/>
              </w:rPr>
              <w:t>89,</w:t>
            </w:r>
            <w:r w:rsidR="00EB742D">
              <w:rPr>
                <w:rFonts w:ascii="Arial Narrow" w:hAnsi="Arial Narrow"/>
                <w:color w:val="000000"/>
                <w:sz w:val="24"/>
                <w:szCs w:val="24"/>
              </w:rPr>
              <w:t>400</w:t>
            </w:r>
          </w:p>
        </w:tc>
        <w:tc>
          <w:tcPr>
            <w:tcW w:w="717" w:type="pct"/>
            <w:tcBorders>
              <w:top w:val="nil"/>
              <w:left w:val="nil"/>
              <w:bottom w:val="single" w:sz="8" w:space="0" w:color="auto"/>
              <w:right w:val="single" w:sz="8" w:space="0" w:color="auto"/>
            </w:tcBorders>
            <w:shd w:val="clear" w:color="000000" w:fill="FFFFFF"/>
            <w:vAlign w:val="center"/>
            <w:hideMark/>
          </w:tcPr>
          <w:p w:rsidR="004E7C65" w:rsidRPr="00EB742D" w:rsidRDefault="004E7C65" w:rsidP="004E7C65">
            <w:pPr>
              <w:jc w:val="center"/>
              <w:rPr>
                <w:rFonts w:ascii="Arial Narrow" w:eastAsia="Times New Roman" w:hAnsi="Arial Narrow"/>
                <w:color w:val="000000"/>
                <w:sz w:val="24"/>
                <w:szCs w:val="24"/>
                <w:lang w:eastAsia="en-GB"/>
              </w:rPr>
            </w:pPr>
            <w:r w:rsidRPr="00EB742D">
              <w:rPr>
                <w:rFonts w:ascii="Arial Narrow" w:hAnsi="Arial Narrow"/>
                <w:color w:val="000000"/>
                <w:sz w:val="24"/>
                <w:szCs w:val="24"/>
              </w:rPr>
              <w:t>17.9</w:t>
            </w:r>
          </w:p>
        </w:tc>
      </w:tr>
      <w:tr w:rsidR="004E7C65" w:rsidRPr="00513337" w:rsidTr="00D238E7">
        <w:trPr>
          <w:trHeight w:val="315"/>
        </w:trPr>
        <w:tc>
          <w:tcPr>
            <w:tcW w:w="589" w:type="pct"/>
            <w:tcBorders>
              <w:top w:val="nil"/>
              <w:left w:val="single" w:sz="8" w:space="0" w:color="auto"/>
              <w:bottom w:val="single" w:sz="8" w:space="0" w:color="auto"/>
              <w:right w:val="single" w:sz="8" w:space="0" w:color="auto"/>
            </w:tcBorders>
            <w:shd w:val="clear" w:color="000000" w:fill="FFFFFF"/>
            <w:vAlign w:val="center"/>
            <w:hideMark/>
          </w:tcPr>
          <w:p w:rsidR="004E7C65" w:rsidRPr="00513337" w:rsidRDefault="004E7C65" w:rsidP="004E7C65">
            <w:pPr>
              <w:rPr>
                <w:rFonts w:ascii="Arial Narrow" w:eastAsia="Times New Roman" w:hAnsi="Arial Narrow"/>
                <w:color w:val="000000"/>
                <w:sz w:val="24"/>
                <w:szCs w:val="24"/>
                <w:lang w:eastAsia="en-GB"/>
              </w:rPr>
            </w:pPr>
            <w:r w:rsidRPr="00513337">
              <w:rPr>
                <w:rFonts w:ascii="Arial Narrow" w:eastAsia="Times New Roman" w:hAnsi="Arial Narrow"/>
                <w:bCs/>
                <w:color w:val="000000"/>
                <w:sz w:val="24"/>
                <w:szCs w:val="24"/>
                <w:lang w:eastAsia="en-GB"/>
              </w:rPr>
              <w:t>Total</w:t>
            </w:r>
          </w:p>
        </w:tc>
        <w:tc>
          <w:tcPr>
            <w:tcW w:w="808" w:type="pct"/>
            <w:tcBorders>
              <w:top w:val="nil"/>
              <w:left w:val="nil"/>
              <w:bottom w:val="single" w:sz="8" w:space="0" w:color="auto"/>
              <w:right w:val="single" w:sz="8" w:space="0" w:color="auto"/>
            </w:tcBorders>
            <w:shd w:val="clear" w:color="000000" w:fill="FFFFFF"/>
            <w:vAlign w:val="center"/>
            <w:hideMark/>
          </w:tcPr>
          <w:p w:rsidR="004E7C65" w:rsidRPr="00EB742D" w:rsidRDefault="004E7C65" w:rsidP="004E7C65">
            <w:pPr>
              <w:jc w:val="center"/>
              <w:rPr>
                <w:rFonts w:ascii="Arial Narrow" w:eastAsia="Times New Roman" w:hAnsi="Arial Narrow"/>
                <w:color w:val="000000"/>
                <w:sz w:val="24"/>
                <w:szCs w:val="24"/>
                <w:lang w:eastAsia="en-GB"/>
              </w:rPr>
            </w:pPr>
            <w:r w:rsidRPr="00EB742D">
              <w:rPr>
                <w:rFonts w:ascii="Arial Narrow" w:hAnsi="Arial Narrow"/>
                <w:color w:val="000000"/>
                <w:sz w:val="24"/>
                <w:szCs w:val="24"/>
              </w:rPr>
              <w:t>81,</w:t>
            </w:r>
            <w:r w:rsidR="00EB742D" w:rsidRPr="00EB742D">
              <w:rPr>
                <w:rFonts w:ascii="Arial Narrow" w:hAnsi="Arial Narrow"/>
                <w:color w:val="000000"/>
                <w:sz w:val="24"/>
                <w:szCs w:val="24"/>
              </w:rPr>
              <w:t>5</w:t>
            </w:r>
            <w:r w:rsidR="00EB742D">
              <w:rPr>
                <w:rFonts w:ascii="Arial Narrow" w:hAnsi="Arial Narrow"/>
                <w:color w:val="000000"/>
                <w:sz w:val="24"/>
                <w:szCs w:val="24"/>
              </w:rPr>
              <w:t>00</w:t>
            </w:r>
          </w:p>
        </w:tc>
        <w:tc>
          <w:tcPr>
            <w:tcW w:w="882" w:type="pct"/>
            <w:tcBorders>
              <w:top w:val="nil"/>
              <w:left w:val="nil"/>
              <w:bottom w:val="single" w:sz="8" w:space="0" w:color="auto"/>
              <w:right w:val="single" w:sz="8" w:space="0" w:color="auto"/>
            </w:tcBorders>
            <w:shd w:val="clear" w:color="000000" w:fill="FFFFFF"/>
            <w:vAlign w:val="center"/>
            <w:hideMark/>
          </w:tcPr>
          <w:p w:rsidR="004E7C65" w:rsidRPr="00EB742D" w:rsidRDefault="004E7C65" w:rsidP="004E7C65">
            <w:pPr>
              <w:jc w:val="center"/>
              <w:rPr>
                <w:rFonts w:ascii="Arial Narrow" w:eastAsia="Times New Roman" w:hAnsi="Arial Narrow"/>
                <w:color w:val="000000"/>
                <w:sz w:val="24"/>
                <w:szCs w:val="24"/>
                <w:lang w:eastAsia="en-GB"/>
              </w:rPr>
            </w:pPr>
            <w:r w:rsidRPr="00EB742D">
              <w:rPr>
                <w:rFonts w:ascii="Arial Narrow" w:hAnsi="Arial Narrow"/>
                <w:color w:val="000000"/>
                <w:sz w:val="24"/>
                <w:szCs w:val="24"/>
              </w:rPr>
              <w:t>13.6</w:t>
            </w:r>
          </w:p>
        </w:tc>
        <w:tc>
          <w:tcPr>
            <w:tcW w:w="735" w:type="pct"/>
            <w:tcBorders>
              <w:top w:val="nil"/>
              <w:left w:val="nil"/>
              <w:bottom w:val="single" w:sz="8" w:space="0" w:color="auto"/>
              <w:right w:val="single" w:sz="8" w:space="0" w:color="auto"/>
            </w:tcBorders>
            <w:shd w:val="clear" w:color="000000" w:fill="FFFFFF"/>
            <w:vAlign w:val="center"/>
            <w:hideMark/>
          </w:tcPr>
          <w:p w:rsidR="004E7C65" w:rsidRPr="00EB742D" w:rsidRDefault="004E7C65" w:rsidP="004E7C65">
            <w:pPr>
              <w:jc w:val="center"/>
              <w:rPr>
                <w:rFonts w:ascii="Arial Narrow" w:eastAsia="Times New Roman" w:hAnsi="Arial Narrow"/>
                <w:color w:val="000000"/>
                <w:sz w:val="24"/>
                <w:szCs w:val="24"/>
                <w:lang w:eastAsia="en-GB"/>
              </w:rPr>
            </w:pPr>
            <w:r w:rsidRPr="00EB742D">
              <w:rPr>
                <w:rFonts w:ascii="Arial Narrow" w:hAnsi="Arial Narrow"/>
                <w:color w:val="000000"/>
                <w:sz w:val="24"/>
                <w:szCs w:val="24"/>
              </w:rPr>
              <w:t>163,</w:t>
            </w:r>
            <w:r w:rsidR="00EB742D">
              <w:rPr>
                <w:rFonts w:ascii="Arial Narrow" w:hAnsi="Arial Narrow"/>
                <w:color w:val="000000"/>
                <w:sz w:val="24"/>
                <w:szCs w:val="24"/>
              </w:rPr>
              <w:t>200</w:t>
            </w:r>
          </w:p>
        </w:tc>
        <w:tc>
          <w:tcPr>
            <w:tcW w:w="738" w:type="pct"/>
            <w:tcBorders>
              <w:top w:val="nil"/>
              <w:left w:val="nil"/>
              <w:bottom w:val="single" w:sz="8" w:space="0" w:color="auto"/>
              <w:right w:val="single" w:sz="8" w:space="0" w:color="auto"/>
            </w:tcBorders>
            <w:shd w:val="clear" w:color="000000" w:fill="FFFFFF"/>
            <w:vAlign w:val="center"/>
            <w:hideMark/>
          </w:tcPr>
          <w:p w:rsidR="004E7C65" w:rsidRPr="00EB742D" w:rsidRDefault="004E7C65" w:rsidP="004E7C65">
            <w:pPr>
              <w:jc w:val="center"/>
              <w:rPr>
                <w:rFonts w:ascii="Arial Narrow" w:eastAsia="Times New Roman" w:hAnsi="Arial Narrow"/>
                <w:color w:val="000000"/>
                <w:sz w:val="24"/>
                <w:szCs w:val="24"/>
                <w:lang w:eastAsia="en-GB"/>
              </w:rPr>
            </w:pPr>
            <w:r w:rsidRPr="00EB742D">
              <w:rPr>
                <w:rFonts w:ascii="Arial Narrow" w:hAnsi="Arial Narrow"/>
                <w:color w:val="000000"/>
                <w:sz w:val="24"/>
                <w:szCs w:val="24"/>
              </w:rPr>
              <w:t>29.7</w:t>
            </w:r>
          </w:p>
        </w:tc>
        <w:tc>
          <w:tcPr>
            <w:tcW w:w="532" w:type="pct"/>
            <w:tcBorders>
              <w:top w:val="nil"/>
              <w:left w:val="nil"/>
              <w:bottom w:val="single" w:sz="8" w:space="0" w:color="auto"/>
              <w:right w:val="single" w:sz="8" w:space="0" w:color="auto"/>
            </w:tcBorders>
            <w:shd w:val="clear" w:color="000000" w:fill="FFFFFF"/>
            <w:vAlign w:val="center"/>
            <w:hideMark/>
          </w:tcPr>
          <w:p w:rsidR="004E7C65" w:rsidRPr="00EB742D" w:rsidRDefault="004E7C65" w:rsidP="004E7C65">
            <w:pPr>
              <w:jc w:val="center"/>
              <w:rPr>
                <w:rFonts w:ascii="Arial Narrow" w:eastAsia="Times New Roman" w:hAnsi="Arial Narrow"/>
                <w:color w:val="000000"/>
                <w:sz w:val="24"/>
                <w:szCs w:val="24"/>
                <w:lang w:eastAsia="en-GB"/>
              </w:rPr>
            </w:pPr>
            <w:r w:rsidRPr="00EB742D">
              <w:rPr>
                <w:rFonts w:ascii="Arial Narrow" w:hAnsi="Arial Narrow"/>
                <w:color w:val="000000"/>
                <w:sz w:val="24"/>
                <w:szCs w:val="24"/>
              </w:rPr>
              <w:t>242,</w:t>
            </w:r>
            <w:r w:rsidR="00EB742D">
              <w:rPr>
                <w:rFonts w:ascii="Arial Narrow" w:hAnsi="Arial Narrow"/>
                <w:color w:val="000000"/>
                <w:sz w:val="24"/>
                <w:szCs w:val="24"/>
              </w:rPr>
              <w:t>800</w:t>
            </w:r>
          </w:p>
        </w:tc>
        <w:tc>
          <w:tcPr>
            <w:tcW w:w="717" w:type="pct"/>
            <w:tcBorders>
              <w:top w:val="nil"/>
              <w:left w:val="nil"/>
              <w:bottom w:val="single" w:sz="8" w:space="0" w:color="auto"/>
              <w:right w:val="single" w:sz="8" w:space="0" w:color="auto"/>
            </w:tcBorders>
            <w:shd w:val="clear" w:color="000000" w:fill="FFFFFF"/>
            <w:vAlign w:val="center"/>
            <w:hideMark/>
          </w:tcPr>
          <w:p w:rsidR="004E7C65" w:rsidRPr="00EB742D" w:rsidRDefault="004E7C65" w:rsidP="004E7C65">
            <w:pPr>
              <w:jc w:val="center"/>
              <w:rPr>
                <w:rFonts w:ascii="Arial Narrow" w:eastAsia="Times New Roman" w:hAnsi="Arial Narrow"/>
                <w:color w:val="000000"/>
                <w:sz w:val="24"/>
                <w:szCs w:val="24"/>
                <w:lang w:eastAsia="en-GB"/>
              </w:rPr>
            </w:pPr>
            <w:r w:rsidRPr="00EB742D">
              <w:rPr>
                <w:rFonts w:ascii="Arial Narrow" w:hAnsi="Arial Narrow"/>
                <w:color w:val="000000"/>
                <w:sz w:val="24"/>
                <w:szCs w:val="24"/>
              </w:rPr>
              <w:t>47.9</w:t>
            </w:r>
          </w:p>
        </w:tc>
      </w:tr>
    </w:tbl>
    <w:p w:rsidR="004226B0" w:rsidRPr="00CA47B9" w:rsidRDefault="004226B0" w:rsidP="00D238E7">
      <w:pPr>
        <w:pStyle w:val="11Bodytext"/>
        <w:numPr>
          <w:ilvl w:val="0"/>
          <w:numId w:val="0"/>
        </w:numPr>
        <w:spacing w:before="0" w:after="0" w:line="240" w:lineRule="auto"/>
        <w:jc w:val="left"/>
      </w:pPr>
      <w:r w:rsidRPr="00CA47B9">
        <w:t>Source: GL Hearn based on Chichester District Council data</w:t>
      </w:r>
    </w:p>
    <w:bookmarkEnd w:id="235"/>
    <w:p w:rsidR="003C70C8" w:rsidRPr="00CA47B9" w:rsidRDefault="003C70C8" w:rsidP="006765B7">
      <w:pPr>
        <w:pStyle w:val="SubheadBlue12"/>
        <w:ind w:left="567" w:firstLine="0"/>
      </w:pPr>
      <w:r w:rsidRPr="00CA47B9">
        <w:t xml:space="preserve">Flexible Margin </w:t>
      </w:r>
    </w:p>
    <w:p w:rsidR="00B92714" w:rsidRPr="00CA47B9" w:rsidRDefault="003C70C8" w:rsidP="00A44164">
      <w:pPr>
        <w:pStyle w:val="11Bodytext"/>
        <w:tabs>
          <w:tab w:val="clear" w:pos="2212"/>
          <w:tab w:val="num" w:pos="567"/>
        </w:tabs>
        <w:ind w:left="567" w:hanging="567"/>
      </w:pPr>
      <w:r w:rsidRPr="00CA47B9">
        <w:t>It is considered good practice to include a margin of employment land need in addition to floorspace modelling based on demographic trends</w:t>
      </w:r>
      <w:r w:rsidR="00F8757F">
        <w:t xml:space="preserve"> (this does not relate to past trend projections)</w:t>
      </w:r>
      <w:r w:rsidRPr="00CA47B9">
        <w:t>. In the 2017 Chichester HEDNA</w:t>
      </w:r>
      <w:r w:rsidR="00855CA6">
        <w:t>,</w:t>
      </w:r>
      <w:r w:rsidRPr="00CA47B9">
        <w:t xml:space="preserve"> a flexible margin of 5 years</w:t>
      </w:r>
      <w:r w:rsidR="004374A9">
        <w:t>’</w:t>
      </w:r>
      <w:r w:rsidRPr="00CA47B9">
        <w:t xml:space="preserve"> </w:t>
      </w:r>
      <w:r w:rsidR="005917A1" w:rsidRPr="00CA47B9">
        <w:t xml:space="preserve">worth of completions trends </w:t>
      </w:r>
      <w:r w:rsidRPr="00CA47B9">
        <w:t xml:space="preserve">was used. </w:t>
      </w:r>
      <w:r w:rsidR="00CA40AE" w:rsidRPr="00CA47B9">
        <w:t>The flexible margin</w:t>
      </w:r>
      <w:r w:rsidR="00B92714" w:rsidRPr="00CA47B9">
        <w:t xml:space="preserve"> is included to account for: </w:t>
      </w:r>
    </w:p>
    <w:p w:rsidR="00B92714" w:rsidRPr="00CA47B9" w:rsidRDefault="00E568A7" w:rsidP="00901C92">
      <w:pPr>
        <w:pStyle w:val="Bulletblueplain"/>
        <w:rPr>
          <w:rFonts w:asciiTheme="minorHAnsi" w:hAnsiTheme="minorHAnsi" w:cstheme="minorHAnsi"/>
          <w:color w:val="auto"/>
          <w:szCs w:val="20"/>
        </w:rPr>
      </w:pPr>
      <w:r w:rsidRPr="00CA47B9">
        <w:t>The potential error margin associated with the forecasting process;</w:t>
      </w:r>
    </w:p>
    <w:p w:rsidR="00B92714" w:rsidRPr="00CA47B9" w:rsidRDefault="00B92714" w:rsidP="00901C92">
      <w:pPr>
        <w:pStyle w:val="Bulletblueplain"/>
        <w:rPr>
          <w:rFonts w:asciiTheme="minorHAnsi" w:hAnsiTheme="minorHAnsi" w:cstheme="minorHAnsi"/>
          <w:color w:val="auto"/>
          <w:szCs w:val="20"/>
        </w:rPr>
      </w:pPr>
      <w:r w:rsidRPr="00CA47B9">
        <w:t>Providing</w:t>
      </w:r>
      <w:r w:rsidR="00E568A7" w:rsidRPr="00CA47B9">
        <w:t xml:space="preserve"> a choice of sites to facilitate competition in the property market;</w:t>
      </w:r>
    </w:p>
    <w:p w:rsidR="00B92714" w:rsidRPr="00CA47B9" w:rsidRDefault="00B92714" w:rsidP="00901C92">
      <w:pPr>
        <w:pStyle w:val="Bulletblueplain"/>
        <w:rPr>
          <w:rFonts w:asciiTheme="minorHAnsi" w:hAnsiTheme="minorHAnsi" w:cstheme="minorHAnsi"/>
          <w:color w:val="auto"/>
          <w:szCs w:val="20"/>
        </w:rPr>
      </w:pPr>
      <w:r w:rsidRPr="00CA47B9">
        <w:t>Allowance for sites lost to alternate uses; and</w:t>
      </w:r>
    </w:p>
    <w:p w:rsidR="00E568A7" w:rsidRPr="00CA47B9" w:rsidRDefault="00B92714" w:rsidP="00901C92">
      <w:pPr>
        <w:pStyle w:val="Bulletblueplain"/>
        <w:rPr>
          <w:rFonts w:asciiTheme="minorHAnsi" w:hAnsiTheme="minorHAnsi" w:cstheme="minorHAnsi"/>
          <w:color w:val="auto"/>
          <w:szCs w:val="20"/>
        </w:rPr>
      </w:pPr>
      <w:r w:rsidRPr="00CA47B9">
        <w:t xml:space="preserve">Providing </w:t>
      </w:r>
      <w:r w:rsidR="00E568A7" w:rsidRPr="00CA47B9">
        <w:t>flexibility to allow for any delays in individual sites coming forward</w:t>
      </w:r>
      <w:r w:rsidRPr="00CA47B9">
        <w:t xml:space="preserve"> and the time it takes to deliver individual sites</w:t>
      </w:r>
      <w:r w:rsidR="00E568A7" w:rsidRPr="00CA47B9">
        <w:t>.</w:t>
      </w:r>
    </w:p>
    <w:p w:rsidR="006955A6" w:rsidRPr="00CA47B9" w:rsidRDefault="003C70C8" w:rsidP="00A44164">
      <w:pPr>
        <w:pStyle w:val="11Bodytext"/>
        <w:tabs>
          <w:tab w:val="clear" w:pos="2212"/>
          <w:tab w:val="num" w:pos="567"/>
        </w:tabs>
        <w:ind w:left="567" w:hanging="567"/>
        <w:rPr>
          <w:color w:val="auto"/>
        </w:rPr>
      </w:pPr>
      <w:r w:rsidRPr="00CA47B9">
        <w:rPr>
          <w:color w:val="auto"/>
        </w:rPr>
        <w:t xml:space="preserve">Whilst there is no </w:t>
      </w:r>
      <w:r w:rsidRPr="00A44164">
        <w:t>statutory</w:t>
      </w:r>
      <w:r w:rsidRPr="00CA47B9">
        <w:rPr>
          <w:color w:val="auto"/>
        </w:rPr>
        <w:t xml:space="preserve"> guidance </w:t>
      </w:r>
      <w:r w:rsidR="005917A1" w:rsidRPr="00CA47B9">
        <w:rPr>
          <w:color w:val="auto"/>
        </w:rPr>
        <w:t xml:space="preserve">on this matter </w:t>
      </w:r>
      <w:r w:rsidR="00B92714" w:rsidRPr="00CA47B9">
        <w:rPr>
          <w:color w:val="auto"/>
        </w:rPr>
        <w:t>t</w:t>
      </w:r>
      <w:r w:rsidR="00B92714" w:rsidRPr="00CA47B9">
        <w:t xml:space="preserve">he former South East England Partnership Board Guidance (SEEPB) Employment and Economic Land Assessments guidance (2010) </w:t>
      </w:r>
      <w:r w:rsidR="00F8757F" w:rsidRPr="00CA47B9">
        <w:t>rec</w:t>
      </w:r>
      <w:r w:rsidR="00F8757F">
        <w:t>o</w:t>
      </w:r>
      <w:r w:rsidR="00F8757F" w:rsidRPr="00CA47B9">
        <w:t>mmended</w:t>
      </w:r>
      <w:r w:rsidR="00B92714" w:rsidRPr="00CA47B9">
        <w:t xml:space="preserve"> an allowance equivalent to the average </w:t>
      </w:r>
      <w:r w:rsidR="00B92714" w:rsidRPr="00CA47B9">
        <w:lastRenderedPageBreak/>
        <w:t>time it takes for a site to gain planning permission, typically two years. F</w:t>
      </w:r>
      <w:r w:rsidR="005917A1" w:rsidRPr="00CA47B9">
        <w:rPr>
          <w:color w:val="auto"/>
        </w:rPr>
        <w:t xml:space="preserve">or the 2019 update is considered preferable </w:t>
      </w:r>
      <w:r w:rsidR="00B92714" w:rsidRPr="00CA47B9">
        <w:rPr>
          <w:color w:val="auto"/>
        </w:rPr>
        <w:t xml:space="preserve">to </w:t>
      </w:r>
      <w:r w:rsidR="005917A1" w:rsidRPr="00CA47B9">
        <w:rPr>
          <w:color w:val="auto"/>
        </w:rPr>
        <w:t>use a</w:t>
      </w:r>
      <w:r w:rsidR="00CA40AE" w:rsidRPr="00CA47B9">
        <w:rPr>
          <w:color w:val="auto"/>
        </w:rPr>
        <w:t xml:space="preserve"> margin of 2 years of completions trends. </w:t>
      </w:r>
      <w:r w:rsidR="00B92714" w:rsidRPr="00CA47B9">
        <w:rPr>
          <w:color w:val="auto"/>
        </w:rPr>
        <w:t>This is considered appropriate as</w:t>
      </w:r>
      <w:r w:rsidR="006955A6" w:rsidRPr="00CA47B9">
        <w:rPr>
          <w:color w:val="auto"/>
        </w:rPr>
        <w:t xml:space="preserve"> one of the drivers for the </w:t>
      </w:r>
      <w:r w:rsidR="009E4D60" w:rsidRPr="00CA47B9">
        <w:rPr>
          <w:color w:val="auto"/>
        </w:rPr>
        <w:t>5-year</w:t>
      </w:r>
      <w:r w:rsidR="006955A6" w:rsidRPr="00CA47B9">
        <w:rPr>
          <w:color w:val="auto"/>
        </w:rPr>
        <w:t xml:space="preserve"> margin was an</w:t>
      </w:r>
      <w:r w:rsidR="00B92714" w:rsidRPr="00CA47B9">
        <w:rPr>
          <w:color w:val="auto"/>
        </w:rPr>
        <w:t xml:space="preserve"> allowance for sites lost to alternate uses</w:t>
      </w:r>
      <w:r w:rsidR="00F8757F">
        <w:rPr>
          <w:color w:val="auto"/>
        </w:rPr>
        <w:t xml:space="preserve"> including residential</w:t>
      </w:r>
      <w:r w:rsidR="006955A6" w:rsidRPr="00CA47B9">
        <w:rPr>
          <w:color w:val="auto"/>
        </w:rPr>
        <w:t xml:space="preserve">. This </w:t>
      </w:r>
      <w:r w:rsidR="00B92714" w:rsidRPr="00CA47B9">
        <w:rPr>
          <w:color w:val="auto"/>
        </w:rPr>
        <w:t>can now be calculated separately and</w:t>
      </w:r>
      <w:r w:rsidR="00F8757F">
        <w:rPr>
          <w:color w:val="auto"/>
        </w:rPr>
        <w:t xml:space="preserve"> considered</w:t>
      </w:r>
      <w:r w:rsidR="00B92714" w:rsidRPr="00CA47B9">
        <w:rPr>
          <w:color w:val="auto"/>
        </w:rPr>
        <w:t xml:space="preserve"> in addition to the </w:t>
      </w:r>
      <w:r w:rsidR="00F8757F">
        <w:rPr>
          <w:color w:val="auto"/>
        </w:rPr>
        <w:t xml:space="preserve">flexible </w:t>
      </w:r>
      <w:r w:rsidR="00B92714" w:rsidRPr="00CA47B9">
        <w:rPr>
          <w:color w:val="auto"/>
        </w:rPr>
        <w:t>margin</w:t>
      </w:r>
      <w:r w:rsidR="006955A6" w:rsidRPr="00CA47B9">
        <w:rPr>
          <w:color w:val="auto"/>
        </w:rPr>
        <w:t xml:space="preserve"> as</w:t>
      </w:r>
      <w:r w:rsidR="00CA40AE" w:rsidRPr="00CA47B9">
        <w:rPr>
          <w:color w:val="auto"/>
        </w:rPr>
        <w:t xml:space="preserve"> a longer run data series of losses to both employment and </w:t>
      </w:r>
      <w:r w:rsidR="009E4D60" w:rsidRPr="00CA47B9">
        <w:rPr>
          <w:color w:val="auto"/>
        </w:rPr>
        <w:t>non-employment</w:t>
      </w:r>
      <w:r w:rsidR="00CA40AE" w:rsidRPr="00CA47B9">
        <w:rPr>
          <w:color w:val="auto"/>
        </w:rPr>
        <w:t xml:space="preserve"> uses </w:t>
      </w:r>
      <w:r w:rsidR="00B92714" w:rsidRPr="00CA47B9">
        <w:rPr>
          <w:color w:val="auto"/>
        </w:rPr>
        <w:t xml:space="preserve">(now 8 years of data) </w:t>
      </w:r>
      <w:r w:rsidR="00CA40AE" w:rsidRPr="00CA47B9">
        <w:rPr>
          <w:color w:val="auto"/>
        </w:rPr>
        <w:t xml:space="preserve">is available. </w:t>
      </w:r>
    </w:p>
    <w:p w:rsidR="00E82681" w:rsidRPr="00CA47B9" w:rsidRDefault="00E82681" w:rsidP="00A44164">
      <w:pPr>
        <w:pStyle w:val="11Bodytext"/>
        <w:tabs>
          <w:tab w:val="clear" w:pos="2212"/>
          <w:tab w:val="num" w:pos="567"/>
        </w:tabs>
        <w:ind w:left="567" w:hanging="567"/>
      </w:pPr>
      <w:r w:rsidRPr="00CA47B9">
        <w:t xml:space="preserve">Taking into account the analysis previously the flexible margin </w:t>
      </w:r>
      <w:r w:rsidR="00B05D5E" w:rsidRPr="00CA47B9">
        <w:t>is established as 2 years gross completions trends being:</w:t>
      </w:r>
    </w:p>
    <w:p w:rsidR="00B05D5E" w:rsidRPr="00CA47B9" w:rsidRDefault="00B05D5E" w:rsidP="00901C92">
      <w:pPr>
        <w:pStyle w:val="Bulletblueplain"/>
      </w:pPr>
      <w:r w:rsidRPr="00CA47B9">
        <w:t>B1a/b: 8,</w:t>
      </w:r>
      <w:r w:rsidR="00A84B15" w:rsidRPr="00CA47B9">
        <w:t>4</w:t>
      </w:r>
      <w:r w:rsidRPr="00CA47B9">
        <w:t>00 sqm</w:t>
      </w:r>
      <w:r w:rsidR="004B501E" w:rsidRPr="00CA47B9">
        <w:t xml:space="preserve"> (</w:t>
      </w:r>
      <w:r w:rsidR="005B345E" w:rsidRPr="00CA47B9">
        <w:t>1.1 ha)</w:t>
      </w:r>
    </w:p>
    <w:p w:rsidR="00B05D5E" w:rsidRPr="00CA47B9" w:rsidRDefault="00B05D5E" w:rsidP="00901C92">
      <w:pPr>
        <w:pStyle w:val="Bulletblueplain"/>
      </w:pPr>
      <w:r w:rsidRPr="00CA47B9">
        <w:t>B1c/B2: 9,600 sqm</w:t>
      </w:r>
      <w:r w:rsidR="005B345E" w:rsidRPr="00CA47B9">
        <w:t xml:space="preserve"> (2.4 ha)</w:t>
      </w:r>
    </w:p>
    <w:p w:rsidR="00B05D5E" w:rsidRDefault="00B05D5E" w:rsidP="00901C92">
      <w:pPr>
        <w:pStyle w:val="Bulletblueplain"/>
      </w:pPr>
      <w:r w:rsidRPr="00CA47B9">
        <w:t xml:space="preserve">B8: </w:t>
      </w:r>
      <w:r w:rsidR="00281B87" w:rsidRPr="00CA47B9">
        <w:t>1</w:t>
      </w:r>
      <w:r w:rsidR="00281B87">
        <w:t>0</w:t>
      </w:r>
      <w:r w:rsidRPr="00CA47B9">
        <w:t>,</w:t>
      </w:r>
      <w:r w:rsidR="00281B87">
        <w:t>6</w:t>
      </w:r>
      <w:r w:rsidR="00281B87" w:rsidRPr="00CA47B9">
        <w:t xml:space="preserve">00 </w:t>
      </w:r>
      <w:r w:rsidRPr="00CA47B9">
        <w:t>sqm</w:t>
      </w:r>
      <w:r w:rsidR="005B345E" w:rsidRPr="00CA47B9">
        <w:t xml:space="preserve"> (2.</w:t>
      </w:r>
      <w:r w:rsidR="00DE5579">
        <w:t>1</w:t>
      </w:r>
      <w:r w:rsidR="005B345E" w:rsidRPr="00CA47B9">
        <w:t xml:space="preserve"> ha)</w:t>
      </w:r>
    </w:p>
    <w:p w:rsidR="008C72BE" w:rsidRPr="00CA47B9" w:rsidRDefault="008C72BE" w:rsidP="006765B7">
      <w:pPr>
        <w:pStyle w:val="SubheadBlue12"/>
        <w:ind w:left="567" w:firstLine="0"/>
      </w:pPr>
      <w:r w:rsidRPr="00CA47B9">
        <w:t>Replacement Demand</w:t>
      </w:r>
    </w:p>
    <w:p w:rsidR="00823E58" w:rsidRDefault="006955A6" w:rsidP="00A44164">
      <w:pPr>
        <w:pStyle w:val="11Bodytext"/>
        <w:tabs>
          <w:tab w:val="clear" w:pos="2212"/>
          <w:tab w:val="num" w:pos="567"/>
        </w:tabs>
        <w:ind w:left="567" w:hanging="567"/>
      </w:pPr>
      <w:r w:rsidRPr="00CA47B9">
        <w:t xml:space="preserve">The </w:t>
      </w:r>
      <w:r w:rsidR="00B05D5E" w:rsidRPr="00CA47B9">
        <w:t>r</w:t>
      </w:r>
      <w:r w:rsidR="00CA40AE" w:rsidRPr="00CA47B9">
        <w:t xml:space="preserve">eplacement demand </w:t>
      </w:r>
      <w:r w:rsidR="00B05D5E" w:rsidRPr="00CA47B9">
        <w:t xml:space="preserve">assessment considers to what degree a further allowance for floorspace should be made </w:t>
      </w:r>
      <w:r w:rsidR="008C72BE">
        <w:t>to account for</w:t>
      </w:r>
      <w:r w:rsidR="00B05D5E" w:rsidRPr="00CA47B9">
        <w:t xml:space="preserve"> floorspace or land that has been lost </w:t>
      </w:r>
      <w:r w:rsidR="008C72BE">
        <w:t>from</w:t>
      </w:r>
      <w:r w:rsidR="00B05D5E" w:rsidRPr="00CA47B9">
        <w:t xml:space="preserve"> business activity</w:t>
      </w:r>
      <w:r w:rsidR="008C72BE">
        <w:t xml:space="preserve"> in the past</w:t>
      </w:r>
      <w:r w:rsidR="00B05D5E" w:rsidRPr="00CA47B9">
        <w:t xml:space="preserve"> and may continue to be lost in the future. As the previous section identified, </w:t>
      </w:r>
      <w:r w:rsidR="00823E58">
        <w:t>there has been a</w:t>
      </w:r>
      <w:r w:rsidR="00B05D5E" w:rsidRPr="00CA47B9">
        <w:t xml:space="preserve"> degree of losses</w:t>
      </w:r>
      <w:r w:rsidR="008C72BE">
        <w:t xml:space="preserve"> of employment land</w:t>
      </w:r>
      <w:r w:rsidR="00B05D5E" w:rsidRPr="00CA47B9">
        <w:t xml:space="preserve"> to residential</w:t>
      </w:r>
      <w:r w:rsidR="00823E58">
        <w:t>.</w:t>
      </w:r>
    </w:p>
    <w:p w:rsidR="000B10AB" w:rsidRDefault="000B10AB" w:rsidP="00A44164">
      <w:pPr>
        <w:pStyle w:val="11Bodytext"/>
        <w:tabs>
          <w:tab w:val="clear" w:pos="2212"/>
          <w:tab w:val="num" w:pos="567"/>
        </w:tabs>
        <w:ind w:left="567" w:hanging="567"/>
      </w:pPr>
      <w:r>
        <w:t xml:space="preserve">These losses are made up </w:t>
      </w:r>
      <w:proofErr w:type="gramStart"/>
      <w:r>
        <w:t>of  a</w:t>
      </w:r>
      <w:proofErr w:type="gramEnd"/>
      <w:r>
        <w:t xml:space="preserve"> combination of losses of redundant sites that are no longer desired by the market, taking into account changing industrial patterns and structural shifts in the economy,  and losses due to permitted development rights to residential use.</w:t>
      </w:r>
    </w:p>
    <w:p w:rsidR="000B10AB" w:rsidRDefault="000B10AB" w:rsidP="00A44164">
      <w:pPr>
        <w:pStyle w:val="11Bodytext"/>
        <w:tabs>
          <w:tab w:val="clear" w:pos="2212"/>
          <w:tab w:val="num" w:pos="567"/>
        </w:tabs>
        <w:ind w:left="567" w:hanging="567"/>
      </w:pPr>
      <w:r>
        <w:t xml:space="preserve">It is not expected that the rate of losses will continue to the same degree in the future but some losses will continue to occur. </w:t>
      </w:r>
    </w:p>
    <w:p w:rsidR="000B10AB" w:rsidRDefault="000B10AB" w:rsidP="00A44164">
      <w:pPr>
        <w:pStyle w:val="11Bodytext"/>
        <w:tabs>
          <w:tab w:val="clear" w:pos="2212"/>
          <w:tab w:val="num" w:pos="567"/>
        </w:tabs>
        <w:ind w:left="567" w:hanging="567"/>
      </w:pPr>
      <w:r>
        <w:t>Losses of office space through permitted development rights are expected to slow as poorer quality or readily developable office sites have already been converted to residential. Permitted development from office to residential historically makes up 50% of all employment losses to residential. Losses were highest in 20</w:t>
      </w:r>
      <w:r w:rsidR="00FC5889">
        <w:t>12/</w:t>
      </w:r>
      <w:r>
        <w:t xml:space="preserve">13 at around 6,200 sqm but have slowed since. To avoid constraining future provision the recommendations for future employment provision at Table 62 includes an uplift to </w:t>
      </w:r>
      <w:r>
        <w:lastRenderedPageBreak/>
        <w:t>allow for 25% of annual average losses from office space to residential to be replaced. Very little office space has been recorded as being lost to other commercial uses so an allowance for this is not considered necessary</w:t>
      </w:r>
      <w:r w:rsidR="00FC5889">
        <w:t xml:space="preserve"> as can be seen in table 61</w:t>
      </w:r>
      <w:r>
        <w:t xml:space="preserve">. </w:t>
      </w:r>
    </w:p>
    <w:p w:rsidR="00890F6E" w:rsidRDefault="0074191C" w:rsidP="00A44164">
      <w:pPr>
        <w:pStyle w:val="11Bodytext"/>
        <w:tabs>
          <w:tab w:val="clear" w:pos="2212"/>
          <w:tab w:val="num" w:pos="567"/>
        </w:tabs>
        <w:ind w:left="567" w:hanging="567"/>
      </w:pPr>
      <w:r>
        <w:t xml:space="preserve">Losses </w:t>
      </w:r>
      <w:r w:rsidR="000B10AB">
        <w:t>from</w:t>
      </w:r>
      <w:r>
        <w:t xml:space="preserve"> light and general industrial will in some instances reflect a change in industrial patterns as the manufacturing sector continues to slowly contract, with a number of older employment sites already having been redeveloped.</w:t>
      </w:r>
      <w:r w:rsidR="008C5BCD">
        <w:t xml:space="preserve"> </w:t>
      </w:r>
      <w:r w:rsidR="00890F6E">
        <w:t>Monitoring data indicates that l</w:t>
      </w:r>
      <w:r w:rsidR="008C5BCD">
        <w:t xml:space="preserve">osses </w:t>
      </w:r>
      <w:r w:rsidR="00890F6E">
        <w:t xml:space="preserve">to residential </w:t>
      </w:r>
      <w:r w:rsidR="008C5BCD">
        <w:t xml:space="preserve">have slowed considerably since 2013/14 </w:t>
      </w:r>
      <w:r w:rsidR="00890F6E">
        <w:t>(5,560 sqm lost) to an average of only 350 sqm since then up to 2018/19</w:t>
      </w:r>
      <w:proofErr w:type="gramStart"/>
      <w:r w:rsidR="00890F6E">
        <w:t xml:space="preserve">,  </w:t>
      </w:r>
      <w:r w:rsidR="008C5BCD">
        <w:t>as</w:t>
      </w:r>
      <w:proofErr w:type="gramEnd"/>
      <w:r w:rsidR="008C5BCD">
        <w:t xml:space="preserve"> demand has increased.</w:t>
      </w:r>
      <w:r>
        <w:t xml:space="preserve"> </w:t>
      </w:r>
      <w:r w:rsidR="00890F6E">
        <w:t>On balance</w:t>
      </w:r>
      <w:r>
        <w:t xml:space="preserve"> it is estimated that around of half historic industrial losses</w:t>
      </w:r>
      <w:r w:rsidR="00890F6E">
        <w:t xml:space="preserve"> </w:t>
      </w:r>
      <w:r>
        <w:t xml:space="preserve">to residential </w:t>
      </w:r>
      <w:r w:rsidR="00890F6E">
        <w:t>since 20</w:t>
      </w:r>
      <w:r w:rsidR="00FC5889">
        <w:t>10/</w:t>
      </w:r>
      <w:r w:rsidR="00890F6E">
        <w:t xml:space="preserve">11 </w:t>
      </w:r>
      <w:r>
        <w:t>warrant replacement</w:t>
      </w:r>
      <w:r w:rsidR="00890F6E">
        <w:t xml:space="preserve"> being 1,</w:t>
      </w:r>
      <w:r w:rsidR="00FC5889">
        <w:t>2</w:t>
      </w:r>
      <w:r w:rsidR="00890F6E">
        <w:t>00 sqm per annum</w:t>
      </w:r>
      <w:r w:rsidR="00FC5889">
        <w:t xml:space="preserve"> or 16,600 sqm of industrial and 3,100 sqm of distribution for the next plan period</w:t>
      </w:r>
      <w:r w:rsidR="00890F6E">
        <w:t xml:space="preserve">. </w:t>
      </w:r>
    </w:p>
    <w:p w:rsidR="00D571E1" w:rsidRPr="00823E58" w:rsidRDefault="008C5BCD" w:rsidP="00A44164">
      <w:pPr>
        <w:pStyle w:val="11Bodytext"/>
        <w:tabs>
          <w:tab w:val="clear" w:pos="2212"/>
          <w:tab w:val="num" w:pos="567"/>
        </w:tabs>
        <w:ind w:left="567" w:hanging="567"/>
      </w:pPr>
      <w:r>
        <w:t xml:space="preserve">If future losses slow </w:t>
      </w:r>
      <w:r w:rsidR="00FC5889">
        <w:t xml:space="preserve">to around half of that seen between 2010/11 and </w:t>
      </w:r>
      <w:r>
        <w:t xml:space="preserve">but a replacement demand component </w:t>
      </w:r>
      <w:r w:rsidR="00FC5889">
        <w:t>of 50% is</w:t>
      </w:r>
      <w:r>
        <w:t xml:space="preserve"> included then the current net trend (excluded losses to commercial) </w:t>
      </w:r>
      <w:r w:rsidR="00890F6E">
        <w:t>is effectively giving the same result</w:t>
      </w:r>
      <w:proofErr w:type="gramStart"/>
      <w:r w:rsidR="00890F6E">
        <w:t xml:space="preserve">, </w:t>
      </w:r>
      <w:r w:rsidR="00862E2B">
        <w:t xml:space="preserve"> and</w:t>
      </w:r>
      <w:proofErr w:type="gramEnd"/>
      <w:r w:rsidR="00862E2B">
        <w:t xml:space="preserve"> </w:t>
      </w:r>
      <w:r w:rsidR="00890F6E">
        <w:t xml:space="preserve">there is </w:t>
      </w:r>
      <w:r w:rsidR="00862E2B">
        <w:t xml:space="preserve">therefore </w:t>
      </w:r>
      <w:r w:rsidR="00890F6E">
        <w:t xml:space="preserve">no need to add in a further allowance. </w:t>
      </w:r>
    </w:p>
    <w:p w:rsidR="00FC5889" w:rsidRDefault="00FC5889" w:rsidP="00A44164">
      <w:pPr>
        <w:pStyle w:val="11Bodytext"/>
        <w:tabs>
          <w:tab w:val="clear" w:pos="2212"/>
          <w:tab w:val="num" w:pos="567"/>
        </w:tabs>
        <w:ind w:left="567" w:hanging="567"/>
      </w:pPr>
      <w:r>
        <w:t xml:space="preserve">No allowance is needed to replace losses to commercial activity as the vast majority are changes to other to employment uses representing a recycling of sites rather than actual losses. </w:t>
      </w:r>
    </w:p>
    <w:p w:rsidR="00FC5889" w:rsidRDefault="00FC5889" w:rsidP="00A44164">
      <w:pPr>
        <w:pStyle w:val="11Bodytext"/>
        <w:tabs>
          <w:tab w:val="clear" w:pos="2212"/>
          <w:tab w:val="num" w:pos="567"/>
        </w:tabs>
        <w:ind w:left="567" w:hanging="567"/>
      </w:pPr>
      <w:r>
        <w:t xml:space="preserve">This results in the following need in addition to the flexible margin, to be considered under the labour demand scenario. As above, no uplift to the completions trend scenario is necessary as that scenario already allows for net completions excluding commercial losses.  </w:t>
      </w:r>
    </w:p>
    <w:p w:rsidR="00B510E6" w:rsidRPr="00BB68A8" w:rsidRDefault="00B510E6" w:rsidP="00901C92">
      <w:pPr>
        <w:pStyle w:val="Bulletblueplain"/>
      </w:pPr>
      <w:r w:rsidRPr="00BB68A8">
        <w:t xml:space="preserve">B1a/b: </w:t>
      </w:r>
      <w:r w:rsidR="00482084" w:rsidRPr="00BB68A8">
        <w:t>10,600 (1.4 ha)</w:t>
      </w:r>
    </w:p>
    <w:p w:rsidR="00B510E6" w:rsidRPr="00BB68A8" w:rsidRDefault="00B510E6" w:rsidP="00901C92">
      <w:pPr>
        <w:pStyle w:val="Bulletblueplain"/>
      </w:pPr>
      <w:r w:rsidRPr="00BB68A8">
        <w:t xml:space="preserve">B1c/B2: </w:t>
      </w:r>
      <w:r w:rsidR="00BB68A8">
        <w:t xml:space="preserve">16,600 (4.2 ha) </w:t>
      </w:r>
    </w:p>
    <w:p w:rsidR="00B510E6" w:rsidRPr="00BB68A8" w:rsidRDefault="00B510E6" w:rsidP="00901C92">
      <w:pPr>
        <w:pStyle w:val="Bulletblueplain"/>
      </w:pPr>
      <w:r w:rsidRPr="00BB68A8">
        <w:t xml:space="preserve">B8: </w:t>
      </w:r>
      <w:r w:rsidR="00BB68A8">
        <w:t xml:space="preserve">3,100 (0.6 ha) </w:t>
      </w:r>
    </w:p>
    <w:p w:rsidR="009B223C" w:rsidRPr="00BB68A8" w:rsidRDefault="00A71A1C" w:rsidP="006765B7">
      <w:pPr>
        <w:pStyle w:val="SubheadBlue12"/>
        <w:ind w:left="567" w:firstLine="0"/>
      </w:pPr>
      <w:r w:rsidRPr="00BB68A8">
        <w:t>Summary and Implications</w:t>
      </w:r>
    </w:p>
    <w:p w:rsidR="008C72BE" w:rsidRDefault="00E330B9" w:rsidP="00A44164">
      <w:pPr>
        <w:pStyle w:val="11Bodytext"/>
        <w:tabs>
          <w:tab w:val="clear" w:pos="2212"/>
          <w:tab w:val="num" w:pos="567"/>
        </w:tabs>
        <w:ind w:left="567" w:hanging="567"/>
      </w:pPr>
      <w:r w:rsidRPr="00BB68A8">
        <w:t>The table</w:t>
      </w:r>
      <w:r w:rsidR="00A60C77" w:rsidRPr="00BB68A8">
        <w:t>s</w:t>
      </w:r>
      <w:r w:rsidRPr="00BB68A8">
        <w:t xml:space="preserve"> below </w:t>
      </w:r>
      <w:r w:rsidR="009E4D60" w:rsidRPr="00BB68A8">
        <w:t>summarise</w:t>
      </w:r>
      <w:r w:rsidRPr="00CA47B9">
        <w:t xml:space="preserve"> the forecast employment land floorspace and area positions.</w:t>
      </w:r>
      <w:r w:rsidR="00D47A1C" w:rsidRPr="00CA47B9">
        <w:t xml:space="preserve"> Note that</w:t>
      </w:r>
      <w:r w:rsidR="008C72BE">
        <w:t>:</w:t>
      </w:r>
    </w:p>
    <w:p w:rsidR="00E330B9" w:rsidRDefault="00D47A1C" w:rsidP="00901C92">
      <w:pPr>
        <w:pStyle w:val="Bulletblackplain"/>
      </w:pPr>
      <w:r w:rsidRPr="00CA47B9">
        <w:t>the completions trends exclude the Rolls Royce outlier development</w:t>
      </w:r>
      <w:r w:rsidR="008C72BE">
        <w:t>; and</w:t>
      </w:r>
    </w:p>
    <w:p w:rsidR="008C72BE" w:rsidRDefault="008C72BE" w:rsidP="00901C92">
      <w:pPr>
        <w:pStyle w:val="Bulletblackplain"/>
      </w:pPr>
      <w:r>
        <w:lastRenderedPageBreak/>
        <w:t>the labour demand based modelling has been reduced by 15% to reflect that 85% of employment activity takes place in the Plan Area compared with the district (based on 2018 HEDNA) however this does not apply to the flexible margin nor replacement demand</w:t>
      </w:r>
      <w:r w:rsidR="00C67ABB">
        <w:t xml:space="preserve"> which are based </w:t>
      </w:r>
      <w:r w:rsidR="00115737">
        <w:t xml:space="preserve">on </w:t>
      </w:r>
      <w:r w:rsidR="00C67ABB">
        <w:t>completions</w:t>
      </w:r>
      <w:r w:rsidR="00115737">
        <w:t xml:space="preserve"> in the Chichester Plan Area</w:t>
      </w:r>
      <w:r>
        <w:t>.</w:t>
      </w:r>
    </w:p>
    <w:p w:rsidR="00C67ABB" w:rsidRPr="00494EF7" w:rsidRDefault="00C67ABB" w:rsidP="00A44164">
      <w:pPr>
        <w:pStyle w:val="11Bodytext"/>
        <w:tabs>
          <w:tab w:val="clear" w:pos="2212"/>
          <w:tab w:val="num" w:pos="567"/>
        </w:tabs>
        <w:ind w:left="567" w:hanging="567"/>
      </w:pPr>
      <w:r w:rsidRPr="00CA47B9">
        <w:t xml:space="preserve">The various </w:t>
      </w:r>
      <w:r w:rsidRPr="00494EF7">
        <w:t xml:space="preserve">forecasts show a future employment land need ranging from </w:t>
      </w:r>
      <w:r w:rsidR="00494EF7">
        <w:t>27,000 sqm / 2.9 ha (Labour Demand Baseline) to 242,788 sqm / 47.9 ha</w:t>
      </w:r>
      <w:r w:rsidR="00437C51">
        <w:t xml:space="preserve"> (Completions Trend Gross). </w:t>
      </w:r>
    </w:p>
    <w:p w:rsidR="0069580D" w:rsidRPr="00E50530" w:rsidRDefault="0069580D" w:rsidP="00D238E7">
      <w:pPr>
        <w:pStyle w:val="Tableheading"/>
        <w:tabs>
          <w:tab w:val="clear" w:pos="794"/>
          <w:tab w:val="clear" w:pos="1843"/>
          <w:tab w:val="left" w:pos="0"/>
        </w:tabs>
        <w:spacing w:line="240" w:lineRule="auto"/>
        <w:ind w:left="0" w:firstLine="0"/>
      </w:pPr>
      <w:r w:rsidRPr="00E50530">
        <w:t xml:space="preserve">Range of Employment Land Need (sq. m) 2019-36 </w:t>
      </w:r>
      <w:r w:rsidRPr="00E50530">
        <w:rPr>
          <w:color w:val="auto"/>
        </w:rPr>
        <w:t>– Chichester Plan Area</w:t>
      </w:r>
    </w:p>
    <w:tbl>
      <w:tblPr>
        <w:tblStyle w:val="GLHearntable1"/>
        <w:tblW w:w="95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62: Range of Employment Land Need (sq. m) 2019-36 – Chichester Plan Area"/>
      </w:tblPr>
      <w:tblGrid>
        <w:gridCol w:w="851"/>
        <w:gridCol w:w="1134"/>
        <w:gridCol w:w="1417"/>
        <w:gridCol w:w="1134"/>
        <w:gridCol w:w="1560"/>
        <w:gridCol w:w="1842"/>
        <w:gridCol w:w="1565"/>
      </w:tblGrid>
      <w:tr w:rsidR="00F103CA" w:rsidRPr="00E50530" w:rsidTr="00FE6AF9">
        <w:trPr>
          <w:cnfStyle w:val="100000000000" w:firstRow="1" w:lastRow="0" w:firstColumn="0" w:lastColumn="0" w:oddVBand="0" w:evenVBand="0" w:oddHBand="0" w:evenHBand="0" w:firstRowFirstColumn="0" w:firstRowLastColumn="0" w:lastRowFirstColumn="0" w:lastRowLastColumn="0"/>
          <w:trHeight w:val="263"/>
          <w:tblHeader/>
        </w:trPr>
        <w:tc>
          <w:tcPr>
            <w:cnfStyle w:val="001000000000" w:firstRow="0" w:lastRow="0" w:firstColumn="1" w:lastColumn="0" w:oddVBand="0" w:evenVBand="0" w:oddHBand="0" w:evenHBand="0" w:firstRowFirstColumn="0" w:firstRowLastColumn="0" w:lastRowFirstColumn="0" w:lastRowLastColumn="0"/>
            <w:tcW w:w="851" w:type="dxa"/>
            <w:noWrap/>
            <w:hideMark/>
          </w:tcPr>
          <w:p w:rsidR="00F103CA" w:rsidRPr="00E50530" w:rsidRDefault="00F103CA" w:rsidP="00513337">
            <w:pPr>
              <w:keepNext/>
              <w:spacing w:line="240" w:lineRule="auto"/>
              <w:rPr>
                <w:rFonts w:ascii="Arial Narrow" w:hAnsi="Arial Narrow"/>
                <w:b w:val="0"/>
                <w:bCs/>
                <w:color w:val="000000"/>
                <w:sz w:val="24"/>
                <w:szCs w:val="24"/>
              </w:rPr>
            </w:pPr>
          </w:p>
        </w:tc>
        <w:tc>
          <w:tcPr>
            <w:tcW w:w="2551" w:type="dxa"/>
            <w:gridSpan w:val="2"/>
            <w:noWrap/>
            <w:hideMark/>
          </w:tcPr>
          <w:p w:rsidR="00F103CA" w:rsidRPr="00E50530" w:rsidRDefault="00F103CA" w:rsidP="00513337">
            <w:pPr>
              <w:keepN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sz w:val="24"/>
                <w:szCs w:val="24"/>
              </w:rPr>
            </w:pPr>
            <w:r w:rsidRPr="00E50530">
              <w:rPr>
                <w:rFonts w:ascii="Arial Narrow" w:hAnsi="Arial Narrow"/>
                <w:b w:val="0"/>
                <w:bCs/>
                <w:sz w:val="24"/>
                <w:szCs w:val="24"/>
              </w:rPr>
              <w:t>Labour Demand Baseline Scenario (After 15% Adjustment)</w:t>
            </w:r>
          </w:p>
        </w:tc>
        <w:tc>
          <w:tcPr>
            <w:tcW w:w="2694" w:type="dxa"/>
            <w:gridSpan w:val="2"/>
          </w:tcPr>
          <w:p w:rsidR="00F103CA" w:rsidRPr="00E50530" w:rsidRDefault="00F103CA" w:rsidP="00513337">
            <w:pPr>
              <w:keepN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sz w:val="24"/>
                <w:szCs w:val="24"/>
              </w:rPr>
            </w:pPr>
            <w:r w:rsidRPr="00E50530">
              <w:rPr>
                <w:rFonts w:ascii="Arial Narrow" w:hAnsi="Arial Narrow"/>
                <w:b w:val="0"/>
                <w:bCs/>
                <w:sz w:val="24"/>
                <w:szCs w:val="24"/>
              </w:rPr>
              <w:t>Labour Demand Growth Scenario (After 15% Adjustment)</w:t>
            </w:r>
          </w:p>
        </w:tc>
        <w:tc>
          <w:tcPr>
            <w:tcW w:w="1842" w:type="dxa"/>
          </w:tcPr>
          <w:p w:rsidR="00F103CA" w:rsidRPr="00E50530" w:rsidRDefault="00F103CA" w:rsidP="00513337">
            <w:pPr>
              <w:keepN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sz w:val="24"/>
                <w:szCs w:val="24"/>
              </w:rPr>
            </w:pPr>
            <w:r w:rsidRPr="00E50530">
              <w:rPr>
                <w:rFonts w:ascii="Arial Narrow" w:hAnsi="Arial Narrow"/>
                <w:b w:val="0"/>
                <w:bCs/>
                <w:sz w:val="24"/>
                <w:szCs w:val="24"/>
              </w:rPr>
              <w:t>Completions Trend – Net (</w:t>
            </w:r>
            <w:r w:rsidR="00D61D86">
              <w:rPr>
                <w:rFonts w:ascii="Arial Narrow" w:hAnsi="Arial Narrow"/>
                <w:b w:val="0"/>
                <w:bCs/>
                <w:sz w:val="24"/>
                <w:szCs w:val="24"/>
              </w:rPr>
              <w:t>exc</w:t>
            </w:r>
            <w:r w:rsidR="00D61D86" w:rsidRPr="00E50530">
              <w:rPr>
                <w:rFonts w:ascii="Arial Narrow" w:hAnsi="Arial Narrow"/>
                <w:b w:val="0"/>
                <w:bCs/>
                <w:sz w:val="24"/>
                <w:szCs w:val="24"/>
              </w:rPr>
              <w:t xml:space="preserve"> </w:t>
            </w:r>
            <w:r w:rsidRPr="00E50530">
              <w:rPr>
                <w:rFonts w:ascii="Arial Narrow" w:hAnsi="Arial Narrow"/>
                <w:b w:val="0"/>
                <w:bCs/>
                <w:sz w:val="24"/>
                <w:szCs w:val="24"/>
              </w:rPr>
              <w:t>Comm loss)</w:t>
            </w:r>
          </w:p>
        </w:tc>
        <w:tc>
          <w:tcPr>
            <w:tcW w:w="1565" w:type="dxa"/>
          </w:tcPr>
          <w:p w:rsidR="00F103CA" w:rsidRPr="00E50530" w:rsidRDefault="00F103CA" w:rsidP="00513337">
            <w:pPr>
              <w:keepN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sz w:val="24"/>
                <w:szCs w:val="24"/>
              </w:rPr>
            </w:pPr>
            <w:r w:rsidRPr="00E50530">
              <w:rPr>
                <w:rFonts w:ascii="Arial Narrow" w:hAnsi="Arial Narrow"/>
                <w:b w:val="0"/>
                <w:bCs/>
                <w:sz w:val="24"/>
                <w:szCs w:val="24"/>
              </w:rPr>
              <w:t>Completions Trend - Gross</w:t>
            </w:r>
          </w:p>
        </w:tc>
      </w:tr>
      <w:tr w:rsidR="00494EF7" w:rsidRPr="00E50530" w:rsidTr="00FE6AF9">
        <w:trPr>
          <w:trHeight w:val="263"/>
        </w:trPr>
        <w:tc>
          <w:tcPr>
            <w:cnfStyle w:val="001000000000" w:firstRow="0" w:lastRow="0" w:firstColumn="1" w:lastColumn="0" w:oddVBand="0" w:evenVBand="0" w:oddHBand="0" w:evenHBand="0" w:firstRowFirstColumn="0" w:firstRowLastColumn="0" w:lastRowFirstColumn="0" w:lastRowLastColumn="0"/>
            <w:tcW w:w="851" w:type="dxa"/>
            <w:shd w:val="clear" w:color="auto" w:fill="0093D5"/>
            <w:noWrap/>
          </w:tcPr>
          <w:p w:rsidR="00494EF7" w:rsidRPr="00E50530" w:rsidRDefault="00494EF7" w:rsidP="00513337">
            <w:pPr>
              <w:keepNext/>
              <w:spacing w:line="240" w:lineRule="auto"/>
              <w:rPr>
                <w:rFonts w:ascii="Arial Narrow" w:hAnsi="Arial Narrow"/>
                <w:b w:val="0"/>
                <w:bCs/>
                <w:color w:val="FFFFFF" w:themeColor="background1"/>
                <w:sz w:val="24"/>
                <w:szCs w:val="24"/>
              </w:rPr>
            </w:pPr>
          </w:p>
        </w:tc>
        <w:tc>
          <w:tcPr>
            <w:tcW w:w="1134" w:type="dxa"/>
            <w:shd w:val="clear" w:color="auto" w:fill="0093D5"/>
            <w:noWrap/>
            <w:vAlign w:val="center"/>
          </w:tcPr>
          <w:p w:rsidR="00494EF7" w:rsidRPr="00E50530" w:rsidRDefault="00494EF7" w:rsidP="0051333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FFFF" w:themeColor="background1"/>
                <w:sz w:val="24"/>
                <w:szCs w:val="24"/>
              </w:rPr>
            </w:pPr>
            <w:r w:rsidRPr="00E50530">
              <w:rPr>
                <w:rFonts w:ascii="Arial Narrow" w:hAnsi="Arial Narrow"/>
                <w:bCs/>
                <w:color w:val="FFFFFF" w:themeColor="background1"/>
                <w:sz w:val="24"/>
                <w:szCs w:val="24"/>
              </w:rPr>
              <w:t>Forecast</w:t>
            </w:r>
          </w:p>
        </w:tc>
        <w:tc>
          <w:tcPr>
            <w:tcW w:w="1417" w:type="dxa"/>
            <w:shd w:val="clear" w:color="auto" w:fill="0093D5"/>
          </w:tcPr>
          <w:p w:rsidR="00494EF7" w:rsidRPr="00E50530" w:rsidRDefault="00494EF7" w:rsidP="0051333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FFFF" w:themeColor="background1"/>
                <w:sz w:val="24"/>
                <w:szCs w:val="24"/>
              </w:rPr>
            </w:pPr>
            <w:r w:rsidRPr="00E50530">
              <w:rPr>
                <w:rFonts w:ascii="Arial Narrow" w:hAnsi="Arial Narrow"/>
                <w:bCs/>
                <w:color w:val="FFFFFF" w:themeColor="background1"/>
                <w:sz w:val="24"/>
                <w:szCs w:val="24"/>
              </w:rPr>
              <w:t>Inc margin + rplt demand</w:t>
            </w:r>
          </w:p>
        </w:tc>
        <w:tc>
          <w:tcPr>
            <w:tcW w:w="1134" w:type="dxa"/>
            <w:shd w:val="clear" w:color="auto" w:fill="0093D5"/>
            <w:vAlign w:val="center"/>
          </w:tcPr>
          <w:p w:rsidR="00494EF7" w:rsidRPr="00E50530" w:rsidRDefault="00494EF7" w:rsidP="0051333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FFFF" w:themeColor="background1"/>
                <w:sz w:val="24"/>
                <w:szCs w:val="24"/>
              </w:rPr>
            </w:pPr>
            <w:r w:rsidRPr="00E50530">
              <w:rPr>
                <w:rFonts w:ascii="Arial Narrow" w:hAnsi="Arial Narrow"/>
                <w:bCs/>
                <w:color w:val="FFFFFF" w:themeColor="background1"/>
                <w:sz w:val="24"/>
                <w:szCs w:val="24"/>
              </w:rPr>
              <w:t>Forecast</w:t>
            </w:r>
          </w:p>
        </w:tc>
        <w:tc>
          <w:tcPr>
            <w:tcW w:w="1560" w:type="dxa"/>
            <w:shd w:val="clear" w:color="auto" w:fill="0093D5"/>
          </w:tcPr>
          <w:p w:rsidR="00494EF7" w:rsidRPr="00E50530" w:rsidRDefault="00494EF7" w:rsidP="0051333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FFFF" w:themeColor="background1"/>
                <w:sz w:val="24"/>
                <w:szCs w:val="24"/>
              </w:rPr>
            </w:pPr>
            <w:r w:rsidRPr="00E50530">
              <w:rPr>
                <w:rFonts w:ascii="Arial Narrow" w:hAnsi="Arial Narrow"/>
                <w:bCs/>
                <w:color w:val="FFFFFF" w:themeColor="background1"/>
                <w:sz w:val="24"/>
                <w:szCs w:val="24"/>
              </w:rPr>
              <w:t>Inc margin + rplt demand</w:t>
            </w:r>
          </w:p>
        </w:tc>
        <w:tc>
          <w:tcPr>
            <w:tcW w:w="1842" w:type="dxa"/>
            <w:shd w:val="clear" w:color="auto" w:fill="0093D5"/>
            <w:vAlign w:val="center"/>
          </w:tcPr>
          <w:p w:rsidR="00494EF7" w:rsidRPr="00E50530" w:rsidRDefault="00494EF7" w:rsidP="0051333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FFFF" w:themeColor="background1"/>
                <w:sz w:val="24"/>
                <w:szCs w:val="24"/>
              </w:rPr>
            </w:pPr>
            <w:r w:rsidRPr="00E50530">
              <w:rPr>
                <w:rFonts w:ascii="Arial Narrow" w:hAnsi="Arial Narrow"/>
                <w:bCs/>
                <w:color w:val="FFFFFF" w:themeColor="background1"/>
                <w:sz w:val="24"/>
                <w:szCs w:val="24"/>
              </w:rPr>
              <w:t>Forecast</w:t>
            </w:r>
          </w:p>
        </w:tc>
        <w:tc>
          <w:tcPr>
            <w:tcW w:w="1565" w:type="dxa"/>
            <w:shd w:val="clear" w:color="auto" w:fill="0093D5"/>
            <w:vAlign w:val="center"/>
          </w:tcPr>
          <w:p w:rsidR="00494EF7" w:rsidRPr="00E50530" w:rsidRDefault="00494EF7" w:rsidP="0051333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FFFF" w:themeColor="background1"/>
                <w:sz w:val="24"/>
                <w:szCs w:val="24"/>
              </w:rPr>
            </w:pPr>
            <w:r w:rsidRPr="00E50530">
              <w:rPr>
                <w:rFonts w:ascii="Arial Narrow" w:hAnsi="Arial Narrow"/>
                <w:bCs/>
                <w:color w:val="FFFFFF" w:themeColor="background1"/>
                <w:sz w:val="24"/>
                <w:szCs w:val="24"/>
              </w:rPr>
              <w:t>Forecast</w:t>
            </w:r>
          </w:p>
        </w:tc>
      </w:tr>
      <w:tr w:rsidR="00494EF7" w:rsidRPr="00E50530" w:rsidTr="00FE6AF9">
        <w:trPr>
          <w:cnfStyle w:val="000000010000" w:firstRow="0" w:lastRow="0" w:firstColumn="0" w:lastColumn="0" w:oddVBand="0" w:evenVBand="0" w:oddHBand="0" w:evenHBand="1"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851" w:type="dxa"/>
            <w:shd w:val="clear" w:color="auto" w:fill="FFFFFF" w:themeFill="background1"/>
            <w:noWrap/>
            <w:vAlign w:val="center"/>
            <w:hideMark/>
          </w:tcPr>
          <w:p w:rsidR="00494EF7" w:rsidRPr="00E50530" w:rsidRDefault="00494EF7" w:rsidP="00513337">
            <w:pPr>
              <w:keepNext/>
              <w:spacing w:line="240" w:lineRule="auto"/>
              <w:rPr>
                <w:rFonts w:ascii="Arial Narrow" w:hAnsi="Arial Narrow"/>
                <w:b w:val="0"/>
                <w:bCs/>
                <w:color w:val="000000"/>
                <w:sz w:val="24"/>
                <w:szCs w:val="24"/>
              </w:rPr>
            </w:pPr>
            <w:r w:rsidRPr="00E50530">
              <w:rPr>
                <w:rFonts w:ascii="Arial Narrow" w:hAnsi="Arial Narrow"/>
                <w:b w:val="0"/>
                <w:bCs/>
                <w:color w:val="000000"/>
                <w:sz w:val="24"/>
                <w:szCs w:val="24"/>
              </w:rPr>
              <w:t>B1a/b</w:t>
            </w:r>
          </w:p>
        </w:tc>
        <w:tc>
          <w:tcPr>
            <w:tcW w:w="1134" w:type="dxa"/>
            <w:shd w:val="clear" w:color="auto" w:fill="FFFFFF" w:themeFill="background1"/>
            <w:noWrap/>
            <w:hideMark/>
          </w:tcPr>
          <w:p w:rsidR="00494EF7" w:rsidRPr="00E50530" w:rsidRDefault="00494EF7" w:rsidP="0051333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4"/>
                <w:szCs w:val="24"/>
              </w:rPr>
            </w:pPr>
            <w:r w:rsidRPr="00E50530">
              <w:rPr>
                <w:rFonts w:ascii="Arial Narrow" w:hAnsi="Arial Narrow"/>
                <w:sz w:val="24"/>
                <w:szCs w:val="24"/>
              </w:rPr>
              <w:t>8,</w:t>
            </w:r>
            <w:r>
              <w:rPr>
                <w:rFonts w:ascii="Arial Narrow" w:hAnsi="Arial Narrow"/>
                <w:sz w:val="24"/>
                <w:szCs w:val="24"/>
              </w:rPr>
              <w:t>700</w:t>
            </w:r>
          </w:p>
        </w:tc>
        <w:tc>
          <w:tcPr>
            <w:tcW w:w="1417" w:type="dxa"/>
            <w:shd w:val="clear" w:color="auto" w:fill="FFFFFF" w:themeFill="background1"/>
          </w:tcPr>
          <w:p w:rsidR="00494EF7" w:rsidRPr="00E50530" w:rsidRDefault="00494EF7" w:rsidP="0051333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bCs/>
                <w:sz w:val="24"/>
                <w:szCs w:val="24"/>
              </w:rPr>
            </w:pPr>
            <w:r w:rsidRPr="00E50530">
              <w:rPr>
                <w:rFonts w:ascii="Arial Narrow" w:hAnsi="Arial Narrow"/>
                <w:sz w:val="24"/>
                <w:szCs w:val="24"/>
              </w:rPr>
              <w:t>27,6</w:t>
            </w:r>
            <w:r>
              <w:rPr>
                <w:rFonts w:ascii="Arial Narrow" w:hAnsi="Arial Narrow"/>
                <w:sz w:val="24"/>
                <w:szCs w:val="24"/>
              </w:rPr>
              <w:t>00</w:t>
            </w:r>
          </w:p>
        </w:tc>
        <w:tc>
          <w:tcPr>
            <w:tcW w:w="1134" w:type="dxa"/>
            <w:shd w:val="clear" w:color="auto" w:fill="FFFFFF" w:themeFill="background1"/>
          </w:tcPr>
          <w:p w:rsidR="00494EF7" w:rsidRPr="00E50530" w:rsidRDefault="00494EF7" w:rsidP="0051333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bCs/>
                <w:sz w:val="24"/>
                <w:szCs w:val="24"/>
              </w:rPr>
            </w:pPr>
            <w:r w:rsidRPr="00E50530">
              <w:rPr>
                <w:rFonts w:ascii="Arial Narrow" w:hAnsi="Arial Narrow"/>
                <w:sz w:val="24"/>
                <w:szCs w:val="24"/>
              </w:rPr>
              <w:t>21,4</w:t>
            </w:r>
            <w:r>
              <w:rPr>
                <w:rFonts w:ascii="Arial Narrow" w:hAnsi="Arial Narrow"/>
                <w:sz w:val="24"/>
                <w:szCs w:val="24"/>
              </w:rPr>
              <w:t>00</w:t>
            </w:r>
          </w:p>
        </w:tc>
        <w:tc>
          <w:tcPr>
            <w:tcW w:w="1560" w:type="dxa"/>
            <w:shd w:val="clear" w:color="auto" w:fill="FFFFFF" w:themeFill="background1"/>
          </w:tcPr>
          <w:p w:rsidR="00494EF7" w:rsidRPr="00E50530" w:rsidRDefault="00494EF7" w:rsidP="0051333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bCs/>
                <w:sz w:val="24"/>
                <w:szCs w:val="24"/>
              </w:rPr>
            </w:pPr>
            <w:r w:rsidRPr="00E50530">
              <w:rPr>
                <w:rFonts w:ascii="Arial Narrow" w:hAnsi="Arial Narrow"/>
                <w:sz w:val="24"/>
                <w:szCs w:val="24"/>
              </w:rPr>
              <w:t>40,</w:t>
            </w:r>
            <w:r>
              <w:rPr>
                <w:rFonts w:ascii="Arial Narrow" w:hAnsi="Arial Narrow"/>
                <w:sz w:val="24"/>
                <w:szCs w:val="24"/>
              </w:rPr>
              <w:t>400</w:t>
            </w:r>
          </w:p>
        </w:tc>
        <w:tc>
          <w:tcPr>
            <w:tcW w:w="1842" w:type="dxa"/>
            <w:shd w:val="clear" w:color="auto" w:fill="FFFFFF" w:themeFill="background1"/>
          </w:tcPr>
          <w:p w:rsidR="00494EF7" w:rsidRPr="00E50530" w:rsidRDefault="00494EF7" w:rsidP="0051333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24"/>
                <w:szCs w:val="24"/>
              </w:rPr>
            </w:pPr>
            <w:r w:rsidRPr="00E50530">
              <w:rPr>
                <w:rFonts w:ascii="Arial Narrow" w:hAnsi="Arial Narrow"/>
                <w:sz w:val="24"/>
                <w:szCs w:val="24"/>
              </w:rPr>
              <w:t xml:space="preserve"> 71,</w:t>
            </w:r>
            <w:r>
              <w:rPr>
                <w:rFonts w:ascii="Arial Narrow" w:hAnsi="Arial Narrow"/>
                <w:sz w:val="24"/>
                <w:szCs w:val="24"/>
              </w:rPr>
              <w:t>400</w:t>
            </w:r>
          </w:p>
        </w:tc>
        <w:tc>
          <w:tcPr>
            <w:tcW w:w="1565" w:type="dxa"/>
            <w:shd w:val="clear" w:color="auto" w:fill="FFFFFF" w:themeFill="background1"/>
          </w:tcPr>
          <w:p w:rsidR="00494EF7" w:rsidRPr="00E50530" w:rsidRDefault="00494EF7" w:rsidP="0051333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24"/>
                <w:szCs w:val="24"/>
              </w:rPr>
            </w:pPr>
            <w:r w:rsidRPr="00E50530">
              <w:rPr>
                <w:rFonts w:ascii="Arial Narrow" w:hAnsi="Arial Narrow"/>
                <w:sz w:val="24"/>
                <w:szCs w:val="24"/>
              </w:rPr>
              <w:t xml:space="preserve"> 71,7</w:t>
            </w:r>
            <w:r>
              <w:rPr>
                <w:rFonts w:ascii="Arial Narrow" w:hAnsi="Arial Narrow"/>
                <w:sz w:val="24"/>
                <w:szCs w:val="24"/>
              </w:rPr>
              <w:t>00</w:t>
            </w:r>
            <w:r w:rsidRPr="00E50530">
              <w:rPr>
                <w:rFonts w:ascii="Arial Narrow" w:hAnsi="Arial Narrow"/>
                <w:sz w:val="24"/>
                <w:szCs w:val="24"/>
              </w:rPr>
              <w:t xml:space="preserve"> </w:t>
            </w:r>
          </w:p>
        </w:tc>
      </w:tr>
      <w:tr w:rsidR="00494EF7" w:rsidRPr="00E50530" w:rsidTr="00FE6AF9">
        <w:trPr>
          <w:trHeight w:val="213"/>
        </w:trPr>
        <w:tc>
          <w:tcPr>
            <w:cnfStyle w:val="001000000000" w:firstRow="0" w:lastRow="0" w:firstColumn="1" w:lastColumn="0" w:oddVBand="0" w:evenVBand="0" w:oddHBand="0" w:evenHBand="0" w:firstRowFirstColumn="0" w:firstRowLastColumn="0" w:lastRowFirstColumn="0" w:lastRowLastColumn="0"/>
            <w:tcW w:w="851" w:type="dxa"/>
            <w:shd w:val="clear" w:color="auto" w:fill="FFFFFF" w:themeFill="background1"/>
            <w:noWrap/>
            <w:vAlign w:val="center"/>
            <w:hideMark/>
          </w:tcPr>
          <w:p w:rsidR="00494EF7" w:rsidRPr="00E50530" w:rsidRDefault="00494EF7" w:rsidP="00513337">
            <w:pPr>
              <w:keepNext/>
              <w:spacing w:line="240" w:lineRule="auto"/>
              <w:rPr>
                <w:rFonts w:ascii="Arial Narrow" w:hAnsi="Arial Narrow"/>
                <w:b w:val="0"/>
                <w:bCs/>
                <w:color w:val="000000"/>
                <w:sz w:val="24"/>
                <w:szCs w:val="24"/>
              </w:rPr>
            </w:pPr>
            <w:r w:rsidRPr="00E50530">
              <w:rPr>
                <w:rFonts w:ascii="Arial Narrow" w:hAnsi="Arial Narrow"/>
                <w:b w:val="0"/>
                <w:bCs/>
                <w:color w:val="000000"/>
                <w:sz w:val="24"/>
                <w:szCs w:val="24"/>
              </w:rPr>
              <w:t>B1c/B2</w:t>
            </w:r>
          </w:p>
        </w:tc>
        <w:tc>
          <w:tcPr>
            <w:tcW w:w="1134" w:type="dxa"/>
            <w:shd w:val="clear" w:color="auto" w:fill="FFFFFF" w:themeFill="background1"/>
            <w:noWrap/>
            <w:hideMark/>
          </w:tcPr>
          <w:p w:rsidR="00494EF7" w:rsidRPr="00E50530" w:rsidRDefault="00494EF7" w:rsidP="0051333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sz w:val="24"/>
                <w:szCs w:val="24"/>
              </w:rPr>
            </w:pPr>
            <w:r w:rsidRPr="00E50530">
              <w:rPr>
                <w:rFonts w:ascii="Arial Narrow" w:hAnsi="Arial Narrow"/>
                <w:sz w:val="24"/>
                <w:szCs w:val="24"/>
              </w:rPr>
              <w:t>-40,</w:t>
            </w:r>
            <w:r>
              <w:rPr>
                <w:rFonts w:ascii="Arial Narrow" w:hAnsi="Arial Narrow"/>
                <w:sz w:val="24"/>
                <w:szCs w:val="24"/>
              </w:rPr>
              <w:t>200</w:t>
            </w:r>
          </w:p>
        </w:tc>
        <w:tc>
          <w:tcPr>
            <w:tcW w:w="1417" w:type="dxa"/>
            <w:shd w:val="clear" w:color="auto" w:fill="FFFFFF" w:themeFill="background1"/>
          </w:tcPr>
          <w:p w:rsidR="00494EF7" w:rsidRPr="00E50530" w:rsidRDefault="00494EF7" w:rsidP="0051333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4"/>
                <w:szCs w:val="24"/>
              </w:rPr>
            </w:pPr>
            <w:r>
              <w:rPr>
                <w:rFonts w:ascii="Arial Narrow" w:hAnsi="Arial Narrow"/>
                <w:sz w:val="24"/>
                <w:szCs w:val="24"/>
              </w:rPr>
              <w:t>-14,000</w:t>
            </w:r>
          </w:p>
        </w:tc>
        <w:tc>
          <w:tcPr>
            <w:tcW w:w="1134" w:type="dxa"/>
            <w:shd w:val="clear" w:color="auto" w:fill="FFFFFF" w:themeFill="background1"/>
          </w:tcPr>
          <w:p w:rsidR="00494EF7" w:rsidRPr="00E50530" w:rsidRDefault="00494EF7" w:rsidP="0051333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4"/>
                <w:szCs w:val="24"/>
              </w:rPr>
            </w:pPr>
            <w:r w:rsidRPr="00E50530">
              <w:rPr>
                <w:rFonts w:ascii="Arial Narrow" w:hAnsi="Arial Narrow"/>
                <w:sz w:val="24"/>
                <w:szCs w:val="24"/>
              </w:rPr>
              <w:t>-1,</w:t>
            </w:r>
            <w:r>
              <w:rPr>
                <w:rFonts w:ascii="Arial Narrow" w:hAnsi="Arial Narrow"/>
                <w:sz w:val="24"/>
                <w:szCs w:val="24"/>
              </w:rPr>
              <w:t>200</w:t>
            </w:r>
          </w:p>
        </w:tc>
        <w:tc>
          <w:tcPr>
            <w:tcW w:w="1560" w:type="dxa"/>
            <w:shd w:val="clear" w:color="auto" w:fill="FFFFFF" w:themeFill="background1"/>
          </w:tcPr>
          <w:p w:rsidR="00494EF7" w:rsidRPr="00E50530" w:rsidRDefault="008D3541" w:rsidP="0051333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4"/>
                <w:szCs w:val="24"/>
              </w:rPr>
            </w:pPr>
            <w:r>
              <w:rPr>
                <w:rFonts w:ascii="Arial Narrow" w:hAnsi="Arial Narrow"/>
                <w:sz w:val="24"/>
                <w:szCs w:val="24"/>
              </w:rPr>
              <w:t>25,000</w:t>
            </w:r>
          </w:p>
        </w:tc>
        <w:tc>
          <w:tcPr>
            <w:tcW w:w="1842" w:type="dxa"/>
            <w:shd w:val="clear" w:color="auto" w:fill="FFFFFF" w:themeFill="background1"/>
          </w:tcPr>
          <w:p w:rsidR="00494EF7" w:rsidRPr="00E50530" w:rsidRDefault="00494EF7" w:rsidP="0051333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E50530">
              <w:rPr>
                <w:rFonts w:ascii="Arial Narrow" w:hAnsi="Arial Narrow"/>
                <w:sz w:val="24"/>
                <w:szCs w:val="24"/>
              </w:rPr>
              <w:t xml:space="preserve"> 36,2</w:t>
            </w:r>
            <w:r>
              <w:rPr>
                <w:rFonts w:ascii="Arial Narrow" w:hAnsi="Arial Narrow"/>
                <w:sz w:val="24"/>
                <w:szCs w:val="24"/>
              </w:rPr>
              <w:t>00</w:t>
            </w:r>
            <w:r w:rsidRPr="00E50530">
              <w:rPr>
                <w:rFonts w:ascii="Arial Narrow" w:hAnsi="Arial Narrow"/>
                <w:sz w:val="24"/>
                <w:szCs w:val="24"/>
              </w:rPr>
              <w:t xml:space="preserve"> </w:t>
            </w:r>
          </w:p>
        </w:tc>
        <w:tc>
          <w:tcPr>
            <w:tcW w:w="1565" w:type="dxa"/>
            <w:shd w:val="clear" w:color="auto" w:fill="FFFFFF" w:themeFill="background1"/>
          </w:tcPr>
          <w:p w:rsidR="00494EF7" w:rsidRPr="00E50530" w:rsidRDefault="00494EF7" w:rsidP="0051333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E50530">
              <w:rPr>
                <w:rFonts w:ascii="Arial Narrow" w:hAnsi="Arial Narrow"/>
                <w:sz w:val="24"/>
                <w:szCs w:val="24"/>
              </w:rPr>
              <w:t xml:space="preserve"> 81,</w:t>
            </w:r>
            <w:r>
              <w:rPr>
                <w:rFonts w:ascii="Arial Narrow" w:hAnsi="Arial Narrow"/>
                <w:sz w:val="24"/>
                <w:szCs w:val="24"/>
              </w:rPr>
              <w:t>700</w:t>
            </w:r>
            <w:r w:rsidRPr="00E50530">
              <w:rPr>
                <w:rFonts w:ascii="Arial Narrow" w:hAnsi="Arial Narrow"/>
                <w:sz w:val="24"/>
                <w:szCs w:val="24"/>
              </w:rPr>
              <w:t xml:space="preserve"> </w:t>
            </w:r>
          </w:p>
        </w:tc>
      </w:tr>
      <w:tr w:rsidR="00494EF7" w:rsidRPr="00E50530" w:rsidTr="00FE6AF9">
        <w:trPr>
          <w:cnfStyle w:val="000000010000" w:firstRow="0" w:lastRow="0" w:firstColumn="0" w:lastColumn="0" w:oddVBand="0" w:evenVBand="0" w:oddHBand="0" w:evenHBand="1"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851" w:type="dxa"/>
            <w:shd w:val="clear" w:color="auto" w:fill="FFFFFF" w:themeFill="background1"/>
            <w:noWrap/>
            <w:vAlign w:val="center"/>
            <w:hideMark/>
          </w:tcPr>
          <w:p w:rsidR="00494EF7" w:rsidRPr="00E50530" w:rsidRDefault="00494EF7" w:rsidP="00513337">
            <w:pPr>
              <w:keepNext/>
              <w:spacing w:line="240" w:lineRule="auto"/>
              <w:rPr>
                <w:rFonts w:ascii="Arial Narrow" w:hAnsi="Arial Narrow"/>
                <w:b w:val="0"/>
                <w:bCs/>
                <w:color w:val="000000"/>
                <w:sz w:val="24"/>
                <w:szCs w:val="24"/>
              </w:rPr>
            </w:pPr>
            <w:r w:rsidRPr="00E50530">
              <w:rPr>
                <w:rFonts w:ascii="Arial Narrow" w:hAnsi="Arial Narrow"/>
                <w:b w:val="0"/>
                <w:bCs/>
                <w:color w:val="000000"/>
                <w:sz w:val="24"/>
                <w:szCs w:val="24"/>
              </w:rPr>
              <w:t>B8</w:t>
            </w:r>
          </w:p>
        </w:tc>
        <w:tc>
          <w:tcPr>
            <w:tcW w:w="1134" w:type="dxa"/>
            <w:shd w:val="clear" w:color="auto" w:fill="FFFFFF" w:themeFill="background1"/>
            <w:noWrap/>
            <w:hideMark/>
          </w:tcPr>
          <w:p w:rsidR="00494EF7" w:rsidRPr="00E50530" w:rsidRDefault="00494EF7" w:rsidP="0051333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4"/>
                <w:szCs w:val="24"/>
              </w:rPr>
            </w:pPr>
            <w:r w:rsidRPr="00E50530">
              <w:rPr>
                <w:rFonts w:ascii="Arial Narrow" w:hAnsi="Arial Narrow"/>
                <w:sz w:val="24"/>
                <w:szCs w:val="24"/>
              </w:rPr>
              <w:t>-</w:t>
            </w:r>
            <w:r>
              <w:rPr>
                <w:rFonts w:ascii="Arial Narrow" w:hAnsi="Arial Narrow"/>
                <w:sz w:val="24"/>
                <w:szCs w:val="24"/>
              </w:rPr>
              <w:t>300</w:t>
            </w:r>
          </w:p>
        </w:tc>
        <w:tc>
          <w:tcPr>
            <w:tcW w:w="1417" w:type="dxa"/>
            <w:shd w:val="clear" w:color="auto" w:fill="FFFFFF" w:themeFill="background1"/>
          </w:tcPr>
          <w:p w:rsidR="00494EF7" w:rsidRPr="00E50530" w:rsidRDefault="00494EF7" w:rsidP="0051333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bCs/>
                <w:sz w:val="24"/>
                <w:szCs w:val="24"/>
              </w:rPr>
            </w:pPr>
            <w:r>
              <w:rPr>
                <w:rFonts w:ascii="Arial Narrow" w:hAnsi="Arial Narrow"/>
                <w:sz w:val="24"/>
                <w:szCs w:val="24"/>
              </w:rPr>
              <w:t>13,300</w:t>
            </w:r>
          </w:p>
        </w:tc>
        <w:tc>
          <w:tcPr>
            <w:tcW w:w="1134" w:type="dxa"/>
            <w:shd w:val="clear" w:color="auto" w:fill="FFFFFF" w:themeFill="background1"/>
          </w:tcPr>
          <w:p w:rsidR="00494EF7" w:rsidRPr="00E50530" w:rsidRDefault="00494EF7" w:rsidP="0051333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bCs/>
                <w:sz w:val="24"/>
                <w:szCs w:val="24"/>
              </w:rPr>
            </w:pPr>
            <w:r w:rsidRPr="00E50530">
              <w:rPr>
                <w:rFonts w:ascii="Arial Narrow" w:hAnsi="Arial Narrow"/>
                <w:sz w:val="24"/>
                <w:szCs w:val="24"/>
              </w:rPr>
              <w:t>27,9</w:t>
            </w:r>
            <w:r>
              <w:rPr>
                <w:rFonts w:ascii="Arial Narrow" w:hAnsi="Arial Narrow"/>
                <w:sz w:val="24"/>
                <w:szCs w:val="24"/>
              </w:rPr>
              <w:t>00</w:t>
            </w:r>
          </w:p>
        </w:tc>
        <w:tc>
          <w:tcPr>
            <w:tcW w:w="1560" w:type="dxa"/>
            <w:shd w:val="clear" w:color="auto" w:fill="FFFFFF" w:themeFill="background1"/>
          </w:tcPr>
          <w:p w:rsidR="00494EF7" w:rsidRPr="00E50530" w:rsidRDefault="00494EF7" w:rsidP="0051333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bCs/>
                <w:sz w:val="24"/>
                <w:szCs w:val="24"/>
              </w:rPr>
            </w:pPr>
            <w:r>
              <w:rPr>
                <w:rFonts w:ascii="Arial Narrow" w:hAnsi="Arial Narrow"/>
                <w:sz w:val="24"/>
                <w:szCs w:val="24"/>
              </w:rPr>
              <w:t>41,600</w:t>
            </w:r>
          </w:p>
        </w:tc>
        <w:tc>
          <w:tcPr>
            <w:tcW w:w="1842" w:type="dxa"/>
            <w:shd w:val="clear" w:color="auto" w:fill="FFFFFF" w:themeFill="background1"/>
          </w:tcPr>
          <w:p w:rsidR="00494EF7" w:rsidRPr="00E50530" w:rsidRDefault="00494EF7" w:rsidP="0051333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24"/>
                <w:szCs w:val="24"/>
              </w:rPr>
            </w:pPr>
            <w:r w:rsidRPr="00E50530">
              <w:rPr>
                <w:rFonts w:ascii="Arial Narrow" w:hAnsi="Arial Narrow"/>
                <w:sz w:val="24"/>
                <w:szCs w:val="24"/>
              </w:rPr>
              <w:t xml:space="preserve"> 55,</w:t>
            </w:r>
            <w:r>
              <w:rPr>
                <w:rFonts w:ascii="Arial Narrow" w:hAnsi="Arial Narrow"/>
                <w:sz w:val="24"/>
                <w:szCs w:val="24"/>
              </w:rPr>
              <w:t>600</w:t>
            </w:r>
          </w:p>
        </w:tc>
        <w:tc>
          <w:tcPr>
            <w:tcW w:w="1565" w:type="dxa"/>
            <w:shd w:val="clear" w:color="auto" w:fill="FFFFFF" w:themeFill="background1"/>
          </w:tcPr>
          <w:p w:rsidR="00494EF7" w:rsidRPr="00E50530" w:rsidRDefault="00494EF7" w:rsidP="0051333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24"/>
                <w:szCs w:val="24"/>
              </w:rPr>
            </w:pPr>
            <w:r w:rsidRPr="00E50530">
              <w:rPr>
                <w:rFonts w:ascii="Arial Narrow" w:hAnsi="Arial Narrow"/>
                <w:sz w:val="24"/>
                <w:szCs w:val="24"/>
              </w:rPr>
              <w:t xml:space="preserve"> 89,</w:t>
            </w:r>
            <w:r>
              <w:rPr>
                <w:rFonts w:ascii="Arial Narrow" w:hAnsi="Arial Narrow"/>
                <w:sz w:val="24"/>
                <w:szCs w:val="24"/>
              </w:rPr>
              <w:t>400</w:t>
            </w:r>
          </w:p>
        </w:tc>
      </w:tr>
      <w:tr w:rsidR="00494EF7" w:rsidRPr="00E50530" w:rsidTr="00FE6AF9">
        <w:trPr>
          <w:trHeight w:val="213"/>
        </w:trPr>
        <w:tc>
          <w:tcPr>
            <w:cnfStyle w:val="001000000000" w:firstRow="0" w:lastRow="0" w:firstColumn="1" w:lastColumn="0" w:oddVBand="0" w:evenVBand="0" w:oddHBand="0" w:evenHBand="0" w:firstRowFirstColumn="0" w:firstRowLastColumn="0" w:lastRowFirstColumn="0" w:lastRowLastColumn="0"/>
            <w:tcW w:w="851" w:type="dxa"/>
            <w:shd w:val="clear" w:color="auto" w:fill="FFFFFF" w:themeFill="background1"/>
            <w:noWrap/>
            <w:vAlign w:val="center"/>
            <w:hideMark/>
          </w:tcPr>
          <w:p w:rsidR="00494EF7" w:rsidRPr="00E50530" w:rsidRDefault="00494EF7" w:rsidP="00513337">
            <w:pPr>
              <w:keepNext/>
              <w:spacing w:line="240" w:lineRule="auto"/>
              <w:rPr>
                <w:rFonts w:ascii="Arial Narrow" w:hAnsi="Arial Narrow"/>
                <w:b w:val="0"/>
                <w:bCs/>
                <w:color w:val="000000"/>
                <w:sz w:val="24"/>
                <w:szCs w:val="24"/>
              </w:rPr>
            </w:pPr>
            <w:r w:rsidRPr="00E50530">
              <w:rPr>
                <w:rFonts w:ascii="Arial Narrow" w:hAnsi="Arial Narrow"/>
                <w:b w:val="0"/>
                <w:bCs/>
                <w:color w:val="000000"/>
                <w:sz w:val="24"/>
                <w:szCs w:val="24"/>
              </w:rPr>
              <w:t>Total</w:t>
            </w:r>
          </w:p>
        </w:tc>
        <w:tc>
          <w:tcPr>
            <w:tcW w:w="1134" w:type="dxa"/>
            <w:shd w:val="clear" w:color="auto" w:fill="FFFFFF" w:themeFill="background1"/>
            <w:noWrap/>
            <w:hideMark/>
          </w:tcPr>
          <w:p w:rsidR="00494EF7" w:rsidRPr="00E50530" w:rsidRDefault="00494EF7" w:rsidP="0051333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sz w:val="24"/>
                <w:szCs w:val="24"/>
              </w:rPr>
            </w:pPr>
            <w:r w:rsidRPr="00E50530">
              <w:rPr>
                <w:rFonts w:ascii="Arial Narrow" w:hAnsi="Arial Narrow"/>
                <w:sz w:val="24"/>
                <w:szCs w:val="24"/>
              </w:rPr>
              <w:t>-31,80</w:t>
            </w:r>
            <w:r>
              <w:rPr>
                <w:rFonts w:ascii="Arial Narrow" w:hAnsi="Arial Narrow"/>
                <w:sz w:val="24"/>
                <w:szCs w:val="24"/>
              </w:rPr>
              <w:t>0</w:t>
            </w:r>
          </w:p>
        </w:tc>
        <w:tc>
          <w:tcPr>
            <w:tcW w:w="1417" w:type="dxa"/>
            <w:shd w:val="clear" w:color="auto" w:fill="FFFFFF" w:themeFill="background1"/>
          </w:tcPr>
          <w:p w:rsidR="00494EF7" w:rsidRPr="00E50530" w:rsidRDefault="00494EF7" w:rsidP="0051333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4"/>
                <w:szCs w:val="24"/>
              </w:rPr>
            </w:pPr>
            <w:r>
              <w:rPr>
                <w:rFonts w:ascii="Arial Narrow" w:hAnsi="Arial Narrow"/>
                <w:sz w:val="24"/>
                <w:szCs w:val="24"/>
              </w:rPr>
              <w:t>27,000</w:t>
            </w:r>
          </w:p>
        </w:tc>
        <w:tc>
          <w:tcPr>
            <w:tcW w:w="1134" w:type="dxa"/>
            <w:shd w:val="clear" w:color="auto" w:fill="FFFFFF" w:themeFill="background1"/>
          </w:tcPr>
          <w:p w:rsidR="00494EF7" w:rsidRPr="00E50530" w:rsidRDefault="00494EF7" w:rsidP="0051333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4"/>
                <w:szCs w:val="24"/>
              </w:rPr>
            </w:pPr>
            <w:r w:rsidRPr="00E50530">
              <w:rPr>
                <w:rFonts w:ascii="Arial Narrow" w:hAnsi="Arial Narrow"/>
                <w:sz w:val="24"/>
                <w:szCs w:val="24"/>
              </w:rPr>
              <w:t>48,</w:t>
            </w:r>
            <w:r>
              <w:rPr>
                <w:rFonts w:ascii="Arial Narrow" w:hAnsi="Arial Narrow"/>
                <w:sz w:val="24"/>
                <w:szCs w:val="24"/>
              </w:rPr>
              <w:t>200</w:t>
            </w:r>
          </w:p>
        </w:tc>
        <w:tc>
          <w:tcPr>
            <w:tcW w:w="1560" w:type="dxa"/>
            <w:shd w:val="clear" w:color="auto" w:fill="FFFFFF" w:themeFill="background1"/>
          </w:tcPr>
          <w:p w:rsidR="00494EF7" w:rsidRPr="00E50530" w:rsidRDefault="008D3541" w:rsidP="0051333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4"/>
                <w:szCs w:val="24"/>
              </w:rPr>
            </w:pPr>
            <w:r>
              <w:rPr>
                <w:rFonts w:ascii="Arial Narrow" w:hAnsi="Arial Narrow"/>
                <w:sz w:val="24"/>
                <w:szCs w:val="24"/>
              </w:rPr>
              <w:t>107,000</w:t>
            </w:r>
          </w:p>
        </w:tc>
        <w:tc>
          <w:tcPr>
            <w:tcW w:w="1842" w:type="dxa"/>
            <w:shd w:val="clear" w:color="auto" w:fill="FFFFFF" w:themeFill="background1"/>
          </w:tcPr>
          <w:p w:rsidR="00494EF7" w:rsidRPr="00E50530" w:rsidRDefault="00494EF7" w:rsidP="0051333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E50530">
              <w:rPr>
                <w:rFonts w:ascii="Arial Narrow" w:hAnsi="Arial Narrow"/>
                <w:sz w:val="24"/>
                <w:szCs w:val="24"/>
              </w:rPr>
              <w:t xml:space="preserve"> 163,</w:t>
            </w:r>
            <w:r>
              <w:rPr>
                <w:rFonts w:ascii="Arial Narrow" w:hAnsi="Arial Narrow"/>
                <w:sz w:val="24"/>
                <w:szCs w:val="24"/>
              </w:rPr>
              <w:t>200</w:t>
            </w:r>
            <w:r w:rsidRPr="00E50530">
              <w:rPr>
                <w:rFonts w:ascii="Arial Narrow" w:hAnsi="Arial Narrow"/>
                <w:sz w:val="24"/>
                <w:szCs w:val="24"/>
              </w:rPr>
              <w:t xml:space="preserve"> </w:t>
            </w:r>
          </w:p>
        </w:tc>
        <w:tc>
          <w:tcPr>
            <w:tcW w:w="1565" w:type="dxa"/>
            <w:shd w:val="clear" w:color="auto" w:fill="FFFFFF" w:themeFill="background1"/>
          </w:tcPr>
          <w:p w:rsidR="00494EF7" w:rsidRPr="00E50530" w:rsidRDefault="00494EF7" w:rsidP="0051333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E50530">
              <w:rPr>
                <w:rFonts w:ascii="Arial Narrow" w:hAnsi="Arial Narrow"/>
                <w:sz w:val="24"/>
                <w:szCs w:val="24"/>
              </w:rPr>
              <w:t xml:space="preserve"> 242,</w:t>
            </w:r>
            <w:r>
              <w:rPr>
                <w:rFonts w:ascii="Arial Narrow" w:hAnsi="Arial Narrow"/>
                <w:sz w:val="24"/>
                <w:szCs w:val="24"/>
              </w:rPr>
              <w:t>800</w:t>
            </w:r>
            <w:r w:rsidRPr="00E50530">
              <w:rPr>
                <w:rFonts w:ascii="Arial Narrow" w:hAnsi="Arial Narrow"/>
                <w:sz w:val="24"/>
                <w:szCs w:val="24"/>
              </w:rPr>
              <w:t xml:space="preserve"> </w:t>
            </w:r>
          </w:p>
        </w:tc>
      </w:tr>
    </w:tbl>
    <w:p w:rsidR="0069580D" w:rsidRPr="00E50530" w:rsidRDefault="0069580D" w:rsidP="00D238E7">
      <w:pPr>
        <w:pStyle w:val="11Bodytext"/>
        <w:numPr>
          <w:ilvl w:val="0"/>
          <w:numId w:val="0"/>
        </w:numPr>
        <w:spacing w:before="0" w:after="0" w:line="240" w:lineRule="auto"/>
      </w:pPr>
      <w:r w:rsidRPr="00E50530">
        <w:t>Source: GL Hearn based on Oxford Economics and Chichester District Council data</w:t>
      </w:r>
    </w:p>
    <w:p w:rsidR="00513337" w:rsidRPr="00E50530" w:rsidRDefault="00513337" w:rsidP="00513337">
      <w:pPr>
        <w:pStyle w:val="11Bodytext"/>
        <w:numPr>
          <w:ilvl w:val="0"/>
          <w:numId w:val="0"/>
        </w:numPr>
        <w:spacing w:before="0" w:after="0" w:line="240" w:lineRule="auto"/>
        <w:ind w:left="794"/>
      </w:pPr>
    </w:p>
    <w:p w:rsidR="0068536B" w:rsidRPr="00E50530" w:rsidRDefault="0068536B" w:rsidP="00D238E7">
      <w:pPr>
        <w:pStyle w:val="Tableheading"/>
        <w:tabs>
          <w:tab w:val="clear" w:pos="794"/>
          <w:tab w:val="clear" w:pos="1843"/>
          <w:tab w:val="left" w:pos="0"/>
        </w:tabs>
        <w:spacing w:line="240" w:lineRule="auto"/>
        <w:ind w:left="0" w:firstLine="0"/>
        <w:rPr>
          <w:color w:val="auto"/>
        </w:rPr>
      </w:pPr>
      <w:r w:rsidRPr="00E50530">
        <w:t xml:space="preserve">Range of Employment Land Need (Ha) 2019-36 </w:t>
      </w:r>
      <w:r w:rsidRPr="00E50530">
        <w:rPr>
          <w:color w:val="auto"/>
        </w:rPr>
        <w:t>– Chichester Plan Area</w:t>
      </w:r>
    </w:p>
    <w:tbl>
      <w:tblPr>
        <w:tblStyle w:val="GLHearntable1"/>
        <w:tblW w:w="95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63: Range of Employment Land Need (Ha) 2019-36 – Chichester Plan Area"/>
      </w:tblPr>
      <w:tblGrid>
        <w:gridCol w:w="851"/>
        <w:gridCol w:w="1134"/>
        <w:gridCol w:w="1417"/>
        <w:gridCol w:w="1134"/>
        <w:gridCol w:w="1560"/>
        <w:gridCol w:w="1842"/>
        <w:gridCol w:w="1640"/>
      </w:tblGrid>
      <w:tr w:rsidR="00F103CA" w:rsidRPr="00E50530" w:rsidTr="00FE6AF9">
        <w:trPr>
          <w:cnfStyle w:val="100000000000" w:firstRow="1" w:lastRow="0" w:firstColumn="0" w:lastColumn="0" w:oddVBand="0" w:evenVBand="0" w:oddHBand="0" w:evenHBand="0" w:firstRowFirstColumn="0" w:firstRowLastColumn="0" w:lastRowFirstColumn="0" w:lastRowLastColumn="0"/>
          <w:trHeight w:val="280"/>
          <w:tblHeader/>
        </w:trPr>
        <w:tc>
          <w:tcPr>
            <w:cnfStyle w:val="001000000000" w:firstRow="0" w:lastRow="0" w:firstColumn="1" w:lastColumn="0" w:oddVBand="0" w:evenVBand="0" w:oddHBand="0" w:evenHBand="0" w:firstRowFirstColumn="0" w:firstRowLastColumn="0" w:lastRowFirstColumn="0" w:lastRowLastColumn="0"/>
            <w:tcW w:w="851" w:type="dxa"/>
            <w:noWrap/>
            <w:hideMark/>
          </w:tcPr>
          <w:p w:rsidR="00F103CA" w:rsidRPr="00E50530" w:rsidRDefault="00F103CA" w:rsidP="00513337">
            <w:pPr>
              <w:keepNext/>
              <w:spacing w:line="240" w:lineRule="auto"/>
              <w:rPr>
                <w:rFonts w:ascii="Arial Narrow" w:hAnsi="Arial Narrow"/>
                <w:b w:val="0"/>
                <w:bCs/>
                <w:color w:val="000000"/>
                <w:sz w:val="24"/>
                <w:szCs w:val="24"/>
              </w:rPr>
            </w:pPr>
          </w:p>
        </w:tc>
        <w:tc>
          <w:tcPr>
            <w:tcW w:w="2551" w:type="dxa"/>
            <w:gridSpan w:val="2"/>
            <w:noWrap/>
            <w:hideMark/>
          </w:tcPr>
          <w:p w:rsidR="00F103CA" w:rsidRPr="00E50530" w:rsidRDefault="00F103CA" w:rsidP="00513337">
            <w:pPr>
              <w:keepN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sz w:val="24"/>
                <w:szCs w:val="24"/>
              </w:rPr>
            </w:pPr>
            <w:r w:rsidRPr="00E50530">
              <w:rPr>
                <w:rFonts w:ascii="Arial Narrow" w:hAnsi="Arial Narrow"/>
                <w:b w:val="0"/>
                <w:bCs/>
                <w:sz w:val="24"/>
                <w:szCs w:val="24"/>
              </w:rPr>
              <w:t>Labour Demand Baseline Scenario (After 15% Adjustment)</w:t>
            </w:r>
          </w:p>
        </w:tc>
        <w:tc>
          <w:tcPr>
            <w:tcW w:w="2694" w:type="dxa"/>
            <w:gridSpan w:val="2"/>
          </w:tcPr>
          <w:p w:rsidR="00F103CA" w:rsidRPr="00E50530" w:rsidRDefault="00F103CA" w:rsidP="00513337">
            <w:pPr>
              <w:keepN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sz w:val="24"/>
                <w:szCs w:val="24"/>
              </w:rPr>
            </w:pPr>
            <w:r w:rsidRPr="00E50530">
              <w:rPr>
                <w:rFonts w:ascii="Arial Narrow" w:hAnsi="Arial Narrow"/>
                <w:b w:val="0"/>
                <w:bCs/>
                <w:sz w:val="24"/>
                <w:szCs w:val="24"/>
              </w:rPr>
              <w:t>Labour Demand Growth Scenario (After 15% Adjustment)</w:t>
            </w:r>
          </w:p>
        </w:tc>
        <w:tc>
          <w:tcPr>
            <w:tcW w:w="1842" w:type="dxa"/>
          </w:tcPr>
          <w:p w:rsidR="00F103CA" w:rsidRPr="00E50530" w:rsidRDefault="00F103CA" w:rsidP="00513337">
            <w:pPr>
              <w:keepN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sz w:val="24"/>
                <w:szCs w:val="24"/>
              </w:rPr>
            </w:pPr>
            <w:r w:rsidRPr="00E50530">
              <w:rPr>
                <w:rFonts w:ascii="Arial Narrow" w:hAnsi="Arial Narrow"/>
                <w:b w:val="0"/>
                <w:bCs/>
                <w:sz w:val="24"/>
                <w:szCs w:val="24"/>
              </w:rPr>
              <w:t>Completions Trend – Net (</w:t>
            </w:r>
            <w:r w:rsidR="00D61D86">
              <w:rPr>
                <w:rFonts w:ascii="Arial Narrow" w:hAnsi="Arial Narrow"/>
                <w:b w:val="0"/>
                <w:bCs/>
                <w:sz w:val="24"/>
                <w:szCs w:val="24"/>
              </w:rPr>
              <w:t>exc</w:t>
            </w:r>
            <w:r w:rsidR="00D61D86" w:rsidRPr="00E50530">
              <w:rPr>
                <w:rFonts w:ascii="Arial Narrow" w:hAnsi="Arial Narrow"/>
                <w:b w:val="0"/>
                <w:bCs/>
                <w:sz w:val="24"/>
                <w:szCs w:val="24"/>
              </w:rPr>
              <w:t xml:space="preserve"> </w:t>
            </w:r>
            <w:r w:rsidRPr="00E50530">
              <w:rPr>
                <w:rFonts w:ascii="Arial Narrow" w:hAnsi="Arial Narrow"/>
                <w:b w:val="0"/>
                <w:bCs/>
                <w:sz w:val="24"/>
                <w:szCs w:val="24"/>
              </w:rPr>
              <w:t>Comm loss)</w:t>
            </w:r>
          </w:p>
        </w:tc>
        <w:tc>
          <w:tcPr>
            <w:tcW w:w="1640" w:type="dxa"/>
          </w:tcPr>
          <w:p w:rsidR="00F103CA" w:rsidRPr="00E50530" w:rsidRDefault="00F103CA" w:rsidP="00513337">
            <w:pPr>
              <w:keepN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sz w:val="24"/>
                <w:szCs w:val="24"/>
              </w:rPr>
            </w:pPr>
            <w:r w:rsidRPr="00E50530">
              <w:rPr>
                <w:rFonts w:ascii="Arial Narrow" w:hAnsi="Arial Narrow"/>
                <w:b w:val="0"/>
                <w:bCs/>
                <w:sz w:val="24"/>
                <w:szCs w:val="24"/>
              </w:rPr>
              <w:t>Completions Trend - Gross</w:t>
            </w:r>
          </w:p>
        </w:tc>
      </w:tr>
      <w:tr w:rsidR="00494EF7" w:rsidRPr="00E50530" w:rsidTr="00FE6AF9">
        <w:trPr>
          <w:trHeight w:val="280"/>
        </w:trPr>
        <w:tc>
          <w:tcPr>
            <w:cnfStyle w:val="001000000000" w:firstRow="0" w:lastRow="0" w:firstColumn="1" w:lastColumn="0" w:oddVBand="0" w:evenVBand="0" w:oddHBand="0" w:evenHBand="0" w:firstRowFirstColumn="0" w:firstRowLastColumn="0" w:lastRowFirstColumn="0" w:lastRowLastColumn="0"/>
            <w:tcW w:w="851" w:type="dxa"/>
            <w:shd w:val="clear" w:color="auto" w:fill="0093D5"/>
            <w:noWrap/>
          </w:tcPr>
          <w:p w:rsidR="00494EF7" w:rsidRPr="00E50530" w:rsidRDefault="00494EF7" w:rsidP="00513337">
            <w:pPr>
              <w:keepNext/>
              <w:spacing w:line="240" w:lineRule="auto"/>
              <w:rPr>
                <w:rFonts w:ascii="Arial Narrow" w:hAnsi="Arial Narrow"/>
                <w:b w:val="0"/>
                <w:bCs/>
                <w:color w:val="FFFFFF" w:themeColor="background1"/>
                <w:sz w:val="24"/>
                <w:szCs w:val="24"/>
              </w:rPr>
            </w:pPr>
          </w:p>
        </w:tc>
        <w:tc>
          <w:tcPr>
            <w:tcW w:w="1134" w:type="dxa"/>
            <w:shd w:val="clear" w:color="auto" w:fill="0093D5"/>
            <w:noWrap/>
            <w:vAlign w:val="center"/>
          </w:tcPr>
          <w:p w:rsidR="00494EF7" w:rsidRPr="00E50530" w:rsidRDefault="00494EF7" w:rsidP="0051333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FFFF" w:themeColor="background1"/>
                <w:sz w:val="24"/>
                <w:szCs w:val="24"/>
              </w:rPr>
            </w:pPr>
            <w:r w:rsidRPr="00E50530">
              <w:rPr>
                <w:rFonts w:ascii="Arial Narrow" w:hAnsi="Arial Narrow"/>
                <w:bCs/>
                <w:color w:val="FFFFFF" w:themeColor="background1"/>
                <w:sz w:val="24"/>
                <w:szCs w:val="24"/>
              </w:rPr>
              <w:t>Forecast</w:t>
            </w:r>
          </w:p>
        </w:tc>
        <w:tc>
          <w:tcPr>
            <w:tcW w:w="1417" w:type="dxa"/>
            <w:shd w:val="clear" w:color="auto" w:fill="0093D5"/>
          </w:tcPr>
          <w:p w:rsidR="00494EF7" w:rsidRPr="00E50530" w:rsidRDefault="00494EF7" w:rsidP="0051333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FFFF" w:themeColor="background1"/>
                <w:sz w:val="24"/>
                <w:szCs w:val="24"/>
              </w:rPr>
            </w:pPr>
            <w:r w:rsidRPr="00E50530">
              <w:rPr>
                <w:rFonts w:ascii="Arial Narrow" w:hAnsi="Arial Narrow"/>
                <w:bCs/>
                <w:color w:val="FFFFFF" w:themeColor="background1"/>
                <w:sz w:val="24"/>
                <w:szCs w:val="24"/>
              </w:rPr>
              <w:t>Inc margin + rplt demand</w:t>
            </w:r>
          </w:p>
        </w:tc>
        <w:tc>
          <w:tcPr>
            <w:tcW w:w="1134" w:type="dxa"/>
            <w:shd w:val="clear" w:color="auto" w:fill="0093D5"/>
            <w:vAlign w:val="center"/>
          </w:tcPr>
          <w:p w:rsidR="00494EF7" w:rsidRPr="00E50530" w:rsidRDefault="00494EF7" w:rsidP="0051333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FFFF" w:themeColor="background1"/>
                <w:sz w:val="24"/>
                <w:szCs w:val="24"/>
              </w:rPr>
            </w:pPr>
            <w:r w:rsidRPr="00E50530">
              <w:rPr>
                <w:rFonts w:ascii="Arial Narrow" w:hAnsi="Arial Narrow"/>
                <w:bCs/>
                <w:color w:val="FFFFFF" w:themeColor="background1"/>
                <w:sz w:val="24"/>
                <w:szCs w:val="24"/>
              </w:rPr>
              <w:t>Forecast</w:t>
            </w:r>
          </w:p>
        </w:tc>
        <w:tc>
          <w:tcPr>
            <w:tcW w:w="1560" w:type="dxa"/>
            <w:shd w:val="clear" w:color="auto" w:fill="0093D5"/>
          </w:tcPr>
          <w:p w:rsidR="00494EF7" w:rsidRPr="00E50530" w:rsidRDefault="00494EF7" w:rsidP="0051333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FFFF" w:themeColor="background1"/>
                <w:sz w:val="24"/>
                <w:szCs w:val="24"/>
              </w:rPr>
            </w:pPr>
            <w:r w:rsidRPr="00E50530">
              <w:rPr>
                <w:rFonts w:ascii="Arial Narrow" w:hAnsi="Arial Narrow"/>
                <w:bCs/>
                <w:color w:val="FFFFFF" w:themeColor="background1"/>
                <w:sz w:val="24"/>
                <w:szCs w:val="24"/>
              </w:rPr>
              <w:t>Inc margin + rplt demand</w:t>
            </w:r>
          </w:p>
        </w:tc>
        <w:tc>
          <w:tcPr>
            <w:tcW w:w="1842" w:type="dxa"/>
            <w:shd w:val="clear" w:color="auto" w:fill="0093D5"/>
            <w:vAlign w:val="center"/>
          </w:tcPr>
          <w:p w:rsidR="00494EF7" w:rsidRPr="00E50530" w:rsidRDefault="00494EF7" w:rsidP="0051333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FFFF" w:themeColor="background1"/>
                <w:sz w:val="24"/>
                <w:szCs w:val="24"/>
              </w:rPr>
            </w:pPr>
            <w:r w:rsidRPr="00E50530">
              <w:rPr>
                <w:rFonts w:ascii="Arial Narrow" w:hAnsi="Arial Narrow"/>
                <w:bCs/>
                <w:color w:val="FFFFFF" w:themeColor="background1"/>
                <w:sz w:val="24"/>
                <w:szCs w:val="24"/>
              </w:rPr>
              <w:t>Forecast</w:t>
            </w:r>
          </w:p>
        </w:tc>
        <w:tc>
          <w:tcPr>
            <w:tcW w:w="1640" w:type="dxa"/>
            <w:shd w:val="clear" w:color="auto" w:fill="0093D5"/>
            <w:vAlign w:val="center"/>
          </w:tcPr>
          <w:p w:rsidR="00494EF7" w:rsidRPr="00E50530" w:rsidRDefault="00494EF7" w:rsidP="0051333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FFFFFF" w:themeColor="background1"/>
                <w:sz w:val="24"/>
                <w:szCs w:val="24"/>
              </w:rPr>
            </w:pPr>
            <w:r w:rsidRPr="00E50530">
              <w:rPr>
                <w:rFonts w:ascii="Arial Narrow" w:hAnsi="Arial Narrow"/>
                <w:bCs/>
                <w:color w:val="FFFFFF" w:themeColor="background1"/>
                <w:sz w:val="24"/>
                <w:szCs w:val="24"/>
              </w:rPr>
              <w:t>Forecast</w:t>
            </w:r>
          </w:p>
        </w:tc>
      </w:tr>
      <w:tr w:rsidR="00494EF7" w:rsidRPr="00E50530" w:rsidTr="00FE6AF9">
        <w:trPr>
          <w:cnfStyle w:val="000000010000" w:firstRow="0" w:lastRow="0" w:firstColumn="0" w:lastColumn="0" w:oddVBand="0" w:evenVBand="0" w:oddHBand="0" w:evenHBand="1"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851" w:type="dxa"/>
            <w:shd w:val="clear" w:color="auto" w:fill="FFFFFF" w:themeFill="background1"/>
            <w:noWrap/>
            <w:vAlign w:val="center"/>
            <w:hideMark/>
          </w:tcPr>
          <w:p w:rsidR="00494EF7" w:rsidRPr="00E50530" w:rsidRDefault="00494EF7" w:rsidP="00513337">
            <w:pPr>
              <w:keepNext/>
              <w:spacing w:line="240" w:lineRule="auto"/>
              <w:rPr>
                <w:rFonts w:ascii="Arial Narrow" w:hAnsi="Arial Narrow"/>
                <w:b w:val="0"/>
                <w:bCs/>
                <w:color w:val="000000"/>
                <w:sz w:val="24"/>
                <w:szCs w:val="24"/>
              </w:rPr>
            </w:pPr>
            <w:r w:rsidRPr="00E50530">
              <w:rPr>
                <w:rFonts w:ascii="Arial Narrow" w:hAnsi="Arial Narrow"/>
                <w:b w:val="0"/>
                <w:bCs/>
                <w:color w:val="000000"/>
                <w:sz w:val="24"/>
                <w:szCs w:val="24"/>
              </w:rPr>
              <w:t>B1a/b</w:t>
            </w:r>
          </w:p>
        </w:tc>
        <w:tc>
          <w:tcPr>
            <w:tcW w:w="1134" w:type="dxa"/>
            <w:shd w:val="clear" w:color="auto" w:fill="FFFFFF" w:themeFill="background1"/>
            <w:noWrap/>
          </w:tcPr>
          <w:p w:rsidR="00494EF7" w:rsidRPr="00E50530" w:rsidRDefault="00494EF7" w:rsidP="0051333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4"/>
                <w:szCs w:val="24"/>
              </w:rPr>
            </w:pPr>
            <w:r w:rsidRPr="00E50530">
              <w:rPr>
                <w:rFonts w:ascii="Arial Narrow" w:hAnsi="Arial Narrow"/>
                <w:sz w:val="24"/>
                <w:szCs w:val="24"/>
              </w:rPr>
              <w:t>1.2</w:t>
            </w:r>
          </w:p>
        </w:tc>
        <w:tc>
          <w:tcPr>
            <w:tcW w:w="1417" w:type="dxa"/>
            <w:shd w:val="clear" w:color="auto" w:fill="FFFFFF" w:themeFill="background1"/>
          </w:tcPr>
          <w:p w:rsidR="00494EF7" w:rsidRPr="00E50530" w:rsidRDefault="00494EF7" w:rsidP="0051333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bCs/>
                <w:sz w:val="24"/>
                <w:szCs w:val="24"/>
              </w:rPr>
            </w:pPr>
            <w:r w:rsidRPr="00E50530">
              <w:rPr>
                <w:rFonts w:ascii="Arial Narrow" w:hAnsi="Arial Narrow"/>
                <w:sz w:val="24"/>
                <w:szCs w:val="24"/>
              </w:rPr>
              <w:t>3.7</w:t>
            </w:r>
          </w:p>
        </w:tc>
        <w:tc>
          <w:tcPr>
            <w:tcW w:w="1134" w:type="dxa"/>
            <w:shd w:val="clear" w:color="auto" w:fill="FFFFFF" w:themeFill="background1"/>
          </w:tcPr>
          <w:p w:rsidR="00494EF7" w:rsidRPr="00E50530" w:rsidRDefault="00494EF7" w:rsidP="0051333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bCs/>
                <w:sz w:val="24"/>
                <w:szCs w:val="24"/>
              </w:rPr>
            </w:pPr>
            <w:r w:rsidRPr="00E50530">
              <w:rPr>
                <w:rFonts w:ascii="Arial Narrow" w:hAnsi="Arial Narrow"/>
                <w:sz w:val="24"/>
                <w:szCs w:val="24"/>
              </w:rPr>
              <w:t>2.9</w:t>
            </w:r>
          </w:p>
        </w:tc>
        <w:tc>
          <w:tcPr>
            <w:tcW w:w="1560" w:type="dxa"/>
            <w:shd w:val="clear" w:color="auto" w:fill="FFFFFF" w:themeFill="background1"/>
          </w:tcPr>
          <w:p w:rsidR="00494EF7" w:rsidRPr="00E50530" w:rsidRDefault="00494EF7" w:rsidP="0051333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bCs/>
                <w:sz w:val="24"/>
                <w:szCs w:val="24"/>
              </w:rPr>
            </w:pPr>
            <w:r w:rsidRPr="00E50530">
              <w:rPr>
                <w:rFonts w:ascii="Arial Narrow" w:hAnsi="Arial Narrow"/>
                <w:sz w:val="24"/>
                <w:szCs w:val="24"/>
              </w:rPr>
              <w:t>5.4</w:t>
            </w:r>
          </w:p>
        </w:tc>
        <w:tc>
          <w:tcPr>
            <w:tcW w:w="1842" w:type="dxa"/>
            <w:shd w:val="clear" w:color="auto" w:fill="FFFFFF" w:themeFill="background1"/>
            <w:vAlign w:val="center"/>
          </w:tcPr>
          <w:p w:rsidR="00494EF7" w:rsidRPr="00E50530" w:rsidRDefault="00494EF7" w:rsidP="0051333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24"/>
                <w:szCs w:val="24"/>
              </w:rPr>
            </w:pPr>
            <w:r w:rsidRPr="00E50530">
              <w:rPr>
                <w:rFonts w:ascii="Arial Narrow" w:hAnsi="Arial Narrow"/>
                <w:color w:val="000000"/>
                <w:sz w:val="24"/>
                <w:szCs w:val="24"/>
              </w:rPr>
              <w:t>9.5</w:t>
            </w:r>
          </w:p>
        </w:tc>
        <w:tc>
          <w:tcPr>
            <w:tcW w:w="1640" w:type="dxa"/>
            <w:shd w:val="clear" w:color="auto" w:fill="FFFFFF" w:themeFill="background1"/>
            <w:vAlign w:val="center"/>
          </w:tcPr>
          <w:p w:rsidR="00494EF7" w:rsidRPr="00E50530" w:rsidRDefault="00494EF7" w:rsidP="0051333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24"/>
                <w:szCs w:val="24"/>
              </w:rPr>
            </w:pPr>
            <w:r w:rsidRPr="00E50530">
              <w:rPr>
                <w:rFonts w:ascii="Arial Narrow" w:hAnsi="Arial Narrow"/>
                <w:color w:val="000000"/>
                <w:sz w:val="24"/>
                <w:szCs w:val="24"/>
              </w:rPr>
              <w:t>9.6</w:t>
            </w:r>
          </w:p>
        </w:tc>
      </w:tr>
      <w:tr w:rsidR="00494EF7" w:rsidRPr="00E50530" w:rsidTr="00FE6AF9">
        <w:trPr>
          <w:trHeight w:val="228"/>
        </w:trPr>
        <w:tc>
          <w:tcPr>
            <w:cnfStyle w:val="001000000000" w:firstRow="0" w:lastRow="0" w:firstColumn="1" w:lastColumn="0" w:oddVBand="0" w:evenVBand="0" w:oddHBand="0" w:evenHBand="0" w:firstRowFirstColumn="0" w:firstRowLastColumn="0" w:lastRowFirstColumn="0" w:lastRowLastColumn="0"/>
            <w:tcW w:w="851" w:type="dxa"/>
            <w:shd w:val="clear" w:color="auto" w:fill="FFFFFF" w:themeFill="background1"/>
            <w:noWrap/>
            <w:vAlign w:val="center"/>
            <w:hideMark/>
          </w:tcPr>
          <w:p w:rsidR="00494EF7" w:rsidRPr="00E50530" w:rsidRDefault="00494EF7" w:rsidP="00513337">
            <w:pPr>
              <w:keepNext/>
              <w:spacing w:line="240" w:lineRule="auto"/>
              <w:rPr>
                <w:rFonts w:ascii="Arial Narrow" w:hAnsi="Arial Narrow"/>
                <w:b w:val="0"/>
                <w:bCs/>
                <w:color w:val="000000"/>
                <w:sz w:val="24"/>
                <w:szCs w:val="24"/>
              </w:rPr>
            </w:pPr>
            <w:r w:rsidRPr="00E50530">
              <w:rPr>
                <w:rFonts w:ascii="Arial Narrow" w:hAnsi="Arial Narrow"/>
                <w:b w:val="0"/>
                <w:bCs/>
                <w:color w:val="000000"/>
                <w:sz w:val="24"/>
                <w:szCs w:val="24"/>
              </w:rPr>
              <w:t>B1c/B2</w:t>
            </w:r>
          </w:p>
        </w:tc>
        <w:tc>
          <w:tcPr>
            <w:tcW w:w="1134" w:type="dxa"/>
            <w:shd w:val="clear" w:color="auto" w:fill="FFFFFF" w:themeFill="background1"/>
            <w:noWrap/>
          </w:tcPr>
          <w:p w:rsidR="00494EF7" w:rsidRPr="00E50530" w:rsidRDefault="00494EF7" w:rsidP="0051333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sz w:val="24"/>
                <w:szCs w:val="24"/>
              </w:rPr>
            </w:pPr>
            <w:r w:rsidRPr="00E50530">
              <w:rPr>
                <w:rFonts w:ascii="Arial Narrow" w:hAnsi="Arial Narrow"/>
                <w:sz w:val="24"/>
                <w:szCs w:val="24"/>
              </w:rPr>
              <w:t>-10.0</w:t>
            </w:r>
          </w:p>
        </w:tc>
        <w:tc>
          <w:tcPr>
            <w:tcW w:w="1417" w:type="dxa"/>
            <w:shd w:val="clear" w:color="auto" w:fill="FFFFFF" w:themeFill="background1"/>
          </w:tcPr>
          <w:p w:rsidR="00494EF7" w:rsidRPr="00E50530" w:rsidRDefault="00494EF7" w:rsidP="0051333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4"/>
                <w:szCs w:val="24"/>
              </w:rPr>
            </w:pPr>
            <w:r w:rsidRPr="00E50530">
              <w:rPr>
                <w:rFonts w:ascii="Arial Narrow" w:hAnsi="Arial Narrow"/>
                <w:sz w:val="24"/>
                <w:szCs w:val="24"/>
              </w:rPr>
              <w:t>-</w:t>
            </w:r>
            <w:r>
              <w:rPr>
                <w:rFonts w:ascii="Arial Narrow" w:hAnsi="Arial Narrow"/>
                <w:sz w:val="24"/>
                <w:szCs w:val="24"/>
              </w:rPr>
              <w:t>3</w:t>
            </w:r>
            <w:r w:rsidRPr="00E50530">
              <w:rPr>
                <w:rFonts w:ascii="Arial Narrow" w:hAnsi="Arial Narrow"/>
                <w:sz w:val="24"/>
                <w:szCs w:val="24"/>
              </w:rPr>
              <w:t>.5</w:t>
            </w:r>
          </w:p>
        </w:tc>
        <w:tc>
          <w:tcPr>
            <w:tcW w:w="1134" w:type="dxa"/>
            <w:shd w:val="clear" w:color="auto" w:fill="FFFFFF" w:themeFill="background1"/>
          </w:tcPr>
          <w:p w:rsidR="00494EF7" w:rsidRPr="00E50530" w:rsidRDefault="00494EF7" w:rsidP="0051333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4"/>
                <w:szCs w:val="24"/>
              </w:rPr>
            </w:pPr>
            <w:r w:rsidRPr="00E50530">
              <w:rPr>
                <w:rFonts w:ascii="Arial Narrow" w:hAnsi="Arial Narrow"/>
                <w:sz w:val="24"/>
                <w:szCs w:val="24"/>
              </w:rPr>
              <w:t>-0.3</w:t>
            </w:r>
          </w:p>
        </w:tc>
        <w:tc>
          <w:tcPr>
            <w:tcW w:w="1560" w:type="dxa"/>
            <w:shd w:val="clear" w:color="auto" w:fill="FFFFFF" w:themeFill="background1"/>
          </w:tcPr>
          <w:p w:rsidR="00494EF7" w:rsidRPr="00E50530" w:rsidRDefault="008D3541" w:rsidP="0051333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4"/>
                <w:szCs w:val="24"/>
              </w:rPr>
            </w:pPr>
            <w:r>
              <w:rPr>
                <w:rFonts w:ascii="Arial Narrow" w:hAnsi="Arial Narrow"/>
                <w:sz w:val="24"/>
                <w:szCs w:val="24"/>
              </w:rPr>
              <w:t>6.3</w:t>
            </w:r>
          </w:p>
        </w:tc>
        <w:tc>
          <w:tcPr>
            <w:tcW w:w="1842" w:type="dxa"/>
            <w:shd w:val="clear" w:color="auto" w:fill="FFFFFF" w:themeFill="background1"/>
            <w:vAlign w:val="center"/>
          </w:tcPr>
          <w:p w:rsidR="00494EF7" w:rsidRPr="00E50530" w:rsidRDefault="00494EF7" w:rsidP="0051333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E50530">
              <w:rPr>
                <w:rFonts w:ascii="Arial Narrow" w:hAnsi="Arial Narrow"/>
                <w:color w:val="000000"/>
                <w:sz w:val="24"/>
                <w:szCs w:val="24"/>
              </w:rPr>
              <w:t>9.1</w:t>
            </w:r>
          </w:p>
        </w:tc>
        <w:tc>
          <w:tcPr>
            <w:tcW w:w="1640" w:type="dxa"/>
            <w:shd w:val="clear" w:color="auto" w:fill="FFFFFF" w:themeFill="background1"/>
            <w:vAlign w:val="center"/>
          </w:tcPr>
          <w:p w:rsidR="00494EF7" w:rsidRPr="00E50530" w:rsidRDefault="00494EF7" w:rsidP="0051333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E50530">
              <w:rPr>
                <w:rFonts w:ascii="Arial Narrow" w:hAnsi="Arial Narrow"/>
                <w:color w:val="000000"/>
                <w:sz w:val="24"/>
                <w:szCs w:val="24"/>
              </w:rPr>
              <w:t>20.4</w:t>
            </w:r>
          </w:p>
        </w:tc>
      </w:tr>
      <w:tr w:rsidR="00494EF7" w:rsidRPr="00E50530" w:rsidTr="00FE6AF9">
        <w:trPr>
          <w:cnfStyle w:val="000000010000" w:firstRow="0" w:lastRow="0" w:firstColumn="0" w:lastColumn="0" w:oddVBand="0" w:evenVBand="0" w:oddHBand="0" w:evenHBand="1"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851" w:type="dxa"/>
            <w:shd w:val="clear" w:color="auto" w:fill="FFFFFF" w:themeFill="background1"/>
            <w:noWrap/>
            <w:vAlign w:val="center"/>
            <w:hideMark/>
          </w:tcPr>
          <w:p w:rsidR="00494EF7" w:rsidRPr="00E50530" w:rsidRDefault="00494EF7" w:rsidP="00513337">
            <w:pPr>
              <w:keepNext/>
              <w:spacing w:line="240" w:lineRule="auto"/>
              <w:rPr>
                <w:rFonts w:ascii="Arial Narrow" w:hAnsi="Arial Narrow"/>
                <w:b w:val="0"/>
                <w:bCs/>
                <w:color w:val="000000"/>
                <w:sz w:val="24"/>
                <w:szCs w:val="24"/>
              </w:rPr>
            </w:pPr>
            <w:r w:rsidRPr="00E50530">
              <w:rPr>
                <w:rFonts w:ascii="Arial Narrow" w:hAnsi="Arial Narrow"/>
                <w:b w:val="0"/>
                <w:bCs/>
                <w:color w:val="000000"/>
                <w:sz w:val="24"/>
                <w:szCs w:val="24"/>
              </w:rPr>
              <w:t>B8</w:t>
            </w:r>
          </w:p>
        </w:tc>
        <w:tc>
          <w:tcPr>
            <w:tcW w:w="1134" w:type="dxa"/>
            <w:shd w:val="clear" w:color="auto" w:fill="FFFFFF" w:themeFill="background1"/>
            <w:noWrap/>
          </w:tcPr>
          <w:p w:rsidR="00494EF7" w:rsidRPr="00E50530" w:rsidRDefault="00494EF7" w:rsidP="0051333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4"/>
                <w:szCs w:val="24"/>
              </w:rPr>
            </w:pPr>
            <w:r w:rsidRPr="00E50530">
              <w:rPr>
                <w:rFonts w:ascii="Arial Narrow" w:hAnsi="Arial Narrow"/>
                <w:sz w:val="24"/>
                <w:szCs w:val="24"/>
              </w:rPr>
              <w:t>-0.1</w:t>
            </w:r>
          </w:p>
        </w:tc>
        <w:tc>
          <w:tcPr>
            <w:tcW w:w="1417" w:type="dxa"/>
            <w:shd w:val="clear" w:color="auto" w:fill="FFFFFF" w:themeFill="background1"/>
          </w:tcPr>
          <w:p w:rsidR="00494EF7" w:rsidRPr="00E50530" w:rsidRDefault="00494EF7" w:rsidP="0051333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bCs/>
                <w:sz w:val="24"/>
                <w:szCs w:val="24"/>
              </w:rPr>
            </w:pPr>
            <w:r w:rsidRPr="00E50530">
              <w:rPr>
                <w:rFonts w:ascii="Arial Narrow" w:hAnsi="Arial Narrow"/>
                <w:sz w:val="24"/>
                <w:szCs w:val="24"/>
              </w:rPr>
              <w:t>2.</w:t>
            </w:r>
            <w:r>
              <w:rPr>
                <w:rFonts w:ascii="Arial Narrow" w:hAnsi="Arial Narrow"/>
                <w:sz w:val="24"/>
                <w:szCs w:val="24"/>
              </w:rPr>
              <w:t>7</w:t>
            </w:r>
          </w:p>
        </w:tc>
        <w:tc>
          <w:tcPr>
            <w:tcW w:w="1134" w:type="dxa"/>
            <w:shd w:val="clear" w:color="auto" w:fill="FFFFFF" w:themeFill="background1"/>
          </w:tcPr>
          <w:p w:rsidR="00494EF7" w:rsidRPr="00E50530" w:rsidRDefault="00494EF7" w:rsidP="0051333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bCs/>
                <w:sz w:val="24"/>
                <w:szCs w:val="24"/>
              </w:rPr>
            </w:pPr>
            <w:r w:rsidRPr="00E50530">
              <w:rPr>
                <w:rFonts w:ascii="Arial Narrow" w:hAnsi="Arial Narrow"/>
                <w:sz w:val="24"/>
                <w:szCs w:val="24"/>
              </w:rPr>
              <w:t>5.6</w:t>
            </w:r>
          </w:p>
        </w:tc>
        <w:tc>
          <w:tcPr>
            <w:tcW w:w="1560" w:type="dxa"/>
            <w:shd w:val="clear" w:color="auto" w:fill="FFFFFF" w:themeFill="background1"/>
          </w:tcPr>
          <w:p w:rsidR="00494EF7" w:rsidRPr="00E50530" w:rsidRDefault="00494EF7" w:rsidP="0051333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bCs/>
                <w:sz w:val="24"/>
                <w:szCs w:val="24"/>
              </w:rPr>
            </w:pPr>
            <w:r w:rsidRPr="00E50530">
              <w:rPr>
                <w:rFonts w:ascii="Arial Narrow" w:hAnsi="Arial Narrow"/>
                <w:sz w:val="24"/>
                <w:szCs w:val="24"/>
              </w:rPr>
              <w:t>8.</w:t>
            </w:r>
            <w:r>
              <w:rPr>
                <w:rFonts w:ascii="Arial Narrow" w:hAnsi="Arial Narrow"/>
                <w:sz w:val="24"/>
                <w:szCs w:val="24"/>
              </w:rPr>
              <w:t>3</w:t>
            </w:r>
          </w:p>
        </w:tc>
        <w:tc>
          <w:tcPr>
            <w:tcW w:w="1842" w:type="dxa"/>
            <w:shd w:val="clear" w:color="auto" w:fill="FFFFFF" w:themeFill="background1"/>
            <w:vAlign w:val="center"/>
          </w:tcPr>
          <w:p w:rsidR="00494EF7" w:rsidRPr="00E50530" w:rsidRDefault="00494EF7" w:rsidP="0051333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24"/>
                <w:szCs w:val="24"/>
              </w:rPr>
            </w:pPr>
            <w:r w:rsidRPr="00E50530">
              <w:rPr>
                <w:rFonts w:ascii="Arial Narrow" w:hAnsi="Arial Narrow"/>
                <w:color w:val="000000"/>
                <w:sz w:val="24"/>
                <w:szCs w:val="24"/>
              </w:rPr>
              <w:t>11.1</w:t>
            </w:r>
          </w:p>
        </w:tc>
        <w:tc>
          <w:tcPr>
            <w:tcW w:w="1640" w:type="dxa"/>
            <w:shd w:val="clear" w:color="auto" w:fill="FFFFFF" w:themeFill="background1"/>
            <w:vAlign w:val="center"/>
          </w:tcPr>
          <w:p w:rsidR="00494EF7" w:rsidRPr="00E50530" w:rsidRDefault="00494EF7" w:rsidP="0051333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24"/>
                <w:szCs w:val="24"/>
              </w:rPr>
            </w:pPr>
            <w:r w:rsidRPr="00E50530">
              <w:rPr>
                <w:rFonts w:ascii="Arial Narrow" w:hAnsi="Arial Narrow"/>
                <w:color w:val="000000"/>
                <w:sz w:val="24"/>
                <w:szCs w:val="24"/>
              </w:rPr>
              <w:t>17.9</w:t>
            </w:r>
          </w:p>
        </w:tc>
      </w:tr>
      <w:tr w:rsidR="00494EF7" w:rsidRPr="00E50530" w:rsidTr="00FE6AF9">
        <w:trPr>
          <w:trHeight w:val="228"/>
        </w:trPr>
        <w:tc>
          <w:tcPr>
            <w:cnfStyle w:val="001000000000" w:firstRow="0" w:lastRow="0" w:firstColumn="1" w:lastColumn="0" w:oddVBand="0" w:evenVBand="0" w:oddHBand="0" w:evenHBand="0" w:firstRowFirstColumn="0" w:firstRowLastColumn="0" w:lastRowFirstColumn="0" w:lastRowLastColumn="0"/>
            <w:tcW w:w="851" w:type="dxa"/>
            <w:shd w:val="clear" w:color="auto" w:fill="FFFFFF" w:themeFill="background1"/>
            <w:noWrap/>
            <w:vAlign w:val="center"/>
            <w:hideMark/>
          </w:tcPr>
          <w:p w:rsidR="00494EF7" w:rsidRPr="00E50530" w:rsidRDefault="00494EF7" w:rsidP="00513337">
            <w:pPr>
              <w:keepNext/>
              <w:spacing w:line="240" w:lineRule="auto"/>
              <w:rPr>
                <w:rFonts w:ascii="Arial Narrow" w:hAnsi="Arial Narrow"/>
                <w:b w:val="0"/>
                <w:bCs/>
                <w:color w:val="000000"/>
                <w:sz w:val="24"/>
                <w:szCs w:val="24"/>
              </w:rPr>
            </w:pPr>
            <w:r w:rsidRPr="00E50530">
              <w:rPr>
                <w:rFonts w:ascii="Arial Narrow" w:hAnsi="Arial Narrow"/>
                <w:b w:val="0"/>
                <w:bCs/>
                <w:color w:val="000000"/>
                <w:sz w:val="24"/>
                <w:szCs w:val="24"/>
              </w:rPr>
              <w:t>Total</w:t>
            </w:r>
          </w:p>
        </w:tc>
        <w:tc>
          <w:tcPr>
            <w:tcW w:w="1134" w:type="dxa"/>
            <w:shd w:val="clear" w:color="auto" w:fill="FFFFFF" w:themeFill="background1"/>
            <w:noWrap/>
          </w:tcPr>
          <w:p w:rsidR="00494EF7" w:rsidRPr="00E50530" w:rsidRDefault="00494EF7" w:rsidP="0051333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sz w:val="24"/>
                <w:szCs w:val="24"/>
              </w:rPr>
            </w:pPr>
            <w:r w:rsidRPr="00E50530">
              <w:rPr>
                <w:rFonts w:ascii="Arial Narrow" w:hAnsi="Arial Narrow"/>
                <w:sz w:val="24"/>
                <w:szCs w:val="24"/>
              </w:rPr>
              <w:t>-8.9</w:t>
            </w:r>
          </w:p>
        </w:tc>
        <w:tc>
          <w:tcPr>
            <w:tcW w:w="1417" w:type="dxa"/>
            <w:shd w:val="clear" w:color="auto" w:fill="FFFFFF" w:themeFill="background1"/>
          </w:tcPr>
          <w:p w:rsidR="00494EF7" w:rsidRPr="00E50530" w:rsidRDefault="00494EF7" w:rsidP="0051333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4"/>
                <w:szCs w:val="24"/>
              </w:rPr>
            </w:pPr>
            <w:r>
              <w:rPr>
                <w:rFonts w:ascii="Arial Narrow" w:hAnsi="Arial Narrow"/>
                <w:sz w:val="24"/>
                <w:szCs w:val="24"/>
              </w:rPr>
              <w:t>2.9</w:t>
            </w:r>
          </w:p>
        </w:tc>
        <w:tc>
          <w:tcPr>
            <w:tcW w:w="1134" w:type="dxa"/>
            <w:shd w:val="clear" w:color="auto" w:fill="FFFFFF" w:themeFill="background1"/>
          </w:tcPr>
          <w:p w:rsidR="00494EF7" w:rsidRPr="00E50530" w:rsidRDefault="00494EF7" w:rsidP="0051333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4"/>
                <w:szCs w:val="24"/>
              </w:rPr>
            </w:pPr>
            <w:r w:rsidRPr="00E50530">
              <w:rPr>
                <w:rFonts w:ascii="Arial Narrow" w:hAnsi="Arial Narrow"/>
                <w:sz w:val="24"/>
                <w:szCs w:val="24"/>
              </w:rPr>
              <w:t>8.</w:t>
            </w:r>
            <w:r>
              <w:rPr>
                <w:rFonts w:ascii="Arial Narrow" w:hAnsi="Arial Narrow"/>
                <w:sz w:val="24"/>
                <w:szCs w:val="24"/>
              </w:rPr>
              <w:t>1</w:t>
            </w:r>
          </w:p>
        </w:tc>
        <w:tc>
          <w:tcPr>
            <w:tcW w:w="1560" w:type="dxa"/>
            <w:shd w:val="clear" w:color="auto" w:fill="FFFFFF" w:themeFill="background1"/>
          </w:tcPr>
          <w:p w:rsidR="00494EF7" w:rsidRPr="00E50530" w:rsidRDefault="008D3541" w:rsidP="0051333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4"/>
                <w:szCs w:val="24"/>
              </w:rPr>
            </w:pPr>
            <w:r>
              <w:rPr>
                <w:rFonts w:ascii="Arial Narrow" w:hAnsi="Arial Narrow"/>
                <w:sz w:val="24"/>
                <w:szCs w:val="24"/>
              </w:rPr>
              <w:t>20.0</w:t>
            </w:r>
          </w:p>
        </w:tc>
        <w:tc>
          <w:tcPr>
            <w:tcW w:w="1842" w:type="dxa"/>
            <w:shd w:val="clear" w:color="auto" w:fill="FFFFFF" w:themeFill="background1"/>
            <w:vAlign w:val="center"/>
          </w:tcPr>
          <w:p w:rsidR="00494EF7" w:rsidRPr="00E50530" w:rsidRDefault="00494EF7" w:rsidP="0051333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E50530">
              <w:rPr>
                <w:rFonts w:ascii="Arial Narrow" w:hAnsi="Arial Narrow"/>
                <w:color w:val="000000"/>
                <w:sz w:val="24"/>
                <w:szCs w:val="24"/>
              </w:rPr>
              <w:t>29.7</w:t>
            </w:r>
          </w:p>
        </w:tc>
        <w:tc>
          <w:tcPr>
            <w:tcW w:w="1640" w:type="dxa"/>
            <w:shd w:val="clear" w:color="auto" w:fill="FFFFFF" w:themeFill="background1"/>
            <w:vAlign w:val="center"/>
          </w:tcPr>
          <w:p w:rsidR="00494EF7" w:rsidRPr="00E50530" w:rsidRDefault="00494EF7" w:rsidP="0051333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E50530">
              <w:rPr>
                <w:rFonts w:ascii="Arial Narrow" w:hAnsi="Arial Narrow"/>
                <w:color w:val="000000"/>
                <w:sz w:val="24"/>
                <w:szCs w:val="24"/>
              </w:rPr>
              <w:t>47.9</w:t>
            </w:r>
          </w:p>
        </w:tc>
      </w:tr>
    </w:tbl>
    <w:p w:rsidR="0068536B" w:rsidRDefault="0068536B" w:rsidP="00D238E7">
      <w:pPr>
        <w:pStyle w:val="11Bodytext"/>
        <w:numPr>
          <w:ilvl w:val="0"/>
          <w:numId w:val="0"/>
        </w:numPr>
        <w:spacing w:before="0" w:after="0" w:line="240" w:lineRule="auto"/>
      </w:pPr>
      <w:r w:rsidRPr="00E50530">
        <w:t>Source: GL Hearn based</w:t>
      </w:r>
      <w:r w:rsidRPr="00CA47B9">
        <w:t xml:space="preserve"> on Oxford Economics and Chichester District Council data</w:t>
      </w:r>
    </w:p>
    <w:p w:rsidR="00855CA6" w:rsidRDefault="00115737" w:rsidP="00A44164">
      <w:pPr>
        <w:pStyle w:val="11Bodytext"/>
        <w:tabs>
          <w:tab w:val="clear" w:pos="2212"/>
          <w:tab w:val="num" w:pos="567"/>
        </w:tabs>
        <w:ind w:left="567" w:hanging="567"/>
      </w:pPr>
      <w:r>
        <w:t xml:space="preserve">As previously noted, </w:t>
      </w:r>
      <w:r w:rsidR="00EF4EA3">
        <w:t>the completions trend ‘net</w:t>
      </w:r>
      <w:r w:rsidR="001A715D">
        <w:t xml:space="preserve"> </w:t>
      </w:r>
      <w:r w:rsidR="00D61D86">
        <w:t xml:space="preserve">excluding </w:t>
      </w:r>
      <w:r w:rsidR="001A715D">
        <w:t>losses to commercial</w:t>
      </w:r>
      <w:r w:rsidR="00EF4EA3">
        <w:t xml:space="preserve">’ is considered to be more useful than the completions trend ‘gross’ in forecasting future requirements as the net figure reports land </w:t>
      </w:r>
      <w:r w:rsidR="00D61D86">
        <w:t xml:space="preserve">after taking  </w:t>
      </w:r>
      <w:r w:rsidR="00EF4EA3">
        <w:t xml:space="preserve">account </w:t>
      </w:r>
      <w:r>
        <w:t>of</w:t>
      </w:r>
      <w:r w:rsidR="00D61D86">
        <w:t xml:space="preserve"> </w:t>
      </w:r>
      <w:r w:rsidR="001A715D">
        <w:t xml:space="preserve">sites </w:t>
      </w:r>
      <w:r w:rsidR="00EF4EA3">
        <w:t xml:space="preserve">lost to other commercial uses which primarily involves </w:t>
      </w:r>
      <w:r w:rsidR="00855CA6">
        <w:t xml:space="preserve">the </w:t>
      </w:r>
      <w:r w:rsidR="00EF4EA3">
        <w:t>recycling of space for alternative B Class uses. This is anticipated to continue to be the case and therefore new requirements should reflect the continuation of this occurrence on existing sites.</w:t>
      </w:r>
      <w:r w:rsidR="001A715D">
        <w:t xml:space="preserve"> </w:t>
      </w:r>
    </w:p>
    <w:p w:rsidR="00855CA6" w:rsidRDefault="0036498E" w:rsidP="00A44164">
      <w:pPr>
        <w:pStyle w:val="11Bodytext"/>
        <w:tabs>
          <w:tab w:val="clear" w:pos="2212"/>
          <w:tab w:val="num" w:pos="567"/>
        </w:tabs>
        <w:ind w:left="567" w:hanging="567"/>
      </w:pPr>
      <w:r w:rsidRPr="00CA47B9">
        <w:t xml:space="preserve">The labour demand scenarios show a </w:t>
      </w:r>
      <w:r w:rsidR="00337E4C" w:rsidRPr="00CA47B9">
        <w:t>lower</w:t>
      </w:r>
      <w:r w:rsidRPr="00CA47B9">
        <w:t xml:space="preserve"> need for new</w:t>
      </w:r>
      <w:r w:rsidR="0076450A" w:rsidRPr="00CA47B9">
        <w:t xml:space="preserve"> </w:t>
      </w:r>
      <w:r w:rsidRPr="00CA47B9">
        <w:t>office space than is</w:t>
      </w:r>
      <w:r w:rsidR="0076450A" w:rsidRPr="00CA47B9">
        <w:t xml:space="preserve"> </w:t>
      </w:r>
      <w:r w:rsidRPr="00CA47B9">
        <w:t>shown</w:t>
      </w:r>
      <w:r w:rsidR="0076450A" w:rsidRPr="00CA47B9">
        <w:t xml:space="preserve"> </w:t>
      </w:r>
      <w:r w:rsidRPr="00CA47B9">
        <w:t>by</w:t>
      </w:r>
      <w:r w:rsidR="0076450A" w:rsidRPr="00CA47B9">
        <w:t xml:space="preserve"> </w:t>
      </w:r>
      <w:r w:rsidRPr="00CA47B9">
        <w:t xml:space="preserve">the completions trend scenarios. </w:t>
      </w:r>
      <w:r w:rsidR="00EF4EA3">
        <w:t xml:space="preserve">It is less than the 2018 HEDNA. </w:t>
      </w:r>
      <w:r w:rsidRPr="00CA47B9">
        <w:t xml:space="preserve">This is </w:t>
      </w:r>
      <w:r w:rsidRPr="00CA47B9">
        <w:lastRenderedPageBreak/>
        <w:t xml:space="preserve">due to </w:t>
      </w:r>
      <w:r w:rsidR="00A27D4F" w:rsidRPr="00CA47B9">
        <w:t>expected</w:t>
      </w:r>
      <w:r w:rsidRPr="00CA47B9">
        <w:t xml:space="preserve"> changes in</w:t>
      </w:r>
      <w:r w:rsidR="0076450A" w:rsidRPr="00CA47B9">
        <w:t xml:space="preserve"> </w:t>
      </w:r>
      <w:r w:rsidRPr="00CA47B9">
        <w:t>the structure</w:t>
      </w:r>
      <w:r w:rsidR="0076450A" w:rsidRPr="00CA47B9">
        <w:t xml:space="preserve"> </w:t>
      </w:r>
      <w:r w:rsidRPr="00CA47B9">
        <w:t>of the economy as shown in</w:t>
      </w:r>
      <w:r w:rsidR="0076450A" w:rsidRPr="00CA47B9">
        <w:t xml:space="preserve"> </w:t>
      </w:r>
      <w:r w:rsidRPr="00CA47B9">
        <w:t xml:space="preserve">the </w:t>
      </w:r>
      <w:r w:rsidR="00A27D4F" w:rsidRPr="00CA47B9">
        <w:t>Oxford</w:t>
      </w:r>
      <w:r w:rsidR="0076450A" w:rsidRPr="00CA47B9">
        <w:t xml:space="preserve"> </w:t>
      </w:r>
      <w:r w:rsidR="00A27D4F" w:rsidRPr="00CA47B9">
        <w:t>Economics forecasts</w:t>
      </w:r>
      <w:r w:rsidR="00EF4EA3">
        <w:t xml:space="preserve"> including</w:t>
      </w:r>
      <w:r w:rsidR="00C22106">
        <w:t xml:space="preserve"> the downwards effect of</w:t>
      </w:r>
      <w:r w:rsidR="00EF4EA3">
        <w:t xml:space="preserve"> Brexit</w:t>
      </w:r>
      <w:r w:rsidR="00A27D4F" w:rsidRPr="00CA47B9">
        <w:t>. The forecast growth in these sectors</w:t>
      </w:r>
      <w:r w:rsidR="00855CA6">
        <w:t>, therefore,</w:t>
      </w:r>
      <w:r w:rsidR="00EF4EA3">
        <w:t xml:space="preserve"> </w:t>
      </w:r>
      <w:r w:rsidR="00A27D4F" w:rsidRPr="00CA47B9">
        <w:t xml:space="preserve">reflects a </w:t>
      </w:r>
      <w:r w:rsidR="003A578C" w:rsidRPr="00CA47B9">
        <w:t>slower</w:t>
      </w:r>
      <w:r w:rsidR="0076450A" w:rsidRPr="00CA47B9">
        <w:t xml:space="preserve"> </w:t>
      </w:r>
      <w:r w:rsidR="00A27D4F" w:rsidRPr="00CA47B9">
        <w:t>growth</w:t>
      </w:r>
      <w:r w:rsidR="0076450A" w:rsidRPr="00CA47B9">
        <w:t xml:space="preserve"> </w:t>
      </w:r>
      <w:r w:rsidR="00A27D4F" w:rsidRPr="00CA47B9">
        <w:t>in</w:t>
      </w:r>
      <w:r w:rsidR="0076450A" w:rsidRPr="00CA47B9">
        <w:t xml:space="preserve"> </w:t>
      </w:r>
      <w:r w:rsidR="00A27D4F" w:rsidRPr="00CA47B9">
        <w:t xml:space="preserve">Chichester than has been seen historically. </w:t>
      </w:r>
    </w:p>
    <w:p w:rsidR="009B223C" w:rsidRPr="00CA47B9" w:rsidRDefault="001A715D" w:rsidP="00A44164">
      <w:pPr>
        <w:pStyle w:val="11Bodytext"/>
        <w:tabs>
          <w:tab w:val="clear" w:pos="2212"/>
          <w:tab w:val="num" w:pos="567"/>
        </w:tabs>
        <w:ind w:left="567" w:hanging="567"/>
      </w:pPr>
      <w:r>
        <w:t xml:space="preserve">It is of note that VOA office data indicates </w:t>
      </w:r>
      <w:r w:rsidR="00855CA6">
        <w:t xml:space="preserve">an </w:t>
      </w:r>
      <w:r>
        <w:t xml:space="preserve">average change of 200 sqm per annum over the last decade equivalent to approximately </w:t>
      </w:r>
      <w:r w:rsidR="00A64892">
        <w:t>0.5</w:t>
      </w:r>
      <w:r>
        <w:t xml:space="preserve"> ha projected forwards, </w:t>
      </w:r>
      <w:r w:rsidR="00A64892">
        <w:t>however</w:t>
      </w:r>
      <w:r w:rsidR="00855CA6">
        <w:t>,</w:t>
      </w:r>
      <w:r w:rsidR="00A64892">
        <w:t xml:space="preserve"> this will build in losses to residential through permitted development</w:t>
      </w:r>
      <w:r>
        <w:t>.</w:t>
      </w:r>
    </w:p>
    <w:p w:rsidR="0076450A" w:rsidRPr="00CA47B9" w:rsidRDefault="0076450A" w:rsidP="00A44164">
      <w:pPr>
        <w:pStyle w:val="11Bodytext"/>
        <w:tabs>
          <w:tab w:val="clear" w:pos="2212"/>
          <w:tab w:val="num" w:pos="567"/>
        </w:tabs>
        <w:ind w:left="567" w:hanging="567"/>
      </w:pPr>
      <w:r w:rsidRPr="00CA47B9">
        <w:t xml:space="preserve">Having </w:t>
      </w:r>
      <w:r w:rsidR="00115737">
        <w:t>considered</w:t>
      </w:r>
      <w:r w:rsidRPr="00CA47B9">
        <w:t xml:space="preserve"> for these factors</w:t>
      </w:r>
      <w:r w:rsidR="003C2D71">
        <w:t xml:space="preserve"> and given the more nuanced view taken in the labour demand adjustments, evidence</w:t>
      </w:r>
      <w:r w:rsidRPr="00CA47B9">
        <w:t xml:space="preserve"> would suggest that </w:t>
      </w:r>
      <w:r w:rsidR="003A578C" w:rsidRPr="00CA47B9">
        <w:t>the</w:t>
      </w:r>
      <w:r w:rsidRPr="00CA47B9">
        <w:t xml:space="preserve"> labour demand </w:t>
      </w:r>
      <w:r w:rsidR="003A578C" w:rsidRPr="00CA47B9">
        <w:t xml:space="preserve">growth </w:t>
      </w:r>
      <w:r w:rsidRPr="00CA47B9">
        <w:t>scenario</w:t>
      </w:r>
      <w:r w:rsidR="003A578C" w:rsidRPr="00CA47B9">
        <w:t xml:space="preserve"> should be planned for</w:t>
      </w:r>
      <w:r w:rsidR="003C2D71">
        <w:t xml:space="preserve"> B1a/b floorspace need</w:t>
      </w:r>
      <w:r w:rsidR="005B60C7">
        <w:t xml:space="preserve"> being around 40,000 sqm or 5</w:t>
      </w:r>
      <w:r w:rsidR="001A6622">
        <w:t>.4</w:t>
      </w:r>
      <w:r w:rsidR="005B60C7">
        <w:t xml:space="preserve"> ha</w:t>
      </w:r>
      <w:r w:rsidRPr="00CA47B9">
        <w:t xml:space="preserve">. </w:t>
      </w:r>
    </w:p>
    <w:p w:rsidR="009B223C" w:rsidRPr="00CA47B9" w:rsidRDefault="0076450A" w:rsidP="00A44164">
      <w:pPr>
        <w:pStyle w:val="11Bodytext"/>
        <w:tabs>
          <w:tab w:val="clear" w:pos="2212"/>
          <w:tab w:val="num" w:pos="567"/>
        </w:tabs>
        <w:ind w:left="567" w:hanging="567"/>
      </w:pPr>
      <w:r w:rsidRPr="00CA47B9">
        <w:t>Considering industrial demand, t</w:t>
      </w:r>
      <w:r w:rsidR="009B223C" w:rsidRPr="00CA47B9">
        <w:t>he</w:t>
      </w:r>
      <w:r w:rsidR="004B41A2" w:rsidRPr="00CA47B9">
        <w:t xml:space="preserve"> </w:t>
      </w:r>
      <w:r w:rsidR="009B223C" w:rsidRPr="00CA47B9">
        <w:t>labour</w:t>
      </w:r>
      <w:r w:rsidR="004B41A2" w:rsidRPr="00CA47B9">
        <w:t xml:space="preserve"> </w:t>
      </w:r>
      <w:r w:rsidR="009B223C" w:rsidRPr="00CA47B9">
        <w:t>demand</w:t>
      </w:r>
      <w:r w:rsidR="004B41A2" w:rsidRPr="00CA47B9">
        <w:t xml:space="preserve"> </w:t>
      </w:r>
      <w:r w:rsidR="00C22106">
        <w:t xml:space="preserve">baseline </w:t>
      </w:r>
      <w:r w:rsidR="009B223C" w:rsidRPr="00CA47B9">
        <w:t>jobs</w:t>
      </w:r>
      <w:r w:rsidR="004B41A2" w:rsidRPr="00CA47B9">
        <w:t xml:space="preserve"> </w:t>
      </w:r>
      <w:r w:rsidR="009B223C" w:rsidRPr="00CA47B9">
        <w:t>forecast</w:t>
      </w:r>
      <w:r w:rsidR="003A578C" w:rsidRPr="00CA47B9">
        <w:t>s</w:t>
      </w:r>
      <w:r w:rsidR="004B41A2" w:rsidRPr="00CA47B9">
        <w:t xml:space="preserve"> </w:t>
      </w:r>
      <w:r w:rsidR="009B223C" w:rsidRPr="00CA47B9">
        <w:t>show</w:t>
      </w:r>
      <w:r w:rsidR="004B41A2" w:rsidRPr="00CA47B9">
        <w:t xml:space="preserve"> </w:t>
      </w:r>
      <w:r w:rsidR="009B223C" w:rsidRPr="00CA47B9">
        <w:t>losses</w:t>
      </w:r>
      <w:r w:rsidR="004B41A2" w:rsidRPr="00CA47B9">
        <w:t xml:space="preserve"> </w:t>
      </w:r>
      <w:r w:rsidR="009B223C" w:rsidRPr="00CA47B9">
        <w:t>of</w:t>
      </w:r>
      <w:r w:rsidR="004B41A2" w:rsidRPr="00CA47B9">
        <w:t xml:space="preserve"> </w:t>
      </w:r>
      <w:r w:rsidR="009B223C" w:rsidRPr="00CA47B9">
        <w:t>jobs</w:t>
      </w:r>
      <w:r w:rsidR="004B41A2" w:rsidRPr="00CA47B9">
        <w:t xml:space="preserve"> </w:t>
      </w:r>
      <w:r w:rsidR="009B223C" w:rsidRPr="00CA47B9">
        <w:t>in</w:t>
      </w:r>
      <w:r w:rsidR="004B41A2" w:rsidRPr="00CA47B9">
        <w:t xml:space="preserve"> </w:t>
      </w:r>
      <w:r w:rsidR="009B223C" w:rsidRPr="00CA47B9">
        <w:t>manufacturing</w:t>
      </w:r>
      <w:r w:rsidR="004B41A2" w:rsidRPr="00CA47B9">
        <w:t xml:space="preserve"> </w:t>
      </w:r>
      <w:r w:rsidR="009B223C" w:rsidRPr="00CA47B9">
        <w:t>sectors</w:t>
      </w:r>
      <w:r w:rsidR="004B41A2" w:rsidRPr="00CA47B9">
        <w:t xml:space="preserve"> </w:t>
      </w:r>
      <w:r w:rsidR="009B223C" w:rsidRPr="00CA47B9">
        <w:t>over</w:t>
      </w:r>
      <w:r w:rsidR="004B41A2" w:rsidRPr="00CA47B9">
        <w:t xml:space="preserve"> </w:t>
      </w:r>
      <w:r w:rsidR="009B223C" w:rsidRPr="00CA47B9">
        <w:t>the</w:t>
      </w:r>
      <w:r w:rsidR="004B41A2" w:rsidRPr="00CA47B9">
        <w:t xml:space="preserve"> </w:t>
      </w:r>
      <w:r w:rsidR="009B223C" w:rsidRPr="00CA47B9">
        <w:t>period</w:t>
      </w:r>
      <w:r w:rsidR="004B41A2" w:rsidRPr="00CA47B9">
        <w:t xml:space="preserve"> </w:t>
      </w:r>
      <w:r w:rsidR="009B223C" w:rsidRPr="00CA47B9">
        <w:t>from</w:t>
      </w:r>
      <w:r w:rsidR="004B41A2" w:rsidRPr="00CA47B9">
        <w:t xml:space="preserve"> </w:t>
      </w:r>
      <w:r w:rsidR="009B223C" w:rsidRPr="00CA47B9">
        <w:t>201</w:t>
      </w:r>
      <w:r w:rsidR="0032331A">
        <w:t>9</w:t>
      </w:r>
      <w:r w:rsidR="009B223C" w:rsidRPr="00CA47B9">
        <w:t>-</w:t>
      </w:r>
      <w:r w:rsidR="00540A56" w:rsidRPr="00CA47B9">
        <w:t>36</w:t>
      </w:r>
      <w:r w:rsidR="004B41A2" w:rsidRPr="00CA47B9">
        <w:t xml:space="preserve"> </w:t>
      </w:r>
      <w:r w:rsidR="009B223C" w:rsidRPr="00CA47B9">
        <w:t>reflecting</w:t>
      </w:r>
      <w:r w:rsidR="004B41A2" w:rsidRPr="00CA47B9">
        <w:t xml:space="preserve"> </w:t>
      </w:r>
      <w:r w:rsidR="009B223C" w:rsidRPr="00CA47B9">
        <w:t>wider</w:t>
      </w:r>
      <w:r w:rsidR="004B41A2" w:rsidRPr="00CA47B9">
        <w:t xml:space="preserve"> </w:t>
      </w:r>
      <w:r w:rsidR="009B223C" w:rsidRPr="00CA47B9">
        <w:t>(national</w:t>
      </w:r>
      <w:r w:rsidR="004B41A2" w:rsidRPr="00CA47B9">
        <w:t xml:space="preserve"> </w:t>
      </w:r>
      <w:r w:rsidR="009B223C" w:rsidRPr="00CA47B9">
        <w:t>and</w:t>
      </w:r>
      <w:r w:rsidR="004B41A2" w:rsidRPr="00CA47B9">
        <w:t xml:space="preserve"> </w:t>
      </w:r>
      <w:r w:rsidR="009B223C" w:rsidRPr="00CA47B9">
        <w:t>regional)</w:t>
      </w:r>
      <w:r w:rsidR="004B41A2" w:rsidRPr="00CA47B9">
        <w:t xml:space="preserve"> </w:t>
      </w:r>
      <w:r w:rsidR="009B223C" w:rsidRPr="00CA47B9">
        <w:t>trends.</w:t>
      </w:r>
      <w:r w:rsidR="004B41A2" w:rsidRPr="00CA47B9">
        <w:t xml:space="preserve"> </w:t>
      </w:r>
      <w:r w:rsidR="009B223C" w:rsidRPr="00CA47B9">
        <w:t>The</w:t>
      </w:r>
      <w:r w:rsidR="004B41A2" w:rsidRPr="00CA47B9">
        <w:t xml:space="preserve"> </w:t>
      </w:r>
      <w:r w:rsidR="009B223C" w:rsidRPr="00CA47B9">
        <w:t>Growth</w:t>
      </w:r>
      <w:r w:rsidR="004B41A2" w:rsidRPr="00CA47B9">
        <w:t xml:space="preserve"> </w:t>
      </w:r>
      <w:r w:rsidR="009B223C" w:rsidRPr="00CA47B9">
        <w:t>Scenario</w:t>
      </w:r>
      <w:r w:rsidR="004B41A2" w:rsidRPr="00CA47B9">
        <w:t xml:space="preserve"> </w:t>
      </w:r>
      <w:r w:rsidR="009B223C" w:rsidRPr="00CA47B9">
        <w:t>recognises</w:t>
      </w:r>
      <w:r w:rsidR="004B41A2" w:rsidRPr="00CA47B9">
        <w:t xml:space="preserve"> </w:t>
      </w:r>
      <w:r w:rsidR="003A578C" w:rsidRPr="00CA47B9">
        <w:t>the</w:t>
      </w:r>
      <w:r w:rsidR="004B41A2" w:rsidRPr="00CA47B9">
        <w:t xml:space="preserve"> </w:t>
      </w:r>
      <w:r w:rsidR="009B223C" w:rsidRPr="00CA47B9">
        <w:t>discrepancy</w:t>
      </w:r>
      <w:r w:rsidR="004B41A2" w:rsidRPr="00CA47B9">
        <w:t xml:space="preserve"> </w:t>
      </w:r>
      <w:r w:rsidR="009B223C" w:rsidRPr="00CA47B9">
        <w:t>between</w:t>
      </w:r>
      <w:r w:rsidR="004B41A2" w:rsidRPr="00CA47B9">
        <w:t xml:space="preserve"> </w:t>
      </w:r>
      <w:r w:rsidR="009B223C" w:rsidRPr="00CA47B9">
        <w:t>the</w:t>
      </w:r>
      <w:r w:rsidR="003A578C" w:rsidRPr="00CA47B9">
        <w:t xml:space="preserve"> </w:t>
      </w:r>
      <w:r w:rsidR="00C22106">
        <w:t xml:space="preserve">wider trends and </w:t>
      </w:r>
      <w:r w:rsidR="003A578C" w:rsidRPr="00CA47B9">
        <w:t xml:space="preserve">recent </w:t>
      </w:r>
      <w:r w:rsidR="00C22106">
        <w:t xml:space="preserve">local </w:t>
      </w:r>
      <w:r w:rsidR="003A578C" w:rsidRPr="00CA47B9">
        <w:t xml:space="preserve">performance, </w:t>
      </w:r>
      <w:r w:rsidR="00C22106">
        <w:t>notably</w:t>
      </w:r>
      <w:r w:rsidR="003A578C" w:rsidRPr="00CA47B9">
        <w:t xml:space="preserve"> jobs growth locally since 2001 in the sector</w:t>
      </w:r>
      <w:r w:rsidR="009B223C" w:rsidRPr="00CA47B9">
        <w:t>.</w:t>
      </w:r>
      <w:r w:rsidR="004B41A2" w:rsidRPr="00CA47B9">
        <w:t xml:space="preserve"> </w:t>
      </w:r>
    </w:p>
    <w:p w:rsidR="009B223C" w:rsidRDefault="003A578C" w:rsidP="00A44164">
      <w:pPr>
        <w:pStyle w:val="11Bodytext"/>
        <w:tabs>
          <w:tab w:val="clear" w:pos="2212"/>
          <w:tab w:val="num" w:pos="567"/>
        </w:tabs>
        <w:ind w:left="567" w:hanging="567"/>
      </w:pPr>
      <w:r w:rsidRPr="00CA47B9">
        <w:t>T</w:t>
      </w:r>
      <w:r w:rsidR="009B223C" w:rsidRPr="00CA47B9">
        <w:t>he</w:t>
      </w:r>
      <w:r w:rsidR="004B41A2" w:rsidRPr="00CA47B9">
        <w:t xml:space="preserve"> </w:t>
      </w:r>
      <w:r w:rsidR="009B223C" w:rsidRPr="00CA47B9">
        <w:t>Completions</w:t>
      </w:r>
      <w:r w:rsidR="004B41A2" w:rsidRPr="00CA47B9">
        <w:t xml:space="preserve"> </w:t>
      </w:r>
      <w:r w:rsidR="009B223C" w:rsidRPr="00CA47B9">
        <w:t>Trend</w:t>
      </w:r>
      <w:r w:rsidR="004B41A2" w:rsidRPr="00CA47B9">
        <w:t xml:space="preserve"> </w:t>
      </w:r>
      <w:r w:rsidR="009B223C" w:rsidRPr="00CA47B9">
        <w:t>scenarios</w:t>
      </w:r>
      <w:r w:rsidR="004B41A2" w:rsidRPr="00CA47B9">
        <w:t xml:space="preserve"> </w:t>
      </w:r>
      <w:r w:rsidR="009B223C" w:rsidRPr="00CA47B9">
        <w:t>are</w:t>
      </w:r>
      <w:r w:rsidR="004B41A2" w:rsidRPr="00CA47B9">
        <w:t xml:space="preserve"> </w:t>
      </w:r>
      <w:r w:rsidR="009B223C" w:rsidRPr="00CA47B9">
        <w:t>based</w:t>
      </w:r>
      <w:r w:rsidR="004B41A2" w:rsidRPr="00CA47B9">
        <w:t xml:space="preserve"> </w:t>
      </w:r>
      <w:r w:rsidR="009B223C" w:rsidRPr="00CA47B9">
        <w:t>on</w:t>
      </w:r>
      <w:r w:rsidR="004B41A2" w:rsidRPr="00CA47B9">
        <w:t xml:space="preserve"> </w:t>
      </w:r>
      <w:r w:rsidR="009B223C" w:rsidRPr="00CA47B9">
        <w:t>data</w:t>
      </w:r>
      <w:r w:rsidR="004B41A2" w:rsidRPr="00CA47B9">
        <w:t xml:space="preserve"> </w:t>
      </w:r>
      <w:r w:rsidR="009B223C" w:rsidRPr="00CA47B9">
        <w:t>since</w:t>
      </w:r>
      <w:r w:rsidR="004B41A2" w:rsidRPr="00CA47B9">
        <w:t xml:space="preserve"> </w:t>
      </w:r>
      <w:r w:rsidR="009B223C" w:rsidRPr="00CA47B9">
        <w:t>2001.</w:t>
      </w:r>
      <w:r w:rsidR="004B41A2" w:rsidRPr="00CA47B9">
        <w:t xml:space="preserve"> </w:t>
      </w:r>
      <w:r w:rsidR="009B223C" w:rsidRPr="00CA47B9">
        <w:t>During</w:t>
      </w:r>
      <w:r w:rsidR="004B41A2" w:rsidRPr="00CA47B9">
        <w:t xml:space="preserve"> </w:t>
      </w:r>
      <w:r w:rsidR="009B223C" w:rsidRPr="00CA47B9">
        <w:t>this</w:t>
      </w:r>
      <w:r w:rsidR="004B41A2" w:rsidRPr="00CA47B9">
        <w:t xml:space="preserve"> </w:t>
      </w:r>
      <w:r w:rsidR="009B223C" w:rsidRPr="00CA47B9">
        <w:t>period</w:t>
      </w:r>
      <w:r w:rsidR="004B41A2" w:rsidRPr="00CA47B9">
        <w:t xml:space="preserve"> </w:t>
      </w:r>
      <w:r w:rsidR="009B223C" w:rsidRPr="00CA47B9">
        <w:t>there</w:t>
      </w:r>
      <w:r w:rsidR="004B41A2" w:rsidRPr="00CA47B9">
        <w:t xml:space="preserve"> </w:t>
      </w:r>
      <w:r w:rsidR="009B223C" w:rsidRPr="00CA47B9">
        <w:t>has</w:t>
      </w:r>
      <w:r w:rsidR="004B41A2" w:rsidRPr="00CA47B9">
        <w:t xml:space="preserve"> </w:t>
      </w:r>
      <w:r w:rsidR="009B223C" w:rsidRPr="00CA47B9">
        <w:t>been</w:t>
      </w:r>
      <w:r w:rsidR="004B41A2" w:rsidRPr="00CA47B9">
        <w:t xml:space="preserve"> </w:t>
      </w:r>
      <w:r w:rsidR="009B223C" w:rsidRPr="00CA47B9">
        <w:t>a</w:t>
      </w:r>
      <w:r w:rsidR="004B41A2" w:rsidRPr="00CA47B9">
        <w:t xml:space="preserve"> </w:t>
      </w:r>
      <w:r w:rsidR="009B223C" w:rsidRPr="00CA47B9">
        <w:t>growth</w:t>
      </w:r>
      <w:r w:rsidR="004B41A2" w:rsidRPr="00CA47B9">
        <w:t xml:space="preserve"> </w:t>
      </w:r>
      <w:r w:rsidRPr="00CA47B9">
        <w:t>in</w:t>
      </w:r>
      <w:r w:rsidR="004B41A2" w:rsidRPr="00CA47B9">
        <w:t xml:space="preserve"> </w:t>
      </w:r>
      <w:r w:rsidR="009B223C" w:rsidRPr="00CA47B9">
        <w:t>manufacturing</w:t>
      </w:r>
      <w:r w:rsidR="004B41A2" w:rsidRPr="00CA47B9">
        <w:t xml:space="preserve"> </w:t>
      </w:r>
      <w:r w:rsidR="009B223C" w:rsidRPr="00CA47B9">
        <w:t>jobs</w:t>
      </w:r>
      <w:r w:rsidR="004B41A2" w:rsidRPr="00CA47B9">
        <w:t xml:space="preserve"> </w:t>
      </w:r>
      <w:r w:rsidR="009B223C" w:rsidRPr="00CA47B9">
        <w:t>in</w:t>
      </w:r>
      <w:r w:rsidR="004B41A2" w:rsidRPr="00CA47B9">
        <w:t xml:space="preserve"> </w:t>
      </w:r>
      <w:r w:rsidR="009B223C" w:rsidRPr="00CA47B9">
        <w:t>Chichester,</w:t>
      </w:r>
      <w:r w:rsidR="004B41A2" w:rsidRPr="00CA47B9">
        <w:t xml:space="preserve"> </w:t>
      </w:r>
      <w:r w:rsidR="009B223C" w:rsidRPr="00CA47B9">
        <w:t>which</w:t>
      </w:r>
      <w:r w:rsidR="004B41A2" w:rsidRPr="00CA47B9">
        <w:t xml:space="preserve"> </w:t>
      </w:r>
      <w:r w:rsidR="009B223C" w:rsidRPr="00CA47B9">
        <w:t>is</w:t>
      </w:r>
      <w:r w:rsidR="004B41A2" w:rsidRPr="00CA47B9">
        <w:t xml:space="preserve"> </w:t>
      </w:r>
      <w:r w:rsidR="009B223C" w:rsidRPr="00CA47B9">
        <w:t>reflected</w:t>
      </w:r>
      <w:r w:rsidR="004B41A2" w:rsidRPr="00CA47B9">
        <w:t xml:space="preserve"> </w:t>
      </w:r>
      <w:r w:rsidR="009B223C" w:rsidRPr="00CA47B9">
        <w:t>in</w:t>
      </w:r>
      <w:r w:rsidR="004B41A2" w:rsidRPr="00CA47B9">
        <w:t xml:space="preserve"> </w:t>
      </w:r>
      <w:r w:rsidR="009B223C" w:rsidRPr="00CA47B9">
        <w:t>the</w:t>
      </w:r>
      <w:r w:rsidR="004B41A2" w:rsidRPr="00CA47B9">
        <w:t xml:space="preserve"> </w:t>
      </w:r>
      <w:r w:rsidR="009B223C" w:rsidRPr="00CA47B9">
        <w:t>reasonably</w:t>
      </w:r>
      <w:r w:rsidR="004B41A2" w:rsidRPr="00CA47B9">
        <w:t xml:space="preserve"> </w:t>
      </w:r>
      <w:r w:rsidR="009B223C" w:rsidRPr="00CA47B9">
        <w:t>healthy</w:t>
      </w:r>
      <w:r w:rsidR="004B41A2" w:rsidRPr="00CA47B9">
        <w:t xml:space="preserve"> </w:t>
      </w:r>
      <w:r w:rsidR="009B223C" w:rsidRPr="00CA47B9">
        <w:t>B1c/B2</w:t>
      </w:r>
      <w:r w:rsidR="004B41A2" w:rsidRPr="00CA47B9">
        <w:t xml:space="preserve"> </w:t>
      </w:r>
      <w:r w:rsidR="009B223C" w:rsidRPr="00CA47B9">
        <w:t>completions</w:t>
      </w:r>
      <w:r w:rsidR="004B41A2" w:rsidRPr="00CA47B9">
        <w:t xml:space="preserve"> </w:t>
      </w:r>
      <w:r w:rsidR="009B223C" w:rsidRPr="00CA47B9">
        <w:t>data</w:t>
      </w:r>
      <w:r w:rsidR="004B41A2" w:rsidRPr="00CA47B9">
        <w:t xml:space="preserve"> </w:t>
      </w:r>
      <w:r w:rsidR="009B223C" w:rsidRPr="00CA47B9">
        <w:t>for</w:t>
      </w:r>
      <w:r w:rsidR="004B41A2" w:rsidRPr="00CA47B9">
        <w:t xml:space="preserve"> </w:t>
      </w:r>
      <w:r w:rsidR="009B223C" w:rsidRPr="00CA47B9">
        <w:t>this</w:t>
      </w:r>
      <w:r w:rsidR="004B41A2" w:rsidRPr="00CA47B9">
        <w:t xml:space="preserve"> </w:t>
      </w:r>
      <w:r w:rsidR="009B223C" w:rsidRPr="00CA47B9">
        <w:t>period.</w:t>
      </w:r>
      <w:r w:rsidR="004B41A2" w:rsidRPr="00CA47B9">
        <w:t xml:space="preserve"> </w:t>
      </w:r>
      <w:r w:rsidR="009B223C" w:rsidRPr="00CA47B9">
        <w:t>This</w:t>
      </w:r>
      <w:r w:rsidR="004B41A2" w:rsidRPr="00CA47B9">
        <w:t xml:space="preserve"> </w:t>
      </w:r>
      <w:r w:rsidR="009B223C" w:rsidRPr="00CA47B9">
        <w:t>level</w:t>
      </w:r>
      <w:r w:rsidR="004B41A2" w:rsidRPr="00CA47B9">
        <w:t xml:space="preserve"> </w:t>
      </w:r>
      <w:r w:rsidR="009B223C" w:rsidRPr="00CA47B9">
        <w:t>of</w:t>
      </w:r>
      <w:r w:rsidR="004B41A2" w:rsidRPr="00CA47B9">
        <w:t xml:space="preserve"> </w:t>
      </w:r>
      <w:r w:rsidR="009B223C" w:rsidRPr="00CA47B9">
        <w:t>growth</w:t>
      </w:r>
      <w:r w:rsidR="004B41A2" w:rsidRPr="00CA47B9">
        <w:t xml:space="preserve"> </w:t>
      </w:r>
      <w:r w:rsidR="009B223C" w:rsidRPr="00CA47B9">
        <w:t>is</w:t>
      </w:r>
      <w:r w:rsidR="004B41A2" w:rsidRPr="00CA47B9">
        <w:t xml:space="preserve"> </w:t>
      </w:r>
      <w:r w:rsidR="009B223C" w:rsidRPr="00CA47B9">
        <w:t>projected</w:t>
      </w:r>
      <w:r w:rsidR="004B41A2" w:rsidRPr="00CA47B9">
        <w:t xml:space="preserve"> </w:t>
      </w:r>
      <w:r w:rsidR="009B223C" w:rsidRPr="00CA47B9">
        <w:t>forward</w:t>
      </w:r>
      <w:r w:rsidR="004B41A2" w:rsidRPr="00CA47B9">
        <w:t xml:space="preserve"> </w:t>
      </w:r>
      <w:r w:rsidR="009B223C" w:rsidRPr="00CA47B9">
        <w:t>in</w:t>
      </w:r>
      <w:r w:rsidR="004B41A2" w:rsidRPr="00CA47B9">
        <w:t xml:space="preserve"> </w:t>
      </w:r>
      <w:r w:rsidR="009B223C" w:rsidRPr="00CA47B9">
        <w:t>the</w:t>
      </w:r>
      <w:r w:rsidR="004B41A2" w:rsidRPr="00CA47B9">
        <w:t xml:space="preserve"> </w:t>
      </w:r>
      <w:r w:rsidR="009B223C" w:rsidRPr="00CA47B9">
        <w:t>Completions</w:t>
      </w:r>
      <w:r w:rsidR="004B41A2" w:rsidRPr="00CA47B9">
        <w:t xml:space="preserve"> </w:t>
      </w:r>
      <w:r w:rsidR="009B223C" w:rsidRPr="00CA47B9">
        <w:t>Trends</w:t>
      </w:r>
      <w:r w:rsidR="004B41A2" w:rsidRPr="00CA47B9">
        <w:t xml:space="preserve"> </w:t>
      </w:r>
      <w:r w:rsidR="009B223C" w:rsidRPr="00CA47B9">
        <w:t>scenarios.</w:t>
      </w:r>
      <w:r w:rsidR="004B41A2" w:rsidRPr="00CA47B9">
        <w:t xml:space="preserve"> </w:t>
      </w:r>
      <w:r w:rsidR="00A64892">
        <w:t>VOA data indicates strong continual growth in industrial</w:t>
      </w:r>
      <w:r w:rsidR="00D61D86">
        <w:t xml:space="preserve"> and warehousing</w:t>
      </w:r>
      <w:r w:rsidR="00A64892">
        <w:t xml:space="preserve"> floorspace since 2008 of 5,000 sqm per annum </w:t>
      </w:r>
      <w:r w:rsidR="00D61D86">
        <w:t>equating to around 85,000 sqm to 2036 for B1c/B2/B8</w:t>
      </w:r>
      <w:r w:rsidR="006C3FF5">
        <w:t xml:space="preserve"> which is comparable to the c90</w:t>
      </w:r>
      <w:proofErr w:type="gramStart"/>
      <w:r w:rsidR="006C3FF5">
        <w:t>,000</w:t>
      </w:r>
      <w:proofErr w:type="gramEnd"/>
      <w:r w:rsidR="006C3FF5">
        <w:t xml:space="preserve"> sqm reported above combined for these uses</w:t>
      </w:r>
      <w:r w:rsidR="00A64892">
        <w:t xml:space="preserve">. </w:t>
      </w:r>
      <w:r w:rsidR="00FC3F0F">
        <w:t xml:space="preserve">This has been tested against an alternative approach to completions which tests the net position after discounting commercial and residential losses but includes the 50% replacement demand plus a </w:t>
      </w:r>
      <w:proofErr w:type="gramStart"/>
      <w:r w:rsidR="00FC3F0F">
        <w:t>margin ,</w:t>
      </w:r>
      <w:proofErr w:type="gramEnd"/>
      <w:r w:rsidR="00FC3F0F">
        <w:t xml:space="preserve"> which arrives at a comparable floorspace requirement. </w:t>
      </w:r>
    </w:p>
    <w:p w:rsidR="00C22106" w:rsidRDefault="00C22106" w:rsidP="00A44164">
      <w:pPr>
        <w:pStyle w:val="11Bodytext"/>
        <w:tabs>
          <w:tab w:val="clear" w:pos="2212"/>
          <w:tab w:val="num" w:pos="567"/>
        </w:tabs>
        <w:ind w:left="567" w:hanging="567"/>
      </w:pPr>
      <w:r>
        <w:t>It is recommended that the completions trend scenario</w:t>
      </w:r>
      <w:r w:rsidR="005B2F9E">
        <w:t xml:space="preserve"> without losses to other commercial uses be planned for</w:t>
      </w:r>
      <w:r>
        <w:t xml:space="preserve"> in terms of industrial floorspace to ensure a constraint is not put on industrial and business development. It should be noted that </w:t>
      </w:r>
      <w:r>
        <w:lastRenderedPageBreak/>
        <w:t xml:space="preserve">the rolling forward of the Rolls Royce growth is not included in either of these scenarios as this </w:t>
      </w:r>
      <w:r w:rsidR="000402B4">
        <w:t>would be reliant upon the requirements of a single specific employer</w:t>
      </w:r>
      <w:r>
        <w:t>.</w:t>
      </w:r>
    </w:p>
    <w:p w:rsidR="008C7028" w:rsidRPr="00CA47B9" w:rsidRDefault="008C7028" w:rsidP="00A44164">
      <w:pPr>
        <w:pStyle w:val="11Bodytext"/>
        <w:tabs>
          <w:tab w:val="clear" w:pos="2212"/>
          <w:tab w:val="num" w:pos="567"/>
        </w:tabs>
        <w:ind w:left="567" w:hanging="567"/>
      </w:pPr>
      <w:r>
        <w:t>Similarly to the industrial floorspace, warehouse demand forecasts have slowed since the 2018 HEDNA however commercial analysis and completions data suggests that the net</w:t>
      </w:r>
      <w:r w:rsidR="003C2D71">
        <w:t xml:space="preserve"> floorspace completions</w:t>
      </w:r>
      <w:r>
        <w:t xml:space="preserve"> trend would best meet the needs of the local economy</w:t>
      </w:r>
      <w:r w:rsidR="00237A47">
        <w:t xml:space="preserve"> which also reflects the VOA data trend</w:t>
      </w:r>
      <w:r>
        <w:t>.</w:t>
      </w:r>
      <w:r w:rsidR="00855CA6">
        <w:t xml:space="preserve"> </w:t>
      </w:r>
    </w:p>
    <w:p w:rsidR="004D3D0F" w:rsidRPr="004D3D0F" w:rsidRDefault="009B223C" w:rsidP="00A44164">
      <w:pPr>
        <w:pStyle w:val="11Bodytext"/>
        <w:tabs>
          <w:tab w:val="clear" w:pos="2212"/>
          <w:tab w:val="num" w:pos="567"/>
        </w:tabs>
        <w:ind w:left="567" w:hanging="567"/>
        <w:rPr>
          <w:color w:val="FF0000"/>
        </w:rPr>
      </w:pPr>
      <w:r w:rsidRPr="008C7028">
        <w:t>Overall,</w:t>
      </w:r>
      <w:r w:rsidR="004B41A2" w:rsidRPr="008C7028">
        <w:t xml:space="preserve"> </w:t>
      </w:r>
      <w:r w:rsidRPr="008C7028">
        <w:t>the</w:t>
      </w:r>
      <w:r w:rsidR="004B41A2" w:rsidRPr="008C7028">
        <w:t xml:space="preserve"> </w:t>
      </w:r>
      <w:r w:rsidRPr="008C7028">
        <w:t>evidence</w:t>
      </w:r>
      <w:r w:rsidR="004B41A2" w:rsidRPr="008C7028">
        <w:t xml:space="preserve"> </w:t>
      </w:r>
      <w:r w:rsidRPr="008C7028">
        <w:t>suggests</w:t>
      </w:r>
      <w:r w:rsidR="004B41A2" w:rsidRPr="008C7028">
        <w:t xml:space="preserve"> </w:t>
      </w:r>
      <w:r w:rsidRPr="008C7028">
        <w:t>that</w:t>
      </w:r>
      <w:r w:rsidR="004B41A2" w:rsidRPr="008C7028">
        <w:t xml:space="preserve"> </w:t>
      </w:r>
      <w:r w:rsidRPr="008C7028">
        <w:t>the</w:t>
      </w:r>
      <w:r w:rsidR="004B41A2" w:rsidRPr="008C7028">
        <w:t xml:space="preserve"> </w:t>
      </w:r>
      <w:r w:rsidRPr="008C7028">
        <w:t>employment</w:t>
      </w:r>
      <w:r w:rsidR="004B41A2" w:rsidRPr="008C7028">
        <w:t xml:space="preserve"> </w:t>
      </w:r>
      <w:r w:rsidRPr="008C7028">
        <w:t>land</w:t>
      </w:r>
      <w:r w:rsidR="004B41A2" w:rsidRPr="008C7028">
        <w:t xml:space="preserve"> </w:t>
      </w:r>
      <w:r w:rsidRPr="008C7028">
        <w:t>needs</w:t>
      </w:r>
      <w:r w:rsidR="00B44CCA" w:rsidRPr="008C7028">
        <w:t xml:space="preserve"> for the </w:t>
      </w:r>
      <w:r w:rsidR="008C7028" w:rsidRPr="008C7028">
        <w:t>Plan</w:t>
      </w:r>
      <w:r w:rsidR="00B44CCA" w:rsidRPr="008C7028">
        <w:t xml:space="preserve"> Area </w:t>
      </w:r>
      <w:r w:rsidR="00695A89" w:rsidRPr="008C7028">
        <w:t>for the period 201</w:t>
      </w:r>
      <w:r w:rsidR="0032331A">
        <w:t>9</w:t>
      </w:r>
      <w:r w:rsidR="00695A89" w:rsidRPr="008C7028">
        <w:t xml:space="preserve">-36 is </w:t>
      </w:r>
      <w:r w:rsidR="00D61D86">
        <w:t>25.6</w:t>
      </w:r>
      <w:r w:rsidR="00695A89" w:rsidRPr="008C7028">
        <w:t xml:space="preserve"> ha</w:t>
      </w:r>
      <w:r w:rsidR="00A74B41">
        <w:t>. This includes replacement demand and a margin for flexibility</w:t>
      </w:r>
      <w:r w:rsidR="00D22D5F">
        <w:t>, along with a 15% adjustment to B1a/b floorspace need to account for only the Plan Area</w:t>
      </w:r>
      <w:r w:rsidR="004D3D0F">
        <w:t>.</w:t>
      </w:r>
    </w:p>
    <w:p w:rsidR="00394B64" w:rsidRPr="00584C78" w:rsidRDefault="005B2F9E" w:rsidP="00A44164">
      <w:pPr>
        <w:pStyle w:val="11Bodytext"/>
        <w:tabs>
          <w:tab w:val="clear" w:pos="2212"/>
          <w:tab w:val="num" w:pos="567"/>
        </w:tabs>
        <w:ind w:left="567" w:hanging="567"/>
        <w:rPr>
          <w:color w:val="FF0000"/>
        </w:rPr>
      </w:pPr>
      <w:r>
        <w:t>T</w:t>
      </w:r>
      <w:r w:rsidR="007674B3">
        <w:t>he economic forecasts are slower in 2019 than for the previous HEDNA</w:t>
      </w:r>
      <w:r>
        <w:t>.</w:t>
      </w:r>
      <w:r w:rsidR="007674B3">
        <w:t xml:space="preserve"> </w:t>
      </w:r>
      <w:r>
        <w:t>T</w:t>
      </w:r>
      <w:r w:rsidR="007674B3">
        <w:t xml:space="preserve">he land requirement is reduced </w:t>
      </w:r>
      <w:r>
        <w:t>in part due to this and in part due to a more nuanced approach to industrial completions trend</w:t>
      </w:r>
      <w:r w:rsidR="007674B3">
        <w:t xml:space="preserve"> </w:t>
      </w:r>
      <w:r>
        <w:t>modelling that removes changes of use to commercial premises.</w:t>
      </w:r>
    </w:p>
    <w:p w:rsidR="00394B64" w:rsidRPr="00CA47B9" w:rsidRDefault="00394B64" w:rsidP="00D238E7">
      <w:pPr>
        <w:pStyle w:val="Tableheading"/>
        <w:tabs>
          <w:tab w:val="clear" w:pos="794"/>
          <w:tab w:val="clear" w:pos="1843"/>
          <w:tab w:val="left" w:pos="0"/>
        </w:tabs>
        <w:spacing w:line="240" w:lineRule="auto"/>
        <w:ind w:left="0" w:firstLine="0"/>
      </w:pPr>
      <w:r>
        <w:t>Employment</w:t>
      </w:r>
      <w:r w:rsidRPr="00CA47B9">
        <w:t xml:space="preserve"> requirements 201</w:t>
      </w:r>
      <w:r>
        <w:t>9</w:t>
      </w:r>
      <w:r w:rsidRPr="00CA47B9">
        <w:t xml:space="preserve">-2036 </w:t>
      </w:r>
      <w:r w:rsidRPr="003C2D71">
        <w:rPr>
          <w:color w:val="auto"/>
          <w:szCs w:val="20"/>
        </w:rPr>
        <w:t>– CLP Area</w:t>
      </w:r>
    </w:p>
    <w:tbl>
      <w:tblPr>
        <w:tblStyle w:val="GLHearntable1"/>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64: Employment requirements 2019-2036 – CLP Area"/>
      </w:tblPr>
      <w:tblGrid>
        <w:gridCol w:w="1420"/>
        <w:gridCol w:w="849"/>
        <w:gridCol w:w="852"/>
        <w:gridCol w:w="850"/>
        <w:gridCol w:w="850"/>
        <w:gridCol w:w="1417"/>
        <w:gridCol w:w="877"/>
        <w:gridCol w:w="2523"/>
      </w:tblGrid>
      <w:tr w:rsidR="00A06746" w:rsidRPr="00513337" w:rsidTr="00D238E7">
        <w:trPr>
          <w:cnfStyle w:val="100000000000" w:firstRow="1" w:lastRow="0" w:firstColumn="0" w:lastColumn="0" w:oddVBand="0" w:evenVBand="0" w:oddHBand="0" w:evenHBand="0" w:firstRowFirstColumn="0" w:firstRowLastColumn="0" w:lastRowFirstColumn="0" w:lastRowLastColumn="0"/>
          <w:trHeight w:val="416"/>
          <w:tblHeader/>
        </w:trPr>
        <w:tc>
          <w:tcPr>
            <w:cnfStyle w:val="001000000000" w:firstRow="0" w:lastRow="0" w:firstColumn="1" w:lastColumn="0" w:oddVBand="0" w:evenVBand="0" w:oddHBand="0" w:evenHBand="0" w:firstRowFirstColumn="0" w:firstRowLastColumn="0" w:lastRowFirstColumn="0" w:lastRowLastColumn="0"/>
            <w:tcW w:w="736" w:type="pct"/>
          </w:tcPr>
          <w:p w:rsidR="00BD1A32" w:rsidRPr="00AD1AAD" w:rsidRDefault="00BD1A32" w:rsidP="00AD1AAD">
            <w:pPr>
              <w:rPr>
                <w:rFonts w:ascii="Arial Narrow" w:hAnsi="Arial Narrow"/>
              </w:rPr>
            </w:pPr>
            <w:r w:rsidRPr="00AD1AAD">
              <w:rPr>
                <w:rFonts w:ascii="Arial Narrow" w:hAnsi="Arial Narrow"/>
                <w:sz w:val="24"/>
              </w:rPr>
              <w:t>Use Class</w:t>
            </w:r>
          </w:p>
        </w:tc>
        <w:tc>
          <w:tcPr>
            <w:tcW w:w="440" w:type="pct"/>
          </w:tcPr>
          <w:p w:rsidR="00BD1A32" w:rsidRPr="00513337" w:rsidRDefault="00BD1A32" w:rsidP="00513337">
            <w:pPr>
              <w:pStyle w:val="TableBodytext"/>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HAnsi"/>
                <w:sz w:val="24"/>
                <w:szCs w:val="24"/>
              </w:rPr>
            </w:pPr>
            <w:r w:rsidRPr="00513337">
              <w:rPr>
                <w:rFonts w:ascii="Arial Narrow" w:hAnsi="Arial Narrow"/>
                <w:sz w:val="24"/>
                <w:szCs w:val="24"/>
              </w:rPr>
              <w:t>19-2</w:t>
            </w:r>
            <w:r w:rsidR="005B2F9E" w:rsidRPr="00513337">
              <w:rPr>
                <w:rFonts w:ascii="Arial Narrow" w:hAnsi="Arial Narrow"/>
                <w:sz w:val="24"/>
                <w:szCs w:val="24"/>
              </w:rPr>
              <w:t>4</w:t>
            </w:r>
          </w:p>
        </w:tc>
        <w:tc>
          <w:tcPr>
            <w:tcW w:w="442" w:type="pct"/>
          </w:tcPr>
          <w:p w:rsidR="00BD1A32" w:rsidRPr="00513337" w:rsidRDefault="005B2F9E" w:rsidP="00513337">
            <w:pPr>
              <w:pStyle w:val="TableBodytext"/>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HAnsi"/>
                <w:sz w:val="24"/>
                <w:szCs w:val="24"/>
              </w:rPr>
            </w:pPr>
            <w:r w:rsidRPr="00513337">
              <w:rPr>
                <w:rFonts w:ascii="Arial Narrow" w:hAnsi="Arial Narrow"/>
                <w:sz w:val="24"/>
                <w:szCs w:val="24"/>
              </w:rPr>
              <w:t>24-29</w:t>
            </w:r>
          </w:p>
        </w:tc>
        <w:tc>
          <w:tcPr>
            <w:tcW w:w="441" w:type="pct"/>
          </w:tcPr>
          <w:p w:rsidR="00BD1A32" w:rsidRPr="00513337" w:rsidRDefault="005B2F9E" w:rsidP="00513337">
            <w:pPr>
              <w:pStyle w:val="TableBodytext"/>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HAnsi"/>
                <w:sz w:val="24"/>
                <w:szCs w:val="24"/>
              </w:rPr>
            </w:pPr>
            <w:r w:rsidRPr="00513337">
              <w:rPr>
                <w:rFonts w:ascii="Arial Narrow" w:hAnsi="Arial Narrow"/>
                <w:sz w:val="24"/>
                <w:szCs w:val="24"/>
              </w:rPr>
              <w:t>29-34</w:t>
            </w:r>
          </w:p>
        </w:tc>
        <w:tc>
          <w:tcPr>
            <w:tcW w:w="441" w:type="pct"/>
          </w:tcPr>
          <w:p w:rsidR="00BD1A32" w:rsidRPr="00513337" w:rsidRDefault="005B2F9E" w:rsidP="00513337">
            <w:pPr>
              <w:pStyle w:val="TableBodytext"/>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HAnsi"/>
                <w:sz w:val="24"/>
                <w:szCs w:val="24"/>
              </w:rPr>
            </w:pPr>
            <w:r w:rsidRPr="00513337">
              <w:rPr>
                <w:rFonts w:ascii="Arial Narrow" w:hAnsi="Arial Narrow"/>
                <w:sz w:val="24"/>
                <w:szCs w:val="24"/>
              </w:rPr>
              <w:t>34-46</w:t>
            </w:r>
          </w:p>
        </w:tc>
        <w:tc>
          <w:tcPr>
            <w:tcW w:w="735" w:type="pct"/>
          </w:tcPr>
          <w:p w:rsidR="00BD1A32" w:rsidRPr="00513337" w:rsidRDefault="00217F14" w:rsidP="00513337">
            <w:pPr>
              <w:pStyle w:val="TableBodytext"/>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HAnsi"/>
                <w:sz w:val="24"/>
                <w:szCs w:val="24"/>
              </w:rPr>
            </w:pPr>
            <w:r w:rsidRPr="00513337">
              <w:rPr>
                <w:rFonts w:ascii="Arial Narrow" w:hAnsi="Arial Narrow" w:cstheme="minorHAnsi"/>
                <w:sz w:val="24"/>
                <w:szCs w:val="24"/>
              </w:rPr>
              <w:t xml:space="preserve">Total </w:t>
            </w:r>
            <w:r w:rsidR="00BD1A32" w:rsidRPr="00513337">
              <w:rPr>
                <w:rFonts w:ascii="Arial Narrow" w:hAnsi="Arial Narrow" w:cstheme="minorHAnsi"/>
                <w:sz w:val="24"/>
                <w:szCs w:val="24"/>
              </w:rPr>
              <w:t>Floorspace (sqm)</w:t>
            </w:r>
          </w:p>
        </w:tc>
        <w:tc>
          <w:tcPr>
            <w:tcW w:w="455" w:type="pct"/>
          </w:tcPr>
          <w:p w:rsidR="00BD1A32" w:rsidRPr="00513337" w:rsidRDefault="00BD1A32" w:rsidP="00513337">
            <w:pPr>
              <w:pStyle w:val="TableBodytext"/>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HAnsi"/>
                <w:sz w:val="24"/>
                <w:szCs w:val="24"/>
              </w:rPr>
            </w:pPr>
            <w:r w:rsidRPr="00513337">
              <w:rPr>
                <w:rFonts w:ascii="Arial Narrow" w:hAnsi="Arial Narrow" w:cstheme="minorHAnsi"/>
                <w:sz w:val="24"/>
                <w:szCs w:val="24"/>
              </w:rPr>
              <w:t>Land (ha)</w:t>
            </w:r>
          </w:p>
        </w:tc>
        <w:tc>
          <w:tcPr>
            <w:tcW w:w="1308" w:type="pct"/>
          </w:tcPr>
          <w:p w:rsidR="00BD1A32" w:rsidRPr="00513337" w:rsidRDefault="00BD1A32" w:rsidP="00513337">
            <w:pPr>
              <w:pStyle w:val="TableBodytext"/>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HAnsi"/>
                <w:sz w:val="24"/>
                <w:szCs w:val="24"/>
              </w:rPr>
            </w:pPr>
            <w:r w:rsidRPr="00513337">
              <w:rPr>
                <w:rFonts w:ascii="Arial Narrow" w:hAnsi="Arial Narrow" w:cstheme="minorHAnsi"/>
                <w:sz w:val="24"/>
                <w:szCs w:val="24"/>
              </w:rPr>
              <w:t>Scenario Chosen</w:t>
            </w:r>
          </w:p>
        </w:tc>
      </w:tr>
      <w:tr w:rsidR="00A06746" w:rsidRPr="00513337" w:rsidTr="00D238E7">
        <w:trPr>
          <w:trHeight w:val="292"/>
        </w:trPr>
        <w:tc>
          <w:tcPr>
            <w:cnfStyle w:val="001000000000" w:firstRow="0" w:lastRow="0" w:firstColumn="1" w:lastColumn="0" w:oddVBand="0" w:evenVBand="0" w:oddHBand="0" w:evenHBand="0" w:firstRowFirstColumn="0" w:firstRowLastColumn="0" w:lastRowFirstColumn="0" w:lastRowLastColumn="0"/>
            <w:tcW w:w="736" w:type="pct"/>
            <w:shd w:val="clear" w:color="auto" w:fill="FFFFFF" w:themeFill="background1"/>
            <w:vAlign w:val="center"/>
          </w:tcPr>
          <w:p w:rsidR="001A6622" w:rsidRPr="00513337" w:rsidRDefault="001A6622" w:rsidP="00513337">
            <w:pPr>
              <w:pStyle w:val="TableBodytext"/>
              <w:keepNext/>
              <w:spacing w:before="0" w:after="0" w:line="240" w:lineRule="auto"/>
              <w:rPr>
                <w:rFonts w:ascii="Arial Narrow" w:hAnsi="Arial Narrow" w:cstheme="minorHAnsi"/>
                <w:b w:val="0"/>
                <w:sz w:val="24"/>
                <w:szCs w:val="24"/>
              </w:rPr>
            </w:pPr>
            <w:r w:rsidRPr="00513337">
              <w:rPr>
                <w:rFonts w:ascii="Arial Narrow" w:hAnsi="Arial Narrow"/>
                <w:b w:val="0"/>
                <w:bCs/>
                <w:color w:val="000000"/>
                <w:sz w:val="24"/>
                <w:szCs w:val="24"/>
              </w:rPr>
              <w:t>B1a/b</w:t>
            </w:r>
          </w:p>
        </w:tc>
        <w:tc>
          <w:tcPr>
            <w:tcW w:w="440" w:type="pct"/>
            <w:shd w:val="clear" w:color="auto" w:fill="FFFFFF" w:themeFill="background1"/>
            <w:vAlign w:val="center"/>
          </w:tcPr>
          <w:p w:rsidR="001A6622" w:rsidRPr="00513337" w:rsidRDefault="001A6622" w:rsidP="0051333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highlight w:val="yellow"/>
              </w:rPr>
            </w:pPr>
            <w:r w:rsidRPr="00513337">
              <w:rPr>
                <w:rFonts w:ascii="Arial Narrow" w:hAnsi="Arial Narrow"/>
                <w:color w:val="000000"/>
                <w:sz w:val="24"/>
                <w:szCs w:val="24"/>
              </w:rPr>
              <w:t>13,9</w:t>
            </w:r>
            <w:r w:rsidR="006A44BC">
              <w:rPr>
                <w:rFonts w:ascii="Arial Narrow" w:hAnsi="Arial Narrow"/>
                <w:color w:val="000000"/>
                <w:sz w:val="24"/>
                <w:szCs w:val="24"/>
              </w:rPr>
              <w:t>0</w:t>
            </w:r>
            <w:r w:rsidRPr="00513337">
              <w:rPr>
                <w:rFonts w:ascii="Arial Narrow" w:hAnsi="Arial Narrow"/>
                <w:color w:val="000000"/>
                <w:sz w:val="24"/>
                <w:szCs w:val="24"/>
              </w:rPr>
              <w:t>0</w:t>
            </w:r>
          </w:p>
        </w:tc>
        <w:tc>
          <w:tcPr>
            <w:tcW w:w="442" w:type="pct"/>
            <w:shd w:val="clear" w:color="auto" w:fill="FFFFFF" w:themeFill="background1"/>
            <w:vAlign w:val="center"/>
          </w:tcPr>
          <w:p w:rsidR="001A6622" w:rsidRPr="00513337" w:rsidRDefault="001A6622" w:rsidP="0051333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highlight w:val="yellow"/>
              </w:rPr>
            </w:pPr>
            <w:r w:rsidRPr="00513337">
              <w:rPr>
                <w:rFonts w:ascii="Arial Narrow" w:hAnsi="Arial Narrow"/>
                <w:color w:val="000000"/>
                <w:sz w:val="24"/>
                <w:szCs w:val="24"/>
              </w:rPr>
              <w:t>10,7</w:t>
            </w:r>
            <w:r w:rsidR="006A44BC">
              <w:rPr>
                <w:rFonts w:ascii="Arial Narrow" w:hAnsi="Arial Narrow"/>
                <w:color w:val="000000"/>
                <w:sz w:val="24"/>
                <w:szCs w:val="24"/>
              </w:rPr>
              <w:t>00</w:t>
            </w:r>
          </w:p>
        </w:tc>
        <w:tc>
          <w:tcPr>
            <w:tcW w:w="441" w:type="pct"/>
            <w:shd w:val="clear" w:color="auto" w:fill="FFFFFF" w:themeFill="background1"/>
            <w:vAlign w:val="center"/>
          </w:tcPr>
          <w:p w:rsidR="001A6622" w:rsidRPr="00513337" w:rsidRDefault="001A6622" w:rsidP="0051333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highlight w:val="yellow"/>
              </w:rPr>
            </w:pPr>
            <w:r w:rsidRPr="00513337">
              <w:rPr>
                <w:rFonts w:ascii="Arial Narrow" w:hAnsi="Arial Narrow"/>
                <w:color w:val="000000"/>
                <w:sz w:val="24"/>
                <w:szCs w:val="24"/>
              </w:rPr>
              <w:t>11,20</w:t>
            </w:r>
            <w:r w:rsidR="006A44BC">
              <w:rPr>
                <w:rFonts w:ascii="Arial Narrow" w:hAnsi="Arial Narrow"/>
                <w:color w:val="000000"/>
                <w:sz w:val="24"/>
                <w:szCs w:val="24"/>
              </w:rPr>
              <w:t>0</w:t>
            </w:r>
          </w:p>
        </w:tc>
        <w:tc>
          <w:tcPr>
            <w:tcW w:w="441" w:type="pct"/>
            <w:shd w:val="clear" w:color="auto" w:fill="FFFFFF" w:themeFill="background1"/>
            <w:vAlign w:val="center"/>
          </w:tcPr>
          <w:p w:rsidR="001A6622" w:rsidRPr="00513337" w:rsidRDefault="001A6622" w:rsidP="0051333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highlight w:val="yellow"/>
              </w:rPr>
            </w:pPr>
            <w:r w:rsidRPr="00513337">
              <w:rPr>
                <w:rFonts w:ascii="Arial Narrow" w:hAnsi="Arial Narrow"/>
                <w:color w:val="000000"/>
                <w:sz w:val="24"/>
                <w:szCs w:val="24"/>
              </w:rPr>
              <w:t>4,</w:t>
            </w:r>
            <w:r w:rsidR="006A44BC">
              <w:rPr>
                <w:rFonts w:ascii="Arial Narrow" w:hAnsi="Arial Narrow"/>
                <w:color w:val="000000"/>
                <w:sz w:val="24"/>
                <w:szCs w:val="24"/>
              </w:rPr>
              <w:t>600</w:t>
            </w:r>
          </w:p>
        </w:tc>
        <w:tc>
          <w:tcPr>
            <w:tcW w:w="735" w:type="pct"/>
            <w:shd w:val="clear" w:color="auto" w:fill="FFFFFF" w:themeFill="background1"/>
            <w:vAlign w:val="center"/>
          </w:tcPr>
          <w:p w:rsidR="001A6622" w:rsidRPr="00513337" w:rsidRDefault="001A6622" w:rsidP="0051333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513337">
              <w:rPr>
                <w:rFonts w:ascii="Arial Narrow" w:hAnsi="Arial Narrow"/>
                <w:sz w:val="24"/>
                <w:szCs w:val="24"/>
              </w:rPr>
              <w:t>40,</w:t>
            </w:r>
            <w:r w:rsidR="00437C51">
              <w:rPr>
                <w:rFonts w:ascii="Arial Narrow" w:hAnsi="Arial Narrow"/>
                <w:sz w:val="24"/>
                <w:szCs w:val="24"/>
              </w:rPr>
              <w:t>400</w:t>
            </w:r>
          </w:p>
        </w:tc>
        <w:tc>
          <w:tcPr>
            <w:tcW w:w="455" w:type="pct"/>
            <w:shd w:val="clear" w:color="auto" w:fill="FFFFFF" w:themeFill="background1"/>
            <w:vAlign w:val="center"/>
          </w:tcPr>
          <w:p w:rsidR="001A6622" w:rsidRPr="00513337" w:rsidRDefault="001A6622" w:rsidP="0051333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513337">
              <w:rPr>
                <w:rFonts w:ascii="Arial Narrow" w:hAnsi="Arial Narrow"/>
                <w:sz w:val="24"/>
                <w:szCs w:val="24"/>
              </w:rPr>
              <w:t>5.4</w:t>
            </w:r>
          </w:p>
        </w:tc>
        <w:tc>
          <w:tcPr>
            <w:tcW w:w="1308" w:type="pct"/>
            <w:shd w:val="clear" w:color="auto" w:fill="FFFFFF" w:themeFill="background1"/>
          </w:tcPr>
          <w:p w:rsidR="001A6622" w:rsidRPr="00513337" w:rsidRDefault="001A6622" w:rsidP="0051333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513337">
              <w:rPr>
                <w:rFonts w:ascii="Arial Narrow" w:hAnsi="Arial Narrow"/>
                <w:sz w:val="24"/>
                <w:szCs w:val="24"/>
              </w:rPr>
              <w:t xml:space="preserve">Labour Demand Growth Scenario X 0.85 </w:t>
            </w:r>
            <w:r w:rsidRPr="00513337">
              <w:rPr>
                <w:rFonts w:ascii="Arial Narrow" w:hAnsi="Arial Narrow"/>
                <w:sz w:val="24"/>
                <w:szCs w:val="24"/>
              </w:rPr>
              <w:br/>
              <w:t>(to account for 15% reduction from Plan Area)</w:t>
            </w:r>
          </w:p>
        </w:tc>
      </w:tr>
      <w:tr w:rsidR="00A06746" w:rsidRPr="00513337" w:rsidTr="00D238E7">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736" w:type="pct"/>
            <w:shd w:val="clear" w:color="auto" w:fill="FFFFFF" w:themeFill="background1"/>
            <w:vAlign w:val="center"/>
          </w:tcPr>
          <w:p w:rsidR="006A44BC" w:rsidRPr="00513337" w:rsidRDefault="006A44BC" w:rsidP="006A44BC">
            <w:pPr>
              <w:pStyle w:val="TableBodytext"/>
              <w:keepNext/>
              <w:spacing w:before="0" w:after="0" w:line="240" w:lineRule="auto"/>
              <w:rPr>
                <w:rFonts w:ascii="Arial Narrow" w:hAnsi="Arial Narrow" w:cstheme="minorHAnsi"/>
                <w:b w:val="0"/>
                <w:sz w:val="24"/>
                <w:szCs w:val="24"/>
              </w:rPr>
            </w:pPr>
            <w:r w:rsidRPr="00513337">
              <w:rPr>
                <w:rFonts w:ascii="Arial Narrow" w:hAnsi="Arial Narrow"/>
                <w:b w:val="0"/>
                <w:bCs/>
                <w:color w:val="000000"/>
                <w:sz w:val="24"/>
                <w:szCs w:val="24"/>
              </w:rPr>
              <w:t>B1c/B2</w:t>
            </w:r>
          </w:p>
        </w:tc>
        <w:tc>
          <w:tcPr>
            <w:tcW w:w="440" w:type="pct"/>
            <w:shd w:val="clear" w:color="auto" w:fill="FFFFFF" w:themeFill="background1"/>
          </w:tcPr>
          <w:p w:rsidR="006A44BC" w:rsidRPr="006A44BC" w:rsidRDefault="006A44BC" w:rsidP="006A44BC">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24"/>
                <w:szCs w:val="24"/>
              </w:rPr>
            </w:pPr>
            <w:r w:rsidRPr="006A44BC">
              <w:rPr>
                <w:rFonts w:ascii="Arial Narrow" w:hAnsi="Arial Narrow"/>
                <w:color w:val="000000"/>
                <w:sz w:val="24"/>
                <w:szCs w:val="24"/>
              </w:rPr>
              <w:t>10,</w:t>
            </w:r>
            <w:r>
              <w:rPr>
                <w:rFonts w:ascii="Arial Narrow" w:hAnsi="Arial Narrow"/>
                <w:color w:val="000000"/>
                <w:sz w:val="24"/>
                <w:szCs w:val="24"/>
              </w:rPr>
              <w:t>700</w:t>
            </w:r>
          </w:p>
        </w:tc>
        <w:tc>
          <w:tcPr>
            <w:tcW w:w="442" w:type="pct"/>
            <w:shd w:val="clear" w:color="auto" w:fill="FFFFFF" w:themeFill="background1"/>
          </w:tcPr>
          <w:p w:rsidR="006A44BC" w:rsidRPr="006A44BC" w:rsidRDefault="006A44BC" w:rsidP="006A44BC">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24"/>
                <w:szCs w:val="24"/>
              </w:rPr>
            </w:pPr>
            <w:r w:rsidRPr="006A44BC">
              <w:rPr>
                <w:rFonts w:ascii="Arial Narrow" w:hAnsi="Arial Narrow"/>
                <w:color w:val="000000"/>
                <w:sz w:val="24"/>
                <w:szCs w:val="24"/>
              </w:rPr>
              <w:t>10,</w:t>
            </w:r>
            <w:r>
              <w:rPr>
                <w:rFonts w:ascii="Arial Narrow" w:hAnsi="Arial Narrow"/>
                <w:color w:val="000000"/>
                <w:sz w:val="24"/>
                <w:szCs w:val="24"/>
              </w:rPr>
              <w:t>700</w:t>
            </w:r>
          </w:p>
        </w:tc>
        <w:tc>
          <w:tcPr>
            <w:tcW w:w="441" w:type="pct"/>
            <w:shd w:val="clear" w:color="auto" w:fill="FFFFFF" w:themeFill="background1"/>
          </w:tcPr>
          <w:p w:rsidR="006A44BC" w:rsidRPr="006A44BC" w:rsidRDefault="006A44BC" w:rsidP="006A44BC">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24"/>
                <w:szCs w:val="24"/>
              </w:rPr>
            </w:pPr>
            <w:r w:rsidRPr="006A44BC">
              <w:rPr>
                <w:rFonts w:ascii="Arial Narrow" w:hAnsi="Arial Narrow"/>
                <w:color w:val="000000"/>
                <w:sz w:val="24"/>
                <w:szCs w:val="24"/>
              </w:rPr>
              <w:t>10,</w:t>
            </w:r>
            <w:r>
              <w:rPr>
                <w:rFonts w:ascii="Arial Narrow" w:hAnsi="Arial Narrow"/>
                <w:color w:val="000000"/>
                <w:sz w:val="24"/>
                <w:szCs w:val="24"/>
              </w:rPr>
              <w:t>700</w:t>
            </w:r>
          </w:p>
        </w:tc>
        <w:tc>
          <w:tcPr>
            <w:tcW w:w="441" w:type="pct"/>
            <w:shd w:val="clear" w:color="auto" w:fill="FFFFFF" w:themeFill="background1"/>
          </w:tcPr>
          <w:p w:rsidR="006A44BC" w:rsidRPr="006A44BC" w:rsidRDefault="006A44BC" w:rsidP="006A44BC">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24"/>
                <w:szCs w:val="24"/>
              </w:rPr>
            </w:pPr>
            <w:r w:rsidRPr="006A44BC">
              <w:rPr>
                <w:rFonts w:ascii="Arial Narrow" w:hAnsi="Arial Narrow"/>
                <w:color w:val="000000"/>
                <w:sz w:val="24"/>
                <w:szCs w:val="24"/>
              </w:rPr>
              <w:t>4,</w:t>
            </w:r>
            <w:r>
              <w:rPr>
                <w:rFonts w:ascii="Arial Narrow" w:hAnsi="Arial Narrow"/>
                <w:color w:val="000000"/>
                <w:sz w:val="24"/>
                <w:szCs w:val="24"/>
              </w:rPr>
              <w:t>300</w:t>
            </w:r>
          </w:p>
        </w:tc>
        <w:tc>
          <w:tcPr>
            <w:tcW w:w="735" w:type="pct"/>
            <w:shd w:val="clear" w:color="auto" w:fill="FFFFFF" w:themeFill="background1"/>
          </w:tcPr>
          <w:p w:rsidR="006A44BC" w:rsidRPr="006A44BC" w:rsidRDefault="006A44BC" w:rsidP="006A44BC">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24"/>
                <w:szCs w:val="24"/>
              </w:rPr>
            </w:pPr>
            <w:r w:rsidRPr="00E50530">
              <w:rPr>
                <w:rFonts w:ascii="Arial Narrow" w:hAnsi="Arial Narrow"/>
                <w:sz w:val="24"/>
                <w:szCs w:val="24"/>
              </w:rPr>
              <w:t xml:space="preserve"> 36,2</w:t>
            </w:r>
            <w:r>
              <w:rPr>
                <w:rFonts w:ascii="Arial Narrow" w:hAnsi="Arial Narrow"/>
                <w:sz w:val="24"/>
                <w:szCs w:val="24"/>
              </w:rPr>
              <w:t>00</w:t>
            </w:r>
            <w:r w:rsidRPr="00E50530">
              <w:rPr>
                <w:rFonts w:ascii="Arial Narrow" w:hAnsi="Arial Narrow"/>
                <w:sz w:val="24"/>
                <w:szCs w:val="24"/>
              </w:rPr>
              <w:t xml:space="preserve"> </w:t>
            </w:r>
          </w:p>
        </w:tc>
        <w:tc>
          <w:tcPr>
            <w:tcW w:w="455" w:type="pct"/>
            <w:shd w:val="clear" w:color="auto" w:fill="FFFFFF" w:themeFill="background1"/>
            <w:vAlign w:val="center"/>
          </w:tcPr>
          <w:p w:rsidR="006A44BC" w:rsidRPr="006A44BC" w:rsidRDefault="006A44BC" w:rsidP="006A44BC">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24"/>
                <w:szCs w:val="24"/>
              </w:rPr>
            </w:pPr>
            <w:r w:rsidRPr="006A44BC">
              <w:rPr>
                <w:rFonts w:ascii="Arial Narrow" w:hAnsi="Arial Narrow"/>
                <w:color w:val="000000"/>
                <w:sz w:val="24"/>
                <w:szCs w:val="24"/>
              </w:rPr>
              <w:t>9.1</w:t>
            </w:r>
          </w:p>
        </w:tc>
        <w:tc>
          <w:tcPr>
            <w:tcW w:w="1308" w:type="pct"/>
            <w:shd w:val="clear" w:color="auto" w:fill="FFFFFF" w:themeFill="background1"/>
          </w:tcPr>
          <w:p w:rsidR="006A44BC" w:rsidRPr="00513337" w:rsidRDefault="006A44BC" w:rsidP="006A44BC">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4"/>
                <w:szCs w:val="24"/>
              </w:rPr>
            </w:pPr>
            <w:r w:rsidRPr="00513337">
              <w:rPr>
                <w:rFonts w:ascii="Arial Narrow" w:hAnsi="Arial Narrow"/>
                <w:sz w:val="24"/>
                <w:szCs w:val="24"/>
              </w:rPr>
              <w:t>Net Completions Trend</w:t>
            </w:r>
          </w:p>
        </w:tc>
      </w:tr>
      <w:tr w:rsidR="00A06746" w:rsidRPr="00513337" w:rsidTr="00D238E7">
        <w:trPr>
          <w:trHeight w:val="317"/>
        </w:trPr>
        <w:tc>
          <w:tcPr>
            <w:cnfStyle w:val="001000000000" w:firstRow="0" w:lastRow="0" w:firstColumn="1" w:lastColumn="0" w:oddVBand="0" w:evenVBand="0" w:oddHBand="0" w:evenHBand="0" w:firstRowFirstColumn="0" w:firstRowLastColumn="0" w:lastRowFirstColumn="0" w:lastRowLastColumn="0"/>
            <w:tcW w:w="736" w:type="pct"/>
            <w:shd w:val="clear" w:color="auto" w:fill="FFFFFF" w:themeFill="background1"/>
            <w:vAlign w:val="center"/>
          </w:tcPr>
          <w:p w:rsidR="006A44BC" w:rsidRPr="00513337" w:rsidRDefault="006A44BC" w:rsidP="006A44BC">
            <w:pPr>
              <w:pStyle w:val="TableBodytext"/>
              <w:keepNext/>
              <w:spacing w:before="0" w:after="0" w:line="240" w:lineRule="auto"/>
              <w:rPr>
                <w:rFonts w:ascii="Arial Narrow" w:hAnsi="Arial Narrow" w:cstheme="minorHAnsi"/>
                <w:b w:val="0"/>
                <w:sz w:val="24"/>
                <w:szCs w:val="24"/>
              </w:rPr>
            </w:pPr>
            <w:r w:rsidRPr="00513337">
              <w:rPr>
                <w:rFonts w:ascii="Arial Narrow" w:hAnsi="Arial Narrow"/>
                <w:b w:val="0"/>
                <w:bCs/>
                <w:color w:val="000000"/>
                <w:sz w:val="24"/>
                <w:szCs w:val="24"/>
              </w:rPr>
              <w:t>B8</w:t>
            </w:r>
          </w:p>
        </w:tc>
        <w:tc>
          <w:tcPr>
            <w:tcW w:w="440" w:type="pct"/>
            <w:shd w:val="clear" w:color="auto" w:fill="FFFFFF" w:themeFill="background1"/>
          </w:tcPr>
          <w:p w:rsidR="006A44BC" w:rsidRPr="006A44BC" w:rsidRDefault="006A44BC" w:rsidP="006A44BC">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6A44BC">
              <w:rPr>
                <w:rFonts w:ascii="Arial Narrow" w:hAnsi="Arial Narrow"/>
                <w:color w:val="000000"/>
                <w:sz w:val="24"/>
                <w:szCs w:val="24"/>
              </w:rPr>
              <w:t>16,3</w:t>
            </w:r>
            <w:r>
              <w:rPr>
                <w:rFonts w:ascii="Arial Narrow" w:hAnsi="Arial Narrow"/>
                <w:color w:val="000000"/>
                <w:sz w:val="24"/>
                <w:szCs w:val="24"/>
              </w:rPr>
              <w:t>00</w:t>
            </w:r>
          </w:p>
        </w:tc>
        <w:tc>
          <w:tcPr>
            <w:tcW w:w="442" w:type="pct"/>
            <w:shd w:val="clear" w:color="auto" w:fill="FFFFFF" w:themeFill="background1"/>
          </w:tcPr>
          <w:p w:rsidR="006A44BC" w:rsidRPr="006A44BC" w:rsidRDefault="006A44BC" w:rsidP="006A44BC">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6A44BC">
              <w:rPr>
                <w:rFonts w:ascii="Arial Narrow" w:hAnsi="Arial Narrow"/>
                <w:color w:val="000000"/>
                <w:sz w:val="24"/>
                <w:szCs w:val="24"/>
              </w:rPr>
              <w:t>16,3</w:t>
            </w:r>
            <w:r>
              <w:rPr>
                <w:rFonts w:ascii="Arial Narrow" w:hAnsi="Arial Narrow"/>
                <w:color w:val="000000"/>
                <w:sz w:val="24"/>
                <w:szCs w:val="24"/>
              </w:rPr>
              <w:t>00</w:t>
            </w:r>
          </w:p>
        </w:tc>
        <w:tc>
          <w:tcPr>
            <w:tcW w:w="441" w:type="pct"/>
            <w:shd w:val="clear" w:color="auto" w:fill="FFFFFF" w:themeFill="background1"/>
          </w:tcPr>
          <w:p w:rsidR="006A44BC" w:rsidRPr="006A44BC" w:rsidRDefault="006A44BC" w:rsidP="006A44BC">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6A44BC">
              <w:rPr>
                <w:rFonts w:ascii="Arial Narrow" w:hAnsi="Arial Narrow"/>
                <w:color w:val="000000"/>
                <w:sz w:val="24"/>
                <w:szCs w:val="24"/>
              </w:rPr>
              <w:t>16,3</w:t>
            </w:r>
            <w:r>
              <w:rPr>
                <w:rFonts w:ascii="Arial Narrow" w:hAnsi="Arial Narrow"/>
                <w:color w:val="000000"/>
                <w:sz w:val="24"/>
                <w:szCs w:val="24"/>
              </w:rPr>
              <w:t>00</w:t>
            </w:r>
          </w:p>
        </w:tc>
        <w:tc>
          <w:tcPr>
            <w:tcW w:w="441" w:type="pct"/>
            <w:shd w:val="clear" w:color="auto" w:fill="FFFFFF" w:themeFill="background1"/>
          </w:tcPr>
          <w:p w:rsidR="006A44BC" w:rsidRPr="006A44BC" w:rsidRDefault="006A44BC" w:rsidP="006A44BC">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Pr>
                <w:rFonts w:ascii="Arial Narrow" w:hAnsi="Arial Narrow"/>
                <w:color w:val="000000"/>
                <w:sz w:val="24"/>
                <w:szCs w:val="24"/>
              </w:rPr>
              <w:t>6,</w:t>
            </w:r>
            <w:r w:rsidRPr="006A44BC">
              <w:rPr>
                <w:rFonts w:ascii="Arial Narrow" w:hAnsi="Arial Narrow"/>
                <w:color w:val="000000"/>
                <w:sz w:val="24"/>
                <w:szCs w:val="24"/>
              </w:rPr>
              <w:t>6</w:t>
            </w:r>
            <w:r>
              <w:rPr>
                <w:rFonts w:ascii="Arial Narrow" w:hAnsi="Arial Narrow"/>
                <w:color w:val="000000"/>
                <w:sz w:val="24"/>
                <w:szCs w:val="24"/>
              </w:rPr>
              <w:t>00</w:t>
            </w:r>
          </w:p>
        </w:tc>
        <w:tc>
          <w:tcPr>
            <w:tcW w:w="735" w:type="pct"/>
            <w:shd w:val="clear" w:color="auto" w:fill="FFFFFF" w:themeFill="background1"/>
          </w:tcPr>
          <w:p w:rsidR="006A44BC" w:rsidRPr="006A44BC" w:rsidRDefault="006A44BC" w:rsidP="006A44BC">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E50530">
              <w:rPr>
                <w:rFonts w:ascii="Arial Narrow" w:hAnsi="Arial Narrow"/>
                <w:sz w:val="24"/>
                <w:szCs w:val="24"/>
              </w:rPr>
              <w:t xml:space="preserve"> 55,</w:t>
            </w:r>
            <w:r>
              <w:rPr>
                <w:rFonts w:ascii="Arial Narrow" w:hAnsi="Arial Narrow"/>
                <w:sz w:val="24"/>
                <w:szCs w:val="24"/>
              </w:rPr>
              <w:t>600</w:t>
            </w:r>
          </w:p>
        </w:tc>
        <w:tc>
          <w:tcPr>
            <w:tcW w:w="455" w:type="pct"/>
            <w:shd w:val="clear" w:color="auto" w:fill="FFFFFF" w:themeFill="background1"/>
            <w:vAlign w:val="center"/>
          </w:tcPr>
          <w:p w:rsidR="006A44BC" w:rsidRPr="006A44BC" w:rsidRDefault="006A44BC" w:rsidP="006A44BC">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4"/>
                <w:szCs w:val="24"/>
              </w:rPr>
            </w:pPr>
            <w:r w:rsidRPr="006A44BC">
              <w:rPr>
                <w:rFonts w:ascii="Arial Narrow" w:hAnsi="Arial Narrow"/>
                <w:color w:val="000000"/>
                <w:sz w:val="24"/>
                <w:szCs w:val="24"/>
              </w:rPr>
              <w:t>11.1</w:t>
            </w:r>
          </w:p>
        </w:tc>
        <w:tc>
          <w:tcPr>
            <w:tcW w:w="1308" w:type="pct"/>
            <w:shd w:val="clear" w:color="auto" w:fill="FFFFFF" w:themeFill="background1"/>
          </w:tcPr>
          <w:p w:rsidR="006A44BC" w:rsidRPr="00513337" w:rsidRDefault="006A44BC" w:rsidP="006A44BC">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513337">
              <w:rPr>
                <w:rFonts w:ascii="Arial Narrow" w:hAnsi="Arial Narrow"/>
                <w:sz w:val="24"/>
                <w:szCs w:val="24"/>
              </w:rPr>
              <w:t>Net Completions Trend</w:t>
            </w:r>
          </w:p>
        </w:tc>
      </w:tr>
      <w:tr w:rsidR="00A06746" w:rsidRPr="00513337" w:rsidTr="00D238E7">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736" w:type="pct"/>
            <w:shd w:val="clear" w:color="auto" w:fill="FFFFFF" w:themeFill="background1"/>
            <w:vAlign w:val="center"/>
          </w:tcPr>
          <w:p w:rsidR="006A44BC" w:rsidRPr="00513337" w:rsidRDefault="006A44BC" w:rsidP="006A44BC">
            <w:pPr>
              <w:pStyle w:val="TableBodytext"/>
              <w:keepNext/>
              <w:spacing w:before="0" w:after="0" w:line="240" w:lineRule="auto"/>
              <w:rPr>
                <w:rFonts w:ascii="Arial Narrow" w:hAnsi="Arial Narrow" w:cstheme="minorHAnsi"/>
                <w:sz w:val="24"/>
                <w:szCs w:val="24"/>
              </w:rPr>
            </w:pPr>
            <w:r w:rsidRPr="00513337">
              <w:rPr>
                <w:rFonts w:ascii="Arial Narrow" w:hAnsi="Arial Narrow"/>
                <w:color w:val="000000"/>
                <w:sz w:val="24"/>
                <w:szCs w:val="24"/>
              </w:rPr>
              <w:t>Total</w:t>
            </w:r>
          </w:p>
        </w:tc>
        <w:tc>
          <w:tcPr>
            <w:tcW w:w="440" w:type="pct"/>
            <w:shd w:val="clear" w:color="auto" w:fill="FFFFFF" w:themeFill="background1"/>
          </w:tcPr>
          <w:p w:rsidR="006A44BC" w:rsidRPr="006A44BC" w:rsidRDefault="008C5BCD" w:rsidP="006A44BC">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24"/>
                <w:szCs w:val="24"/>
              </w:rPr>
            </w:pPr>
            <w:r>
              <w:rPr>
                <w:rFonts w:ascii="Arial Narrow" w:hAnsi="Arial Narrow"/>
                <w:color w:val="000000"/>
                <w:sz w:val="24"/>
                <w:szCs w:val="24"/>
              </w:rPr>
              <w:t>40,900</w:t>
            </w:r>
          </w:p>
        </w:tc>
        <w:tc>
          <w:tcPr>
            <w:tcW w:w="442" w:type="pct"/>
            <w:shd w:val="clear" w:color="auto" w:fill="FFFFFF" w:themeFill="background1"/>
          </w:tcPr>
          <w:p w:rsidR="006A44BC" w:rsidRPr="006A44BC" w:rsidRDefault="006A44BC" w:rsidP="006A44BC">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24"/>
                <w:szCs w:val="24"/>
              </w:rPr>
            </w:pPr>
            <w:r w:rsidRPr="006A44BC">
              <w:rPr>
                <w:rFonts w:ascii="Arial Narrow" w:hAnsi="Arial Narrow"/>
                <w:color w:val="000000"/>
                <w:sz w:val="24"/>
                <w:szCs w:val="24"/>
              </w:rPr>
              <w:t>37,</w:t>
            </w:r>
            <w:r w:rsidR="008C5BCD">
              <w:rPr>
                <w:rFonts w:ascii="Arial Narrow" w:hAnsi="Arial Narrow"/>
                <w:color w:val="000000"/>
                <w:sz w:val="24"/>
                <w:szCs w:val="24"/>
              </w:rPr>
              <w:t>7</w:t>
            </w:r>
            <w:r w:rsidR="00625519">
              <w:rPr>
                <w:rFonts w:ascii="Arial Narrow" w:hAnsi="Arial Narrow"/>
                <w:color w:val="000000"/>
                <w:sz w:val="24"/>
                <w:szCs w:val="24"/>
              </w:rPr>
              <w:t>00</w:t>
            </w:r>
          </w:p>
        </w:tc>
        <w:tc>
          <w:tcPr>
            <w:tcW w:w="441" w:type="pct"/>
            <w:shd w:val="clear" w:color="auto" w:fill="FFFFFF" w:themeFill="background1"/>
          </w:tcPr>
          <w:p w:rsidR="006A44BC" w:rsidRPr="006A44BC" w:rsidRDefault="008C5BCD" w:rsidP="006A44BC">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24"/>
                <w:szCs w:val="24"/>
              </w:rPr>
            </w:pPr>
            <w:r>
              <w:rPr>
                <w:rFonts w:ascii="Arial Narrow" w:hAnsi="Arial Narrow"/>
                <w:color w:val="000000"/>
                <w:sz w:val="24"/>
                <w:szCs w:val="24"/>
              </w:rPr>
              <w:t>38,200</w:t>
            </w:r>
          </w:p>
        </w:tc>
        <w:tc>
          <w:tcPr>
            <w:tcW w:w="441" w:type="pct"/>
            <w:shd w:val="clear" w:color="auto" w:fill="FFFFFF" w:themeFill="background1"/>
          </w:tcPr>
          <w:p w:rsidR="006A44BC" w:rsidRPr="006A44BC" w:rsidRDefault="008C5BCD" w:rsidP="006A44BC">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24"/>
                <w:szCs w:val="24"/>
              </w:rPr>
            </w:pPr>
            <w:r>
              <w:rPr>
                <w:rFonts w:ascii="Arial Narrow" w:hAnsi="Arial Narrow"/>
                <w:color w:val="000000"/>
                <w:sz w:val="24"/>
                <w:szCs w:val="24"/>
              </w:rPr>
              <w:t>15,400</w:t>
            </w:r>
          </w:p>
        </w:tc>
        <w:tc>
          <w:tcPr>
            <w:tcW w:w="735" w:type="pct"/>
            <w:shd w:val="clear" w:color="auto" w:fill="FFFFFF" w:themeFill="background1"/>
          </w:tcPr>
          <w:p w:rsidR="006A44BC" w:rsidRPr="006A44BC" w:rsidRDefault="008C5BCD" w:rsidP="006A44BC">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24"/>
                <w:szCs w:val="24"/>
              </w:rPr>
            </w:pPr>
            <w:r>
              <w:rPr>
                <w:rFonts w:ascii="Arial Narrow" w:hAnsi="Arial Narrow"/>
                <w:color w:val="000000"/>
                <w:sz w:val="24"/>
                <w:szCs w:val="24"/>
              </w:rPr>
              <w:t>132,200</w:t>
            </w:r>
          </w:p>
        </w:tc>
        <w:tc>
          <w:tcPr>
            <w:tcW w:w="455" w:type="pct"/>
            <w:shd w:val="clear" w:color="auto" w:fill="FFFFFF" w:themeFill="background1"/>
            <w:vAlign w:val="center"/>
          </w:tcPr>
          <w:p w:rsidR="006A44BC" w:rsidRPr="006A44BC" w:rsidRDefault="006A44BC" w:rsidP="006A44BC">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24"/>
                <w:szCs w:val="24"/>
              </w:rPr>
            </w:pPr>
            <w:r w:rsidRPr="006A44BC">
              <w:rPr>
                <w:rFonts w:ascii="Arial Narrow" w:hAnsi="Arial Narrow"/>
                <w:color w:val="000000"/>
                <w:sz w:val="24"/>
                <w:szCs w:val="24"/>
              </w:rPr>
              <w:t>25.6</w:t>
            </w:r>
          </w:p>
        </w:tc>
        <w:tc>
          <w:tcPr>
            <w:tcW w:w="1308" w:type="pct"/>
            <w:shd w:val="clear" w:color="auto" w:fill="FFFFFF" w:themeFill="background1"/>
          </w:tcPr>
          <w:p w:rsidR="006A44BC" w:rsidRPr="00513337" w:rsidRDefault="006A44BC" w:rsidP="006A44BC">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4"/>
                <w:szCs w:val="24"/>
              </w:rPr>
            </w:pPr>
          </w:p>
        </w:tc>
      </w:tr>
    </w:tbl>
    <w:p w:rsidR="00D57B54" w:rsidRDefault="00D57B54" w:rsidP="00D238E7">
      <w:pPr>
        <w:pStyle w:val="11Bodytext"/>
        <w:numPr>
          <w:ilvl w:val="0"/>
          <w:numId w:val="0"/>
        </w:numPr>
        <w:spacing w:before="0" w:after="0" w:line="240" w:lineRule="auto"/>
      </w:pPr>
      <w:r w:rsidRPr="00CA47B9">
        <w:t>Source: GL Hearn based on Oxford Economics and Chichester District Council data</w:t>
      </w:r>
    </w:p>
    <w:p w:rsidR="00310F87" w:rsidRDefault="00310F87" w:rsidP="00D238E7">
      <w:pPr>
        <w:pStyle w:val="11Bodytext"/>
        <w:numPr>
          <w:ilvl w:val="0"/>
          <w:numId w:val="0"/>
        </w:numPr>
        <w:spacing w:before="0" w:after="0" w:line="240" w:lineRule="auto"/>
      </w:pPr>
      <w:r>
        <w:t xml:space="preserve">NB: Industrial floorspace is ‘smoothed’ as based on completions rather than labour demand </w:t>
      </w:r>
    </w:p>
    <w:p w:rsidR="004E7C65" w:rsidRPr="00A6174E" w:rsidRDefault="004E7C65" w:rsidP="00A44164">
      <w:pPr>
        <w:pStyle w:val="11Bodytext"/>
        <w:tabs>
          <w:tab w:val="clear" w:pos="2212"/>
          <w:tab w:val="num" w:pos="567"/>
        </w:tabs>
        <w:ind w:left="567" w:hanging="567"/>
      </w:pPr>
      <w:r>
        <w:t xml:space="preserve">It is of note that the horticultural recommendations below include 12.6 ha of planning for development of storage and distribution uses. There is inevitable cross over between agricultural related B8 activities and general B8 activities and this should not be double counted. Analysis of horticultural permissions suggests that around 50% are likely to be counted under general B8 permissions. A total of 6.3 ha </w:t>
      </w:r>
      <w:r>
        <w:lastRenderedPageBreak/>
        <w:t>should be reduced from either the general needs above or the horticultural requirements subject to the Council’s preferred method of Local Plan strategy.</w:t>
      </w:r>
    </w:p>
    <w:p w:rsidR="00E35710" w:rsidRPr="00CA47B9" w:rsidRDefault="00D338E0" w:rsidP="006765B7">
      <w:pPr>
        <w:pStyle w:val="SubheadBlue12"/>
        <w:ind w:left="567" w:firstLine="0"/>
      </w:pPr>
      <w:r>
        <w:t xml:space="preserve"> </w:t>
      </w:r>
      <w:r w:rsidR="00E35710" w:rsidRPr="00CA47B9">
        <w:t>Horticultural</w:t>
      </w:r>
      <w:r w:rsidR="004B41A2" w:rsidRPr="00CA47B9">
        <w:t xml:space="preserve"> </w:t>
      </w:r>
      <w:r w:rsidR="00E35710" w:rsidRPr="00CA47B9">
        <w:t>Development</w:t>
      </w:r>
      <w:r w:rsidR="004B41A2" w:rsidRPr="00CA47B9">
        <w:t xml:space="preserve"> </w:t>
      </w:r>
      <w:r w:rsidR="00E35710" w:rsidRPr="00CA47B9">
        <w:t>Areas</w:t>
      </w:r>
    </w:p>
    <w:p w:rsidR="00764C00" w:rsidRPr="00764C00" w:rsidRDefault="00E95FC3" w:rsidP="00A44164">
      <w:pPr>
        <w:pStyle w:val="11Bodytext"/>
        <w:tabs>
          <w:tab w:val="clear" w:pos="2212"/>
          <w:tab w:val="num" w:pos="567"/>
        </w:tabs>
        <w:ind w:left="567" w:hanging="567"/>
      </w:pPr>
      <w:r w:rsidRPr="00764C00">
        <w:t>The</w:t>
      </w:r>
      <w:r w:rsidR="003A2A5A">
        <w:t xml:space="preserve"> adopted</w:t>
      </w:r>
      <w:r w:rsidR="004B41A2" w:rsidRPr="00764C00">
        <w:t xml:space="preserve"> </w:t>
      </w:r>
      <w:r w:rsidRPr="00764C00">
        <w:t>Chichester</w:t>
      </w:r>
      <w:r w:rsidR="004B41A2" w:rsidRPr="00764C00">
        <w:t xml:space="preserve"> </w:t>
      </w:r>
      <w:r w:rsidRPr="00764C00">
        <w:t>Local</w:t>
      </w:r>
      <w:r w:rsidR="004B41A2" w:rsidRPr="00764C00">
        <w:t xml:space="preserve"> </w:t>
      </w:r>
      <w:r w:rsidRPr="00764C00">
        <w:t>Plan</w:t>
      </w:r>
      <w:r w:rsidR="004B41A2" w:rsidRPr="00764C00">
        <w:t xml:space="preserve"> </w:t>
      </w:r>
      <w:r w:rsidR="003A2A5A">
        <w:t>2014-29 c</w:t>
      </w:r>
      <w:r w:rsidR="00953D72">
        <w:t xml:space="preserve">urrently </w:t>
      </w:r>
      <w:r w:rsidRPr="00764C00">
        <w:t>includes</w:t>
      </w:r>
      <w:r w:rsidR="004B41A2" w:rsidRPr="00764C00">
        <w:t xml:space="preserve"> </w:t>
      </w:r>
      <w:r w:rsidR="00E35710" w:rsidRPr="00764C00">
        <w:t>four</w:t>
      </w:r>
      <w:r w:rsidR="004B41A2" w:rsidRPr="00764C00">
        <w:t xml:space="preserve"> </w:t>
      </w:r>
      <w:r w:rsidRPr="00764C00">
        <w:t>designated</w:t>
      </w:r>
      <w:r w:rsidR="004B41A2" w:rsidRPr="00764C00">
        <w:t xml:space="preserve"> </w:t>
      </w:r>
      <w:r w:rsidR="00E35710" w:rsidRPr="00764C00">
        <w:t>Horticultural</w:t>
      </w:r>
      <w:r w:rsidR="004B41A2" w:rsidRPr="00764C00">
        <w:t xml:space="preserve"> </w:t>
      </w:r>
      <w:r w:rsidR="00E35710" w:rsidRPr="00764C00">
        <w:t>Development</w:t>
      </w:r>
      <w:r w:rsidR="004B41A2" w:rsidRPr="00764C00">
        <w:t xml:space="preserve"> </w:t>
      </w:r>
      <w:r w:rsidR="00E35710" w:rsidRPr="00764C00">
        <w:t>Areas</w:t>
      </w:r>
      <w:r w:rsidR="00056C7C">
        <w:t xml:space="preserve"> (HDAs)</w:t>
      </w:r>
      <w:r w:rsidR="004B41A2" w:rsidRPr="00764C00">
        <w:t xml:space="preserve"> </w:t>
      </w:r>
      <w:r w:rsidR="00E35710" w:rsidRPr="00764C00">
        <w:t>around</w:t>
      </w:r>
      <w:r w:rsidR="004B41A2" w:rsidRPr="00764C00">
        <w:t xml:space="preserve"> </w:t>
      </w:r>
      <w:r w:rsidR="00E35710" w:rsidRPr="00764C00">
        <w:t>Tangmere,</w:t>
      </w:r>
      <w:r w:rsidR="004B41A2" w:rsidRPr="00764C00">
        <w:t xml:space="preserve"> </w:t>
      </w:r>
      <w:r w:rsidR="00E35710" w:rsidRPr="00764C00">
        <w:t>Runcton,</w:t>
      </w:r>
      <w:r w:rsidR="004B41A2" w:rsidRPr="00764C00">
        <w:t xml:space="preserve"> </w:t>
      </w:r>
      <w:proofErr w:type="gramStart"/>
      <w:r w:rsidR="00996C89" w:rsidRPr="00764C00">
        <w:t>Sid</w:t>
      </w:r>
      <w:r w:rsidR="004A6FE3" w:rsidRPr="00764C00">
        <w:t>lesham</w:t>
      </w:r>
      <w:r w:rsidR="004B41A2" w:rsidRPr="00764C00">
        <w:t xml:space="preserve">  </w:t>
      </w:r>
      <w:r w:rsidR="00E35710" w:rsidRPr="00764C00">
        <w:t>and</w:t>
      </w:r>
      <w:proofErr w:type="gramEnd"/>
      <w:r w:rsidR="004B41A2" w:rsidRPr="00764C00">
        <w:t xml:space="preserve"> </w:t>
      </w:r>
      <w:r w:rsidR="00E35710" w:rsidRPr="00764C00">
        <w:t>Almodington.</w:t>
      </w:r>
      <w:r w:rsidR="004B41A2" w:rsidRPr="00764C00">
        <w:t xml:space="preserve"> </w:t>
      </w:r>
      <w:r w:rsidR="00E35710" w:rsidRPr="00764C00">
        <w:t>These</w:t>
      </w:r>
      <w:r w:rsidR="004B41A2" w:rsidRPr="00764C00">
        <w:t xml:space="preserve"> </w:t>
      </w:r>
      <w:r w:rsidR="00E35710" w:rsidRPr="00764C00">
        <w:t>allocations</w:t>
      </w:r>
      <w:r w:rsidR="004B41A2" w:rsidRPr="00764C00">
        <w:t xml:space="preserve"> </w:t>
      </w:r>
      <w:r w:rsidR="00E35710" w:rsidRPr="00764C00">
        <w:t>are</w:t>
      </w:r>
      <w:r w:rsidR="004B41A2" w:rsidRPr="00764C00">
        <w:t xml:space="preserve"> </w:t>
      </w:r>
      <w:r w:rsidR="00E35710" w:rsidRPr="00764C00">
        <w:t>intended</w:t>
      </w:r>
      <w:r w:rsidR="004B41A2" w:rsidRPr="00764C00">
        <w:t xml:space="preserve"> </w:t>
      </w:r>
      <w:r w:rsidR="00E35710" w:rsidRPr="00764C00">
        <w:t>to</w:t>
      </w:r>
      <w:r w:rsidR="004B41A2" w:rsidRPr="00764C00">
        <w:t xml:space="preserve"> </w:t>
      </w:r>
      <w:r w:rsidR="00E35710" w:rsidRPr="00764C00">
        <w:t>ensure</w:t>
      </w:r>
      <w:r w:rsidR="004B41A2" w:rsidRPr="00764C00">
        <w:t xml:space="preserve"> </w:t>
      </w:r>
      <w:r w:rsidR="00E35710" w:rsidRPr="00764C00">
        <w:t>that</w:t>
      </w:r>
      <w:r w:rsidR="004B41A2" w:rsidRPr="00764C00">
        <w:t xml:space="preserve"> </w:t>
      </w:r>
      <w:r w:rsidR="00E35710" w:rsidRPr="00764C00">
        <w:t>the</w:t>
      </w:r>
      <w:r w:rsidR="004B41A2" w:rsidRPr="00764C00">
        <w:t xml:space="preserve"> </w:t>
      </w:r>
      <w:r w:rsidR="00E35710" w:rsidRPr="00764C00">
        <w:t>District’s</w:t>
      </w:r>
      <w:r w:rsidR="004B41A2" w:rsidRPr="00764C00">
        <w:t xml:space="preserve"> </w:t>
      </w:r>
      <w:r w:rsidR="00E35710" w:rsidRPr="00764C00">
        <w:t>horticultural</w:t>
      </w:r>
      <w:r w:rsidR="004B41A2" w:rsidRPr="00764C00">
        <w:t xml:space="preserve"> </w:t>
      </w:r>
      <w:r w:rsidR="00E35710" w:rsidRPr="00764C00">
        <w:t>industry</w:t>
      </w:r>
      <w:r w:rsidR="004B41A2" w:rsidRPr="00764C00">
        <w:t xml:space="preserve"> </w:t>
      </w:r>
      <w:r w:rsidR="00E35710" w:rsidRPr="00764C00">
        <w:t>remains</w:t>
      </w:r>
      <w:r w:rsidR="004B41A2" w:rsidRPr="00764C00">
        <w:t xml:space="preserve"> </w:t>
      </w:r>
      <w:r w:rsidR="00E35710" w:rsidRPr="00764C00">
        <w:t>nationally</w:t>
      </w:r>
      <w:r w:rsidR="004B41A2" w:rsidRPr="00764C00">
        <w:t xml:space="preserve"> </w:t>
      </w:r>
      <w:r w:rsidR="00E35710" w:rsidRPr="00764C00">
        <w:t>and</w:t>
      </w:r>
      <w:r w:rsidR="004B41A2" w:rsidRPr="00764C00">
        <w:t xml:space="preserve"> </w:t>
      </w:r>
      <w:r w:rsidR="00E35710" w:rsidRPr="00764C00">
        <w:t>internationally</w:t>
      </w:r>
      <w:r w:rsidR="004B41A2" w:rsidRPr="00764C00">
        <w:t xml:space="preserve"> </w:t>
      </w:r>
      <w:r w:rsidR="00E35710" w:rsidRPr="00764C00">
        <w:t>competitive</w:t>
      </w:r>
      <w:r w:rsidR="003A2A5A">
        <w:t xml:space="preserve"> and meet needs up until 2029</w:t>
      </w:r>
      <w:r w:rsidR="00E35710" w:rsidRPr="00764C00">
        <w:t>.</w:t>
      </w:r>
      <w:r w:rsidR="00056C7C">
        <w:t xml:space="preserve"> </w:t>
      </w:r>
    </w:p>
    <w:p w:rsidR="00764C00" w:rsidRDefault="00764C00" w:rsidP="00A44164">
      <w:pPr>
        <w:pStyle w:val="11Bodytext"/>
        <w:tabs>
          <w:tab w:val="clear" w:pos="2212"/>
          <w:tab w:val="num" w:pos="567"/>
        </w:tabs>
        <w:ind w:left="567" w:hanging="567"/>
      </w:pPr>
      <w:r w:rsidRPr="00764C00">
        <w:t xml:space="preserve">The 2018 HEDNA provided recommendations for growth in future glasshouses based on data available at the time which </w:t>
      </w:r>
      <w:r>
        <w:t>was reflected in the draft Local Plan consultation.</w:t>
      </w:r>
    </w:p>
    <w:p w:rsidR="00764C00" w:rsidRPr="00764C00" w:rsidRDefault="00764C00" w:rsidP="00A44164">
      <w:pPr>
        <w:pStyle w:val="11Bodytext"/>
        <w:tabs>
          <w:tab w:val="clear" w:pos="2212"/>
          <w:tab w:val="num" w:pos="567"/>
        </w:tabs>
        <w:ind w:left="567" w:hanging="567"/>
      </w:pPr>
      <w:r>
        <w:t>This has been revisited based on the latest information</w:t>
      </w:r>
      <w:r w:rsidR="008B41B9">
        <w:t xml:space="preserve"> which draws on consultation with stakeholders and updated </w:t>
      </w:r>
      <w:r w:rsidR="00642B03">
        <w:t>development and planning information from Chichester District Council</w:t>
      </w:r>
      <w:r>
        <w:t xml:space="preserve">. </w:t>
      </w:r>
    </w:p>
    <w:p w:rsidR="00E35710" w:rsidRPr="00CA47B9" w:rsidRDefault="00E35710" w:rsidP="006765B7">
      <w:pPr>
        <w:pStyle w:val="Subheadingbold"/>
        <w:ind w:left="567" w:firstLine="0"/>
      </w:pPr>
      <w:r w:rsidRPr="00CA47B9">
        <w:t>Engagement</w:t>
      </w:r>
    </w:p>
    <w:p w:rsidR="00764C00" w:rsidRDefault="00764C00" w:rsidP="00A44164">
      <w:pPr>
        <w:pStyle w:val="11Bodytext"/>
        <w:tabs>
          <w:tab w:val="clear" w:pos="2212"/>
          <w:tab w:val="num" w:pos="567"/>
        </w:tabs>
        <w:ind w:left="567" w:hanging="567"/>
      </w:pPr>
      <w:r w:rsidRPr="00764C00">
        <w:t xml:space="preserve">Engagement was undertaken with local stakeholders including the managers of the Chichester Food Park and the West Sussex Growers Association. </w:t>
      </w:r>
      <w:r w:rsidR="00056C7C">
        <w:t>Feedback in relation to development primarily refers to the needs of the larger HDAs of Tangmere and Runcton whereas broader needs and trends reflect the industry as a whole.</w:t>
      </w:r>
      <w:r w:rsidR="00855CA6">
        <w:t xml:space="preserve"> </w:t>
      </w:r>
      <w:r>
        <w:t>Key findings include:</w:t>
      </w:r>
    </w:p>
    <w:p w:rsidR="0093180D" w:rsidRDefault="00D87C57" w:rsidP="00901C92">
      <w:pPr>
        <w:pStyle w:val="Bulletblueplain"/>
      </w:pPr>
      <w:r>
        <w:t xml:space="preserve">The horticultural industry is valued at around </w:t>
      </w:r>
      <w:r w:rsidR="0093180D">
        <w:t xml:space="preserve">£1bn </w:t>
      </w:r>
      <w:r>
        <w:t xml:space="preserve">in </w:t>
      </w:r>
      <w:r w:rsidR="0093180D">
        <w:t>turnover</w:t>
      </w:r>
      <w:r>
        <w:t xml:space="preserve"> and estimated to employ around 10,000 </w:t>
      </w:r>
      <w:r w:rsidR="00855CA6">
        <w:t>full-</w:t>
      </w:r>
      <w:r>
        <w:t>time equivalents</w:t>
      </w:r>
      <w:r w:rsidR="00056C7C">
        <w:t xml:space="preserve"> across West Sussex</w:t>
      </w:r>
      <w:r>
        <w:t>.</w:t>
      </w:r>
    </w:p>
    <w:p w:rsidR="00443803" w:rsidRDefault="00D87C57" w:rsidP="00901C92">
      <w:pPr>
        <w:pStyle w:val="Bulletblueplain"/>
      </w:pPr>
      <w:r>
        <w:t xml:space="preserve">Eastern European labour is important to the industry due to low levels of </w:t>
      </w:r>
      <w:r w:rsidR="00443803">
        <w:t xml:space="preserve">domestic </w:t>
      </w:r>
      <w:r>
        <w:t xml:space="preserve">unemployment and </w:t>
      </w:r>
      <w:r w:rsidR="00855CA6">
        <w:t xml:space="preserve">is </w:t>
      </w:r>
      <w:r>
        <w:t xml:space="preserve">estimated to make up around </w:t>
      </w:r>
      <w:r w:rsidR="00855CA6">
        <w:t>three-</w:t>
      </w:r>
      <w:r>
        <w:t xml:space="preserve">quarters of jobs in the industry. The trend of migrant labour staying in shared accommodation has continued however an increasing proportion </w:t>
      </w:r>
      <w:r w:rsidR="00855CA6">
        <w:t>can</w:t>
      </w:r>
      <w:r>
        <w:t xml:space="preserve"> purchase or rent independently</w:t>
      </w:r>
      <w:r w:rsidR="00443803">
        <w:t xml:space="preserve">, particularly those who have developed </w:t>
      </w:r>
      <w:r w:rsidR="00855CA6">
        <w:t>longer-</w:t>
      </w:r>
      <w:r w:rsidR="00443803">
        <w:t xml:space="preserve">term prospects and </w:t>
      </w:r>
      <w:r w:rsidR="00370D4D">
        <w:t xml:space="preserve">are </w:t>
      </w:r>
      <w:r w:rsidR="00443803">
        <w:t>now working in higher managerial or professional activities</w:t>
      </w:r>
      <w:r>
        <w:t xml:space="preserve">. </w:t>
      </w:r>
      <w:r w:rsidR="00BB141B">
        <w:t>Historic issues regarding inappropriate accommodation including caravans are reported to have decreased.</w:t>
      </w:r>
      <w:r w:rsidR="00443803">
        <w:t xml:space="preserve"> Some </w:t>
      </w:r>
      <w:r w:rsidR="00855CA6">
        <w:t>purpose-</w:t>
      </w:r>
      <w:r w:rsidR="003A2A5A">
        <w:t xml:space="preserve">built </w:t>
      </w:r>
      <w:r w:rsidR="00443803">
        <w:t xml:space="preserve">accommodation does exist and is in demand on or near to HDAs and this </w:t>
      </w:r>
      <w:r w:rsidR="003A2A5A">
        <w:t>is</w:t>
      </w:r>
      <w:r w:rsidR="00370D4D">
        <w:t xml:space="preserve"> </w:t>
      </w:r>
      <w:r w:rsidR="00443803">
        <w:t xml:space="preserve">primarily for seasonal workers preferring temporary arrangements. This sector does need to be catered </w:t>
      </w:r>
      <w:r w:rsidR="00370D4D">
        <w:t xml:space="preserve">for </w:t>
      </w:r>
      <w:r w:rsidR="00443803">
        <w:t xml:space="preserve">and suitable accommodation of this nature supported to ensure optimal business </w:t>
      </w:r>
      <w:r w:rsidR="00443803">
        <w:lastRenderedPageBreak/>
        <w:t>functionality.</w:t>
      </w:r>
      <w:r w:rsidR="00BB141B">
        <w:t xml:space="preserve"> </w:t>
      </w:r>
      <w:r>
        <w:t>Renting in Bognor or Littlehampton is common due to cheaper rents and some major employers run bus services.</w:t>
      </w:r>
      <w:r w:rsidR="00443803">
        <w:t xml:space="preserve"> </w:t>
      </w:r>
      <w:r>
        <w:t xml:space="preserve">The cost of housing and accessibility remains </w:t>
      </w:r>
      <w:r w:rsidR="00056C7C">
        <w:t xml:space="preserve">a </w:t>
      </w:r>
      <w:r w:rsidR="00443803">
        <w:t xml:space="preserve">sensitive </w:t>
      </w:r>
      <w:r w:rsidR="00056C7C">
        <w:t>factor in terms of</w:t>
      </w:r>
      <w:r>
        <w:t xml:space="preserve"> industrial success.</w:t>
      </w:r>
      <w:r w:rsidR="00BB141B">
        <w:t xml:space="preserve"> </w:t>
      </w:r>
    </w:p>
    <w:p w:rsidR="00D87C57" w:rsidRDefault="00BB141B" w:rsidP="00901C92">
      <w:pPr>
        <w:pStyle w:val="Bulletblueplain"/>
      </w:pPr>
      <w:r>
        <w:t xml:space="preserve">Most employers directly employ </w:t>
      </w:r>
      <w:proofErr w:type="gramStart"/>
      <w:r>
        <w:t>staff</w:t>
      </w:r>
      <w:r w:rsidR="00370D4D">
        <w:t>,</w:t>
      </w:r>
      <w:proofErr w:type="gramEnd"/>
      <w:r>
        <w:t xml:space="preserve"> however</w:t>
      </w:r>
      <w:r w:rsidR="00370D4D">
        <w:t>,</w:t>
      </w:r>
      <w:r>
        <w:t xml:space="preserve"> </w:t>
      </w:r>
      <w:r w:rsidR="00370D4D">
        <w:t>some have used</w:t>
      </w:r>
      <w:r>
        <w:t xml:space="preserve"> agencies</w:t>
      </w:r>
      <w:r w:rsidR="00370D4D">
        <w:t>,</w:t>
      </w:r>
      <w:r>
        <w:t xml:space="preserve"> </w:t>
      </w:r>
      <w:r w:rsidR="00370D4D">
        <w:t>such as</w:t>
      </w:r>
      <w:r w:rsidR="00855CA6">
        <w:t xml:space="preserve"> </w:t>
      </w:r>
      <w:r>
        <w:t>Proforce</w:t>
      </w:r>
      <w:r w:rsidR="00056C7C">
        <w:t>.</w:t>
      </w:r>
      <w:r w:rsidR="00855CA6">
        <w:t xml:space="preserve"> </w:t>
      </w:r>
      <w:r w:rsidR="00056C7C">
        <w:t>Proforce</w:t>
      </w:r>
      <w:r>
        <w:t xml:space="preserve"> used a former holiday camp to house workers</w:t>
      </w:r>
      <w:r w:rsidR="00370D4D">
        <w:t xml:space="preserve"> which </w:t>
      </w:r>
      <w:r>
        <w:t xml:space="preserve">has </w:t>
      </w:r>
      <w:r w:rsidR="00370D4D">
        <w:t xml:space="preserve">since </w:t>
      </w:r>
      <w:r>
        <w:t xml:space="preserve">been </w:t>
      </w:r>
      <w:r w:rsidR="00F57451">
        <w:t xml:space="preserve">granted planning permission </w:t>
      </w:r>
      <w:r>
        <w:t>for residential development lead</w:t>
      </w:r>
      <w:r w:rsidR="00370D4D">
        <w:t>ing</w:t>
      </w:r>
      <w:r>
        <w:t xml:space="preserve"> to alternative </w:t>
      </w:r>
      <w:r w:rsidR="00370D4D">
        <w:t xml:space="preserve">accommodation </w:t>
      </w:r>
      <w:r>
        <w:t>being sought.</w:t>
      </w:r>
    </w:p>
    <w:p w:rsidR="00D87C57" w:rsidRDefault="00D87C57" w:rsidP="00901C92">
      <w:pPr>
        <w:pStyle w:val="Bulletblueplain"/>
      </w:pPr>
      <w:r>
        <w:t xml:space="preserve">Whilst picking and manual jobs are essential to the function of the industry, the full </w:t>
      </w:r>
      <w:proofErr w:type="gramStart"/>
      <w:r>
        <w:t xml:space="preserve">spectrum of jobs available </w:t>
      </w:r>
      <w:r w:rsidR="00953D72">
        <w:t>include</w:t>
      </w:r>
      <w:proofErr w:type="gramEnd"/>
      <w:r w:rsidR="00953D72">
        <w:t xml:space="preserve"> </w:t>
      </w:r>
      <w:r w:rsidR="00855CA6">
        <w:t>office-</w:t>
      </w:r>
      <w:r>
        <w:t xml:space="preserve">based, IT, business planning and engineering and robotics. The high levels of automation have increased the requirement for specialist skills however robotic picking is estimated to </w:t>
      </w:r>
      <w:r w:rsidR="0020022D">
        <w:t xml:space="preserve">still </w:t>
      </w:r>
      <w:r>
        <w:t>be at least a decade away.</w:t>
      </w:r>
      <w:r w:rsidR="00E76E86">
        <w:t xml:space="preserve"> The gradual move towards more specialist skills is anticipated to increase</w:t>
      </w:r>
      <w:r w:rsidR="0020022D">
        <w:t>,</w:t>
      </w:r>
      <w:r w:rsidR="00E76E86">
        <w:t xml:space="preserve"> however</w:t>
      </w:r>
      <w:r w:rsidR="0020022D">
        <w:t>,</w:t>
      </w:r>
      <w:r w:rsidR="00E76E86">
        <w:t xml:space="preserve"> with the expansion of economic activity</w:t>
      </w:r>
      <w:r w:rsidR="0020022D">
        <w:t>,</w:t>
      </w:r>
      <w:r w:rsidR="00E76E86">
        <w:t xml:space="preserve"> there is not expected to be a decrease in any skill level of labour.</w:t>
      </w:r>
    </w:p>
    <w:p w:rsidR="0093180D" w:rsidRDefault="00D87C57" w:rsidP="00901C92">
      <w:pPr>
        <w:pStyle w:val="Bulletblueplain"/>
      </w:pPr>
      <w:r>
        <w:t xml:space="preserve">The land </w:t>
      </w:r>
      <w:r w:rsidR="005A6026">
        <w:t xml:space="preserve">allocated </w:t>
      </w:r>
      <w:r>
        <w:t>at Tangmere is</w:t>
      </w:r>
      <w:r w:rsidR="005A6026">
        <w:t xml:space="preserve"> reported to have deliverability issues and identified as not being released for development which is constraining activity. </w:t>
      </w:r>
      <w:r w:rsidR="00642B03">
        <w:t>Further consideration</w:t>
      </w:r>
      <w:r w:rsidR="005A6026">
        <w:t xml:space="preserve"> of the deliverability would be appropriate</w:t>
      </w:r>
      <w:r w:rsidR="00BB141B">
        <w:t xml:space="preserve"> to ensure the full range of required land is available</w:t>
      </w:r>
      <w:r w:rsidR="005A6026">
        <w:t>.</w:t>
      </w:r>
    </w:p>
    <w:p w:rsidR="00BB141B" w:rsidRDefault="005A6026" w:rsidP="00901C92">
      <w:pPr>
        <w:pStyle w:val="Bulletblueplain"/>
      </w:pPr>
      <w:r>
        <w:t xml:space="preserve">The industry requires a range of building activity in relation to glasshouses including offices, </w:t>
      </w:r>
      <w:r w:rsidR="00425E7D">
        <w:t xml:space="preserve">changing facilities, packing space and other B Class uses as relevant. </w:t>
      </w:r>
    </w:p>
    <w:p w:rsidR="00BB141B" w:rsidRDefault="00BB141B" w:rsidP="00901C92">
      <w:pPr>
        <w:pStyle w:val="Bulletblueplain"/>
      </w:pPr>
      <w:r>
        <w:t>The departure from the European Union has created some short term uncertainty</w:t>
      </w:r>
      <w:r w:rsidR="00F405D5">
        <w:t>,</w:t>
      </w:r>
      <w:r>
        <w:t xml:space="preserve"> however</w:t>
      </w:r>
      <w:r w:rsidR="00F405D5">
        <w:t>,</w:t>
      </w:r>
      <w:r>
        <w:t xml:space="preserve"> in the medium term it is expected that the most likely outcome is an increase in local demand and </w:t>
      </w:r>
      <w:r w:rsidR="000E3721">
        <w:t>self-reliance</w:t>
      </w:r>
      <w:r>
        <w:t xml:space="preserve"> on homegrown produce</w:t>
      </w:r>
      <w:r w:rsidR="00E76E86">
        <w:t xml:space="preserve">, which also takes account </w:t>
      </w:r>
      <w:r w:rsidR="00F405D5">
        <w:t>of</w:t>
      </w:r>
      <w:r w:rsidR="00E76E86">
        <w:t xml:space="preserve"> the devaluation of sterling</w:t>
      </w:r>
      <w:r>
        <w:t>. This would lead to a greater level of need for development.</w:t>
      </w:r>
    </w:p>
    <w:p w:rsidR="00BB141B" w:rsidRDefault="00BB141B" w:rsidP="00901C92">
      <w:pPr>
        <w:pStyle w:val="Bulletblueplain"/>
      </w:pPr>
      <w:r>
        <w:t xml:space="preserve">The quality of the horticulture and related operations is </w:t>
      </w:r>
      <w:r w:rsidR="00855CA6">
        <w:t>world-</w:t>
      </w:r>
      <w:r>
        <w:t>class</w:t>
      </w:r>
      <w:r w:rsidR="002F3FA7">
        <w:t xml:space="preserve"> and the clustering of operations has generated a real industrial success.</w:t>
      </w:r>
      <w:r>
        <w:t xml:space="preserve"> The packing and pac</w:t>
      </w:r>
      <w:r w:rsidR="002F3FA7">
        <w:t>k</w:t>
      </w:r>
      <w:r>
        <w:t xml:space="preserve">house operations are essential and require floorspace – the HDAs </w:t>
      </w:r>
      <w:r w:rsidR="00E76E86">
        <w:t>packing operations also include a location for imports</w:t>
      </w:r>
      <w:r w:rsidR="00E23193">
        <w:t xml:space="preserve"> from elsewhere in West Sussex and the UK, in addition to products arriving</w:t>
      </w:r>
      <w:r w:rsidR="00E76E86">
        <w:t xml:space="preserve"> </w:t>
      </w:r>
      <w:r w:rsidR="00F57451">
        <w:t>via the ports in</w:t>
      </w:r>
      <w:r w:rsidR="00E76E86">
        <w:t xml:space="preserve"> Portsmouth and Southampton</w:t>
      </w:r>
      <w:r w:rsidR="00E23193">
        <w:t>,</w:t>
      </w:r>
      <w:r w:rsidR="00E76E86">
        <w:t xml:space="preserve"> and being combined with Chichester produce. This needs to be recognised in the scale of operations.</w:t>
      </w:r>
      <w:r w:rsidR="002F3FA7">
        <w:t xml:space="preserve"> </w:t>
      </w:r>
    </w:p>
    <w:p w:rsidR="0074191C" w:rsidRDefault="002F3FA7" w:rsidP="00901C92">
      <w:pPr>
        <w:pStyle w:val="Bulletblueplain"/>
      </w:pPr>
      <w:r>
        <w:t xml:space="preserve">Modern glasshouses </w:t>
      </w:r>
      <w:r w:rsidR="004D2A18">
        <w:t>tend to be</w:t>
      </w:r>
      <w:r>
        <w:t xml:space="preserve"> much </w:t>
      </w:r>
      <w:r w:rsidR="004D2A18">
        <w:t>larger</w:t>
      </w:r>
      <w:r>
        <w:t xml:space="preserve"> than in the past</w:t>
      </w:r>
      <w:r w:rsidR="004D2A18">
        <w:t>.</w:t>
      </w:r>
      <w:r>
        <w:t xml:space="preserve"> </w:t>
      </w:r>
    </w:p>
    <w:p w:rsidR="002F3FA7" w:rsidRDefault="002F3FA7" w:rsidP="00901C92">
      <w:pPr>
        <w:pStyle w:val="Bulletblueplain"/>
      </w:pPr>
      <w:r>
        <w:t>The remaining HDA land</w:t>
      </w:r>
      <w:r w:rsidR="00443803">
        <w:t xml:space="preserve"> </w:t>
      </w:r>
      <w:r w:rsidR="00425E7D">
        <w:t xml:space="preserve">allocated in the Adopted Local Plan </w:t>
      </w:r>
      <w:r w:rsidR="00B14425">
        <w:t>may be</w:t>
      </w:r>
      <w:r>
        <w:t xml:space="preserve"> insufficient to accommodate such development. In a competitive market, certainty is essential for industrial success and investment and therefore an allocation is much more appropriate than an exceptions policy (DM15). A figure of around 30 hectares of additional allocation has been put forward by industry</w:t>
      </w:r>
      <w:r w:rsidR="00B14425">
        <w:t xml:space="preserve"> which reflects concerns about the deliverability of the Tangmere HDA</w:t>
      </w:r>
      <w:r w:rsidR="00642B03">
        <w:t>.</w:t>
      </w:r>
    </w:p>
    <w:p w:rsidR="00E35710" w:rsidRPr="009A1FB6" w:rsidRDefault="00425E7D" w:rsidP="006765B7">
      <w:pPr>
        <w:pStyle w:val="SubheadBlue12"/>
        <w:ind w:left="567" w:firstLine="0"/>
      </w:pPr>
      <w:r w:rsidRPr="009A1FB6">
        <w:t>Horticultural</w:t>
      </w:r>
      <w:r w:rsidR="004B41A2" w:rsidRPr="009A1FB6">
        <w:t xml:space="preserve"> </w:t>
      </w:r>
      <w:r w:rsidR="006C61DD" w:rsidRPr="009A1FB6">
        <w:t>Needs</w:t>
      </w:r>
      <w:r w:rsidR="002F3FA7" w:rsidRPr="009A1FB6">
        <w:t xml:space="preserve"> Modelling</w:t>
      </w:r>
    </w:p>
    <w:p w:rsidR="00E35710" w:rsidRPr="00C100FA" w:rsidRDefault="00807504" w:rsidP="00A44164">
      <w:pPr>
        <w:pStyle w:val="11Bodytext"/>
        <w:tabs>
          <w:tab w:val="clear" w:pos="2212"/>
          <w:tab w:val="num" w:pos="567"/>
        </w:tabs>
        <w:ind w:left="567" w:hanging="567"/>
      </w:pPr>
      <w:r w:rsidRPr="009A1FB6">
        <w:t xml:space="preserve">GL Hearn has revised the </w:t>
      </w:r>
      <w:r w:rsidR="00E35710" w:rsidRPr="009A1FB6">
        <w:t>OE</w:t>
      </w:r>
      <w:r w:rsidR="004B41A2" w:rsidRPr="00EB57BD">
        <w:t xml:space="preserve"> </w:t>
      </w:r>
      <w:r w:rsidR="00E35710" w:rsidRPr="00EB57BD">
        <w:t>forecasts</w:t>
      </w:r>
      <w:r w:rsidR="004B41A2" w:rsidRPr="00EB57BD">
        <w:t xml:space="preserve"> </w:t>
      </w:r>
      <w:r w:rsidR="00E35710" w:rsidRPr="00EB57BD">
        <w:t>for</w:t>
      </w:r>
      <w:r w:rsidR="004B41A2" w:rsidRPr="00EB57BD">
        <w:t xml:space="preserve"> </w:t>
      </w:r>
      <w:r w:rsidR="00E35710" w:rsidRPr="00EB57BD">
        <w:t>crop</w:t>
      </w:r>
      <w:r w:rsidR="004B41A2" w:rsidRPr="00EB57BD">
        <w:t xml:space="preserve"> </w:t>
      </w:r>
      <w:r w:rsidR="00E35710" w:rsidRPr="00EB57BD">
        <w:t>and</w:t>
      </w:r>
      <w:r w:rsidR="004B41A2" w:rsidRPr="00EB57BD">
        <w:t xml:space="preserve"> </w:t>
      </w:r>
      <w:r w:rsidR="00E35710" w:rsidRPr="00EB57BD">
        <w:t>animal</w:t>
      </w:r>
      <w:r w:rsidR="004B41A2" w:rsidRPr="00EB57BD">
        <w:t xml:space="preserve"> </w:t>
      </w:r>
      <w:r w:rsidR="00E35710" w:rsidRPr="00EB57BD">
        <w:t>production</w:t>
      </w:r>
      <w:r w:rsidR="004B41A2" w:rsidRPr="00EB57BD">
        <w:t xml:space="preserve"> </w:t>
      </w:r>
      <w:r w:rsidR="00E35710" w:rsidRPr="00EB57BD">
        <w:t>to</w:t>
      </w:r>
      <w:r w:rsidR="004B41A2" w:rsidRPr="00EB57BD">
        <w:t xml:space="preserve"> </w:t>
      </w:r>
      <w:r w:rsidR="00E35710" w:rsidRPr="00EB57BD">
        <w:t>understand</w:t>
      </w:r>
      <w:r w:rsidR="004B41A2" w:rsidRPr="00EB57BD">
        <w:t xml:space="preserve"> </w:t>
      </w:r>
      <w:r w:rsidR="00E35710" w:rsidRPr="00EB57BD">
        <w:t>the</w:t>
      </w:r>
      <w:r w:rsidR="004B41A2" w:rsidRPr="00EB57BD">
        <w:t xml:space="preserve"> </w:t>
      </w:r>
      <w:r w:rsidR="00E35710" w:rsidRPr="00EB57BD">
        <w:t>potential</w:t>
      </w:r>
      <w:r w:rsidR="004B41A2" w:rsidRPr="00EB57BD">
        <w:t xml:space="preserve"> </w:t>
      </w:r>
      <w:r w:rsidR="00E35710" w:rsidRPr="00EB57BD">
        <w:t>growth</w:t>
      </w:r>
      <w:r w:rsidR="004B41A2" w:rsidRPr="00EB57BD">
        <w:t xml:space="preserve"> </w:t>
      </w:r>
      <w:r w:rsidR="00E35710" w:rsidRPr="00C100FA">
        <w:t>in</w:t>
      </w:r>
      <w:r w:rsidR="004B41A2" w:rsidRPr="00C100FA">
        <w:t xml:space="preserve"> </w:t>
      </w:r>
      <w:r w:rsidR="00E35710" w:rsidRPr="00C100FA">
        <w:t>the</w:t>
      </w:r>
      <w:r w:rsidR="004B41A2" w:rsidRPr="00C100FA">
        <w:t xml:space="preserve"> </w:t>
      </w:r>
      <w:r w:rsidR="00E35710" w:rsidRPr="00C100FA">
        <w:t>industry.</w:t>
      </w:r>
      <w:r w:rsidR="004B41A2" w:rsidRPr="00C100FA">
        <w:t xml:space="preserve"> </w:t>
      </w:r>
      <w:r w:rsidRPr="00C100FA">
        <w:t>T</w:t>
      </w:r>
      <w:r w:rsidR="00E35710" w:rsidRPr="00C100FA">
        <w:t>his</w:t>
      </w:r>
      <w:r w:rsidR="004B41A2" w:rsidRPr="00C100FA">
        <w:t xml:space="preserve"> </w:t>
      </w:r>
      <w:r w:rsidR="00E35710" w:rsidRPr="00C100FA">
        <w:t>sector</w:t>
      </w:r>
      <w:r w:rsidR="004B41A2" w:rsidRPr="00C100FA">
        <w:t xml:space="preserve"> </w:t>
      </w:r>
      <w:r w:rsidR="00E35710" w:rsidRPr="00C100FA">
        <w:t>includes</w:t>
      </w:r>
      <w:r w:rsidR="004B41A2" w:rsidRPr="00C100FA">
        <w:t xml:space="preserve"> </w:t>
      </w:r>
      <w:r w:rsidR="00E35710" w:rsidRPr="00C100FA">
        <w:t>the</w:t>
      </w:r>
      <w:r w:rsidR="004B41A2" w:rsidRPr="00C100FA">
        <w:t xml:space="preserve"> </w:t>
      </w:r>
      <w:r w:rsidR="00E35710" w:rsidRPr="00C100FA">
        <w:t>core</w:t>
      </w:r>
      <w:r w:rsidR="004B41A2" w:rsidRPr="00C100FA">
        <w:t xml:space="preserve"> </w:t>
      </w:r>
      <w:r w:rsidR="00E35710" w:rsidRPr="00C100FA">
        <w:t>glasshouse</w:t>
      </w:r>
      <w:r w:rsidR="004B41A2" w:rsidRPr="00C100FA">
        <w:t xml:space="preserve"> </w:t>
      </w:r>
      <w:r w:rsidR="00E35710" w:rsidRPr="00C100FA">
        <w:t>production</w:t>
      </w:r>
      <w:r w:rsidR="004B41A2" w:rsidRPr="00C100FA">
        <w:t xml:space="preserve"> </w:t>
      </w:r>
      <w:r w:rsidR="00E35710" w:rsidRPr="00C100FA">
        <w:t>sub-sectors</w:t>
      </w:r>
      <w:r w:rsidR="004B41A2" w:rsidRPr="00C100FA">
        <w:t xml:space="preserve"> </w:t>
      </w:r>
      <w:r w:rsidR="00E35710" w:rsidRPr="00C100FA">
        <w:t>of:</w:t>
      </w:r>
    </w:p>
    <w:p w:rsidR="00E35710" w:rsidRPr="00C100FA" w:rsidRDefault="00E35710" w:rsidP="00901C92">
      <w:pPr>
        <w:pStyle w:val="Bulletblueplain"/>
      </w:pPr>
      <w:r w:rsidRPr="00C100FA">
        <w:lastRenderedPageBreak/>
        <w:t>Growing</w:t>
      </w:r>
      <w:r w:rsidR="004B41A2" w:rsidRPr="00C100FA">
        <w:t xml:space="preserve"> </w:t>
      </w:r>
      <w:r w:rsidRPr="00C100FA">
        <w:t>of</w:t>
      </w:r>
      <w:r w:rsidR="004B41A2" w:rsidRPr="00C100FA">
        <w:t xml:space="preserve"> </w:t>
      </w:r>
      <w:r w:rsidRPr="00C100FA">
        <w:t>non-perennial</w:t>
      </w:r>
      <w:r w:rsidR="004B41A2" w:rsidRPr="00C100FA">
        <w:t xml:space="preserve"> </w:t>
      </w:r>
      <w:r w:rsidRPr="00C100FA">
        <w:t>crops</w:t>
      </w:r>
      <w:r w:rsidR="004B41A2" w:rsidRPr="00C100FA">
        <w:t xml:space="preserve"> </w:t>
      </w:r>
      <w:r w:rsidRPr="00C100FA">
        <w:t>(SIC</w:t>
      </w:r>
      <w:r w:rsidR="004B41A2" w:rsidRPr="00C100FA">
        <w:t xml:space="preserve"> </w:t>
      </w:r>
      <w:r w:rsidRPr="00C100FA">
        <w:t>Code</w:t>
      </w:r>
      <w:r w:rsidR="004B41A2" w:rsidRPr="00C100FA">
        <w:t xml:space="preserve"> </w:t>
      </w:r>
      <w:r w:rsidRPr="00C100FA">
        <w:t>-</w:t>
      </w:r>
      <w:r w:rsidR="004B41A2" w:rsidRPr="00C100FA">
        <w:t xml:space="preserve"> </w:t>
      </w:r>
      <w:r w:rsidRPr="00C100FA">
        <w:t>01.1);</w:t>
      </w:r>
    </w:p>
    <w:p w:rsidR="00E35710" w:rsidRPr="00130F32" w:rsidRDefault="00E35710" w:rsidP="00901C92">
      <w:pPr>
        <w:pStyle w:val="Bulletblueplain"/>
      </w:pPr>
      <w:r w:rsidRPr="00130F32">
        <w:t>Growing</w:t>
      </w:r>
      <w:r w:rsidR="004B41A2" w:rsidRPr="00130F32">
        <w:t xml:space="preserve"> </w:t>
      </w:r>
      <w:r w:rsidRPr="00130F32">
        <w:t>of</w:t>
      </w:r>
      <w:r w:rsidR="004B41A2" w:rsidRPr="00130F32">
        <w:t xml:space="preserve"> </w:t>
      </w:r>
      <w:r w:rsidRPr="00130F32">
        <w:t>perennial</w:t>
      </w:r>
      <w:r w:rsidR="004B41A2" w:rsidRPr="00130F32">
        <w:t xml:space="preserve"> </w:t>
      </w:r>
      <w:r w:rsidRPr="00130F32">
        <w:t>crops</w:t>
      </w:r>
      <w:r w:rsidR="004B41A2" w:rsidRPr="00130F32">
        <w:t xml:space="preserve"> </w:t>
      </w:r>
      <w:r w:rsidRPr="00130F32">
        <w:t>(SIC</w:t>
      </w:r>
      <w:r w:rsidR="004B41A2" w:rsidRPr="00130F32">
        <w:t xml:space="preserve"> </w:t>
      </w:r>
      <w:r w:rsidRPr="00130F32">
        <w:t>Code</w:t>
      </w:r>
      <w:r w:rsidR="004B41A2" w:rsidRPr="00130F32">
        <w:t xml:space="preserve"> </w:t>
      </w:r>
      <w:r w:rsidRPr="00130F32">
        <w:t>-</w:t>
      </w:r>
      <w:r w:rsidR="004B41A2" w:rsidRPr="00130F32">
        <w:t xml:space="preserve"> </w:t>
      </w:r>
      <w:r w:rsidRPr="00130F32">
        <w:t>01.2);</w:t>
      </w:r>
      <w:r w:rsidR="004B41A2" w:rsidRPr="00130F32">
        <w:t xml:space="preserve"> </w:t>
      </w:r>
      <w:r w:rsidRPr="00130F32">
        <w:t>and</w:t>
      </w:r>
    </w:p>
    <w:p w:rsidR="00E35710" w:rsidRPr="00FA636A" w:rsidRDefault="00E35710" w:rsidP="00901C92">
      <w:pPr>
        <w:pStyle w:val="Bulletblueplain"/>
      </w:pPr>
      <w:r w:rsidRPr="00FA636A">
        <w:t>Plant</w:t>
      </w:r>
      <w:r w:rsidR="004B41A2" w:rsidRPr="00FA636A">
        <w:t xml:space="preserve"> </w:t>
      </w:r>
      <w:r w:rsidRPr="00FA636A">
        <w:t>propagation</w:t>
      </w:r>
      <w:r w:rsidR="004B41A2" w:rsidRPr="00FA636A">
        <w:t xml:space="preserve"> </w:t>
      </w:r>
      <w:r w:rsidRPr="00FA636A">
        <w:t>(SIC</w:t>
      </w:r>
      <w:r w:rsidR="004B41A2" w:rsidRPr="00FA636A">
        <w:t xml:space="preserve"> </w:t>
      </w:r>
      <w:r w:rsidRPr="00FA636A">
        <w:t>Code</w:t>
      </w:r>
      <w:r w:rsidR="004B41A2" w:rsidRPr="00FA636A">
        <w:t xml:space="preserve"> </w:t>
      </w:r>
      <w:r w:rsidRPr="00FA636A">
        <w:t>-</w:t>
      </w:r>
      <w:r w:rsidR="004B41A2" w:rsidRPr="00FA636A">
        <w:t xml:space="preserve"> </w:t>
      </w:r>
      <w:r w:rsidRPr="00FA636A">
        <w:t>01.3)</w:t>
      </w:r>
      <w:r w:rsidR="002B1974" w:rsidRPr="00FA636A">
        <w:t xml:space="preserve"> </w:t>
      </w:r>
    </w:p>
    <w:p w:rsidR="00E35710" w:rsidRPr="00103F19" w:rsidRDefault="00807504" w:rsidP="00954663">
      <w:pPr>
        <w:pStyle w:val="11Bodytext"/>
        <w:tabs>
          <w:tab w:val="clear" w:pos="2212"/>
          <w:tab w:val="num" w:pos="567"/>
        </w:tabs>
        <w:ind w:left="567" w:hanging="567"/>
      </w:pPr>
      <w:r w:rsidRPr="00227DC4">
        <w:t>The figure below indicates that whilst</w:t>
      </w:r>
      <w:r w:rsidR="004B41A2" w:rsidRPr="00227DC4">
        <w:t xml:space="preserve"> </w:t>
      </w:r>
      <w:r w:rsidR="00E35710" w:rsidRPr="00227DC4">
        <w:t>GVA</w:t>
      </w:r>
      <w:r w:rsidR="004B41A2" w:rsidRPr="00227DC4">
        <w:t xml:space="preserve"> </w:t>
      </w:r>
      <w:r w:rsidR="00E35710" w:rsidRPr="00227DC4">
        <w:t>for</w:t>
      </w:r>
      <w:r w:rsidR="004B41A2" w:rsidRPr="00227DC4">
        <w:t xml:space="preserve"> </w:t>
      </w:r>
      <w:r w:rsidR="00E35710" w:rsidRPr="00227DC4">
        <w:t>animal</w:t>
      </w:r>
      <w:r w:rsidR="004B41A2" w:rsidRPr="00227DC4">
        <w:t xml:space="preserve"> </w:t>
      </w:r>
      <w:r w:rsidR="00E35710" w:rsidRPr="00227DC4">
        <w:t>and</w:t>
      </w:r>
      <w:r w:rsidR="004B41A2" w:rsidRPr="00227DC4">
        <w:t xml:space="preserve"> </w:t>
      </w:r>
      <w:r w:rsidR="00E35710" w:rsidRPr="00227DC4">
        <w:t>crop</w:t>
      </w:r>
      <w:r w:rsidR="004B41A2" w:rsidRPr="00227DC4">
        <w:t xml:space="preserve"> </w:t>
      </w:r>
      <w:r w:rsidR="00E35710" w:rsidRPr="00227DC4">
        <w:t>production</w:t>
      </w:r>
      <w:r w:rsidR="004B41A2" w:rsidRPr="00227DC4">
        <w:t xml:space="preserve"> </w:t>
      </w:r>
      <w:r w:rsidR="00E35710" w:rsidRPr="00227DC4">
        <w:t>has</w:t>
      </w:r>
      <w:r w:rsidR="004B41A2" w:rsidRPr="00227DC4">
        <w:t xml:space="preserve"> </w:t>
      </w:r>
      <w:r w:rsidR="00E35710" w:rsidRPr="00227DC4">
        <w:t>increased</w:t>
      </w:r>
      <w:r w:rsidR="004B41A2" w:rsidRPr="00227DC4">
        <w:t xml:space="preserve"> </w:t>
      </w:r>
      <w:r w:rsidR="00E35710" w:rsidRPr="00227DC4">
        <w:t>substantially</w:t>
      </w:r>
      <w:r w:rsidR="004B41A2" w:rsidRPr="00227DC4">
        <w:t xml:space="preserve"> </w:t>
      </w:r>
      <w:r w:rsidR="00E35710" w:rsidRPr="00103F19">
        <w:t>since</w:t>
      </w:r>
      <w:r w:rsidR="004B41A2" w:rsidRPr="00103F19">
        <w:t xml:space="preserve"> </w:t>
      </w:r>
      <w:r w:rsidR="00E35710" w:rsidRPr="00103F19">
        <w:t>1994</w:t>
      </w:r>
      <w:r w:rsidR="00880003" w:rsidRPr="00103F19">
        <w:t>,</w:t>
      </w:r>
      <w:r w:rsidR="004B41A2" w:rsidRPr="00103F19">
        <w:t xml:space="preserve"> </w:t>
      </w:r>
      <w:r w:rsidR="00E35710" w:rsidRPr="00103F19">
        <w:t>employment</w:t>
      </w:r>
      <w:r w:rsidR="004B41A2" w:rsidRPr="00103F19">
        <w:t xml:space="preserve"> </w:t>
      </w:r>
      <w:r w:rsidR="00E35710" w:rsidRPr="00103F19">
        <w:t>over</w:t>
      </w:r>
      <w:r w:rsidR="004B41A2" w:rsidRPr="00103F19">
        <w:t xml:space="preserve"> </w:t>
      </w:r>
      <w:r w:rsidR="00E35710" w:rsidRPr="00103F19">
        <w:t>the</w:t>
      </w:r>
      <w:r w:rsidR="004B41A2" w:rsidRPr="00103F19">
        <w:t xml:space="preserve"> </w:t>
      </w:r>
      <w:r w:rsidR="00E35710" w:rsidRPr="00103F19">
        <w:t>same</w:t>
      </w:r>
      <w:r w:rsidR="004B41A2" w:rsidRPr="00103F19">
        <w:t xml:space="preserve"> </w:t>
      </w:r>
      <w:r w:rsidR="00E35710" w:rsidRPr="00103F19">
        <w:t>period</w:t>
      </w:r>
      <w:r w:rsidR="004B41A2" w:rsidRPr="00103F19">
        <w:t xml:space="preserve"> </w:t>
      </w:r>
      <w:r w:rsidR="00E35710" w:rsidRPr="00103F19">
        <w:t>has</w:t>
      </w:r>
      <w:r w:rsidR="004B41A2" w:rsidRPr="00103F19">
        <w:t xml:space="preserve"> </w:t>
      </w:r>
      <w:r w:rsidR="00880003" w:rsidRPr="00103F19">
        <w:t>shown</w:t>
      </w:r>
      <w:r w:rsidR="004B41A2" w:rsidRPr="00103F19">
        <w:t xml:space="preserve"> </w:t>
      </w:r>
      <w:r w:rsidR="000B14C9" w:rsidRPr="00103F19">
        <w:t>a</w:t>
      </w:r>
      <w:r w:rsidR="004B41A2" w:rsidRPr="00103F19">
        <w:t xml:space="preserve"> </w:t>
      </w:r>
      <w:r w:rsidR="000B14C9" w:rsidRPr="00103F19">
        <w:t>largely</w:t>
      </w:r>
      <w:r w:rsidR="004B41A2" w:rsidRPr="00103F19">
        <w:t xml:space="preserve"> </w:t>
      </w:r>
      <w:r w:rsidR="000B14C9" w:rsidRPr="00103F19">
        <w:t>downward</w:t>
      </w:r>
      <w:r w:rsidR="004B41A2" w:rsidRPr="00103F19">
        <w:t xml:space="preserve"> </w:t>
      </w:r>
      <w:r w:rsidR="000B14C9" w:rsidRPr="00103F19">
        <w:t>trend</w:t>
      </w:r>
      <w:r w:rsidR="00E35710" w:rsidRPr="00103F19">
        <w:t>.</w:t>
      </w:r>
      <w:r w:rsidR="004B41A2" w:rsidRPr="00103F19">
        <w:t xml:space="preserve"> </w:t>
      </w:r>
      <w:r w:rsidR="00A67546">
        <w:t>This is likely to reflect a level of automation as well as improvements to production techniques.</w:t>
      </w:r>
    </w:p>
    <w:p w:rsidR="00080927" w:rsidRDefault="00807504" w:rsidP="00954663">
      <w:pPr>
        <w:pStyle w:val="11Bodytext"/>
        <w:tabs>
          <w:tab w:val="clear" w:pos="2212"/>
          <w:tab w:val="num" w:pos="567"/>
        </w:tabs>
        <w:ind w:left="567" w:hanging="567"/>
      </w:pPr>
      <w:r w:rsidRPr="00080927">
        <w:t>The Oxford Economics baseline forecasts for 2019 show a continuation of a downward trend in employment and GVA. The GVA forecast is considered to be influenced by the regional trend as it does not match local historic performance. Although employment has fluctuated historically, the growth scenario ‘levelling off’ best reflects long term past job</w:t>
      </w:r>
      <w:r w:rsidR="00080927" w:rsidRPr="00080927">
        <w:t xml:space="preserve"> trends</w:t>
      </w:r>
      <w:r w:rsidRPr="00080927">
        <w:t xml:space="preserve">. </w:t>
      </w:r>
    </w:p>
    <w:p w:rsidR="00807504" w:rsidRPr="00080927" w:rsidRDefault="00807504" w:rsidP="00954663">
      <w:pPr>
        <w:pStyle w:val="11Bodytext"/>
        <w:tabs>
          <w:tab w:val="clear" w:pos="2212"/>
          <w:tab w:val="num" w:pos="567"/>
        </w:tabs>
        <w:ind w:left="567" w:hanging="567"/>
      </w:pPr>
      <w:r w:rsidRPr="00080927">
        <w:t>However</w:t>
      </w:r>
      <w:r w:rsidR="00080927" w:rsidRPr="00080927">
        <w:t>,</w:t>
      </w:r>
      <w:r w:rsidRPr="00080927">
        <w:t xml:space="preserve"> neither </w:t>
      </w:r>
      <w:r w:rsidR="00080927">
        <w:t>metric provides</w:t>
      </w:r>
      <w:r w:rsidRPr="00080927">
        <w:t xml:space="preserve"> useful evidence for planning development</w:t>
      </w:r>
      <w:r w:rsidR="00425E7D" w:rsidRPr="00080927">
        <w:t xml:space="preserve"> given the levels of new glasshouse completed in recent years and the divergence of floorspace and labour correlations</w:t>
      </w:r>
      <w:r w:rsidRPr="00080927">
        <w:t>.</w:t>
      </w:r>
      <w:r w:rsidR="00855CA6">
        <w:t xml:space="preserve"> </w:t>
      </w:r>
    </w:p>
    <w:p w:rsidR="00E35710" w:rsidRPr="009A1FB6" w:rsidRDefault="00E35710" w:rsidP="00D238E7">
      <w:pPr>
        <w:pStyle w:val="FigureHeading"/>
        <w:tabs>
          <w:tab w:val="clear" w:pos="794"/>
          <w:tab w:val="clear" w:pos="1843"/>
          <w:tab w:val="left" w:pos="0"/>
        </w:tabs>
        <w:ind w:left="0" w:firstLine="0"/>
      </w:pPr>
      <w:r w:rsidRPr="00C8442A">
        <w:t>OE</w:t>
      </w:r>
      <w:r w:rsidR="004B41A2" w:rsidRPr="006807A9">
        <w:t xml:space="preserve"> </w:t>
      </w:r>
      <w:r w:rsidRPr="006807A9">
        <w:t>forecasts</w:t>
      </w:r>
      <w:r w:rsidR="004B41A2" w:rsidRPr="006807A9">
        <w:t xml:space="preserve"> </w:t>
      </w:r>
      <w:r w:rsidRPr="006807A9">
        <w:t>for</w:t>
      </w:r>
      <w:r w:rsidR="004B41A2" w:rsidRPr="009A1FB6">
        <w:t xml:space="preserve"> </w:t>
      </w:r>
      <w:r w:rsidRPr="009A1FB6">
        <w:t>Food</w:t>
      </w:r>
      <w:r w:rsidR="004B41A2" w:rsidRPr="009A1FB6">
        <w:t xml:space="preserve"> </w:t>
      </w:r>
      <w:r w:rsidRPr="009A1FB6">
        <w:t>and</w:t>
      </w:r>
      <w:r w:rsidR="004B41A2" w:rsidRPr="009A1FB6">
        <w:t xml:space="preserve"> </w:t>
      </w:r>
      <w:r w:rsidRPr="009A1FB6">
        <w:t>Crop</w:t>
      </w:r>
      <w:r w:rsidR="004B41A2" w:rsidRPr="009A1FB6">
        <w:t xml:space="preserve"> </w:t>
      </w:r>
      <w:r w:rsidRPr="009A1FB6">
        <w:t>Production</w:t>
      </w:r>
      <w:r w:rsidR="004B41A2" w:rsidRPr="009A1FB6">
        <w:t xml:space="preserve"> </w:t>
      </w:r>
      <w:r w:rsidRPr="009A1FB6">
        <w:t>(1994-20</w:t>
      </w:r>
      <w:r w:rsidR="000B14C9" w:rsidRPr="009A1FB6">
        <w:t>3</w:t>
      </w:r>
      <w:r w:rsidRPr="009A1FB6">
        <w:t>6)</w:t>
      </w:r>
      <w:r w:rsidR="008E4484" w:rsidRPr="009A1FB6">
        <w:t xml:space="preserve"> </w:t>
      </w:r>
      <w:r w:rsidR="00D170EE" w:rsidRPr="009A1FB6">
        <w:rPr>
          <w:color w:val="auto"/>
          <w:szCs w:val="20"/>
        </w:rPr>
        <w:t>– Chichester District</w:t>
      </w:r>
    </w:p>
    <w:p w:rsidR="00F04A4C" w:rsidRPr="009A1FB6" w:rsidRDefault="006A6BCD" w:rsidP="00031E60">
      <w:pPr>
        <w:pStyle w:val="11Bodytext"/>
        <w:numPr>
          <w:ilvl w:val="0"/>
          <w:numId w:val="0"/>
        </w:numPr>
        <w:spacing w:before="0" w:after="0" w:line="240" w:lineRule="auto"/>
      </w:pPr>
      <w:r w:rsidRPr="009A1FB6">
        <w:rPr>
          <w:noProof/>
          <w:lang w:eastAsia="en-GB"/>
        </w:rPr>
        <w:drawing>
          <wp:inline distT="0" distB="0" distL="0" distR="0" wp14:anchorId="547C9F05" wp14:editId="4BED5CCE">
            <wp:extent cx="6120000" cy="2880000"/>
            <wp:effectExtent l="0" t="0" r="14605" b="15875"/>
            <wp:docPr id="1063" name="Chart 1063" descr="Line chart comparing the total employment and GVA from 1995 to 2036" title="Figure 69: OE forecasts for Food and Crop Production (1994-2036) – Chichester District"/>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E35710" w:rsidRPr="009A1FB6" w:rsidRDefault="00E35710" w:rsidP="00D238E7">
      <w:pPr>
        <w:pStyle w:val="11Bodytext"/>
        <w:numPr>
          <w:ilvl w:val="0"/>
          <w:numId w:val="0"/>
        </w:numPr>
        <w:spacing w:before="0" w:after="0" w:line="240" w:lineRule="auto"/>
      </w:pPr>
      <w:r w:rsidRPr="009A1FB6">
        <w:t>Source:</w:t>
      </w:r>
      <w:r w:rsidR="004B41A2" w:rsidRPr="009A1FB6">
        <w:t xml:space="preserve"> </w:t>
      </w:r>
      <w:r w:rsidR="00807504" w:rsidRPr="009A1FB6">
        <w:t>Oxford Economics / GL Hearn</w:t>
      </w:r>
    </w:p>
    <w:p w:rsidR="00807504" w:rsidRDefault="00807504" w:rsidP="00954663">
      <w:pPr>
        <w:pStyle w:val="11Bodytext"/>
        <w:tabs>
          <w:tab w:val="clear" w:pos="2212"/>
          <w:tab w:val="num" w:pos="567"/>
        </w:tabs>
        <w:ind w:left="567" w:hanging="567"/>
      </w:pPr>
      <w:r w:rsidRPr="00EB57BD">
        <w:t>In the 2018 HEDNA</w:t>
      </w:r>
      <w:r w:rsidR="00855CA6">
        <w:t>,</w:t>
      </w:r>
      <w:r w:rsidRPr="00EB57BD">
        <w:t xml:space="preserve"> a </w:t>
      </w:r>
      <w:r w:rsidR="009E4D60" w:rsidRPr="00EB57BD">
        <w:t>trend-based</w:t>
      </w:r>
      <w:r w:rsidR="004B41A2" w:rsidRPr="00EB57BD">
        <w:t xml:space="preserve"> </w:t>
      </w:r>
      <w:r w:rsidR="00202BA2" w:rsidRPr="00EB57BD">
        <w:t>forecast</w:t>
      </w:r>
      <w:r w:rsidR="004B41A2" w:rsidRPr="00EB57BD">
        <w:t xml:space="preserve"> </w:t>
      </w:r>
      <w:r w:rsidR="00202BA2" w:rsidRPr="00EB57BD">
        <w:t>for</w:t>
      </w:r>
      <w:r w:rsidR="004B41A2" w:rsidRPr="00EB57BD">
        <w:t xml:space="preserve"> </w:t>
      </w:r>
      <w:r w:rsidR="00202BA2" w:rsidRPr="00EB57BD">
        <w:t>the</w:t>
      </w:r>
      <w:r w:rsidR="004B41A2" w:rsidRPr="00EB57BD">
        <w:t xml:space="preserve"> </w:t>
      </w:r>
      <w:r w:rsidR="00202BA2" w:rsidRPr="00EB57BD">
        <w:t>district</w:t>
      </w:r>
      <w:r w:rsidR="004B41A2" w:rsidRPr="00EB57BD">
        <w:t xml:space="preserve"> </w:t>
      </w:r>
      <w:r w:rsidR="00880003" w:rsidRPr="00EB57BD">
        <w:t>over</w:t>
      </w:r>
      <w:r w:rsidR="004B41A2" w:rsidRPr="00EB57BD">
        <w:t xml:space="preserve"> </w:t>
      </w:r>
      <w:r w:rsidR="00880003" w:rsidRPr="00EB57BD">
        <w:t>the</w:t>
      </w:r>
      <w:r w:rsidR="004B41A2" w:rsidRPr="00EB57BD">
        <w:t xml:space="preserve"> </w:t>
      </w:r>
      <w:r w:rsidR="00880003" w:rsidRPr="00EB57BD">
        <w:t>period</w:t>
      </w:r>
      <w:r w:rsidR="004B41A2" w:rsidRPr="00EB57BD">
        <w:t xml:space="preserve"> </w:t>
      </w:r>
      <w:r w:rsidR="009A12B6" w:rsidRPr="00EB57BD">
        <w:t>2016</w:t>
      </w:r>
      <w:r w:rsidR="00880003" w:rsidRPr="00EB57BD">
        <w:t>-36</w:t>
      </w:r>
      <w:r w:rsidR="004B41A2" w:rsidRPr="00EB57BD">
        <w:t xml:space="preserve"> </w:t>
      </w:r>
      <w:r w:rsidRPr="00EB57BD">
        <w:t xml:space="preserve">was </w:t>
      </w:r>
      <w:r w:rsidR="00880003" w:rsidRPr="00EB57BD">
        <w:t>based</w:t>
      </w:r>
      <w:r w:rsidR="004B41A2" w:rsidRPr="00EB57BD">
        <w:t xml:space="preserve"> </w:t>
      </w:r>
      <w:r w:rsidR="00880003" w:rsidRPr="00EB57BD">
        <w:t>on</w:t>
      </w:r>
      <w:r w:rsidR="004B41A2" w:rsidRPr="00EB57BD">
        <w:t xml:space="preserve"> </w:t>
      </w:r>
      <w:r w:rsidR="00880003" w:rsidRPr="00EB57BD">
        <w:t>past</w:t>
      </w:r>
      <w:r w:rsidR="004B41A2" w:rsidRPr="00EB57BD">
        <w:t xml:space="preserve"> </w:t>
      </w:r>
      <w:r w:rsidR="00880003" w:rsidRPr="00C100FA">
        <w:t>glasshouse</w:t>
      </w:r>
      <w:r w:rsidR="004B41A2" w:rsidRPr="00C100FA">
        <w:t xml:space="preserve"> </w:t>
      </w:r>
      <w:r w:rsidR="00880003" w:rsidRPr="00C100FA">
        <w:t>floorspace</w:t>
      </w:r>
      <w:r w:rsidR="004B41A2" w:rsidRPr="00C100FA">
        <w:t xml:space="preserve"> </w:t>
      </w:r>
      <w:r w:rsidR="00B22203">
        <w:t>permissions</w:t>
      </w:r>
      <w:r w:rsidR="008E0030">
        <w:t xml:space="preserve">, </w:t>
      </w:r>
      <w:r w:rsidR="008E0030" w:rsidRPr="00C100FA">
        <w:t>derived from the Council’s planning records</w:t>
      </w:r>
      <w:r w:rsidR="00202BA2" w:rsidRPr="00C100FA">
        <w:t>.</w:t>
      </w:r>
      <w:r w:rsidR="004B41A2" w:rsidRPr="00C100FA">
        <w:t xml:space="preserve"> </w:t>
      </w:r>
      <w:r w:rsidR="00E1545D" w:rsidRPr="00C100FA">
        <w:t>The</w:t>
      </w:r>
      <w:r w:rsidR="004B41A2" w:rsidRPr="00C100FA">
        <w:t xml:space="preserve"> </w:t>
      </w:r>
      <w:r w:rsidR="00E1545D" w:rsidRPr="00C100FA">
        <w:t>historic</w:t>
      </w:r>
      <w:r w:rsidR="004B41A2" w:rsidRPr="00C100FA">
        <w:t xml:space="preserve"> </w:t>
      </w:r>
      <w:r w:rsidR="00E1545D" w:rsidRPr="00C100FA">
        <w:t>growth</w:t>
      </w:r>
      <w:r w:rsidR="004B41A2" w:rsidRPr="00C100FA">
        <w:t xml:space="preserve"> </w:t>
      </w:r>
      <w:r w:rsidRPr="00C100FA">
        <w:t>was</w:t>
      </w:r>
      <w:r w:rsidR="004B41A2" w:rsidRPr="00C100FA">
        <w:t xml:space="preserve"> </w:t>
      </w:r>
      <w:r w:rsidR="00E1545D" w:rsidRPr="00C100FA">
        <w:t>on</w:t>
      </w:r>
      <w:r w:rsidR="004B41A2" w:rsidRPr="00C100FA">
        <w:t xml:space="preserve"> </w:t>
      </w:r>
      <w:r w:rsidR="00E1545D" w:rsidRPr="00C100FA">
        <w:t>average</w:t>
      </w:r>
      <w:r w:rsidR="004B41A2" w:rsidRPr="00C100FA">
        <w:t xml:space="preserve"> </w:t>
      </w:r>
      <w:r w:rsidR="006771B4" w:rsidRPr="00C100FA">
        <w:t>around</w:t>
      </w:r>
      <w:r w:rsidR="004B41A2" w:rsidRPr="00C100FA">
        <w:t xml:space="preserve"> </w:t>
      </w:r>
      <w:r w:rsidR="006771B4" w:rsidRPr="00C100FA">
        <w:t>16,000</w:t>
      </w:r>
      <w:r w:rsidR="004B41A2" w:rsidRPr="00C100FA">
        <w:t xml:space="preserve"> </w:t>
      </w:r>
      <w:r w:rsidR="0021576F" w:rsidRPr="00C100FA">
        <w:t>sqm</w:t>
      </w:r>
      <w:r w:rsidR="00855CA6">
        <w:t xml:space="preserve"> </w:t>
      </w:r>
      <w:r w:rsidR="00B41955">
        <w:t xml:space="preserve">of </w:t>
      </w:r>
      <w:r w:rsidR="00B41955">
        <w:lastRenderedPageBreak/>
        <w:t xml:space="preserve">permissions </w:t>
      </w:r>
      <w:r w:rsidR="00E1545D" w:rsidRPr="00C100FA">
        <w:t>per</w:t>
      </w:r>
      <w:r w:rsidR="004B41A2" w:rsidRPr="00C100FA">
        <w:t xml:space="preserve"> </w:t>
      </w:r>
      <w:r w:rsidR="00E1545D" w:rsidRPr="00C100FA">
        <w:t>annum</w:t>
      </w:r>
      <w:r w:rsidR="00B41955">
        <w:t>,</w:t>
      </w:r>
      <w:r w:rsidRPr="00C100FA">
        <w:t xml:space="preserve">  adjusted to 12,000 sqm for </w:t>
      </w:r>
      <w:r w:rsidR="00425E7D" w:rsidRPr="00C100FA">
        <w:t xml:space="preserve">the more recent </w:t>
      </w:r>
      <w:r w:rsidR="00080927" w:rsidRPr="00C100FA">
        <w:t>post-recession</w:t>
      </w:r>
      <w:r w:rsidR="00425E7D" w:rsidRPr="00C100FA">
        <w:t xml:space="preserve"> period of </w:t>
      </w:r>
      <w:r w:rsidRPr="00C100FA">
        <w:t xml:space="preserve">2011 to 2016, leading to a recommendation of 240,000 sqm of additional glasshouse space or </w:t>
      </w:r>
      <w:r w:rsidR="000D2442" w:rsidRPr="00C100FA">
        <w:t xml:space="preserve">32 </w:t>
      </w:r>
      <w:r w:rsidRPr="00C100FA">
        <w:t>Ha of land</w:t>
      </w:r>
      <w:r w:rsidR="000D2442" w:rsidRPr="00C100FA">
        <w:t xml:space="preserve"> (for the 2016-36 period)</w:t>
      </w:r>
      <w:r w:rsidRPr="00C100FA">
        <w:t>.</w:t>
      </w:r>
      <w:r w:rsidR="009123A1" w:rsidRPr="00C100FA">
        <w:t xml:space="preserve"> This was based on an assumed 75% plot ratio</w:t>
      </w:r>
      <w:r w:rsidR="004E7C65">
        <w:t xml:space="preserve"> which is updated below based on more detailed data provided by the council</w:t>
      </w:r>
      <w:r w:rsidR="0072024E">
        <w:t>.</w:t>
      </w:r>
    </w:p>
    <w:p w:rsidR="00EB57BD" w:rsidRDefault="00EB57BD" w:rsidP="00954663">
      <w:pPr>
        <w:pStyle w:val="11Bodytext"/>
        <w:tabs>
          <w:tab w:val="clear" w:pos="2212"/>
          <w:tab w:val="num" w:pos="567"/>
        </w:tabs>
        <w:ind w:left="567" w:hanging="567"/>
      </w:pPr>
      <w:r>
        <w:t>As of April 2020</w:t>
      </w:r>
      <w:r w:rsidR="00855CA6">
        <w:t>,</w:t>
      </w:r>
      <w:r>
        <w:t xml:space="preserve"> </w:t>
      </w:r>
      <w:r w:rsidR="009A1FB6">
        <w:t xml:space="preserve">Chichester District Council has provided GL Hearn with a revised dataset for horticultural and related </w:t>
      </w:r>
      <w:r>
        <w:t>planning permissions dating back to 1993/4. These have been categorised by GL Hearn as ‘glasshouse’, ‘polytunnel</w:t>
      </w:r>
      <w:r w:rsidR="00855CA6">
        <w:t>/</w:t>
      </w:r>
      <w:r>
        <w:t xml:space="preserve">greenhouse’, ‘water storage’, ‘storage, distribution or packhouse’ and ‘other’. </w:t>
      </w:r>
      <w:r w:rsidR="00BC4756">
        <w:t xml:space="preserve">Where development is mixed the primary use type has been referenced. </w:t>
      </w:r>
      <w:r>
        <w:t xml:space="preserve">The data reports whether </w:t>
      </w:r>
      <w:r w:rsidR="003141CA">
        <w:t>the</w:t>
      </w:r>
      <w:r>
        <w:t xml:space="preserve"> development </w:t>
      </w:r>
      <w:r w:rsidR="003141CA">
        <w:t xml:space="preserve">is </w:t>
      </w:r>
      <w:r w:rsidR="008E0030">
        <w:t>within</w:t>
      </w:r>
      <w:r>
        <w:t xml:space="preserve"> a</w:t>
      </w:r>
      <w:r w:rsidR="00BC4756">
        <w:t>n</w:t>
      </w:r>
      <w:r>
        <w:t xml:space="preserve"> HD</w:t>
      </w:r>
      <w:r w:rsidR="00BD7975">
        <w:t>A</w:t>
      </w:r>
      <w:r>
        <w:t xml:space="preserve"> or not</w:t>
      </w:r>
      <w:r w:rsidR="00BD7975">
        <w:t xml:space="preserve"> and provides floorspace </w:t>
      </w:r>
      <w:r w:rsidR="00E23193">
        <w:t xml:space="preserve">areas for proposed developments </w:t>
      </w:r>
      <w:r w:rsidR="003141CA">
        <w:t>(</w:t>
      </w:r>
      <w:r w:rsidR="00E23193">
        <w:t>where provided by the applicants</w:t>
      </w:r>
      <w:r w:rsidR="003141CA">
        <w:t>)</w:t>
      </w:r>
      <w:r w:rsidR="00E23193">
        <w:t xml:space="preserve"> as well as </w:t>
      </w:r>
      <w:r w:rsidR="00BD7975">
        <w:t>total plot</w:t>
      </w:r>
      <w:r w:rsidR="00E23193">
        <w:t xml:space="preserve"> </w:t>
      </w:r>
      <w:r w:rsidR="00B22203">
        <w:t xml:space="preserve">size </w:t>
      </w:r>
      <w:r w:rsidR="00E23193">
        <w:t>details</w:t>
      </w:r>
      <w:r w:rsidR="004E7C65">
        <w:t xml:space="preserve">. It differentiates replacement from new floorspace, enabling a net position analysis. </w:t>
      </w:r>
      <w:r>
        <w:t xml:space="preserve"> </w:t>
      </w:r>
    </w:p>
    <w:p w:rsidR="004E7C65" w:rsidRDefault="004E7C65" w:rsidP="00954663">
      <w:pPr>
        <w:pStyle w:val="11Bodytext"/>
        <w:tabs>
          <w:tab w:val="clear" w:pos="2212"/>
          <w:tab w:val="num" w:pos="567"/>
        </w:tabs>
        <w:ind w:left="567" w:hanging="567"/>
      </w:pPr>
      <w:r w:rsidRPr="00103F19">
        <w:t xml:space="preserve">As the data relates to planning permissions some may be unimplemented (completions data </w:t>
      </w:r>
      <w:r>
        <w:t>is not monitored</w:t>
      </w:r>
      <w:r w:rsidRPr="00103F19">
        <w:t>)</w:t>
      </w:r>
      <w:r w:rsidR="00C3730E">
        <w:t xml:space="preserve">. The </w:t>
      </w:r>
      <w:r>
        <w:t xml:space="preserve">Council </w:t>
      </w:r>
      <w:r w:rsidR="00C3730E">
        <w:t xml:space="preserve">estimates that </w:t>
      </w:r>
      <w:r>
        <w:t>80%</w:t>
      </w:r>
      <w:r w:rsidR="00C3730E">
        <w:t xml:space="preserve"> of permissions are implemented</w:t>
      </w:r>
      <w:r>
        <w:t>.</w:t>
      </w:r>
      <w:r w:rsidRPr="00103F19">
        <w:t xml:space="preserve"> The figure below displays </w:t>
      </w:r>
      <w:r>
        <w:t xml:space="preserve">net development </w:t>
      </w:r>
      <w:r w:rsidRPr="00103F19">
        <w:t xml:space="preserve">floorspace </w:t>
      </w:r>
      <w:r>
        <w:t>(not plot area) reported in Ha</w:t>
      </w:r>
      <w:r w:rsidR="00C3730E">
        <w:t>. The figure reports</w:t>
      </w:r>
      <w:r>
        <w:t xml:space="preserve"> </w:t>
      </w:r>
      <w:r w:rsidRPr="00103F19">
        <w:t xml:space="preserve">permissions </w:t>
      </w:r>
      <w:r>
        <w:t>within</w:t>
      </w:r>
      <w:r w:rsidRPr="00103F19">
        <w:t xml:space="preserve"> HDAs</w:t>
      </w:r>
      <w:r>
        <w:t>,</w:t>
      </w:r>
      <w:r w:rsidRPr="00103F19">
        <w:t xml:space="preserve"> separating glasshouse and non</w:t>
      </w:r>
      <w:r>
        <w:t>-</w:t>
      </w:r>
      <w:r w:rsidRPr="00103F19">
        <w:t xml:space="preserve">glasshouse </w:t>
      </w:r>
      <w:r>
        <w:t>permissions, and outside of HDAs, which is almost exclusively non glasshouse but relates in particular to a series of large polytunnels permitted between 2006 and 2012</w:t>
      </w:r>
      <w:r w:rsidRPr="00103F19">
        <w:t xml:space="preserve">. </w:t>
      </w:r>
    </w:p>
    <w:p w:rsidR="00A6174E" w:rsidRPr="002962E5" w:rsidRDefault="00A6174E" w:rsidP="00D238E7">
      <w:pPr>
        <w:pStyle w:val="FigureHeading"/>
        <w:tabs>
          <w:tab w:val="clear" w:pos="794"/>
          <w:tab w:val="clear" w:pos="1843"/>
          <w:tab w:val="left" w:pos="0"/>
        </w:tabs>
        <w:ind w:left="0" w:firstLine="0"/>
      </w:pPr>
      <w:r>
        <w:lastRenderedPageBreak/>
        <w:t xml:space="preserve">Net Horticultural Planning Permissions </w:t>
      </w:r>
      <w:r w:rsidR="00C3730E">
        <w:t xml:space="preserve">Floorspace </w:t>
      </w:r>
      <w:r>
        <w:t>(HDAs) 1993 – 2020</w:t>
      </w:r>
    </w:p>
    <w:p w:rsidR="00A6174E" w:rsidRPr="002962E5" w:rsidRDefault="00A6174E" w:rsidP="00B93F3D">
      <w:pPr>
        <w:pStyle w:val="FigureHeading"/>
        <w:numPr>
          <w:ilvl w:val="0"/>
          <w:numId w:val="0"/>
        </w:numPr>
        <w:tabs>
          <w:tab w:val="clear" w:pos="794"/>
          <w:tab w:val="left" w:pos="0"/>
        </w:tabs>
        <w:rPr>
          <w:lang w:eastAsia="en-GB"/>
        </w:rPr>
      </w:pPr>
      <w:r>
        <w:rPr>
          <w:noProof/>
          <w:lang w:eastAsia="en-GB"/>
        </w:rPr>
        <w:drawing>
          <wp:inline distT="0" distB="0" distL="0" distR="0" wp14:anchorId="6C0E2A71" wp14:editId="767F288F">
            <wp:extent cx="6123600" cy="3618000"/>
            <wp:effectExtent l="0" t="0" r="10795" b="20955"/>
            <wp:docPr id="6" name="Chart 6" descr="Bar chart showing Horticultural completions data, comprising glasshouse, non-glasshouse HDA and non-HDA floorspace" title="Figure 70: Net Horticultural Planning Permissions Floorspace (HDAs) 1993 – 202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CBC934-EAD8-496D-BB10-5773C83163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A6174E" w:rsidRPr="00513337" w:rsidRDefault="00A6174E" w:rsidP="00D238E7">
      <w:pPr>
        <w:pStyle w:val="FigureHeading"/>
        <w:numPr>
          <w:ilvl w:val="0"/>
          <w:numId w:val="0"/>
        </w:numPr>
        <w:rPr>
          <w:b w:val="0"/>
          <w:bCs w:val="0"/>
        </w:rPr>
      </w:pPr>
      <w:r w:rsidRPr="00513337">
        <w:rPr>
          <w:b w:val="0"/>
          <w:bCs w:val="0"/>
        </w:rPr>
        <w:t>Source: Chichester District Council, GL Hearn analysis</w:t>
      </w:r>
    </w:p>
    <w:p w:rsidR="00A6174E" w:rsidRDefault="00130F32" w:rsidP="00954663">
      <w:pPr>
        <w:pStyle w:val="11Bodytext"/>
        <w:tabs>
          <w:tab w:val="clear" w:pos="2212"/>
          <w:tab w:val="num" w:pos="567"/>
        </w:tabs>
        <w:ind w:left="567" w:hanging="567"/>
      </w:pPr>
      <w:r w:rsidRPr="00080927">
        <w:t>The figure above indicates that the majority of horticultural development taking place in HDAs is glasshouse however the</w:t>
      </w:r>
      <w:r w:rsidR="00BF3D73" w:rsidRPr="00080927">
        <w:t xml:space="preserve"> </w:t>
      </w:r>
      <w:r w:rsidRPr="00080927">
        <w:t>other development</w:t>
      </w:r>
      <w:r w:rsidR="00BF3D73" w:rsidRPr="00080927">
        <w:t xml:space="preserve"> types also make a significant contribution.</w:t>
      </w:r>
      <w:r w:rsidRPr="00080927">
        <w:t xml:space="preserve"> </w:t>
      </w:r>
      <w:r w:rsidR="00080927" w:rsidRPr="00080927">
        <w:t>The largest glasshouse permissions were seen in</w:t>
      </w:r>
      <w:r w:rsidRPr="00080927">
        <w:t xml:space="preserve"> 2009 and 2014</w:t>
      </w:r>
      <w:r w:rsidR="00A6174E">
        <w:t>.</w:t>
      </w:r>
    </w:p>
    <w:p w:rsidR="00A6174E" w:rsidRDefault="00A6174E" w:rsidP="00954663">
      <w:pPr>
        <w:pStyle w:val="11Bodytext"/>
        <w:tabs>
          <w:tab w:val="clear" w:pos="2212"/>
          <w:tab w:val="num" w:pos="567"/>
        </w:tabs>
        <w:ind w:left="567" w:hanging="567"/>
      </w:pPr>
      <w:r w:rsidRPr="00080927">
        <w:t>The table below provides a more detailed breakdown of type and location of permissions. The figures are aggregated and annualised.</w:t>
      </w:r>
      <w:r>
        <w:t xml:space="preserve"> Hectare measurement is used for ease however </w:t>
      </w:r>
      <w:proofErr w:type="gramStart"/>
      <w:r>
        <w:t>this represents floorspace as provided by the Council and not plot</w:t>
      </w:r>
      <w:proofErr w:type="gramEnd"/>
      <w:r>
        <w:t xml:space="preserve"> area. For information the gross (with replacement) and net position is reported which indicates around half of glasshouses permissions are for replacement floorspace.</w:t>
      </w:r>
    </w:p>
    <w:p w:rsidR="00A6174E" w:rsidRPr="00A6174E" w:rsidRDefault="00A6174E" w:rsidP="00954663">
      <w:pPr>
        <w:pStyle w:val="11Bodytext"/>
        <w:tabs>
          <w:tab w:val="clear" w:pos="2212"/>
          <w:tab w:val="num" w:pos="567"/>
        </w:tabs>
        <w:ind w:left="567" w:hanging="567"/>
      </w:pPr>
      <w:r>
        <w:t xml:space="preserve">Note that land plot area totals are not included as application plot areas often refer to large areas of land that goes beyond what would normally be considered the plot curtilage for development. Reporting plot areas would lead to significant data distortions not least in the instances where reservoirs accompany water storage </w:t>
      </w:r>
      <w:r>
        <w:lastRenderedPageBreak/>
        <w:t>facilities.  Plot data is also missing in some instances or considered inaccurate as noted by the Council.</w:t>
      </w:r>
    </w:p>
    <w:p w:rsidR="00A6174E" w:rsidRPr="00CA47B9" w:rsidRDefault="00A6174E" w:rsidP="00D238E7">
      <w:pPr>
        <w:pStyle w:val="Tableheading"/>
        <w:tabs>
          <w:tab w:val="clear" w:pos="794"/>
          <w:tab w:val="clear" w:pos="1843"/>
          <w:tab w:val="left" w:pos="0"/>
        </w:tabs>
        <w:spacing w:line="240" w:lineRule="auto"/>
        <w:ind w:left="0" w:firstLine="0"/>
      </w:pPr>
      <w:r>
        <w:t xml:space="preserve">Horticultural Permissions 1993/4-2018/19 data (Floorspace reported in Ha) </w:t>
      </w:r>
    </w:p>
    <w:tbl>
      <w:tblPr>
        <w:tblStyle w:val="GLHearntable1"/>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65: Horticultural Permissions 1993/4-2018/19 data (Floorspace reported in Ha) "/>
      </w:tblPr>
      <w:tblGrid>
        <w:gridCol w:w="3686"/>
        <w:gridCol w:w="1702"/>
        <w:gridCol w:w="1559"/>
        <w:gridCol w:w="1558"/>
        <w:gridCol w:w="1133"/>
      </w:tblGrid>
      <w:tr w:rsidR="00A6174E" w:rsidRPr="00513337" w:rsidTr="00D238E7">
        <w:trPr>
          <w:cnfStyle w:val="100000000000" w:firstRow="1" w:lastRow="0" w:firstColumn="0" w:lastColumn="0" w:oddVBand="0" w:evenVBand="0" w:oddHBand="0" w:evenHBand="0" w:firstRowFirstColumn="0" w:firstRowLastColumn="0" w:lastRowFirstColumn="0" w:lastRowLastColumn="0"/>
          <w:trHeight w:val="223"/>
          <w:tblHeader/>
        </w:trPr>
        <w:tc>
          <w:tcPr>
            <w:cnfStyle w:val="001000000000" w:firstRow="0" w:lastRow="0" w:firstColumn="1" w:lastColumn="0" w:oddVBand="0" w:evenVBand="0" w:oddHBand="0" w:evenHBand="0" w:firstRowFirstColumn="0" w:firstRowLastColumn="0" w:lastRowFirstColumn="0" w:lastRowLastColumn="0"/>
            <w:tcW w:w="1912" w:type="pct"/>
            <w:noWrap/>
          </w:tcPr>
          <w:p w:rsidR="00A6174E" w:rsidRPr="00513337" w:rsidRDefault="00A6174E" w:rsidP="00513337">
            <w:pPr>
              <w:keepNext/>
              <w:spacing w:line="240" w:lineRule="auto"/>
              <w:rPr>
                <w:rFonts w:ascii="Arial Narrow" w:hAnsi="Arial Narrow"/>
                <w:b w:val="0"/>
                <w:bCs/>
                <w:sz w:val="24"/>
                <w:szCs w:val="24"/>
              </w:rPr>
            </w:pPr>
          </w:p>
        </w:tc>
        <w:tc>
          <w:tcPr>
            <w:tcW w:w="883" w:type="pct"/>
          </w:tcPr>
          <w:p w:rsidR="00A6174E" w:rsidRPr="00513337" w:rsidRDefault="00A6174E" w:rsidP="00513337">
            <w:pPr>
              <w:keepN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Cs/>
                <w:sz w:val="24"/>
                <w:szCs w:val="24"/>
              </w:rPr>
            </w:pPr>
          </w:p>
        </w:tc>
        <w:tc>
          <w:tcPr>
            <w:tcW w:w="809" w:type="pct"/>
            <w:noWrap/>
          </w:tcPr>
          <w:p w:rsidR="00A6174E" w:rsidRPr="00513337" w:rsidRDefault="00A6174E" w:rsidP="00513337">
            <w:pPr>
              <w:keepN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sz w:val="24"/>
                <w:szCs w:val="24"/>
              </w:rPr>
            </w:pPr>
            <w:r w:rsidRPr="00513337">
              <w:rPr>
                <w:rFonts w:ascii="Arial Narrow" w:hAnsi="Arial Narrow"/>
                <w:bCs/>
                <w:sz w:val="24"/>
                <w:szCs w:val="24"/>
              </w:rPr>
              <w:t>In HDA</w:t>
            </w:r>
          </w:p>
        </w:tc>
        <w:tc>
          <w:tcPr>
            <w:tcW w:w="808" w:type="pct"/>
          </w:tcPr>
          <w:p w:rsidR="00A6174E" w:rsidRPr="00513337" w:rsidRDefault="00A6174E" w:rsidP="00513337">
            <w:pPr>
              <w:keepN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sz w:val="24"/>
                <w:szCs w:val="24"/>
              </w:rPr>
            </w:pPr>
            <w:r w:rsidRPr="00513337">
              <w:rPr>
                <w:rFonts w:ascii="Arial Narrow" w:hAnsi="Arial Narrow"/>
                <w:bCs/>
                <w:sz w:val="24"/>
                <w:szCs w:val="24"/>
              </w:rPr>
              <w:t>Out HDA</w:t>
            </w:r>
          </w:p>
        </w:tc>
        <w:tc>
          <w:tcPr>
            <w:tcW w:w="588" w:type="pct"/>
          </w:tcPr>
          <w:p w:rsidR="00A6174E" w:rsidRPr="00513337" w:rsidRDefault="00A6174E" w:rsidP="00513337">
            <w:pPr>
              <w:keepN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sz w:val="24"/>
                <w:szCs w:val="24"/>
              </w:rPr>
            </w:pPr>
            <w:r w:rsidRPr="00513337">
              <w:rPr>
                <w:rFonts w:ascii="Arial Narrow" w:hAnsi="Arial Narrow"/>
                <w:bCs/>
                <w:sz w:val="24"/>
                <w:szCs w:val="24"/>
              </w:rPr>
              <w:t>Total*</w:t>
            </w:r>
          </w:p>
        </w:tc>
      </w:tr>
      <w:tr w:rsidR="00A6174E" w:rsidRPr="00513337" w:rsidTr="00C65DBC">
        <w:trPr>
          <w:trHeight w:val="244"/>
        </w:trPr>
        <w:tc>
          <w:tcPr>
            <w:cnfStyle w:val="001000000000" w:firstRow="0" w:lastRow="0" w:firstColumn="1" w:lastColumn="0" w:oddVBand="0" w:evenVBand="0" w:oddHBand="0" w:evenHBand="0" w:firstRowFirstColumn="0" w:firstRowLastColumn="0" w:lastRowFirstColumn="0" w:lastRowLastColumn="0"/>
            <w:tcW w:w="1912" w:type="pct"/>
            <w:tcBorders>
              <w:bottom w:val="single" w:sz="4" w:space="0" w:color="FFFFFF" w:themeColor="background1"/>
            </w:tcBorders>
            <w:shd w:val="clear" w:color="auto" w:fill="FFFFFF" w:themeFill="background1"/>
            <w:noWrap/>
            <w:vAlign w:val="center"/>
            <w:hideMark/>
          </w:tcPr>
          <w:p w:rsidR="00A6174E" w:rsidRPr="00513337" w:rsidRDefault="00A6174E" w:rsidP="00513337">
            <w:pPr>
              <w:keepNext/>
              <w:spacing w:line="240" w:lineRule="auto"/>
              <w:rPr>
                <w:rFonts w:ascii="Arial Narrow" w:hAnsi="Arial Narrow"/>
                <w:b w:val="0"/>
                <w:bCs/>
                <w:color w:val="000000"/>
                <w:sz w:val="24"/>
                <w:szCs w:val="24"/>
              </w:rPr>
            </w:pPr>
            <w:r w:rsidRPr="00513337">
              <w:rPr>
                <w:rFonts w:ascii="Arial Narrow" w:hAnsi="Arial Narrow"/>
                <w:b w:val="0"/>
                <w:bCs/>
                <w:color w:val="000000"/>
                <w:sz w:val="24"/>
                <w:szCs w:val="24"/>
              </w:rPr>
              <w:t>Glasshouse net</w:t>
            </w:r>
          </w:p>
        </w:tc>
        <w:tc>
          <w:tcPr>
            <w:tcW w:w="883" w:type="pct"/>
            <w:shd w:val="clear" w:color="auto" w:fill="FFFFFF" w:themeFill="background1"/>
            <w:vAlign w:val="center"/>
          </w:tcPr>
          <w:p w:rsidR="00A6174E" w:rsidRPr="00513337" w:rsidRDefault="00A6174E" w:rsidP="00D238E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513337">
              <w:rPr>
                <w:rFonts w:ascii="Arial Narrow" w:hAnsi="Arial Narrow"/>
                <w:sz w:val="24"/>
                <w:szCs w:val="24"/>
              </w:rPr>
              <w:t>Annual</w:t>
            </w:r>
          </w:p>
        </w:tc>
        <w:tc>
          <w:tcPr>
            <w:tcW w:w="809" w:type="pct"/>
            <w:shd w:val="clear" w:color="auto" w:fill="FFFFFF" w:themeFill="background1"/>
            <w:noWrap/>
            <w:vAlign w:val="center"/>
            <w:hideMark/>
          </w:tcPr>
          <w:p w:rsidR="00A6174E" w:rsidRPr="00513337" w:rsidRDefault="00A6174E" w:rsidP="00D238E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sz w:val="24"/>
                <w:szCs w:val="24"/>
              </w:rPr>
            </w:pPr>
            <w:r w:rsidRPr="00513337">
              <w:rPr>
                <w:rFonts w:ascii="Arial Narrow" w:hAnsi="Arial Narrow"/>
                <w:sz w:val="24"/>
                <w:szCs w:val="24"/>
              </w:rPr>
              <w:t>1.8</w:t>
            </w:r>
          </w:p>
        </w:tc>
        <w:tc>
          <w:tcPr>
            <w:tcW w:w="808" w:type="pct"/>
            <w:shd w:val="clear" w:color="auto" w:fill="FFFFFF" w:themeFill="background1"/>
            <w:vAlign w:val="center"/>
          </w:tcPr>
          <w:p w:rsidR="00A6174E" w:rsidRPr="00513337" w:rsidRDefault="00A6174E" w:rsidP="00D238E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4"/>
                <w:szCs w:val="24"/>
              </w:rPr>
            </w:pPr>
            <w:r w:rsidRPr="00513337">
              <w:rPr>
                <w:rFonts w:ascii="Arial Narrow" w:hAnsi="Arial Narrow"/>
                <w:sz w:val="24"/>
                <w:szCs w:val="24"/>
              </w:rPr>
              <w:t>0.2</w:t>
            </w:r>
          </w:p>
        </w:tc>
        <w:tc>
          <w:tcPr>
            <w:tcW w:w="588" w:type="pct"/>
            <w:shd w:val="clear" w:color="auto" w:fill="FFFFFF" w:themeFill="background1"/>
            <w:vAlign w:val="center"/>
          </w:tcPr>
          <w:p w:rsidR="00A6174E" w:rsidRPr="00513337" w:rsidRDefault="00A6174E" w:rsidP="00D238E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4"/>
                <w:szCs w:val="24"/>
              </w:rPr>
            </w:pPr>
            <w:r w:rsidRPr="00513337">
              <w:rPr>
                <w:rFonts w:ascii="Arial Narrow" w:hAnsi="Arial Narrow"/>
                <w:sz w:val="24"/>
                <w:szCs w:val="24"/>
              </w:rPr>
              <w:t>2.0</w:t>
            </w:r>
          </w:p>
        </w:tc>
      </w:tr>
      <w:tr w:rsidR="00A6174E" w:rsidRPr="00513337" w:rsidTr="00C65DBC">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12" w:type="pct"/>
            <w:tcBorders>
              <w:top w:val="single" w:sz="4" w:space="0" w:color="FFFFFF" w:themeColor="background1"/>
            </w:tcBorders>
            <w:shd w:val="clear" w:color="auto" w:fill="FFFFFF" w:themeFill="background1"/>
            <w:noWrap/>
            <w:vAlign w:val="center"/>
          </w:tcPr>
          <w:p w:rsidR="00A6174E" w:rsidRPr="00513337" w:rsidRDefault="00A6174E" w:rsidP="00513337">
            <w:pPr>
              <w:keepNext/>
              <w:spacing w:line="240" w:lineRule="auto"/>
              <w:rPr>
                <w:rFonts w:ascii="Arial Narrow" w:hAnsi="Arial Narrow"/>
                <w:b w:val="0"/>
                <w:bCs/>
                <w:color w:val="000000"/>
                <w:sz w:val="24"/>
                <w:szCs w:val="24"/>
              </w:rPr>
            </w:pPr>
          </w:p>
        </w:tc>
        <w:tc>
          <w:tcPr>
            <w:tcW w:w="883" w:type="pct"/>
            <w:shd w:val="clear" w:color="auto" w:fill="FFFFFF" w:themeFill="background1"/>
            <w:vAlign w:val="center"/>
          </w:tcPr>
          <w:p w:rsidR="00A6174E" w:rsidRPr="00513337" w:rsidRDefault="00A6174E" w:rsidP="00D238E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4"/>
                <w:szCs w:val="24"/>
              </w:rPr>
            </w:pPr>
            <w:r w:rsidRPr="00513337">
              <w:rPr>
                <w:rFonts w:ascii="Arial Narrow" w:hAnsi="Arial Narrow"/>
                <w:sz w:val="24"/>
                <w:szCs w:val="24"/>
              </w:rPr>
              <w:t>Total</w:t>
            </w:r>
          </w:p>
        </w:tc>
        <w:tc>
          <w:tcPr>
            <w:tcW w:w="809" w:type="pct"/>
            <w:shd w:val="clear" w:color="auto" w:fill="FFFFFF" w:themeFill="background1"/>
            <w:noWrap/>
            <w:vAlign w:val="center"/>
          </w:tcPr>
          <w:p w:rsidR="00A6174E" w:rsidRPr="00513337" w:rsidRDefault="009A2DFE" w:rsidP="00D238E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4"/>
                <w:szCs w:val="24"/>
              </w:rPr>
            </w:pPr>
            <w:r>
              <w:rPr>
                <w:rFonts w:ascii="Arial Narrow" w:hAnsi="Arial Narrow"/>
                <w:sz w:val="24"/>
                <w:szCs w:val="24"/>
              </w:rPr>
              <w:t>4</w:t>
            </w:r>
            <w:r w:rsidRPr="00513337">
              <w:rPr>
                <w:rFonts w:ascii="Arial Narrow" w:hAnsi="Arial Narrow"/>
                <w:sz w:val="24"/>
                <w:szCs w:val="24"/>
              </w:rPr>
              <w:t>9</w:t>
            </w:r>
            <w:r w:rsidR="00A6174E" w:rsidRPr="00513337">
              <w:rPr>
                <w:rFonts w:ascii="Arial Narrow" w:hAnsi="Arial Narrow"/>
                <w:sz w:val="24"/>
                <w:szCs w:val="24"/>
              </w:rPr>
              <w:t>.8</w:t>
            </w:r>
          </w:p>
        </w:tc>
        <w:tc>
          <w:tcPr>
            <w:tcW w:w="808" w:type="pct"/>
            <w:shd w:val="clear" w:color="auto" w:fill="FFFFFF" w:themeFill="background1"/>
            <w:vAlign w:val="center"/>
          </w:tcPr>
          <w:p w:rsidR="00A6174E" w:rsidRPr="00513337" w:rsidRDefault="00A6174E" w:rsidP="00D238E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4"/>
                <w:szCs w:val="24"/>
              </w:rPr>
            </w:pPr>
            <w:r w:rsidRPr="00513337">
              <w:rPr>
                <w:rFonts w:ascii="Arial Narrow" w:hAnsi="Arial Narrow"/>
                <w:sz w:val="24"/>
                <w:szCs w:val="24"/>
              </w:rPr>
              <w:t>4.6</w:t>
            </w:r>
          </w:p>
        </w:tc>
        <w:tc>
          <w:tcPr>
            <w:tcW w:w="588" w:type="pct"/>
            <w:shd w:val="clear" w:color="auto" w:fill="FFFFFF" w:themeFill="background1"/>
            <w:vAlign w:val="center"/>
          </w:tcPr>
          <w:p w:rsidR="00A6174E" w:rsidRPr="00513337" w:rsidRDefault="00A6174E" w:rsidP="00D238E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4"/>
                <w:szCs w:val="24"/>
              </w:rPr>
            </w:pPr>
            <w:r w:rsidRPr="00513337">
              <w:rPr>
                <w:rFonts w:ascii="Arial Narrow" w:hAnsi="Arial Narrow"/>
                <w:sz w:val="24"/>
                <w:szCs w:val="24"/>
              </w:rPr>
              <w:t>54.4</w:t>
            </w:r>
          </w:p>
        </w:tc>
      </w:tr>
      <w:tr w:rsidR="00A6174E" w:rsidRPr="00513337" w:rsidTr="00C65DBC">
        <w:trPr>
          <w:trHeight w:val="244"/>
        </w:trPr>
        <w:tc>
          <w:tcPr>
            <w:cnfStyle w:val="001000000000" w:firstRow="0" w:lastRow="0" w:firstColumn="1" w:lastColumn="0" w:oddVBand="0" w:evenVBand="0" w:oddHBand="0" w:evenHBand="0" w:firstRowFirstColumn="0" w:firstRowLastColumn="0" w:lastRowFirstColumn="0" w:lastRowLastColumn="0"/>
            <w:tcW w:w="1912" w:type="pct"/>
            <w:tcBorders>
              <w:bottom w:val="single" w:sz="4" w:space="0" w:color="FFFFFF" w:themeColor="background1"/>
            </w:tcBorders>
            <w:shd w:val="clear" w:color="auto" w:fill="FFFFFF" w:themeFill="background1"/>
            <w:noWrap/>
            <w:vAlign w:val="center"/>
          </w:tcPr>
          <w:p w:rsidR="00A6174E" w:rsidRPr="00513337" w:rsidRDefault="00A6174E" w:rsidP="00513337">
            <w:pPr>
              <w:keepNext/>
              <w:spacing w:line="240" w:lineRule="auto"/>
              <w:rPr>
                <w:rFonts w:ascii="Arial Narrow" w:hAnsi="Arial Narrow"/>
                <w:b w:val="0"/>
                <w:bCs/>
                <w:color w:val="000000"/>
                <w:sz w:val="24"/>
                <w:szCs w:val="24"/>
              </w:rPr>
            </w:pPr>
            <w:r w:rsidRPr="00513337">
              <w:rPr>
                <w:rFonts w:ascii="Arial Narrow" w:hAnsi="Arial Narrow"/>
                <w:b w:val="0"/>
                <w:bCs/>
                <w:color w:val="000000"/>
                <w:sz w:val="24"/>
                <w:szCs w:val="24"/>
              </w:rPr>
              <w:t>Glasshouse inc replacement</w:t>
            </w:r>
          </w:p>
        </w:tc>
        <w:tc>
          <w:tcPr>
            <w:tcW w:w="883" w:type="pct"/>
            <w:shd w:val="clear" w:color="auto" w:fill="FFFFFF" w:themeFill="background1"/>
            <w:vAlign w:val="center"/>
          </w:tcPr>
          <w:p w:rsidR="00A6174E" w:rsidRPr="00513337" w:rsidRDefault="00A6174E" w:rsidP="00D238E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513337">
              <w:rPr>
                <w:rFonts w:ascii="Arial Narrow" w:hAnsi="Arial Narrow"/>
                <w:sz w:val="24"/>
                <w:szCs w:val="24"/>
              </w:rPr>
              <w:t>Annual</w:t>
            </w:r>
          </w:p>
        </w:tc>
        <w:tc>
          <w:tcPr>
            <w:tcW w:w="809" w:type="pct"/>
            <w:shd w:val="clear" w:color="auto" w:fill="FFFFFF" w:themeFill="background1"/>
            <w:noWrap/>
            <w:vAlign w:val="center"/>
          </w:tcPr>
          <w:p w:rsidR="00A6174E" w:rsidRPr="00513337" w:rsidRDefault="00A6174E" w:rsidP="00D238E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513337">
              <w:rPr>
                <w:rFonts w:ascii="Arial Narrow" w:hAnsi="Arial Narrow"/>
                <w:sz w:val="24"/>
                <w:szCs w:val="24"/>
              </w:rPr>
              <w:t>3.1</w:t>
            </w:r>
          </w:p>
        </w:tc>
        <w:tc>
          <w:tcPr>
            <w:tcW w:w="808" w:type="pct"/>
            <w:shd w:val="clear" w:color="auto" w:fill="FFFFFF" w:themeFill="background1"/>
            <w:vAlign w:val="center"/>
          </w:tcPr>
          <w:p w:rsidR="00A6174E" w:rsidRPr="00513337" w:rsidRDefault="00A6174E" w:rsidP="00D238E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513337">
              <w:rPr>
                <w:rFonts w:ascii="Arial Narrow" w:hAnsi="Arial Narrow"/>
                <w:sz w:val="24"/>
                <w:szCs w:val="24"/>
              </w:rPr>
              <w:t>0.2</w:t>
            </w:r>
          </w:p>
        </w:tc>
        <w:tc>
          <w:tcPr>
            <w:tcW w:w="588" w:type="pct"/>
            <w:shd w:val="clear" w:color="auto" w:fill="FFFFFF" w:themeFill="background1"/>
            <w:vAlign w:val="center"/>
          </w:tcPr>
          <w:p w:rsidR="00A6174E" w:rsidRPr="00513337" w:rsidRDefault="00A6174E" w:rsidP="00D238E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513337">
              <w:rPr>
                <w:rFonts w:ascii="Arial Narrow" w:hAnsi="Arial Narrow"/>
                <w:sz w:val="24"/>
                <w:szCs w:val="24"/>
              </w:rPr>
              <w:t>3.3</w:t>
            </w:r>
          </w:p>
        </w:tc>
      </w:tr>
      <w:tr w:rsidR="00A6174E" w:rsidRPr="00513337" w:rsidTr="00C65DBC">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12" w:type="pct"/>
            <w:tcBorders>
              <w:top w:val="single" w:sz="4" w:space="0" w:color="FFFFFF" w:themeColor="background1"/>
            </w:tcBorders>
            <w:shd w:val="clear" w:color="auto" w:fill="FFFFFF" w:themeFill="background1"/>
            <w:noWrap/>
            <w:vAlign w:val="center"/>
          </w:tcPr>
          <w:p w:rsidR="00A6174E" w:rsidRPr="00513337" w:rsidRDefault="00A6174E" w:rsidP="00513337">
            <w:pPr>
              <w:keepNext/>
              <w:spacing w:line="240" w:lineRule="auto"/>
              <w:rPr>
                <w:rFonts w:ascii="Arial Narrow" w:hAnsi="Arial Narrow"/>
                <w:b w:val="0"/>
                <w:bCs/>
                <w:color w:val="000000"/>
                <w:sz w:val="24"/>
                <w:szCs w:val="24"/>
              </w:rPr>
            </w:pPr>
          </w:p>
        </w:tc>
        <w:tc>
          <w:tcPr>
            <w:tcW w:w="883" w:type="pct"/>
            <w:shd w:val="clear" w:color="auto" w:fill="FFFFFF" w:themeFill="background1"/>
            <w:vAlign w:val="center"/>
          </w:tcPr>
          <w:p w:rsidR="00A6174E" w:rsidRPr="00513337" w:rsidRDefault="00A6174E" w:rsidP="00D238E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4"/>
                <w:szCs w:val="24"/>
              </w:rPr>
            </w:pPr>
            <w:r w:rsidRPr="00513337">
              <w:rPr>
                <w:rFonts w:ascii="Arial Narrow" w:hAnsi="Arial Narrow"/>
                <w:sz w:val="24"/>
                <w:szCs w:val="24"/>
              </w:rPr>
              <w:t>Total</w:t>
            </w:r>
          </w:p>
        </w:tc>
        <w:tc>
          <w:tcPr>
            <w:tcW w:w="809" w:type="pct"/>
            <w:shd w:val="clear" w:color="auto" w:fill="FFFFFF" w:themeFill="background1"/>
            <w:noWrap/>
            <w:vAlign w:val="center"/>
          </w:tcPr>
          <w:p w:rsidR="00A6174E" w:rsidRPr="00513337" w:rsidRDefault="00A6174E" w:rsidP="00D238E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4"/>
                <w:szCs w:val="24"/>
              </w:rPr>
            </w:pPr>
            <w:r w:rsidRPr="00513337">
              <w:rPr>
                <w:rFonts w:ascii="Arial Narrow" w:hAnsi="Arial Narrow"/>
                <w:sz w:val="24"/>
                <w:szCs w:val="24"/>
              </w:rPr>
              <w:t>84.6</w:t>
            </w:r>
          </w:p>
        </w:tc>
        <w:tc>
          <w:tcPr>
            <w:tcW w:w="808" w:type="pct"/>
            <w:shd w:val="clear" w:color="auto" w:fill="FFFFFF" w:themeFill="background1"/>
            <w:vAlign w:val="center"/>
          </w:tcPr>
          <w:p w:rsidR="00A6174E" w:rsidRPr="00513337" w:rsidRDefault="00A6174E" w:rsidP="00D238E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4"/>
                <w:szCs w:val="24"/>
              </w:rPr>
            </w:pPr>
            <w:r w:rsidRPr="00513337">
              <w:rPr>
                <w:rFonts w:ascii="Arial Narrow" w:hAnsi="Arial Narrow"/>
                <w:sz w:val="24"/>
                <w:szCs w:val="24"/>
              </w:rPr>
              <w:t>6.5</w:t>
            </w:r>
          </w:p>
        </w:tc>
        <w:tc>
          <w:tcPr>
            <w:tcW w:w="588" w:type="pct"/>
            <w:shd w:val="clear" w:color="auto" w:fill="FFFFFF" w:themeFill="background1"/>
            <w:vAlign w:val="center"/>
          </w:tcPr>
          <w:p w:rsidR="00A6174E" w:rsidRPr="00513337" w:rsidRDefault="00A6174E" w:rsidP="00D238E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4"/>
                <w:szCs w:val="24"/>
              </w:rPr>
            </w:pPr>
            <w:r w:rsidRPr="00513337">
              <w:rPr>
                <w:rFonts w:ascii="Arial Narrow" w:hAnsi="Arial Narrow"/>
                <w:sz w:val="24"/>
                <w:szCs w:val="24"/>
              </w:rPr>
              <w:t>91.2</w:t>
            </w:r>
          </w:p>
        </w:tc>
      </w:tr>
      <w:tr w:rsidR="00A6174E" w:rsidRPr="00513337" w:rsidTr="00C65DBC">
        <w:trPr>
          <w:trHeight w:val="244"/>
        </w:trPr>
        <w:tc>
          <w:tcPr>
            <w:cnfStyle w:val="001000000000" w:firstRow="0" w:lastRow="0" w:firstColumn="1" w:lastColumn="0" w:oddVBand="0" w:evenVBand="0" w:oddHBand="0" w:evenHBand="0" w:firstRowFirstColumn="0" w:firstRowLastColumn="0" w:lastRowFirstColumn="0" w:lastRowLastColumn="0"/>
            <w:tcW w:w="1912" w:type="pct"/>
            <w:tcBorders>
              <w:bottom w:val="single" w:sz="4" w:space="0" w:color="FFFFFF" w:themeColor="background1"/>
            </w:tcBorders>
            <w:shd w:val="clear" w:color="auto" w:fill="FFFFFF" w:themeFill="background1"/>
            <w:noWrap/>
            <w:vAlign w:val="center"/>
            <w:hideMark/>
          </w:tcPr>
          <w:p w:rsidR="00A6174E" w:rsidRPr="00513337" w:rsidRDefault="00A6174E" w:rsidP="00513337">
            <w:pPr>
              <w:keepNext/>
              <w:spacing w:line="240" w:lineRule="auto"/>
              <w:rPr>
                <w:rFonts w:ascii="Arial Narrow" w:hAnsi="Arial Narrow"/>
                <w:b w:val="0"/>
                <w:bCs/>
                <w:color w:val="000000"/>
                <w:sz w:val="24"/>
                <w:szCs w:val="24"/>
              </w:rPr>
            </w:pPr>
            <w:r w:rsidRPr="00513337">
              <w:rPr>
                <w:rFonts w:ascii="Arial Narrow" w:hAnsi="Arial Narrow"/>
                <w:b w:val="0"/>
                <w:bCs/>
                <w:color w:val="000000"/>
                <w:sz w:val="24"/>
                <w:szCs w:val="24"/>
              </w:rPr>
              <w:t>Polytunnel / greenhouse</w:t>
            </w:r>
          </w:p>
        </w:tc>
        <w:tc>
          <w:tcPr>
            <w:tcW w:w="883" w:type="pct"/>
            <w:shd w:val="clear" w:color="auto" w:fill="FFFFFF" w:themeFill="background1"/>
            <w:vAlign w:val="center"/>
          </w:tcPr>
          <w:p w:rsidR="00A6174E" w:rsidRPr="00513337" w:rsidRDefault="00A6174E" w:rsidP="00D238E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513337">
              <w:rPr>
                <w:rFonts w:ascii="Arial Narrow" w:hAnsi="Arial Narrow"/>
                <w:sz w:val="24"/>
                <w:szCs w:val="24"/>
              </w:rPr>
              <w:t>Annual</w:t>
            </w:r>
          </w:p>
        </w:tc>
        <w:tc>
          <w:tcPr>
            <w:tcW w:w="809" w:type="pct"/>
            <w:shd w:val="clear" w:color="auto" w:fill="FFFFFF" w:themeFill="background1"/>
            <w:noWrap/>
            <w:vAlign w:val="center"/>
          </w:tcPr>
          <w:p w:rsidR="00A6174E" w:rsidRPr="00513337" w:rsidRDefault="00A6174E" w:rsidP="00D238E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sz w:val="24"/>
                <w:szCs w:val="24"/>
              </w:rPr>
            </w:pPr>
            <w:r w:rsidRPr="00513337">
              <w:rPr>
                <w:rFonts w:ascii="Arial Narrow" w:hAnsi="Arial Narrow"/>
                <w:bCs/>
                <w:color w:val="000000"/>
                <w:sz w:val="24"/>
                <w:szCs w:val="24"/>
              </w:rPr>
              <w:t>0.4</w:t>
            </w:r>
          </w:p>
        </w:tc>
        <w:tc>
          <w:tcPr>
            <w:tcW w:w="808" w:type="pct"/>
            <w:shd w:val="clear" w:color="auto" w:fill="FFFFFF" w:themeFill="background1"/>
            <w:vAlign w:val="center"/>
          </w:tcPr>
          <w:p w:rsidR="00A6174E" w:rsidRPr="00513337" w:rsidRDefault="00A6174E" w:rsidP="00D238E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4"/>
                <w:szCs w:val="24"/>
              </w:rPr>
            </w:pPr>
            <w:r w:rsidRPr="00513337">
              <w:rPr>
                <w:rFonts w:ascii="Arial Narrow" w:hAnsi="Arial Narrow"/>
                <w:bCs/>
                <w:sz w:val="24"/>
                <w:szCs w:val="24"/>
              </w:rPr>
              <w:t>4.6</w:t>
            </w:r>
          </w:p>
        </w:tc>
        <w:tc>
          <w:tcPr>
            <w:tcW w:w="588" w:type="pct"/>
            <w:shd w:val="clear" w:color="auto" w:fill="FFFFFF" w:themeFill="background1"/>
            <w:vAlign w:val="center"/>
          </w:tcPr>
          <w:p w:rsidR="00A6174E" w:rsidRPr="00513337" w:rsidRDefault="00A6174E" w:rsidP="00D238E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4"/>
                <w:szCs w:val="24"/>
              </w:rPr>
            </w:pPr>
            <w:r w:rsidRPr="00513337">
              <w:rPr>
                <w:rFonts w:ascii="Arial Narrow" w:hAnsi="Arial Narrow"/>
                <w:bCs/>
                <w:sz w:val="24"/>
                <w:szCs w:val="24"/>
              </w:rPr>
              <w:t>5.0</w:t>
            </w:r>
          </w:p>
        </w:tc>
      </w:tr>
      <w:tr w:rsidR="00A6174E" w:rsidRPr="00513337" w:rsidTr="00C65DBC">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12" w:type="pct"/>
            <w:tcBorders>
              <w:top w:val="single" w:sz="4" w:space="0" w:color="FFFFFF" w:themeColor="background1"/>
            </w:tcBorders>
            <w:shd w:val="clear" w:color="auto" w:fill="FFFFFF" w:themeFill="background1"/>
            <w:noWrap/>
            <w:vAlign w:val="center"/>
          </w:tcPr>
          <w:p w:rsidR="00A6174E" w:rsidRPr="00513337" w:rsidRDefault="00A6174E" w:rsidP="00513337">
            <w:pPr>
              <w:keepNext/>
              <w:spacing w:line="240" w:lineRule="auto"/>
              <w:rPr>
                <w:rFonts w:ascii="Arial Narrow" w:hAnsi="Arial Narrow"/>
                <w:b w:val="0"/>
                <w:bCs/>
                <w:color w:val="000000"/>
                <w:sz w:val="24"/>
                <w:szCs w:val="24"/>
              </w:rPr>
            </w:pPr>
          </w:p>
        </w:tc>
        <w:tc>
          <w:tcPr>
            <w:tcW w:w="883" w:type="pct"/>
            <w:shd w:val="clear" w:color="auto" w:fill="FFFFFF" w:themeFill="background1"/>
            <w:vAlign w:val="center"/>
          </w:tcPr>
          <w:p w:rsidR="00A6174E" w:rsidRPr="00513337" w:rsidRDefault="00A6174E" w:rsidP="00D238E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4"/>
                <w:szCs w:val="24"/>
              </w:rPr>
            </w:pPr>
            <w:r w:rsidRPr="00513337">
              <w:rPr>
                <w:rFonts w:ascii="Arial Narrow" w:hAnsi="Arial Narrow"/>
                <w:sz w:val="24"/>
                <w:szCs w:val="24"/>
              </w:rPr>
              <w:t>Total</w:t>
            </w:r>
          </w:p>
        </w:tc>
        <w:tc>
          <w:tcPr>
            <w:tcW w:w="809" w:type="pct"/>
            <w:shd w:val="clear" w:color="auto" w:fill="FFFFFF" w:themeFill="background1"/>
            <w:noWrap/>
            <w:vAlign w:val="center"/>
          </w:tcPr>
          <w:p w:rsidR="00A6174E" w:rsidRPr="00513337" w:rsidRDefault="00A6174E" w:rsidP="00D238E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4"/>
                <w:szCs w:val="24"/>
              </w:rPr>
            </w:pPr>
            <w:r w:rsidRPr="00513337">
              <w:rPr>
                <w:rFonts w:ascii="Arial Narrow" w:hAnsi="Arial Narrow"/>
                <w:sz w:val="24"/>
                <w:szCs w:val="24"/>
              </w:rPr>
              <w:t>10.3</w:t>
            </w:r>
          </w:p>
        </w:tc>
        <w:tc>
          <w:tcPr>
            <w:tcW w:w="808" w:type="pct"/>
            <w:shd w:val="clear" w:color="auto" w:fill="FFFFFF" w:themeFill="background1"/>
            <w:vAlign w:val="center"/>
          </w:tcPr>
          <w:p w:rsidR="00A6174E" w:rsidRPr="00513337" w:rsidRDefault="00A6174E" w:rsidP="00D238E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4"/>
                <w:szCs w:val="24"/>
              </w:rPr>
            </w:pPr>
            <w:r w:rsidRPr="00513337">
              <w:rPr>
                <w:rFonts w:ascii="Arial Narrow" w:hAnsi="Arial Narrow"/>
                <w:sz w:val="24"/>
                <w:szCs w:val="24"/>
              </w:rPr>
              <w:t>124.8</w:t>
            </w:r>
          </w:p>
        </w:tc>
        <w:tc>
          <w:tcPr>
            <w:tcW w:w="588" w:type="pct"/>
            <w:shd w:val="clear" w:color="auto" w:fill="FFFFFF" w:themeFill="background1"/>
            <w:vAlign w:val="center"/>
          </w:tcPr>
          <w:p w:rsidR="00A6174E" w:rsidRPr="00513337" w:rsidRDefault="00A6174E" w:rsidP="00D238E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4"/>
                <w:szCs w:val="24"/>
              </w:rPr>
            </w:pPr>
            <w:r w:rsidRPr="00513337">
              <w:rPr>
                <w:rFonts w:ascii="Arial Narrow" w:hAnsi="Arial Narrow"/>
                <w:sz w:val="24"/>
                <w:szCs w:val="24"/>
              </w:rPr>
              <w:t>135.1</w:t>
            </w:r>
          </w:p>
        </w:tc>
      </w:tr>
      <w:tr w:rsidR="00A6174E" w:rsidRPr="00513337" w:rsidTr="00C65DBC">
        <w:trPr>
          <w:trHeight w:val="244"/>
        </w:trPr>
        <w:tc>
          <w:tcPr>
            <w:cnfStyle w:val="001000000000" w:firstRow="0" w:lastRow="0" w:firstColumn="1" w:lastColumn="0" w:oddVBand="0" w:evenVBand="0" w:oddHBand="0" w:evenHBand="0" w:firstRowFirstColumn="0" w:firstRowLastColumn="0" w:lastRowFirstColumn="0" w:lastRowLastColumn="0"/>
            <w:tcW w:w="1912" w:type="pct"/>
            <w:tcBorders>
              <w:bottom w:val="single" w:sz="4" w:space="0" w:color="FFFFFF" w:themeColor="background1"/>
            </w:tcBorders>
            <w:shd w:val="clear" w:color="auto" w:fill="FFFFFF" w:themeFill="background1"/>
            <w:noWrap/>
            <w:vAlign w:val="center"/>
            <w:hideMark/>
          </w:tcPr>
          <w:p w:rsidR="00A6174E" w:rsidRPr="00513337" w:rsidRDefault="00A6174E" w:rsidP="00513337">
            <w:pPr>
              <w:keepNext/>
              <w:spacing w:line="240" w:lineRule="auto"/>
              <w:rPr>
                <w:rFonts w:ascii="Arial Narrow" w:hAnsi="Arial Narrow"/>
                <w:b w:val="0"/>
                <w:bCs/>
                <w:color w:val="000000"/>
                <w:sz w:val="24"/>
                <w:szCs w:val="24"/>
              </w:rPr>
            </w:pPr>
            <w:r w:rsidRPr="00513337">
              <w:rPr>
                <w:rFonts w:ascii="Arial Narrow" w:hAnsi="Arial Narrow"/>
                <w:b w:val="0"/>
                <w:bCs/>
                <w:color w:val="000000"/>
                <w:sz w:val="24"/>
                <w:szCs w:val="24"/>
              </w:rPr>
              <w:t>Water storage</w:t>
            </w:r>
          </w:p>
        </w:tc>
        <w:tc>
          <w:tcPr>
            <w:tcW w:w="883" w:type="pct"/>
            <w:shd w:val="clear" w:color="auto" w:fill="FFFFFF" w:themeFill="background1"/>
            <w:vAlign w:val="center"/>
          </w:tcPr>
          <w:p w:rsidR="00A6174E" w:rsidRPr="00513337" w:rsidRDefault="00A6174E" w:rsidP="00D238E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513337">
              <w:rPr>
                <w:rFonts w:ascii="Arial Narrow" w:hAnsi="Arial Narrow"/>
                <w:sz w:val="24"/>
                <w:szCs w:val="24"/>
              </w:rPr>
              <w:t>Annual</w:t>
            </w:r>
          </w:p>
        </w:tc>
        <w:tc>
          <w:tcPr>
            <w:tcW w:w="809" w:type="pct"/>
            <w:shd w:val="clear" w:color="auto" w:fill="FFFFFF" w:themeFill="background1"/>
            <w:noWrap/>
            <w:vAlign w:val="center"/>
            <w:hideMark/>
          </w:tcPr>
          <w:p w:rsidR="00A6174E" w:rsidRPr="00513337" w:rsidRDefault="00A6174E" w:rsidP="00D238E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sz w:val="24"/>
                <w:szCs w:val="24"/>
              </w:rPr>
            </w:pPr>
            <w:r w:rsidRPr="00513337">
              <w:rPr>
                <w:rFonts w:ascii="Arial Narrow" w:hAnsi="Arial Narrow"/>
                <w:sz w:val="24"/>
                <w:szCs w:val="24"/>
              </w:rPr>
              <w:t>0.1</w:t>
            </w:r>
          </w:p>
        </w:tc>
        <w:tc>
          <w:tcPr>
            <w:tcW w:w="808" w:type="pct"/>
            <w:shd w:val="clear" w:color="auto" w:fill="FFFFFF" w:themeFill="background1"/>
            <w:vAlign w:val="center"/>
          </w:tcPr>
          <w:p w:rsidR="00A6174E" w:rsidRPr="00513337" w:rsidRDefault="00A6174E" w:rsidP="00D238E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4"/>
                <w:szCs w:val="24"/>
              </w:rPr>
            </w:pPr>
            <w:r w:rsidRPr="00513337">
              <w:rPr>
                <w:rFonts w:ascii="Arial Narrow" w:hAnsi="Arial Narrow"/>
                <w:sz w:val="24"/>
                <w:szCs w:val="24"/>
              </w:rPr>
              <w:t>1.4</w:t>
            </w:r>
          </w:p>
        </w:tc>
        <w:tc>
          <w:tcPr>
            <w:tcW w:w="588" w:type="pct"/>
            <w:shd w:val="clear" w:color="auto" w:fill="FFFFFF" w:themeFill="background1"/>
            <w:vAlign w:val="center"/>
          </w:tcPr>
          <w:p w:rsidR="00A6174E" w:rsidRPr="00513337" w:rsidRDefault="00A6174E" w:rsidP="00D238E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4"/>
                <w:szCs w:val="24"/>
              </w:rPr>
            </w:pPr>
            <w:r w:rsidRPr="00513337">
              <w:rPr>
                <w:rFonts w:ascii="Arial Narrow" w:hAnsi="Arial Narrow"/>
                <w:bCs/>
                <w:sz w:val="24"/>
                <w:szCs w:val="24"/>
              </w:rPr>
              <w:t>1.5</w:t>
            </w:r>
          </w:p>
        </w:tc>
      </w:tr>
      <w:tr w:rsidR="00A6174E" w:rsidRPr="00513337" w:rsidTr="00C65DBC">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12" w:type="pct"/>
            <w:tcBorders>
              <w:top w:val="single" w:sz="4" w:space="0" w:color="FFFFFF" w:themeColor="background1"/>
            </w:tcBorders>
            <w:shd w:val="clear" w:color="auto" w:fill="FFFFFF" w:themeFill="background1"/>
            <w:noWrap/>
            <w:vAlign w:val="center"/>
          </w:tcPr>
          <w:p w:rsidR="00A6174E" w:rsidRPr="00513337" w:rsidRDefault="00A6174E" w:rsidP="00513337">
            <w:pPr>
              <w:keepNext/>
              <w:spacing w:line="240" w:lineRule="auto"/>
              <w:rPr>
                <w:rFonts w:ascii="Arial Narrow" w:hAnsi="Arial Narrow"/>
                <w:b w:val="0"/>
                <w:bCs/>
                <w:color w:val="000000"/>
                <w:sz w:val="24"/>
                <w:szCs w:val="24"/>
              </w:rPr>
            </w:pPr>
          </w:p>
        </w:tc>
        <w:tc>
          <w:tcPr>
            <w:tcW w:w="883" w:type="pct"/>
            <w:shd w:val="clear" w:color="auto" w:fill="FFFFFF" w:themeFill="background1"/>
            <w:vAlign w:val="center"/>
          </w:tcPr>
          <w:p w:rsidR="00A6174E" w:rsidRPr="00513337" w:rsidRDefault="00A6174E" w:rsidP="00D238E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4"/>
                <w:szCs w:val="24"/>
              </w:rPr>
            </w:pPr>
            <w:r w:rsidRPr="00513337">
              <w:rPr>
                <w:rFonts w:ascii="Arial Narrow" w:hAnsi="Arial Narrow"/>
                <w:sz w:val="24"/>
                <w:szCs w:val="24"/>
              </w:rPr>
              <w:t>Total</w:t>
            </w:r>
          </w:p>
        </w:tc>
        <w:tc>
          <w:tcPr>
            <w:tcW w:w="809" w:type="pct"/>
            <w:shd w:val="clear" w:color="auto" w:fill="FFFFFF" w:themeFill="background1"/>
            <w:noWrap/>
            <w:vAlign w:val="center"/>
          </w:tcPr>
          <w:p w:rsidR="00A6174E" w:rsidRPr="00513337" w:rsidRDefault="00A6174E" w:rsidP="00D238E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4"/>
                <w:szCs w:val="24"/>
              </w:rPr>
            </w:pPr>
            <w:r w:rsidRPr="00513337">
              <w:rPr>
                <w:rFonts w:ascii="Arial Narrow" w:hAnsi="Arial Narrow"/>
                <w:sz w:val="24"/>
                <w:szCs w:val="24"/>
              </w:rPr>
              <w:t>4.0</w:t>
            </w:r>
          </w:p>
        </w:tc>
        <w:tc>
          <w:tcPr>
            <w:tcW w:w="808" w:type="pct"/>
            <w:shd w:val="clear" w:color="auto" w:fill="FFFFFF" w:themeFill="background1"/>
            <w:vAlign w:val="center"/>
          </w:tcPr>
          <w:p w:rsidR="00A6174E" w:rsidRPr="00513337" w:rsidRDefault="00A6174E" w:rsidP="00D238E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4"/>
                <w:szCs w:val="24"/>
              </w:rPr>
            </w:pPr>
            <w:r w:rsidRPr="00513337">
              <w:rPr>
                <w:rFonts w:ascii="Arial Narrow" w:hAnsi="Arial Narrow"/>
                <w:sz w:val="24"/>
                <w:szCs w:val="24"/>
              </w:rPr>
              <w:t>37.2</w:t>
            </w:r>
          </w:p>
        </w:tc>
        <w:tc>
          <w:tcPr>
            <w:tcW w:w="588" w:type="pct"/>
            <w:shd w:val="clear" w:color="auto" w:fill="FFFFFF" w:themeFill="background1"/>
            <w:vAlign w:val="center"/>
          </w:tcPr>
          <w:p w:rsidR="00A6174E" w:rsidRPr="00513337" w:rsidRDefault="00A6174E" w:rsidP="00D238E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4"/>
                <w:szCs w:val="24"/>
              </w:rPr>
            </w:pPr>
            <w:r w:rsidRPr="00513337">
              <w:rPr>
                <w:rFonts w:ascii="Arial Narrow" w:hAnsi="Arial Narrow"/>
                <w:sz w:val="24"/>
                <w:szCs w:val="24"/>
              </w:rPr>
              <w:t>41.2</w:t>
            </w:r>
          </w:p>
        </w:tc>
      </w:tr>
      <w:tr w:rsidR="00A6174E" w:rsidRPr="00513337" w:rsidTr="00C65DBC">
        <w:trPr>
          <w:trHeight w:val="244"/>
        </w:trPr>
        <w:tc>
          <w:tcPr>
            <w:cnfStyle w:val="001000000000" w:firstRow="0" w:lastRow="0" w:firstColumn="1" w:lastColumn="0" w:oddVBand="0" w:evenVBand="0" w:oddHBand="0" w:evenHBand="0" w:firstRowFirstColumn="0" w:firstRowLastColumn="0" w:lastRowFirstColumn="0" w:lastRowLastColumn="0"/>
            <w:tcW w:w="1912" w:type="pct"/>
            <w:tcBorders>
              <w:bottom w:val="single" w:sz="4" w:space="0" w:color="FFFFFF" w:themeColor="background1"/>
            </w:tcBorders>
            <w:shd w:val="clear" w:color="auto" w:fill="FFFFFF" w:themeFill="background1"/>
            <w:noWrap/>
            <w:vAlign w:val="center"/>
            <w:hideMark/>
          </w:tcPr>
          <w:p w:rsidR="00A6174E" w:rsidRPr="00513337" w:rsidRDefault="00A6174E" w:rsidP="00513337">
            <w:pPr>
              <w:keepNext/>
              <w:spacing w:line="240" w:lineRule="auto"/>
              <w:rPr>
                <w:rFonts w:ascii="Arial Narrow" w:hAnsi="Arial Narrow"/>
                <w:b w:val="0"/>
                <w:bCs/>
                <w:color w:val="000000"/>
                <w:sz w:val="24"/>
                <w:szCs w:val="24"/>
              </w:rPr>
            </w:pPr>
            <w:r w:rsidRPr="00513337">
              <w:rPr>
                <w:rFonts w:ascii="Arial Narrow" w:hAnsi="Arial Narrow"/>
                <w:b w:val="0"/>
                <w:bCs/>
                <w:color w:val="000000"/>
                <w:sz w:val="24"/>
                <w:szCs w:val="24"/>
              </w:rPr>
              <w:t>Storage, distribution or packhouse</w:t>
            </w:r>
          </w:p>
        </w:tc>
        <w:tc>
          <w:tcPr>
            <w:tcW w:w="883" w:type="pct"/>
            <w:shd w:val="clear" w:color="auto" w:fill="FFFFFF" w:themeFill="background1"/>
            <w:vAlign w:val="center"/>
          </w:tcPr>
          <w:p w:rsidR="00A6174E" w:rsidRPr="00513337" w:rsidRDefault="00A6174E" w:rsidP="00D238E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513337">
              <w:rPr>
                <w:rFonts w:ascii="Arial Narrow" w:hAnsi="Arial Narrow"/>
                <w:sz w:val="24"/>
                <w:szCs w:val="24"/>
              </w:rPr>
              <w:t>Annual</w:t>
            </w:r>
          </w:p>
        </w:tc>
        <w:tc>
          <w:tcPr>
            <w:tcW w:w="809" w:type="pct"/>
            <w:shd w:val="clear" w:color="auto" w:fill="FFFFFF" w:themeFill="background1"/>
            <w:noWrap/>
            <w:vAlign w:val="center"/>
            <w:hideMark/>
          </w:tcPr>
          <w:p w:rsidR="00A6174E" w:rsidRPr="00513337" w:rsidRDefault="00A6174E" w:rsidP="00D238E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sz w:val="24"/>
                <w:szCs w:val="24"/>
              </w:rPr>
            </w:pPr>
            <w:r w:rsidRPr="00513337">
              <w:rPr>
                <w:rFonts w:ascii="Arial Narrow" w:hAnsi="Arial Narrow"/>
                <w:sz w:val="24"/>
                <w:szCs w:val="24"/>
              </w:rPr>
              <w:t>0.4</w:t>
            </w:r>
          </w:p>
        </w:tc>
        <w:tc>
          <w:tcPr>
            <w:tcW w:w="808" w:type="pct"/>
            <w:shd w:val="clear" w:color="auto" w:fill="FFFFFF" w:themeFill="background1"/>
            <w:vAlign w:val="center"/>
          </w:tcPr>
          <w:p w:rsidR="00A6174E" w:rsidRPr="00513337" w:rsidRDefault="00A6174E" w:rsidP="00D238E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4"/>
                <w:szCs w:val="24"/>
              </w:rPr>
            </w:pPr>
            <w:r w:rsidRPr="00513337">
              <w:rPr>
                <w:rFonts w:ascii="Arial Narrow" w:hAnsi="Arial Narrow"/>
                <w:sz w:val="24"/>
                <w:szCs w:val="24"/>
              </w:rPr>
              <w:t>0.1</w:t>
            </w:r>
          </w:p>
        </w:tc>
        <w:tc>
          <w:tcPr>
            <w:tcW w:w="588" w:type="pct"/>
            <w:shd w:val="clear" w:color="auto" w:fill="FFFFFF" w:themeFill="background1"/>
            <w:vAlign w:val="center"/>
          </w:tcPr>
          <w:p w:rsidR="00A6174E" w:rsidRPr="00513337" w:rsidRDefault="00A6174E" w:rsidP="00D238E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4"/>
                <w:szCs w:val="24"/>
              </w:rPr>
            </w:pPr>
            <w:r w:rsidRPr="00513337">
              <w:rPr>
                <w:rFonts w:ascii="Arial Narrow" w:hAnsi="Arial Narrow"/>
                <w:sz w:val="24"/>
                <w:szCs w:val="24"/>
              </w:rPr>
              <w:t>0.5</w:t>
            </w:r>
          </w:p>
        </w:tc>
      </w:tr>
      <w:tr w:rsidR="00A6174E" w:rsidRPr="00513337" w:rsidTr="00C65DBC">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12" w:type="pct"/>
            <w:tcBorders>
              <w:top w:val="single" w:sz="4" w:space="0" w:color="FFFFFF" w:themeColor="background1"/>
            </w:tcBorders>
            <w:shd w:val="clear" w:color="auto" w:fill="FFFFFF" w:themeFill="background1"/>
            <w:noWrap/>
            <w:vAlign w:val="center"/>
          </w:tcPr>
          <w:p w:rsidR="00A6174E" w:rsidRPr="00513337" w:rsidRDefault="00A6174E" w:rsidP="00513337">
            <w:pPr>
              <w:keepNext/>
              <w:spacing w:line="240" w:lineRule="auto"/>
              <w:rPr>
                <w:rFonts w:ascii="Arial Narrow" w:hAnsi="Arial Narrow"/>
                <w:b w:val="0"/>
                <w:bCs/>
                <w:color w:val="000000"/>
                <w:sz w:val="24"/>
                <w:szCs w:val="24"/>
              </w:rPr>
            </w:pPr>
          </w:p>
        </w:tc>
        <w:tc>
          <w:tcPr>
            <w:tcW w:w="883" w:type="pct"/>
            <w:shd w:val="clear" w:color="auto" w:fill="FFFFFF" w:themeFill="background1"/>
            <w:vAlign w:val="center"/>
          </w:tcPr>
          <w:p w:rsidR="00A6174E" w:rsidRPr="00513337" w:rsidRDefault="00A6174E" w:rsidP="00D238E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4"/>
                <w:szCs w:val="24"/>
              </w:rPr>
            </w:pPr>
            <w:r w:rsidRPr="00513337">
              <w:rPr>
                <w:rFonts w:ascii="Arial Narrow" w:hAnsi="Arial Narrow"/>
                <w:sz w:val="24"/>
                <w:szCs w:val="24"/>
              </w:rPr>
              <w:t>Total</w:t>
            </w:r>
          </w:p>
        </w:tc>
        <w:tc>
          <w:tcPr>
            <w:tcW w:w="809" w:type="pct"/>
            <w:shd w:val="clear" w:color="auto" w:fill="FFFFFF" w:themeFill="background1"/>
            <w:noWrap/>
            <w:vAlign w:val="center"/>
          </w:tcPr>
          <w:p w:rsidR="00A6174E" w:rsidRPr="00513337" w:rsidRDefault="00A6174E" w:rsidP="00D238E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4"/>
                <w:szCs w:val="24"/>
              </w:rPr>
            </w:pPr>
            <w:r w:rsidRPr="00513337">
              <w:rPr>
                <w:rFonts w:ascii="Arial Narrow" w:hAnsi="Arial Narrow"/>
                <w:sz w:val="24"/>
                <w:szCs w:val="24"/>
              </w:rPr>
              <w:t>9.9</w:t>
            </w:r>
          </w:p>
        </w:tc>
        <w:tc>
          <w:tcPr>
            <w:tcW w:w="808" w:type="pct"/>
            <w:shd w:val="clear" w:color="auto" w:fill="FFFFFF" w:themeFill="background1"/>
            <w:vAlign w:val="center"/>
          </w:tcPr>
          <w:p w:rsidR="00A6174E" w:rsidRPr="00513337" w:rsidRDefault="00A6174E" w:rsidP="00D238E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4"/>
                <w:szCs w:val="24"/>
              </w:rPr>
            </w:pPr>
            <w:r w:rsidRPr="00513337">
              <w:rPr>
                <w:rFonts w:ascii="Arial Narrow" w:hAnsi="Arial Narrow"/>
                <w:sz w:val="24"/>
                <w:szCs w:val="24"/>
              </w:rPr>
              <w:t>2.5</w:t>
            </w:r>
          </w:p>
        </w:tc>
        <w:tc>
          <w:tcPr>
            <w:tcW w:w="588" w:type="pct"/>
            <w:shd w:val="clear" w:color="auto" w:fill="FFFFFF" w:themeFill="background1"/>
            <w:vAlign w:val="center"/>
          </w:tcPr>
          <w:p w:rsidR="00A6174E" w:rsidRPr="00513337" w:rsidRDefault="00A6174E" w:rsidP="00D238E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4"/>
                <w:szCs w:val="24"/>
              </w:rPr>
            </w:pPr>
            <w:r w:rsidRPr="00513337">
              <w:rPr>
                <w:rFonts w:ascii="Arial Narrow" w:hAnsi="Arial Narrow"/>
                <w:sz w:val="24"/>
                <w:szCs w:val="24"/>
              </w:rPr>
              <w:t>12.7</w:t>
            </w:r>
          </w:p>
        </w:tc>
      </w:tr>
      <w:tr w:rsidR="00A6174E" w:rsidRPr="00513337" w:rsidTr="00C65DBC">
        <w:trPr>
          <w:trHeight w:val="244"/>
        </w:trPr>
        <w:tc>
          <w:tcPr>
            <w:cnfStyle w:val="001000000000" w:firstRow="0" w:lastRow="0" w:firstColumn="1" w:lastColumn="0" w:oddVBand="0" w:evenVBand="0" w:oddHBand="0" w:evenHBand="0" w:firstRowFirstColumn="0" w:firstRowLastColumn="0" w:lastRowFirstColumn="0" w:lastRowLastColumn="0"/>
            <w:tcW w:w="1912" w:type="pct"/>
            <w:tcBorders>
              <w:bottom w:val="single" w:sz="4" w:space="0" w:color="FFFFFF" w:themeColor="background1"/>
            </w:tcBorders>
            <w:shd w:val="clear" w:color="auto" w:fill="FFFFFF" w:themeFill="background1"/>
            <w:noWrap/>
            <w:vAlign w:val="center"/>
          </w:tcPr>
          <w:p w:rsidR="00A6174E" w:rsidRPr="00513337" w:rsidRDefault="00A6174E" w:rsidP="00513337">
            <w:pPr>
              <w:keepNext/>
              <w:spacing w:line="240" w:lineRule="auto"/>
              <w:rPr>
                <w:rFonts w:ascii="Arial Narrow" w:hAnsi="Arial Narrow"/>
                <w:b w:val="0"/>
                <w:bCs/>
                <w:color w:val="000000"/>
                <w:sz w:val="24"/>
                <w:szCs w:val="24"/>
              </w:rPr>
            </w:pPr>
            <w:r w:rsidRPr="00513337">
              <w:rPr>
                <w:rFonts w:ascii="Arial Narrow" w:hAnsi="Arial Narrow"/>
                <w:b w:val="0"/>
                <w:bCs/>
                <w:color w:val="000000"/>
                <w:sz w:val="24"/>
                <w:szCs w:val="24"/>
              </w:rPr>
              <w:t>Other</w:t>
            </w:r>
          </w:p>
        </w:tc>
        <w:tc>
          <w:tcPr>
            <w:tcW w:w="883" w:type="pct"/>
            <w:shd w:val="clear" w:color="auto" w:fill="FFFFFF" w:themeFill="background1"/>
            <w:vAlign w:val="center"/>
          </w:tcPr>
          <w:p w:rsidR="00A6174E" w:rsidRPr="00513337" w:rsidRDefault="00A6174E" w:rsidP="00D238E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513337">
              <w:rPr>
                <w:rFonts w:ascii="Arial Narrow" w:hAnsi="Arial Narrow"/>
                <w:sz w:val="24"/>
                <w:szCs w:val="24"/>
              </w:rPr>
              <w:t>Annual</w:t>
            </w:r>
          </w:p>
        </w:tc>
        <w:tc>
          <w:tcPr>
            <w:tcW w:w="809" w:type="pct"/>
            <w:shd w:val="clear" w:color="auto" w:fill="FFFFFF" w:themeFill="background1"/>
            <w:noWrap/>
            <w:vAlign w:val="center"/>
          </w:tcPr>
          <w:p w:rsidR="00A6174E" w:rsidRPr="00513337" w:rsidRDefault="00A6174E" w:rsidP="00D238E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513337">
              <w:rPr>
                <w:rFonts w:ascii="Arial Narrow" w:hAnsi="Arial Narrow"/>
                <w:sz w:val="24"/>
                <w:szCs w:val="24"/>
              </w:rPr>
              <w:t>0.2</w:t>
            </w:r>
          </w:p>
        </w:tc>
        <w:tc>
          <w:tcPr>
            <w:tcW w:w="808" w:type="pct"/>
            <w:shd w:val="clear" w:color="auto" w:fill="FFFFFF" w:themeFill="background1"/>
            <w:vAlign w:val="center"/>
          </w:tcPr>
          <w:p w:rsidR="00A6174E" w:rsidRPr="00513337" w:rsidRDefault="00A6174E" w:rsidP="00D238E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513337">
              <w:rPr>
                <w:rFonts w:ascii="Arial Narrow" w:hAnsi="Arial Narrow"/>
                <w:sz w:val="24"/>
                <w:szCs w:val="24"/>
              </w:rPr>
              <w:t>0.5</w:t>
            </w:r>
          </w:p>
        </w:tc>
        <w:tc>
          <w:tcPr>
            <w:tcW w:w="588" w:type="pct"/>
            <w:shd w:val="clear" w:color="auto" w:fill="FFFFFF" w:themeFill="background1"/>
            <w:vAlign w:val="center"/>
          </w:tcPr>
          <w:p w:rsidR="00A6174E" w:rsidRPr="00513337" w:rsidRDefault="00A6174E" w:rsidP="00D238E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513337">
              <w:rPr>
                <w:rFonts w:ascii="Arial Narrow" w:hAnsi="Arial Narrow"/>
                <w:sz w:val="24"/>
                <w:szCs w:val="24"/>
              </w:rPr>
              <w:t>0.7</w:t>
            </w:r>
          </w:p>
        </w:tc>
      </w:tr>
      <w:tr w:rsidR="00A6174E" w:rsidRPr="00513337" w:rsidTr="00C65DBC">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12" w:type="pct"/>
            <w:tcBorders>
              <w:top w:val="single" w:sz="4" w:space="0" w:color="FFFFFF" w:themeColor="background1"/>
            </w:tcBorders>
            <w:shd w:val="clear" w:color="auto" w:fill="FFFFFF" w:themeFill="background1"/>
            <w:noWrap/>
            <w:vAlign w:val="center"/>
          </w:tcPr>
          <w:p w:rsidR="00A6174E" w:rsidRPr="00513337" w:rsidRDefault="00A6174E" w:rsidP="00513337">
            <w:pPr>
              <w:keepNext/>
              <w:spacing w:line="240" w:lineRule="auto"/>
              <w:rPr>
                <w:rFonts w:ascii="Arial Narrow" w:hAnsi="Arial Narrow"/>
                <w:b w:val="0"/>
                <w:bCs/>
                <w:color w:val="000000"/>
                <w:sz w:val="24"/>
                <w:szCs w:val="24"/>
              </w:rPr>
            </w:pPr>
          </w:p>
        </w:tc>
        <w:tc>
          <w:tcPr>
            <w:tcW w:w="883" w:type="pct"/>
            <w:shd w:val="clear" w:color="auto" w:fill="FFFFFF" w:themeFill="background1"/>
            <w:vAlign w:val="center"/>
          </w:tcPr>
          <w:p w:rsidR="00A6174E" w:rsidRPr="00513337" w:rsidRDefault="00A6174E" w:rsidP="00D238E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4"/>
                <w:szCs w:val="24"/>
              </w:rPr>
            </w:pPr>
            <w:r w:rsidRPr="00513337">
              <w:rPr>
                <w:rFonts w:ascii="Arial Narrow" w:hAnsi="Arial Narrow"/>
                <w:sz w:val="24"/>
                <w:szCs w:val="24"/>
              </w:rPr>
              <w:t>Total</w:t>
            </w:r>
          </w:p>
        </w:tc>
        <w:tc>
          <w:tcPr>
            <w:tcW w:w="809" w:type="pct"/>
            <w:shd w:val="clear" w:color="auto" w:fill="FFFFFF" w:themeFill="background1"/>
            <w:noWrap/>
            <w:vAlign w:val="center"/>
          </w:tcPr>
          <w:p w:rsidR="00A6174E" w:rsidRPr="00513337" w:rsidRDefault="00A6174E" w:rsidP="00D238E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4"/>
                <w:szCs w:val="24"/>
              </w:rPr>
            </w:pPr>
            <w:r w:rsidRPr="00513337">
              <w:rPr>
                <w:rFonts w:ascii="Arial Narrow" w:hAnsi="Arial Narrow"/>
                <w:sz w:val="24"/>
                <w:szCs w:val="24"/>
              </w:rPr>
              <w:t>4.2</w:t>
            </w:r>
          </w:p>
        </w:tc>
        <w:tc>
          <w:tcPr>
            <w:tcW w:w="808" w:type="pct"/>
            <w:shd w:val="clear" w:color="auto" w:fill="FFFFFF" w:themeFill="background1"/>
            <w:vAlign w:val="center"/>
          </w:tcPr>
          <w:p w:rsidR="00A6174E" w:rsidRPr="00513337" w:rsidRDefault="00A6174E" w:rsidP="00D238E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4"/>
                <w:szCs w:val="24"/>
              </w:rPr>
            </w:pPr>
            <w:r w:rsidRPr="00513337">
              <w:rPr>
                <w:rFonts w:ascii="Arial Narrow" w:hAnsi="Arial Narrow"/>
                <w:sz w:val="24"/>
                <w:szCs w:val="24"/>
              </w:rPr>
              <w:t>12.5</w:t>
            </w:r>
          </w:p>
        </w:tc>
        <w:tc>
          <w:tcPr>
            <w:tcW w:w="588" w:type="pct"/>
            <w:shd w:val="clear" w:color="auto" w:fill="FFFFFF" w:themeFill="background1"/>
            <w:vAlign w:val="center"/>
          </w:tcPr>
          <w:p w:rsidR="00A6174E" w:rsidRPr="00513337" w:rsidRDefault="00A6174E" w:rsidP="00D238E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4"/>
                <w:szCs w:val="24"/>
              </w:rPr>
            </w:pPr>
            <w:r w:rsidRPr="00513337">
              <w:rPr>
                <w:rFonts w:ascii="Arial Narrow" w:hAnsi="Arial Narrow"/>
                <w:sz w:val="24"/>
                <w:szCs w:val="24"/>
              </w:rPr>
              <w:t>19.5</w:t>
            </w:r>
          </w:p>
        </w:tc>
      </w:tr>
      <w:tr w:rsidR="00A6174E" w:rsidRPr="00513337" w:rsidTr="00C65DBC">
        <w:trPr>
          <w:trHeight w:val="244"/>
        </w:trPr>
        <w:tc>
          <w:tcPr>
            <w:cnfStyle w:val="001000000000" w:firstRow="0" w:lastRow="0" w:firstColumn="1" w:lastColumn="0" w:oddVBand="0" w:evenVBand="0" w:oddHBand="0" w:evenHBand="0" w:firstRowFirstColumn="0" w:firstRowLastColumn="0" w:lastRowFirstColumn="0" w:lastRowLastColumn="0"/>
            <w:tcW w:w="1912" w:type="pct"/>
            <w:tcBorders>
              <w:bottom w:val="single" w:sz="4" w:space="0" w:color="FFFFFF" w:themeColor="background1"/>
            </w:tcBorders>
            <w:shd w:val="clear" w:color="auto" w:fill="FFFFFF" w:themeFill="background1"/>
            <w:noWrap/>
            <w:vAlign w:val="center"/>
          </w:tcPr>
          <w:p w:rsidR="00A6174E" w:rsidRPr="00513337" w:rsidRDefault="00A6174E" w:rsidP="00513337">
            <w:pPr>
              <w:keepNext/>
              <w:spacing w:line="240" w:lineRule="auto"/>
              <w:rPr>
                <w:rFonts w:ascii="Arial Narrow" w:hAnsi="Arial Narrow"/>
                <w:b w:val="0"/>
                <w:bCs/>
                <w:color w:val="000000"/>
                <w:sz w:val="24"/>
                <w:szCs w:val="24"/>
              </w:rPr>
            </w:pPr>
            <w:r w:rsidRPr="00513337">
              <w:rPr>
                <w:rFonts w:ascii="Arial Narrow" w:hAnsi="Arial Narrow"/>
                <w:b w:val="0"/>
                <w:bCs/>
                <w:color w:val="000000"/>
                <w:sz w:val="24"/>
                <w:szCs w:val="24"/>
              </w:rPr>
              <w:t>Total Net</w:t>
            </w:r>
          </w:p>
        </w:tc>
        <w:tc>
          <w:tcPr>
            <w:tcW w:w="883" w:type="pct"/>
            <w:shd w:val="clear" w:color="auto" w:fill="FFFFFF" w:themeFill="background1"/>
            <w:vAlign w:val="center"/>
          </w:tcPr>
          <w:p w:rsidR="00A6174E" w:rsidRPr="00513337" w:rsidRDefault="00A6174E" w:rsidP="00D238E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513337">
              <w:rPr>
                <w:rFonts w:ascii="Arial Narrow" w:hAnsi="Arial Narrow"/>
                <w:sz w:val="24"/>
                <w:szCs w:val="24"/>
              </w:rPr>
              <w:t>Annual</w:t>
            </w:r>
          </w:p>
        </w:tc>
        <w:tc>
          <w:tcPr>
            <w:tcW w:w="809" w:type="pct"/>
            <w:shd w:val="clear" w:color="auto" w:fill="FFFFFF" w:themeFill="background1"/>
            <w:noWrap/>
            <w:vAlign w:val="center"/>
          </w:tcPr>
          <w:p w:rsidR="00A6174E" w:rsidRPr="00513337" w:rsidRDefault="00A6174E" w:rsidP="00D238E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513337">
              <w:rPr>
                <w:rFonts w:ascii="Arial Narrow" w:hAnsi="Arial Narrow"/>
                <w:sz w:val="24"/>
                <w:szCs w:val="24"/>
              </w:rPr>
              <w:t>2.9</w:t>
            </w:r>
          </w:p>
        </w:tc>
        <w:tc>
          <w:tcPr>
            <w:tcW w:w="808" w:type="pct"/>
            <w:shd w:val="clear" w:color="auto" w:fill="FFFFFF" w:themeFill="background1"/>
            <w:vAlign w:val="center"/>
          </w:tcPr>
          <w:p w:rsidR="00A6174E" w:rsidRPr="00513337" w:rsidRDefault="00A6174E" w:rsidP="00D238E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513337">
              <w:rPr>
                <w:rFonts w:ascii="Arial Narrow" w:hAnsi="Arial Narrow"/>
                <w:sz w:val="24"/>
                <w:szCs w:val="24"/>
              </w:rPr>
              <w:t>6.7</w:t>
            </w:r>
          </w:p>
        </w:tc>
        <w:tc>
          <w:tcPr>
            <w:tcW w:w="588" w:type="pct"/>
            <w:shd w:val="clear" w:color="auto" w:fill="FFFFFF" w:themeFill="background1"/>
            <w:vAlign w:val="center"/>
          </w:tcPr>
          <w:p w:rsidR="00A6174E" w:rsidRPr="00513337" w:rsidRDefault="00A6174E" w:rsidP="00D238E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513337">
              <w:rPr>
                <w:rFonts w:ascii="Arial Narrow" w:hAnsi="Arial Narrow"/>
                <w:sz w:val="24"/>
                <w:szCs w:val="24"/>
              </w:rPr>
              <w:t>9.6</w:t>
            </w:r>
          </w:p>
        </w:tc>
      </w:tr>
      <w:tr w:rsidR="00A6174E" w:rsidRPr="00513337" w:rsidTr="00C65DBC">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12" w:type="pct"/>
            <w:tcBorders>
              <w:top w:val="single" w:sz="4" w:space="0" w:color="FFFFFF" w:themeColor="background1"/>
            </w:tcBorders>
            <w:shd w:val="clear" w:color="auto" w:fill="FFFFFF" w:themeFill="background1"/>
            <w:noWrap/>
            <w:vAlign w:val="center"/>
          </w:tcPr>
          <w:p w:rsidR="00A6174E" w:rsidRPr="00513337" w:rsidRDefault="00A6174E" w:rsidP="00513337">
            <w:pPr>
              <w:keepNext/>
              <w:spacing w:line="240" w:lineRule="auto"/>
              <w:rPr>
                <w:rFonts w:ascii="Arial Narrow" w:hAnsi="Arial Narrow"/>
                <w:b w:val="0"/>
                <w:bCs/>
                <w:color w:val="000000"/>
                <w:sz w:val="24"/>
                <w:szCs w:val="24"/>
              </w:rPr>
            </w:pPr>
          </w:p>
        </w:tc>
        <w:tc>
          <w:tcPr>
            <w:tcW w:w="883" w:type="pct"/>
            <w:shd w:val="clear" w:color="auto" w:fill="FFFFFF" w:themeFill="background1"/>
            <w:vAlign w:val="center"/>
          </w:tcPr>
          <w:p w:rsidR="00A6174E" w:rsidRPr="00513337" w:rsidRDefault="00A6174E" w:rsidP="00D238E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4"/>
                <w:szCs w:val="24"/>
              </w:rPr>
            </w:pPr>
            <w:r w:rsidRPr="00513337">
              <w:rPr>
                <w:rFonts w:ascii="Arial Narrow" w:hAnsi="Arial Narrow"/>
                <w:sz w:val="24"/>
                <w:szCs w:val="24"/>
              </w:rPr>
              <w:t>Total</w:t>
            </w:r>
          </w:p>
        </w:tc>
        <w:tc>
          <w:tcPr>
            <w:tcW w:w="809" w:type="pct"/>
            <w:shd w:val="clear" w:color="auto" w:fill="FFFFFF" w:themeFill="background1"/>
            <w:noWrap/>
            <w:vAlign w:val="center"/>
          </w:tcPr>
          <w:p w:rsidR="00A6174E" w:rsidRPr="00513337" w:rsidRDefault="00A6174E" w:rsidP="00D238E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4"/>
                <w:szCs w:val="24"/>
              </w:rPr>
            </w:pPr>
            <w:r w:rsidRPr="00513337">
              <w:rPr>
                <w:rFonts w:ascii="Arial Narrow" w:hAnsi="Arial Narrow"/>
                <w:sz w:val="24"/>
                <w:szCs w:val="24"/>
              </w:rPr>
              <w:t>78.2</w:t>
            </w:r>
          </w:p>
        </w:tc>
        <w:tc>
          <w:tcPr>
            <w:tcW w:w="808" w:type="pct"/>
            <w:shd w:val="clear" w:color="auto" w:fill="FFFFFF" w:themeFill="background1"/>
            <w:vAlign w:val="center"/>
          </w:tcPr>
          <w:p w:rsidR="00A6174E" w:rsidRPr="00513337" w:rsidRDefault="00A6174E" w:rsidP="00D238E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4"/>
                <w:szCs w:val="24"/>
              </w:rPr>
            </w:pPr>
            <w:r w:rsidRPr="00513337">
              <w:rPr>
                <w:rFonts w:ascii="Arial Narrow" w:hAnsi="Arial Narrow"/>
                <w:sz w:val="24"/>
                <w:szCs w:val="24"/>
              </w:rPr>
              <w:t>181.7</w:t>
            </w:r>
          </w:p>
        </w:tc>
        <w:tc>
          <w:tcPr>
            <w:tcW w:w="588" w:type="pct"/>
            <w:shd w:val="clear" w:color="auto" w:fill="FFFFFF" w:themeFill="background1"/>
            <w:vAlign w:val="center"/>
          </w:tcPr>
          <w:p w:rsidR="00A6174E" w:rsidRPr="00513337" w:rsidRDefault="00A6174E" w:rsidP="00D238E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4"/>
                <w:szCs w:val="24"/>
              </w:rPr>
            </w:pPr>
            <w:r w:rsidRPr="00513337">
              <w:rPr>
                <w:rFonts w:ascii="Arial Narrow" w:hAnsi="Arial Narrow"/>
                <w:sz w:val="24"/>
                <w:szCs w:val="24"/>
              </w:rPr>
              <w:t>262.8</w:t>
            </w:r>
          </w:p>
        </w:tc>
      </w:tr>
      <w:tr w:rsidR="00A6174E" w:rsidRPr="00513337" w:rsidTr="00C65DBC">
        <w:trPr>
          <w:trHeight w:val="244"/>
        </w:trPr>
        <w:tc>
          <w:tcPr>
            <w:cnfStyle w:val="001000000000" w:firstRow="0" w:lastRow="0" w:firstColumn="1" w:lastColumn="0" w:oddVBand="0" w:evenVBand="0" w:oddHBand="0" w:evenHBand="0" w:firstRowFirstColumn="0" w:firstRowLastColumn="0" w:lastRowFirstColumn="0" w:lastRowLastColumn="0"/>
            <w:tcW w:w="1912" w:type="pct"/>
            <w:tcBorders>
              <w:bottom w:val="single" w:sz="4" w:space="0" w:color="FFFFFF" w:themeColor="background1"/>
            </w:tcBorders>
            <w:shd w:val="clear" w:color="auto" w:fill="FFFFFF" w:themeFill="background1"/>
            <w:noWrap/>
            <w:vAlign w:val="center"/>
          </w:tcPr>
          <w:p w:rsidR="00A6174E" w:rsidRPr="00513337" w:rsidRDefault="00A6174E" w:rsidP="00513337">
            <w:pPr>
              <w:keepNext/>
              <w:spacing w:line="240" w:lineRule="auto"/>
              <w:rPr>
                <w:rFonts w:ascii="Arial Narrow" w:hAnsi="Arial Narrow"/>
                <w:b w:val="0"/>
                <w:bCs/>
                <w:color w:val="000000"/>
                <w:sz w:val="24"/>
                <w:szCs w:val="24"/>
              </w:rPr>
            </w:pPr>
            <w:r w:rsidRPr="00513337">
              <w:rPr>
                <w:rFonts w:ascii="Arial Narrow" w:hAnsi="Arial Narrow"/>
                <w:b w:val="0"/>
                <w:bCs/>
                <w:color w:val="000000"/>
                <w:sz w:val="24"/>
                <w:szCs w:val="24"/>
              </w:rPr>
              <w:t>Total inc replacement</w:t>
            </w:r>
          </w:p>
        </w:tc>
        <w:tc>
          <w:tcPr>
            <w:tcW w:w="883" w:type="pct"/>
            <w:shd w:val="clear" w:color="auto" w:fill="FFFFFF" w:themeFill="background1"/>
            <w:vAlign w:val="center"/>
          </w:tcPr>
          <w:p w:rsidR="00A6174E" w:rsidRPr="00513337" w:rsidRDefault="00A6174E" w:rsidP="00D238E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513337">
              <w:rPr>
                <w:rFonts w:ascii="Arial Narrow" w:hAnsi="Arial Narrow"/>
                <w:sz w:val="24"/>
                <w:szCs w:val="24"/>
              </w:rPr>
              <w:t>Annual</w:t>
            </w:r>
          </w:p>
        </w:tc>
        <w:tc>
          <w:tcPr>
            <w:tcW w:w="809" w:type="pct"/>
            <w:shd w:val="clear" w:color="auto" w:fill="FFFFFF" w:themeFill="background1"/>
            <w:noWrap/>
            <w:vAlign w:val="center"/>
          </w:tcPr>
          <w:p w:rsidR="00A6174E" w:rsidRPr="00513337" w:rsidRDefault="00A6174E" w:rsidP="00D238E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513337">
              <w:rPr>
                <w:rFonts w:ascii="Arial Narrow" w:hAnsi="Arial Narrow"/>
                <w:sz w:val="24"/>
                <w:szCs w:val="24"/>
              </w:rPr>
              <w:t>4.2</w:t>
            </w:r>
          </w:p>
        </w:tc>
        <w:tc>
          <w:tcPr>
            <w:tcW w:w="808" w:type="pct"/>
            <w:shd w:val="clear" w:color="auto" w:fill="FFFFFF" w:themeFill="background1"/>
            <w:vAlign w:val="center"/>
          </w:tcPr>
          <w:p w:rsidR="00A6174E" w:rsidRPr="00513337" w:rsidRDefault="00A6174E" w:rsidP="00D238E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513337">
              <w:rPr>
                <w:rFonts w:ascii="Arial Narrow" w:hAnsi="Arial Narrow"/>
                <w:sz w:val="24"/>
                <w:szCs w:val="24"/>
              </w:rPr>
              <w:t>6.9</w:t>
            </w:r>
          </w:p>
        </w:tc>
        <w:tc>
          <w:tcPr>
            <w:tcW w:w="588" w:type="pct"/>
            <w:shd w:val="clear" w:color="auto" w:fill="FFFFFF" w:themeFill="background1"/>
            <w:vAlign w:val="center"/>
          </w:tcPr>
          <w:p w:rsidR="00A6174E" w:rsidRPr="00513337" w:rsidRDefault="00A6174E" w:rsidP="00D238E7">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513337">
              <w:rPr>
                <w:rFonts w:ascii="Arial Narrow" w:hAnsi="Arial Narrow"/>
                <w:sz w:val="24"/>
                <w:szCs w:val="24"/>
              </w:rPr>
              <w:t>11.3</w:t>
            </w:r>
          </w:p>
        </w:tc>
      </w:tr>
      <w:tr w:rsidR="00A6174E" w:rsidRPr="00513337" w:rsidTr="00C65DBC">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12" w:type="pct"/>
            <w:tcBorders>
              <w:top w:val="single" w:sz="4" w:space="0" w:color="FFFFFF" w:themeColor="background1"/>
            </w:tcBorders>
            <w:shd w:val="clear" w:color="auto" w:fill="FFFFFF" w:themeFill="background1"/>
            <w:noWrap/>
            <w:vAlign w:val="center"/>
          </w:tcPr>
          <w:p w:rsidR="00A6174E" w:rsidRPr="00513337" w:rsidRDefault="00A6174E" w:rsidP="00513337">
            <w:pPr>
              <w:keepNext/>
              <w:spacing w:line="240" w:lineRule="auto"/>
              <w:rPr>
                <w:rFonts w:ascii="Arial Narrow" w:hAnsi="Arial Narrow"/>
                <w:b w:val="0"/>
                <w:bCs/>
                <w:color w:val="000000"/>
                <w:sz w:val="24"/>
                <w:szCs w:val="24"/>
              </w:rPr>
            </w:pPr>
          </w:p>
        </w:tc>
        <w:tc>
          <w:tcPr>
            <w:tcW w:w="883" w:type="pct"/>
            <w:shd w:val="clear" w:color="auto" w:fill="FFFFFF" w:themeFill="background1"/>
            <w:vAlign w:val="center"/>
          </w:tcPr>
          <w:p w:rsidR="00A6174E" w:rsidRPr="00513337" w:rsidRDefault="00A6174E" w:rsidP="00D238E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4"/>
                <w:szCs w:val="24"/>
              </w:rPr>
            </w:pPr>
            <w:r w:rsidRPr="00513337">
              <w:rPr>
                <w:rFonts w:ascii="Arial Narrow" w:hAnsi="Arial Narrow"/>
                <w:sz w:val="24"/>
                <w:szCs w:val="24"/>
              </w:rPr>
              <w:t>Total</w:t>
            </w:r>
          </w:p>
        </w:tc>
        <w:tc>
          <w:tcPr>
            <w:tcW w:w="809" w:type="pct"/>
            <w:shd w:val="clear" w:color="auto" w:fill="FFFFFF" w:themeFill="background1"/>
            <w:noWrap/>
            <w:vAlign w:val="center"/>
          </w:tcPr>
          <w:p w:rsidR="00A6174E" w:rsidRPr="00513337" w:rsidRDefault="00A6174E" w:rsidP="00D238E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4"/>
                <w:szCs w:val="24"/>
              </w:rPr>
            </w:pPr>
            <w:r w:rsidRPr="00513337">
              <w:rPr>
                <w:rFonts w:ascii="Arial Narrow" w:hAnsi="Arial Narrow"/>
                <w:sz w:val="24"/>
                <w:szCs w:val="24"/>
              </w:rPr>
              <w:t>114.2</w:t>
            </w:r>
          </w:p>
        </w:tc>
        <w:tc>
          <w:tcPr>
            <w:tcW w:w="808" w:type="pct"/>
            <w:shd w:val="clear" w:color="auto" w:fill="FFFFFF" w:themeFill="background1"/>
            <w:vAlign w:val="center"/>
          </w:tcPr>
          <w:p w:rsidR="00A6174E" w:rsidRPr="00513337" w:rsidRDefault="00A6174E" w:rsidP="00D238E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4"/>
                <w:szCs w:val="24"/>
              </w:rPr>
            </w:pPr>
            <w:r w:rsidRPr="00513337">
              <w:rPr>
                <w:rFonts w:ascii="Arial Narrow" w:hAnsi="Arial Narrow"/>
                <w:sz w:val="24"/>
                <w:szCs w:val="24"/>
              </w:rPr>
              <w:t>186.8</w:t>
            </w:r>
          </w:p>
        </w:tc>
        <w:tc>
          <w:tcPr>
            <w:tcW w:w="588" w:type="pct"/>
            <w:shd w:val="clear" w:color="auto" w:fill="FFFFFF" w:themeFill="background1"/>
            <w:vAlign w:val="center"/>
          </w:tcPr>
          <w:p w:rsidR="00A6174E" w:rsidRPr="00513337" w:rsidRDefault="00A6174E" w:rsidP="00D238E7">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4"/>
                <w:szCs w:val="24"/>
              </w:rPr>
            </w:pPr>
            <w:r w:rsidRPr="00513337">
              <w:rPr>
                <w:rFonts w:ascii="Arial Narrow" w:hAnsi="Arial Narrow"/>
                <w:sz w:val="24"/>
                <w:szCs w:val="24"/>
              </w:rPr>
              <w:t>303.9</w:t>
            </w:r>
          </w:p>
        </w:tc>
      </w:tr>
    </w:tbl>
    <w:p w:rsidR="00A6174E" w:rsidRDefault="00A6174E" w:rsidP="00D238E7">
      <w:pPr>
        <w:pStyle w:val="11Bodytext"/>
        <w:numPr>
          <w:ilvl w:val="0"/>
          <w:numId w:val="0"/>
        </w:numPr>
        <w:spacing w:before="0" w:after="0" w:line="240" w:lineRule="auto"/>
      </w:pPr>
      <w:r>
        <w:t>* includes figures where in/out HDA data not provided</w:t>
      </w:r>
    </w:p>
    <w:p w:rsidR="00A6174E" w:rsidRDefault="00A6174E" w:rsidP="00D238E7">
      <w:pPr>
        <w:pStyle w:val="11Bodytext"/>
        <w:numPr>
          <w:ilvl w:val="0"/>
          <w:numId w:val="0"/>
        </w:numPr>
        <w:spacing w:before="0" w:after="0" w:line="240" w:lineRule="auto"/>
      </w:pPr>
      <w:r w:rsidRPr="00CA47B9">
        <w:t>Source: GL Hearn based on Chichester District Council data</w:t>
      </w:r>
    </w:p>
    <w:p w:rsidR="00A6174E" w:rsidRDefault="00A6174E" w:rsidP="00954663">
      <w:pPr>
        <w:pStyle w:val="11Bodytext"/>
        <w:tabs>
          <w:tab w:val="clear" w:pos="2212"/>
          <w:tab w:val="num" w:pos="567"/>
        </w:tabs>
        <w:ind w:left="567" w:hanging="567"/>
      </w:pPr>
      <w:r>
        <w:t xml:space="preserve">The data reports a total of 54.4 ha of permitted glasshouse </w:t>
      </w:r>
      <w:r w:rsidRPr="00CB5C50">
        <w:t>floorspace excluding</w:t>
      </w:r>
      <w:r>
        <w:t xml:space="preserve"> replacements. Most glasshouse floorspace (</w:t>
      </w:r>
      <w:r w:rsidR="009A2DFE">
        <w:t>49</w:t>
      </w:r>
      <w:r>
        <w:t>.8 ha) is delivered in HDAs, however, there are also significant areas of related uses. Polytunnel / greenhouse and water storage permissions are much more common outside of the HDAs.</w:t>
      </w:r>
    </w:p>
    <w:p w:rsidR="00A6174E" w:rsidRPr="00631E41" w:rsidRDefault="00A6174E" w:rsidP="00954663">
      <w:pPr>
        <w:pStyle w:val="11Bodytext"/>
        <w:tabs>
          <w:tab w:val="clear" w:pos="2212"/>
          <w:tab w:val="num" w:pos="567"/>
        </w:tabs>
        <w:ind w:left="567" w:hanging="567"/>
      </w:pPr>
      <w:r>
        <w:t xml:space="preserve">Analysis </w:t>
      </w:r>
      <w:r w:rsidRPr="00631E41">
        <w:t>of</w:t>
      </w:r>
      <w:r>
        <w:t xml:space="preserve"> ‘s</w:t>
      </w:r>
      <w:r w:rsidRPr="00631E41">
        <w:t>torage, distribution or packhouse</w:t>
      </w:r>
      <w:r>
        <w:t>’ permissions suggests that aroun</w:t>
      </w:r>
      <w:r w:rsidRPr="00631E41">
        <w:t xml:space="preserve">d 50% </w:t>
      </w:r>
      <w:r>
        <w:t xml:space="preserve">are likely to be counted under general B8 completions (see </w:t>
      </w:r>
      <w:r w:rsidR="00C3730E">
        <w:t>paragraph 11.57</w:t>
      </w:r>
      <w:r>
        <w:t xml:space="preserve">). </w:t>
      </w:r>
    </w:p>
    <w:p w:rsidR="00A6174E" w:rsidRDefault="00A6174E" w:rsidP="00954663">
      <w:pPr>
        <w:pStyle w:val="11Bodytext"/>
        <w:tabs>
          <w:tab w:val="clear" w:pos="2212"/>
          <w:tab w:val="num" w:pos="567"/>
        </w:tabs>
        <w:ind w:left="567" w:hanging="567"/>
      </w:pPr>
      <w:r w:rsidRPr="00537227">
        <w:t xml:space="preserve">The table that follows considers the annualised data above projected forward to 2036 to indicate a trend based need, discounting for unimplemented permissions </w:t>
      </w:r>
      <w:r>
        <w:t>as</w:t>
      </w:r>
      <w:r w:rsidRPr="00537227">
        <w:t xml:space="preserve"> Chichester Council estimate </w:t>
      </w:r>
      <w:r>
        <w:t xml:space="preserve">that 80% of permissions are implemented. This is based on </w:t>
      </w:r>
      <w:r w:rsidR="0072024E">
        <w:t xml:space="preserve">a </w:t>
      </w:r>
      <w:r>
        <w:t>sampling exercise across all development types and district sub areas (in and outside of HDAs) for permission</w:t>
      </w:r>
      <w:r w:rsidR="0072024E">
        <w:t>s</w:t>
      </w:r>
      <w:r>
        <w:t xml:space="preserve"> up until 2018/19</w:t>
      </w:r>
      <w:r w:rsidRPr="00537227">
        <w:t xml:space="preserve">. </w:t>
      </w:r>
    </w:p>
    <w:p w:rsidR="00A6174E" w:rsidRPr="00CA47B9" w:rsidRDefault="00A6174E" w:rsidP="009719FA">
      <w:pPr>
        <w:pStyle w:val="Tableheading"/>
        <w:tabs>
          <w:tab w:val="clear" w:pos="794"/>
          <w:tab w:val="clear" w:pos="1843"/>
          <w:tab w:val="left" w:pos="0"/>
        </w:tabs>
        <w:spacing w:line="240" w:lineRule="auto"/>
        <w:ind w:left="0" w:firstLine="0"/>
      </w:pPr>
      <w:r>
        <w:lastRenderedPageBreak/>
        <w:t xml:space="preserve">Future Horticultural  Floorspace Needs 2019-36 (ha) </w:t>
      </w:r>
    </w:p>
    <w:tbl>
      <w:tblPr>
        <w:tblStyle w:val="GLHearntable1"/>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66: Future Horticultural  Floorspace Needs 2019-36 (ha) "/>
      </w:tblPr>
      <w:tblGrid>
        <w:gridCol w:w="3859"/>
        <w:gridCol w:w="1669"/>
        <w:gridCol w:w="1664"/>
        <w:gridCol w:w="2446"/>
      </w:tblGrid>
      <w:tr w:rsidR="00A6174E" w:rsidRPr="00513337" w:rsidTr="009719FA">
        <w:trPr>
          <w:cnfStyle w:val="100000000000" w:firstRow="1" w:lastRow="0" w:firstColumn="0" w:lastColumn="0" w:oddVBand="0" w:evenVBand="0" w:oddHBand="0" w:evenHBand="0" w:firstRowFirstColumn="0" w:firstRowLastColumn="0" w:lastRowFirstColumn="0" w:lastRowLastColumn="0"/>
          <w:trHeight w:val="297"/>
          <w:tblHeader/>
        </w:trPr>
        <w:tc>
          <w:tcPr>
            <w:cnfStyle w:val="001000000000" w:firstRow="0" w:lastRow="0" w:firstColumn="1" w:lastColumn="0" w:oddVBand="0" w:evenVBand="0" w:oddHBand="0" w:evenHBand="0" w:firstRowFirstColumn="0" w:firstRowLastColumn="0" w:lastRowFirstColumn="0" w:lastRowLastColumn="0"/>
            <w:tcW w:w="2002" w:type="pct"/>
            <w:noWrap/>
          </w:tcPr>
          <w:p w:rsidR="00A6174E" w:rsidRPr="00513337" w:rsidRDefault="00A6174E" w:rsidP="00513337">
            <w:pPr>
              <w:keepNext/>
              <w:spacing w:line="240" w:lineRule="auto"/>
              <w:rPr>
                <w:b w:val="0"/>
                <w:bCs/>
                <w:sz w:val="24"/>
                <w:szCs w:val="24"/>
              </w:rPr>
            </w:pPr>
          </w:p>
        </w:tc>
        <w:tc>
          <w:tcPr>
            <w:tcW w:w="866" w:type="pct"/>
          </w:tcPr>
          <w:p w:rsidR="00A6174E" w:rsidRPr="00513337" w:rsidRDefault="00A6174E" w:rsidP="00513337">
            <w:pPr>
              <w:keepNext/>
              <w:spacing w:line="240" w:lineRule="auto"/>
              <w:jc w:val="center"/>
              <w:cnfStyle w:val="100000000000" w:firstRow="1" w:lastRow="0" w:firstColumn="0" w:lastColumn="0" w:oddVBand="0" w:evenVBand="0" w:oddHBand="0" w:evenHBand="0" w:firstRowFirstColumn="0" w:firstRowLastColumn="0" w:lastRowFirstColumn="0" w:lastRowLastColumn="0"/>
              <w:rPr>
                <w:b w:val="0"/>
                <w:bCs/>
                <w:sz w:val="24"/>
                <w:szCs w:val="24"/>
              </w:rPr>
            </w:pPr>
            <w:r w:rsidRPr="00513337">
              <w:rPr>
                <w:bCs/>
                <w:sz w:val="24"/>
                <w:szCs w:val="24"/>
              </w:rPr>
              <w:t>Floorspace</w:t>
            </w:r>
          </w:p>
          <w:p w:rsidR="00A6174E" w:rsidRPr="00513337" w:rsidRDefault="00A6174E" w:rsidP="00513337">
            <w:pPr>
              <w:keepNext/>
              <w:spacing w:line="240" w:lineRule="auto"/>
              <w:jc w:val="center"/>
              <w:cnfStyle w:val="100000000000" w:firstRow="1" w:lastRow="0" w:firstColumn="0" w:lastColumn="0" w:oddVBand="0" w:evenVBand="0" w:oddHBand="0" w:evenHBand="0" w:firstRowFirstColumn="0" w:firstRowLastColumn="0" w:lastRowFirstColumn="0" w:lastRowLastColumn="0"/>
              <w:rPr>
                <w:bCs/>
                <w:sz w:val="24"/>
                <w:szCs w:val="24"/>
              </w:rPr>
            </w:pPr>
            <w:r w:rsidRPr="00513337">
              <w:rPr>
                <w:bCs/>
                <w:sz w:val="24"/>
                <w:szCs w:val="24"/>
              </w:rPr>
              <w:t>(HDA)</w:t>
            </w:r>
          </w:p>
        </w:tc>
        <w:tc>
          <w:tcPr>
            <w:tcW w:w="863" w:type="pct"/>
          </w:tcPr>
          <w:p w:rsidR="00A6174E" w:rsidRPr="00513337" w:rsidRDefault="00A6174E" w:rsidP="00513337">
            <w:pPr>
              <w:keepNext/>
              <w:spacing w:line="240" w:lineRule="auto"/>
              <w:jc w:val="center"/>
              <w:cnfStyle w:val="100000000000" w:firstRow="1" w:lastRow="0" w:firstColumn="0" w:lastColumn="0" w:oddVBand="0" w:evenVBand="0" w:oddHBand="0" w:evenHBand="0" w:firstRowFirstColumn="0" w:firstRowLastColumn="0" w:lastRowFirstColumn="0" w:lastRowLastColumn="0"/>
              <w:rPr>
                <w:b w:val="0"/>
                <w:bCs/>
                <w:sz w:val="24"/>
                <w:szCs w:val="24"/>
              </w:rPr>
            </w:pPr>
            <w:r w:rsidRPr="00513337">
              <w:rPr>
                <w:bCs/>
                <w:sz w:val="24"/>
                <w:szCs w:val="24"/>
              </w:rPr>
              <w:t xml:space="preserve">Floorspace </w:t>
            </w:r>
          </w:p>
          <w:p w:rsidR="00A6174E" w:rsidRPr="00513337" w:rsidRDefault="00A6174E" w:rsidP="00513337">
            <w:pPr>
              <w:keepNext/>
              <w:spacing w:line="240" w:lineRule="auto"/>
              <w:jc w:val="center"/>
              <w:cnfStyle w:val="100000000000" w:firstRow="1" w:lastRow="0" w:firstColumn="0" w:lastColumn="0" w:oddVBand="0" w:evenVBand="0" w:oddHBand="0" w:evenHBand="0" w:firstRowFirstColumn="0" w:firstRowLastColumn="0" w:lastRowFirstColumn="0" w:lastRowLastColumn="0"/>
              <w:rPr>
                <w:bCs/>
                <w:sz w:val="24"/>
                <w:szCs w:val="24"/>
              </w:rPr>
            </w:pPr>
            <w:r w:rsidRPr="00513337">
              <w:rPr>
                <w:bCs/>
                <w:sz w:val="24"/>
                <w:szCs w:val="24"/>
              </w:rPr>
              <w:t>(Non HDA)</w:t>
            </w:r>
          </w:p>
        </w:tc>
        <w:tc>
          <w:tcPr>
            <w:tcW w:w="1269" w:type="pct"/>
          </w:tcPr>
          <w:p w:rsidR="00A6174E" w:rsidRPr="00513337" w:rsidRDefault="00A6174E" w:rsidP="00513337">
            <w:pPr>
              <w:keepNext/>
              <w:spacing w:line="240" w:lineRule="auto"/>
              <w:jc w:val="center"/>
              <w:cnfStyle w:val="100000000000" w:firstRow="1" w:lastRow="0" w:firstColumn="0" w:lastColumn="0" w:oddVBand="0" w:evenVBand="0" w:oddHBand="0" w:evenHBand="0" w:firstRowFirstColumn="0" w:firstRowLastColumn="0" w:lastRowFirstColumn="0" w:lastRowLastColumn="0"/>
              <w:rPr>
                <w:bCs/>
                <w:sz w:val="24"/>
                <w:szCs w:val="24"/>
              </w:rPr>
            </w:pPr>
            <w:r w:rsidRPr="00513337">
              <w:rPr>
                <w:bCs/>
                <w:sz w:val="24"/>
                <w:szCs w:val="24"/>
              </w:rPr>
              <w:t>Total Floorspace*</w:t>
            </w:r>
          </w:p>
        </w:tc>
      </w:tr>
      <w:tr w:rsidR="00A6174E" w:rsidRPr="00513337" w:rsidTr="009719FA">
        <w:trPr>
          <w:trHeight w:val="325"/>
        </w:trPr>
        <w:tc>
          <w:tcPr>
            <w:cnfStyle w:val="001000000000" w:firstRow="0" w:lastRow="0" w:firstColumn="1" w:lastColumn="0" w:oddVBand="0" w:evenVBand="0" w:oddHBand="0" w:evenHBand="0" w:firstRowFirstColumn="0" w:firstRowLastColumn="0" w:lastRowFirstColumn="0" w:lastRowLastColumn="0"/>
            <w:tcW w:w="2002" w:type="pct"/>
            <w:shd w:val="clear" w:color="auto" w:fill="FFFFFF" w:themeFill="background1"/>
            <w:noWrap/>
            <w:vAlign w:val="center"/>
            <w:hideMark/>
          </w:tcPr>
          <w:p w:rsidR="00A6174E" w:rsidRPr="00513337" w:rsidRDefault="00A6174E" w:rsidP="00513337">
            <w:pPr>
              <w:keepNext/>
              <w:spacing w:line="240" w:lineRule="auto"/>
              <w:rPr>
                <w:b w:val="0"/>
                <w:bCs/>
                <w:color w:val="000000"/>
                <w:sz w:val="24"/>
                <w:szCs w:val="24"/>
              </w:rPr>
            </w:pPr>
            <w:r w:rsidRPr="00513337">
              <w:rPr>
                <w:b w:val="0"/>
                <w:bCs/>
                <w:color w:val="000000"/>
                <w:sz w:val="24"/>
                <w:szCs w:val="24"/>
              </w:rPr>
              <w:t>Glasshouse net</w:t>
            </w:r>
          </w:p>
        </w:tc>
        <w:tc>
          <w:tcPr>
            <w:tcW w:w="866" w:type="pct"/>
            <w:shd w:val="clear" w:color="auto" w:fill="FFFFFF" w:themeFill="background1"/>
            <w:vAlign w:val="center"/>
          </w:tcPr>
          <w:p w:rsidR="00A6174E" w:rsidRPr="00513337" w:rsidRDefault="00A6174E" w:rsidP="00513337">
            <w:pPr>
              <w:spacing w:line="240" w:lineRule="auto"/>
              <w:jc w:val="center"/>
              <w:cnfStyle w:val="000000000000" w:firstRow="0" w:lastRow="0" w:firstColumn="0" w:lastColumn="0" w:oddVBand="0" w:evenVBand="0" w:oddHBand="0" w:evenHBand="0" w:firstRowFirstColumn="0" w:firstRowLastColumn="0" w:lastRowFirstColumn="0" w:lastRowLastColumn="0"/>
              <w:rPr>
                <w:bCs/>
                <w:color w:val="000000"/>
                <w:sz w:val="24"/>
                <w:szCs w:val="24"/>
              </w:rPr>
            </w:pPr>
            <w:r w:rsidRPr="00513337">
              <w:rPr>
                <w:bCs/>
                <w:color w:val="000000"/>
                <w:sz w:val="24"/>
                <w:szCs w:val="24"/>
              </w:rPr>
              <w:t>25.1</w:t>
            </w:r>
          </w:p>
        </w:tc>
        <w:tc>
          <w:tcPr>
            <w:tcW w:w="863" w:type="pct"/>
            <w:shd w:val="clear" w:color="auto" w:fill="FFFFFF" w:themeFill="background1"/>
            <w:vAlign w:val="center"/>
          </w:tcPr>
          <w:p w:rsidR="00A6174E" w:rsidRPr="00513337" w:rsidRDefault="00A6174E" w:rsidP="00513337">
            <w:pPr>
              <w:spacing w:line="240" w:lineRule="auto"/>
              <w:jc w:val="center"/>
              <w:cnfStyle w:val="000000000000" w:firstRow="0" w:lastRow="0" w:firstColumn="0" w:lastColumn="0" w:oddVBand="0" w:evenVBand="0" w:oddHBand="0" w:evenHBand="0" w:firstRowFirstColumn="0" w:firstRowLastColumn="0" w:lastRowFirstColumn="0" w:lastRowLastColumn="0"/>
              <w:rPr>
                <w:bCs/>
                <w:color w:val="000000"/>
                <w:sz w:val="24"/>
                <w:szCs w:val="24"/>
              </w:rPr>
            </w:pPr>
            <w:r w:rsidRPr="00513337">
              <w:rPr>
                <w:bCs/>
                <w:color w:val="000000"/>
                <w:sz w:val="24"/>
                <w:szCs w:val="24"/>
              </w:rPr>
              <w:t>2.3</w:t>
            </w:r>
          </w:p>
        </w:tc>
        <w:tc>
          <w:tcPr>
            <w:tcW w:w="1269" w:type="pct"/>
            <w:shd w:val="clear" w:color="auto" w:fill="FFFFFF" w:themeFill="background1"/>
            <w:vAlign w:val="center"/>
          </w:tcPr>
          <w:p w:rsidR="00A6174E" w:rsidRPr="00513337" w:rsidRDefault="00A6174E" w:rsidP="00513337">
            <w:pPr>
              <w:spacing w:line="240" w:lineRule="auto"/>
              <w:jc w:val="center"/>
              <w:cnfStyle w:val="000000000000" w:firstRow="0" w:lastRow="0" w:firstColumn="0" w:lastColumn="0" w:oddVBand="0" w:evenVBand="0" w:oddHBand="0" w:evenHBand="0" w:firstRowFirstColumn="0" w:firstRowLastColumn="0" w:lastRowFirstColumn="0" w:lastRowLastColumn="0"/>
              <w:rPr>
                <w:bCs/>
                <w:color w:val="000000"/>
                <w:sz w:val="24"/>
                <w:szCs w:val="24"/>
              </w:rPr>
            </w:pPr>
            <w:r w:rsidRPr="00513337">
              <w:rPr>
                <w:bCs/>
                <w:color w:val="000000"/>
                <w:sz w:val="24"/>
                <w:szCs w:val="24"/>
              </w:rPr>
              <w:t>27.4</w:t>
            </w:r>
          </w:p>
        </w:tc>
      </w:tr>
      <w:tr w:rsidR="00A6174E" w:rsidRPr="00513337" w:rsidTr="009719FA">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002" w:type="pct"/>
            <w:shd w:val="clear" w:color="auto" w:fill="FFFFFF" w:themeFill="background1"/>
            <w:noWrap/>
            <w:vAlign w:val="center"/>
            <w:hideMark/>
          </w:tcPr>
          <w:p w:rsidR="00A6174E" w:rsidRPr="00513337" w:rsidRDefault="00A6174E" w:rsidP="00513337">
            <w:pPr>
              <w:keepNext/>
              <w:spacing w:line="240" w:lineRule="auto"/>
              <w:rPr>
                <w:b w:val="0"/>
                <w:bCs/>
                <w:color w:val="000000"/>
                <w:sz w:val="24"/>
                <w:szCs w:val="24"/>
              </w:rPr>
            </w:pPr>
            <w:r w:rsidRPr="00513337">
              <w:rPr>
                <w:b w:val="0"/>
                <w:bCs/>
                <w:color w:val="000000"/>
                <w:sz w:val="24"/>
                <w:szCs w:val="24"/>
              </w:rPr>
              <w:t>Polytunnel / greenhouse</w:t>
            </w:r>
          </w:p>
        </w:tc>
        <w:tc>
          <w:tcPr>
            <w:tcW w:w="866" w:type="pct"/>
            <w:shd w:val="clear" w:color="auto" w:fill="FFFFFF" w:themeFill="background1"/>
            <w:vAlign w:val="center"/>
          </w:tcPr>
          <w:p w:rsidR="00A6174E" w:rsidRPr="00513337" w:rsidRDefault="00A6174E" w:rsidP="00513337">
            <w:pPr>
              <w:spacing w:line="240" w:lineRule="auto"/>
              <w:jc w:val="center"/>
              <w:cnfStyle w:val="000000010000" w:firstRow="0" w:lastRow="0" w:firstColumn="0" w:lastColumn="0" w:oddVBand="0" w:evenVBand="0" w:oddHBand="0" w:evenHBand="1" w:firstRowFirstColumn="0" w:firstRowLastColumn="0" w:lastRowFirstColumn="0" w:lastRowLastColumn="0"/>
              <w:rPr>
                <w:bCs/>
                <w:color w:val="000000"/>
                <w:sz w:val="24"/>
                <w:szCs w:val="24"/>
              </w:rPr>
            </w:pPr>
            <w:r w:rsidRPr="00513337">
              <w:rPr>
                <w:bCs/>
                <w:color w:val="000000"/>
                <w:sz w:val="24"/>
                <w:szCs w:val="24"/>
              </w:rPr>
              <w:t>5.2</w:t>
            </w:r>
          </w:p>
        </w:tc>
        <w:tc>
          <w:tcPr>
            <w:tcW w:w="863" w:type="pct"/>
            <w:shd w:val="clear" w:color="auto" w:fill="FFFFFF" w:themeFill="background1"/>
            <w:vAlign w:val="center"/>
          </w:tcPr>
          <w:p w:rsidR="00A6174E" w:rsidRPr="00513337" w:rsidRDefault="00A6174E" w:rsidP="00513337">
            <w:pPr>
              <w:spacing w:line="240" w:lineRule="auto"/>
              <w:jc w:val="center"/>
              <w:cnfStyle w:val="000000010000" w:firstRow="0" w:lastRow="0" w:firstColumn="0" w:lastColumn="0" w:oddVBand="0" w:evenVBand="0" w:oddHBand="0" w:evenHBand="1" w:firstRowFirstColumn="0" w:firstRowLastColumn="0" w:lastRowFirstColumn="0" w:lastRowLastColumn="0"/>
              <w:rPr>
                <w:bCs/>
                <w:color w:val="000000"/>
                <w:sz w:val="24"/>
                <w:szCs w:val="24"/>
              </w:rPr>
            </w:pPr>
            <w:r w:rsidRPr="00513337">
              <w:rPr>
                <w:bCs/>
                <w:color w:val="000000"/>
                <w:sz w:val="24"/>
                <w:szCs w:val="24"/>
              </w:rPr>
              <w:t>62.9</w:t>
            </w:r>
          </w:p>
        </w:tc>
        <w:tc>
          <w:tcPr>
            <w:tcW w:w="1269" w:type="pct"/>
            <w:shd w:val="clear" w:color="auto" w:fill="FFFFFF" w:themeFill="background1"/>
            <w:vAlign w:val="center"/>
          </w:tcPr>
          <w:p w:rsidR="00A6174E" w:rsidRPr="00513337" w:rsidRDefault="00A6174E" w:rsidP="00513337">
            <w:pPr>
              <w:spacing w:line="240" w:lineRule="auto"/>
              <w:jc w:val="center"/>
              <w:cnfStyle w:val="000000010000" w:firstRow="0" w:lastRow="0" w:firstColumn="0" w:lastColumn="0" w:oddVBand="0" w:evenVBand="0" w:oddHBand="0" w:evenHBand="1" w:firstRowFirstColumn="0" w:firstRowLastColumn="0" w:lastRowFirstColumn="0" w:lastRowLastColumn="0"/>
              <w:rPr>
                <w:bCs/>
                <w:color w:val="000000"/>
                <w:sz w:val="24"/>
                <w:szCs w:val="24"/>
              </w:rPr>
            </w:pPr>
            <w:r w:rsidRPr="00513337">
              <w:rPr>
                <w:bCs/>
                <w:color w:val="000000"/>
                <w:sz w:val="24"/>
                <w:szCs w:val="24"/>
              </w:rPr>
              <w:t>68.1</w:t>
            </w:r>
          </w:p>
        </w:tc>
      </w:tr>
      <w:tr w:rsidR="00A6174E" w:rsidRPr="00513337" w:rsidTr="009719FA">
        <w:trPr>
          <w:trHeight w:val="282"/>
        </w:trPr>
        <w:tc>
          <w:tcPr>
            <w:cnfStyle w:val="001000000000" w:firstRow="0" w:lastRow="0" w:firstColumn="1" w:lastColumn="0" w:oddVBand="0" w:evenVBand="0" w:oddHBand="0" w:evenHBand="0" w:firstRowFirstColumn="0" w:firstRowLastColumn="0" w:lastRowFirstColumn="0" w:lastRowLastColumn="0"/>
            <w:tcW w:w="2002" w:type="pct"/>
            <w:shd w:val="clear" w:color="auto" w:fill="FFFFFF" w:themeFill="background1"/>
            <w:noWrap/>
            <w:vAlign w:val="center"/>
            <w:hideMark/>
          </w:tcPr>
          <w:p w:rsidR="00A6174E" w:rsidRPr="00513337" w:rsidRDefault="00A6174E" w:rsidP="00513337">
            <w:pPr>
              <w:keepNext/>
              <w:spacing w:line="240" w:lineRule="auto"/>
              <w:rPr>
                <w:b w:val="0"/>
                <w:bCs/>
                <w:color w:val="000000"/>
                <w:sz w:val="24"/>
                <w:szCs w:val="24"/>
              </w:rPr>
            </w:pPr>
            <w:r w:rsidRPr="00513337">
              <w:rPr>
                <w:b w:val="0"/>
                <w:bCs/>
                <w:color w:val="000000"/>
                <w:sz w:val="24"/>
                <w:szCs w:val="24"/>
              </w:rPr>
              <w:t>Water storage</w:t>
            </w:r>
          </w:p>
        </w:tc>
        <w:tc>
          <w:tcPr>
            <w:tcW w:w="866" w:type="pct"/>
            <w:shd w:val="clear" w:color="auto" w:fill="FFFFFF" w:themeFill="background1"/>
            <w:vAlign w:val="center"/>
          </w:tcPr>
          <w:p w:rsidR="00A6174E" w:rsidRPr="00513337" w:rsidRDefault="00A6174E" w:rsidP="00513337">
            <w:pPr>
              <w:spacing w:line="240" w:lineRule="auto"/>
              <w:jc w:val="center"/>
              <w:cnfStyle w:val="000000000000" w:firstRow="0" w:lastRow="0" w:firstColumn="0" w:lastColumn="0" w:oddVBand="0" w:evenVBand="0" w:oddHBand="0" w:evenHBand="0" w:firstRowFirstColumn="0" w:firstRowLastColumn="0" w:lastRowFirstColumn="0" w:lastRowLastColumn="0"/>
              <w:rPr>
                <w:bCs/>
                <w:color w:val="000000"/>
                <w:sz w:val="24"/>
                <w:szCs w:val="24"/>
              </w:rPr>
            </w:pPr>
            <w:r w:rsidRPr="00513337">
              <w:rPr>
                <w:bCs/>
                <w:color w:val="000000"/>
                <w:sz w:val="24"/>
                <w:szCs w:val="24"/>
              </w:rPr>
              <w:t>N/A</w:t>
            </w:r>
          </w:p>
        </w:tc>
        <w:tc>
          <w:tcPr>
            <w:tcW w:w="863" w:type="pct"/>
            <w:shd w:val="clear" w:color="auto" w:fill="FFFFFF" w:themeFill="background1"/>
            <w:vAlign w:val="center"/>
          </w:tcPr>
          <w:p w:rsidR="00A6174E" w:rsidRPr="00513337" w:rsidRDefault="00A6174E" w:rsidP="00513337">
            <w:pPr>
              <w:spacing w:line="240" w:lineRule="auto"/>
              <w:jc w:val="center"/>
              <w:cnfStyle w:val="000000000000" w:firstRow="0" w:lastRow="0" w:firstColumn="0" w:lastColumn="0" w:oddVBand="0" w:evenVBand="0" w:oddHBand="0" w:evenHBand="0" w:firstRowFirstColumn="0" w:firstRowLastColumn="0" w:lastRowFirstColumn="0" w:lastRowLastColumn="0"/>
              <w:rPr>
                <w:bCs/>
                <w:color w:val="000000"/>
                <w:sz w:val="24"/>
                <w:szCs w:val="24"/>
              </w:rPr>
            </w:pPr>
            <w:r w:rsidRPr="00513337">
              <w:rPr>
                <w:bCs/>
                <w:color w:val="000000"/>
                <w:sz w:val="24"/>
                <w:szCs w:val="24"/>
              </w:rPr>
              <w:t>N/A</w:t>
            </w:r>
          </w:p>
        </w:tc>
        <w:tc>
          <w:tcPr>
            <w:tcW w:w="1269" w:type="pct"/>
            <w:shd w:val="clear" w:color="auto" w:fill="FFFFFF" w:themeFill="background1"/>
            <w:vAlign w:val="center"/>
          </w:tcPr>
          <w:p w:rsidR="00A6174E" w:rsidRPr="00513337" w:rsidRDefault="00A6174E" w:rsidP="00513337">
            <w:pPr>
              <w:spacing w:line="240" w:lineRule="auto"/>
              <w:jc w:val="center"/>
              <w:cnfStyle w:val="000000000000" w:firstRow="0" w:lastRow="0" w:firstColumn="0" w:lastColumn="0" w:oddVBand="0" w:evenVBand="0" w:oddHBand="0" w:evenHBand="0" w:firstRowFirstColumn="0" w:firstRowLastColumn="0" w:lastRowFirstColumn="0" w:lastRowLastColumn="0"/>
              <w:rPr>
                <w:bCs/>
                <w:color w:val="000000"/>
                <w:sz w:val="24"/>
                <w:szCs w:val="24"/>
              </w:rPr>
            </w:pPr>
            <w:r w:rsidRPr="00513337">
              <w:rPr>
                <w:bCs/>
                <w:color w:val="000000"/>
                <w:sz w:val="24"/>
                <w:szCs w:val="24"/>
              </w:rPr>
              <w:t>N/A</w:t>
            </w:r>
          </w:p>
        </w:tc>
      </w:tr>
      <w:tr w:rsidR="00A6174E" w:rsidRPr="00513337" w:rsidTr="009719FA">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002" w:type="pct"/>
            <w:shd w:val="clear" w:color="auto" w:fill="FFFFFF" w:themeFill="background1"/>
            <w:noWrap/>
            <w:vAlign w:val="center"/>
            <w:hideMark/>
          </w:tcPr>
          <w:p w:rsidR="00A6174E" w:rsidRPr="00513337" w:rsidRDefault="00A6174E" w:rsidP="00513337">
            <w:pPr>
              <w:keepNext/>
              <w:spacing w:line="240" w:lineRule="auto"/>
              <w:rPr>
                <w:b w:val="0"/>
                <w:bCs/>
                <w:color w:val="000000"/>
                <w:sz w:val="24"/>
                <w:szCs w:val="24"/>
              </w:rPr>
            </w:pPr>
            <w:r w:rsidRPr="00513337">
              <w:rPr>
                <w:b w:val="0"/>
                <w:bCs/>
                <w:color w:val="000000"/>
                <w:sz w:val="24"/>
                <w:szCs w:val="24"/>
              </w:rPr>
              <w:t>Storage, distribution or packhouse</w:t>
            </w:r>
          </w:p>
        </w:tc>
        <w:tc>
          <w:tcPr>
            <w:tcW w:w="866" w:type="pct"/>
            <w:shd w:val="clear" w:color="auto" w:fill="FFFFFF" w:themeFill="background1"/>
            <w:vAlign w:val="center"/>
          </w:tcPr>
          <w:p w:rsidR="00A6174E" w:rsidRPr="00513337" w:rsidRDefault="00A6174E" w:rsidP="00513337">
            <w:pPr>
              <w:spacing w:line="240" w:lineRule="auto"/>
              <w:jc w:val="center"/>
              <w:cnfStyle w:val="000000010000" w:firstRow="0" w:lastRow="0" w:firstColumn="0" w:lastColumn="0" w:oddVBand="0" w:evenVBand="0" w:oddHBand="0" w:evenHBand="1" w:firstRowFirstColumn="0" w:firstRowLastColumn="0" w:lastRowFirstColumn="0" w:lastRowLastColumn="0"/>
              <w:rPr>
                <w:bCs/>
                <w:color w:val="000000"/>
                <w:sz w:val="24"/>
                <w:szCs w:val="24"/>
              </w:rPr>
            </w:pPr>
            <w:r w:rsidRPr="00513337">
              <w:rPr>
                <w:bCs/>
                <w:color w:val="000000"/>
                <w:sz w:val="24"/>
                <w:szCs w:val="24"/>
              </w:rPr>
              <w:t>5.0</w:t>
            </w:r>
          </w:p>
        </w:tc>
        <w:tc>
          <w:tcPr>
            <w:tcW w:w="863" w:type="pct"/>
            <w:shd w:val="clear" w:color="auto" w:fill="FFFFFF" w:themeFill="background1"/>
            <w:vAlign w:val="center"/>
          </w:tcPr>
          <w:p w:rsidR="00A6174E" w:rsidRPr="00513337" w:rsidRDefault="00A6174E" w:rsidP="00513337">
            <w:pPr>
              <w:spacing w:line="240" w:lineRule="auto"/>
              <w:jc w:val="center"/>
              <w:cnfStyle w:val="000000010000" w:firstRow="0" w:lastRow="0" w:firstColumn="0" w:lastColumn="0" w:oddVBand="0" w:evenVBand="0" w:oddHBand="0" w:evenHBand="1" w:firstRowFirstColumn="0" w:firstRowLastColumn="0" w:lastRowFirstColumn="0" w:lastRowLastColumn="0"/>
              <w:rPr>
                <w:bCs/>
                <w:color w:val="000000"/>
                <w:sz w:val="24"/>
                <w:szCs w:val="24"/>
              </w:rPr>
            </w:pPr>
            <w:r w:rsidRPr="00513337">
              <w:rPr>
                <w:bCs/>
                <w:color w:val="000000"/>
                <w:sz w:val="24"/>
                <w:szCs w:val="24"/>
              </w:rPr>
              <w:t>1.3</w:t>
            </w:r>
          </w:p>
        </w:tc>
        <w:tc>
          <w:tcPr>
            <w:tcW w:w="1269" w:type="pct"/>
            <w:shd w:val="clear" w:color="auto" w:fill="FFFFFF" w:themeFill="background1"/>
            <w:vAlign w:val="center"/>
          </w:tcPr>
          <w:p w:rsidR="00A6174E" w:rsidRPr="00513337" w:rsidRDefault="00A6174E" w:rsidP="00513337">
            <w:pPr>
              <w:spacing w:line="240" w:lineRule="auto"/>
              <w:jc w:val="center"/>
              <w:cnfStyle w:val="000000010000" w:firstRow="0" w:lastRow="0" w:firstColumn="0" w:lastColumn="0" w:oddVBand="0" w:evenVBand="0" w:oddHBand="0" w:evenHBand="1" w:firstRowFirstColumn="0" w:firstRowLastColumn="0" w:lastRowFirstColumn="0" w:lastRowLastColumn="0"/>
              <w:rPr>
                <w:bCs/>
                <w:color w:val="000000"/>
                <w:sz w:val="24"/>
                <w:szCs w:val="24"/>
              </w:rPr>
            </w:pPr>
            <w:r w:rsidRPr="00513337">
              <w:rPr>
                <w:bCs/>
                <w:color w:val="000000"/>
                <w:sz w:val="24"/>
                <w:szCs w:val="24"/>
              </w:rPr>
              <w:t>6.4</w:t>
            </w:r>
          </w:p>
        </w:tc>
      </w:tr>
      <w:tr w:rsidR="00A6174E" w:rsidRPr="00513337" w:rsidTr="009719FA">
        <w:trPr>
          <w:trHeight w:val="264"/>
        </w:trPr>
        <w:tc>
          <w:tcPr>
            <w:cnfStyle w:val="001000000000" w:firstRow="0" w:lastRow="0" w:firstColumn="1" w:lastColumn="0" w:oddVBand="0" w:evenVBand="0" w:oddHBand="0" w:evenHBand="0" w:firstRowFirstColumn="0" w:firstRowLastColumn="0" w:lastRowFirstColumn="0" w:lastRowLastColumn="0"/>
            <w:tcW w:w="2002" w:type="pct"/>
            <w:shd w:val="clear" w:color="auto" w:fill="FFFFFF" w:themeFill="background1"/>
            <w:noWrap/>
            <w:vAlign w:val="center"/>
          </w:tcPr>
          <w:p w:rsidR="00A6174E" w:rsidRPr="00513337" w:rsidRDefault="00A6174E" w:rsidP="00513337">
            <w:pPr>
              <w:keepNext/>
              <w:spacing w:line="240" w:lineRule="auto"/>
              <w:rPr>
                <w:b w:val="0"/>
                <w:bCs/>
                <w:color w:val="000000"/>
                <w:sz w:val="24"/>
                <w:szCs w:val="24"/>
              </w:rPr>
            </w:pPr>
            <w:r w:rsidRPr="00513337">
              <w:rPr>
                <w:b w:val="0"/>
                <w:bCs/>
                <w:color w:val="000000"/>
                <w:sz w:val="24"/>
                <w:szCs w:val="24"/>
              </w:rPr>
              <w:t>Other</w:t>
            </w:r>
          </w:p>
        </w:tc>
        <w:tc>
          <w:tcPr>
            <w:tcW w:w="866" w:type="pct"/>
            <w:shd w:val="clear" w:color="auto" w:fill="FFFFFF" w:themeFill="background1"/>
            <w:vAlign w:val="center"/>
          </w:tcPr>
          <w:p w:rsidR="00A6174E" w:rsidRPr="00513337" w:rsidRDefault="00A6174E" w:rsidP="00513337">
            <w:pPr>
              <w:spacing w:line="240" w:lineRule="auto"/>
              <w:jc w:val="center"/>
              <w:cnfStyle w:val="000000000000" w:firstRow="0" w:lastRow="0" w:firstColumn="0" w:lastColumn="0" w:oddVBand="0" w:evenVBand="0" w:oddHBand="0" w:evenHBand="0" w:firstRowFirstColumn="0" w:firstRowLastColumn="0" w:lastRowFirstColumn="0" w:lastRowLastColumn="0"/>
              <w:rPr>
                <w:bCs/>
                <w:color w:val="000000"/>
                <w:sz w:val="24"/>
                <w:szCs w:val="24"/>
              </w:rPr>
            </w:pPr>
            <w:r w:rsidRPr="00513337">
              <w:rPr>
                <w:bCs/>
                <w:color w:val="000000"/>
                <w:sz w:val="24"/>
                <w:szCs w:val="24"/>
              </w:rPr>
              <w:t>2.1</w:t>
            </w:r>
          </w:p>
        </w:tc>
        <w:tc>
          <w:tcPr>
            <w:tcW w:w="863" w:type="pct"/>
            <w:shd w:val="clear" w:color="auto" w:fill="FFFFFF" w:themeFill="background1"/>
            <w:vAlign w:val="center"/>
          </w:tcPr>
          <w:p w:rsidR="00A6174E" w:rsidRPr="00513337" w:rsidRDefault="00A6174E" w:rsidP="00513337">
            <w:pPr>
              <w:spacing w:line="240" w:lineRule="auto"/>
              <w:jc w:val="center"/>
              <w:cnfStyle w:val="000000000000" w:firstRow="0" w:lastRow="0" w:firstColumn="0" w:lastColumn="0" w:oddVBand="0" w:evenVBand="0" w:oddHBand="0" w:evenHBand="0" w:firstRowFirstColumn="0" w:firstRowLastColumn="0" w:lastRowFirstColumn="0" w:lastRowLastColumn="0"/>
              <w:rPr>
                <w:bCs/>
                <w:color w:val="000000"/>
                <w:sz w:val="24"/>
                <w:szCs w:val="24"/>
              </w:rPr>
            </w:pPr>
            <w:r w:rsidRPr="00513337">
              <w:rPr>
                <w:bCs/>
                <w:color w:val="000000"/>
                <w:sz w:val="24"/>
                <w:szCs w:val="24"/>
              </w:rPr>
              <w:t>6.3</w:t>
            </w:r>
          </w:p>
        </w:tc>
        <w:tc>
          <w:tcPr>
            <w:tcW w:w="1269" w:type="pct"/>
            <w:shd w:val="clear" w:color="auto" w:fill="FFFFFF" w:themeFill="background1"/>
            <w:vAlign w:val="center"/>
          </w:tcPr>
          <w:p w:rsidR="00A6174E" w:rsidRPr="00513337" w:rsidRDefault="00A6174E" w:rsidP="00513337">
            <w:pPr>
              <w:spacing w:line="240" w:lineRule="auto"/>
              <w:jc w:val="center"/>
              <w:cnfStyle w:val="000000000000" w:firstRow="0" w:lastRow="0" w:firstColumn="0" w:lastColumn="0" w:oddVBand="0" w:evenVBand="0" w:oddHBand="0" w:evenHBand="0" w:firstRowFirstColumn="0" w:firstRowLastColumn="0" w:lastRowFirstColumn="0" w:lastRowLastColumn="0"/>
              <w:rPr>
                <w:bCs/>
                <w:color w:val="000000"/>
                <w:sz w:val="24"/>
                <w:szCs w:val="24"/>
              </w:rPr>
            </w:pPr>
            <w:r w:rsidRPr="00513337">
              <w:rPr>
                <w:bCs/>
                <w:color w:val="000000"/>
                <w:sz w:val="24"/>
                <w:szCs w:val="24"/>
              </w:rPr>
              <w:t>9.8</w:t>
            </w:r>
          </w:p>
        </w:tc>
      </w:tr>
      <w:tr w:rsidR="00A6174E" w:rsidRPr="00513337" w:rsidTr="009719FA">
        <w:trPr>
          <w:cnfStyle w:val="000000010000" w:firstRow="0" w:lastRow="0" w:firstColumn="0" w:lastColumn="0" w:oddVBand="0" w:evenVBand="0" w:oddHBand="0" w:evenHBand="1"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002" w:type="pct"/>
            <w:shd w:val="clear" w:color="auto" w:fill="FFFFFF" w:themeFill="background1"/>
            <w:noWrap/>
            <w:vAlign w:val="center"/>
          </w:tcPr>
          <w:p w:rsidR="00A6174E" w:rsidRPr="00513337" w:rsidRDefault="00A6174E" w:rsidP="00513337">
            <w:pPr>
              <w:keepNext/>
              <w:spacing w:line="240" w:lineRule="auto"/>
              <w:rPr>
                <w:b w:val="0"/>
                <w:bCs/>
                <w:color w:val="000000"/>
                <w:sz w:val="24"/>
                <w:szCs w:val="24"/>
              </w:rPr>
            </w:pPr>
            <w:r w:rsidRPr="00513337">
              <w:rPr>
                <w:b w:val="0"/>
                <w:bCs/>
                <w:color w:val="000000"/>
                <w:sz w:val="24"/>
                <w:szCs w:val="24"/>
              </w:rPr>
              <w:t xml:space="preserve">Total </w:t>
            </w:r>
          </w:p>
        </w:tc>
        <w:tc>
          <w:tcPr>
            <w:tcW w:w="866" w:type="pct"/>
            <w:shd w:val="clear" w:color="auto" w:fill="FFFFFF" w:themeFill="background1"/>
            <w:vAlign w:val="center"/>
          </w:tcPr>
          <w:p w:rsidR="00A6174E" w:rsidRPr="00513337" w:rsidRDefault="00A6174E" w:rsidP="00513337">
            <w:pPr>
              <w:spacing w:line="240" w:lineRule="auto"/>
              <w:jc w:val="center"/>
              <w:cnfStyle w:val="000000010000" w:firstRow="0" w:lastRow="0" w:firstColumn="0" w:lastColumn="0" w:oddVBand="0" w:evenVBand="0" w:oddHBand="0" w:evenHBand="1" w:firstRowFirstColumn="0" w:firstRowLastColumn="0" w:lastRowFirstColumn="0" w:lastRowLastColumn="0"/>
              <w:rPr>
                <w:bCs/>
                <w:color w:val="000000"/>
                <w:sz w:val="24"/>
                <w:szCs w:val="24"/>
              </w:rPr>
            </w:pPr>
            <w:r w:rsidRPr="00513337">
              <w:rPr>
                <w:bCs/>
                <w:color w:val="000000"/>
                <w:sz w:val="24"/>
                <w:szCs w:val="24"/>
              </w:rPr>
              <w:t>37.4</w:t>
            </w:r>
          </w:p>
        </w:tc>
        <w:tc>
          <w:tcPr>
            <w:tcW w:w="863" w:type="pct"/>
            <w:shd w:val="clear" w:color="auto" w:fill="FFFFFF" w:themeFill="background1"/>
            <w:vAlign w:val="center"/>
          </w:tcPr>
          <w:p w:rsidR="00A6174E" w:rsidRPr="00513337" w:rsidRDefault="00A6174E" w:rsidP="00513337">
            <w:pPr>
              <w:spacing w:line="240" w:lineRule="auto"/>
              <w:jc w:val="center"/>
              <w:cnfStyle w:val="000000010000" w:firstRow="0" w:lastRow="0" w:firstColumn="0" w:lastColumn="0" w:oddVBand="0" w:evenVBand="0" w:oddHBand="0" w:evenHBand="1" w:firstRowFirstColumn="0" w:firstRowLastColumn="0" w:lastRowFirstColumn="0" w:lastRowLastColumn="0"/>
              <w:rPr>
                <w:bCs/>
                <w:color w:val="000000"/>
                <w:sz w:val="24"/>
                <w:szCs w:val="24"/>
              </w:rPr>
            </w:pPr>
            <w:r w:rsidRPr="00513337">
              <w:rPr>
                <w:bCs/>
                <w:color w:val="000000"/>
                <w:sz w:val="24"/>
                <w:szCs w:val="24"/>
              </w:rPr>
              <w:t>72.8</w:t>
            </w:r>
          </w:p>
        </w:tc>
        <w:tc>
          <w:tcPr>
            <w:tcW w:w="1269" w:type="pct"/>
            <w:shd w:val="clear" w:color="auto" w:fill="FFFFFF" w:themeFill="background1"/>
            <w:vAlign w:val="center"/>
          </w:tcPr>
          <w:p w:rsidR="00A6174E" w:rsidRPr="00513337" w:rsidRDefault="00A6174E" w:rsidP="00513337">
            <w:pPr>
              <w:spacing w:line="240" w:lineRule="auto"/>
              <w:jc w:val="center"/>
              <w:cnfStyle w:val="000000010000" w:firstRow="0" w:lastRow="0" w:firstColumn="0" w:lastColumn="0" w:oddVBand="0" w:evenVBand="0" w:oddHBand="0" w:evenHBand="1" w:firstRowFirstColumn="0" w:firstRowLastColumn="0" w:lastRowFirstColumn="0" w:lastRowLastColumn="0"/>
              <w:rPr>
                <w:bCs/>
                <w:color w:val="000000"/>
                <w:sz w:val="24"/>
                <w:szCs w:val="24"/>
              </w:rPr>
            </w:pPr>
            <w:r w:rsidRPr="00513337">
              <w:rPr>
                <w:bCs/>
                <w:color w:val="000000"/>
                <w:sz w:val="24"/>
                <w:szCs w:val="24"/>
              </w:rPr>
              <w:t>111.7</w:t>
            </w:r>
          </w:p>
        </w:tc>
      </w:tr>
    </w:tbl>
    <w:p w:rsidR="00A6174E" w:rsidRDefault="00A6174E" w:rsidP="009719FA">
      <w:pPr>
        <w:pStyle w:val="11Bodytext"/>
        <w:numPr>
          <w:ilvl w:val="0"/>
          <w:numId w:val="0"/>
        </w:numPr>
        <w:spacing w:before="0" w:after="0" w:line="240" w:lineRule="auto"/>
      </w:pPr>
      <w:r>
        <w:t>* includes figures where in/out HDA data not provided</w:t>
      </w:r>
    </w:p>
    <w:p w:rsidR="00A6174E" w:rsidRPr="000E4421" w:rsidRDefault="00A6174E" w:rsidP="009719FA">
      <w:pPr>
        <w:pStyle w:val="11Bodytext"/>
        <w:numPr>
          <w:ilvl w:val="0"/>
          <w:numId w:val="0"/>
        </w:numPr>
        <w:spacing w:before="0" w:after="0" w:line="240" w:lineRule="auto"/>
      </w:pPr>
      <w:r w:rsidRPr="000E4421">
        <w:t>Source: GL Hearn based on Chichester District Council data</w:t>
      </w:r>
    </w:p>
    <w:p w:rsidR="00A6174E" w:rsidRDefault="00A6174E" w:rsidP="00954663">
      <w:pPr>
        <w:pStyle w:val="11Bodytext"/>
        <w:tabs>
          <w:tab w:val="clear" w:pos="2212"/>
          <w:tab w:val="num" w:pos="567"/>
        </w:tabs>
        <w:ind w:left="567" w:hanging="567"/>
      </w:pPr>
      <w:r>
        <w:t xml:space="preserve">Water storage data has been removed from the table as this typically refers to buildings supporting water facilities rather than the water body itself. Examples of reservoir development reach over 700 ha in Chichester but should be considered on an ad hoc and not trend basis. </w:t>
      </w:r>
    </w:p>
    <w:p w:rsidR="00A6174E" w:rsidRDefault="00A6174E" w:rsidP="00954663">
      <w:pPr>
        <w:pStyle w:val="11Bodytext"/>
        <w:tabs>
          <w:tab w:val="clear" w:pos="2212"/>
          <w:tab w:val="num" w:pos="567"/>
        </w:tabs>
        <w:ind w:left="567" w:hanging="567"/>
      </w:pPr>
      <w:r>
        <w:t xml:space="preserve">Storage and distribution facilities are assumed to cross over with the employment land requirements set out in the early part of this chapter. As such they should not be double counted however this analysis does give an indication of the overall horticultural related needs. </w:t>
      </w:r>
    </w:p>
    <w:p w:rsidR="00A6174E" w:rsidRDefault="00A6174E" w:rsidP="00954663">
      <w:pPr>
        <w:pStyle w:val="11Bodytext"/>
        <w:tabs>
          <w:tab w:val="clear" w:pos="2212"/>
          <w:tab w:val="num" w:pos="567"/>
        </w:tabs>
        <w:ind w:left="567" w:hanging="567"/>
      </w:pPr>
      <w:r>
        <w:t xml:space="preserve">The ‘other’ covers a range of uses such as car parks, mobile homes, shops, culverts, access, offices, and farm buildings. It is considered reasonable to include these in future needs. </w:t>
      </w:r>
    </w:p>
    <w:p w:rsidR="00A6174E" w:rsidRDefault="00A6174E" w:rsidP="00954663">
      <w:pPr>
        <w:pStyle w:val="11Bodytext"/>
        <w:tabs>
          <w:tab w:val="clear" w:pos="2212"/>
          <w:tab w:val="num" w:pos="567"/>
        </w:tabs>
        <w:ind w:left="567" w:hanging="567"/>
      </w:pPr>
      <w:r w:rsidRPr="000E4421">
        <w:t xml:space="preserve">GL Hearn recommends planning for around </w:t>
      </w:r>
      <w:r>
        <w:t>111.7 ha or 1,170,000</w:t>
      </w:r>
      <w:r w:rsidRPr="000E4421">
        <w:t xml:space="preserve"> sqm of future </w:t>
      </w:r>
      <w:r>
        <w:t>horticultural floorspace development of which 37.4 ha or 374,000</w:t>
      </w:r>
      <w:r w:rsidRPr="000E4421">
        <w:t xml:space="preserve"> </w:t>
      </w:r>
      <w:r>
        <w:t xml:space="preserve">in HDAs and the remainder outside. This assumes historic rates continue and that in particular glasshouse development occurs in HDAs and polytunnel type development continues to occur at the same rate outside of HDAs. </w:t>
      </w:r>
    </w:p>
    <w:p w:rsidR="00A6174E" w:rsidRDefault="00A6174E" w:rsidP="00954663">
      <w:pPr>
        <w:pStyle w:val="11Bodytext"/>
        <w:tabs>
          <w:tab w:val="clear" w:pos="2212"/>
          <w:tab w:val="num" w:pos="567"/>
        </w:tabs>
        <w:ind w:left="567" w:hanging="567"/>
      </w:pPr>
      <w:r>
        <w:t xml:space="preserve">GL Hearn has sought to convert this to a land area need based on applications with complete data. The average plot ratio for glasshouses is estimated as 0.62 (ref applications 14/01721/FUL, 96/01335/FUL, </w:t>
      </w:r>
      <w:proofErr w:type="gramStart"/>
      <w:r>
        <w:t>03</w:t>
      </w:r>
      <w:proofErr w:type="gramEnd"/>
      <w:r>
        <w:t xml:space="preserve">/01053/FUL).   This means that 62% of the land is taken up by development floorspace c.38% given over to other uses including landscaping and car parking etc. For polytunnels / greenhouses this is estimated as 0.51 (ref applications 01/00320/FUL, 07/05913/FUL, 08/02247/FUL, </w:t>
      </w:r>
      <w:proofErr w:type="gramStart"/>
      <w:r>
        <w:lastRenderedPageBreak/>
        <w:t>16</w:t>
      </w:r>
      <w:proofErr w:type="gramEnd"/>
      <w:r>
        <w:t>/04001/FUL). Due to difficulty in analysing plot areas for storage activities a general 0.5 ratio is assumed here (as per general B8 needs). GL Hearn is of the view that ‘other’ activities are included within these plot areas. The plot area estimation is set out below.</w:t>
      </w:r>
    </w:p>
    <w:p w:rsidR="00A6174E" w:rsidRPr="00CA47B9" w:rsidRDefault="00A6174E" w:rsidP="009719FA">
      <w:pPr>
        <w:pStyle w:val="Tableheading"/>
        <w:tabs>
          <w:tab w:val="clear" w:pos="794"/>
          <w:tab w:val="clear" w:pos="1843"/>
          <w:tab w:val="left" w:pos="0"/>
        </w:tabs>
        <w:spacing w:line="240" w:lineRule="auto"/>
        <w:ind w:left="0" w:firstLine="0"/>
      </w:pPr>
      <w:r>
        <w:t xml:space="preserve">Future Horticultural  Floorspace and Plot (Land) Needs 2019-36 (ha) </w:t>
      </w:r>
    </w:p>
    <w:tbl>
      <w:tblPr>
        <w:tblStyle w:val="GLHearntable1"/>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67: Future Horticultural  Floorspace and Plot (Land) Needs 2019-36 (ha)"/>
      </w:tblPr>
      <w:tblGrid>
        <w:gridCol w:w="2836"/>
        <w:gridCol w:w="850"/>
        <w:gridCol w:w="1559"/>
        <w:gridCol w:w="993"/>
        <w:gridCol w:w="1561"/>
        <w:gridCol w:w="848"/>
        <w:gridCol w:w="991"/>
      </w:tblGrid>
      <w:tr w:rsidR="00E519C8" w:rsidRPr="00513337" w:rsidTr="009719FA">
        <w:trPr>
          <w:cnfStyle w:val="100000000000" w:firstRow="1" w:lastRow="0" w:firstColumn="0" w:lastColumn="0" w:oddVBand="0" w:evenVBand="0" w:oddHBand="0" w:evenHBand="0" w:firstRowFirstColumn="0" w:firstRowLastColumn="0" w:lastRowFirstColumn="0" w:lastRowLastColumn="0"/>
          <w:trHeight w:val="297"/>
          <w:tblHeader/>
        </w:trPr>
        <w:tc>
          <w:tcPr>
            <w:cnfStyle w:val="001000000000" w:firstRow="0" w:lastRow="0" w:firstColumn="1" w:lastColumn="0" w:oddVBand="0" w:evenVBand="0" w:oddHBand="0" w:evenHBand="0" w:firstRowFirstColumn="0" w:firstRowLastColumn="0" w:lastRowFirstColumn="0" w:lastRowLastColumn="0"/>
            <w:tcW w:w="1471" w:type="pct"/>
            <w:noWrap/>
          </w:tcPr>
          <w:p w:rsidR="00A6174E" w:rsidRPr="00513337" w:rsidRDefault="00A6174E" w:rsidP="00513337">
            <w:pPr>
              <w:keepNext/>
              <w:spacing w:line="240" w:lineRule="auto"/>
              <w:rPr>
                <w:b w:val="0"/>
                <w:bCs/>
                <w:sz w:val="24"/>
                <w:szCs w:val="24"/>
              </w:rPr>
            </w:pPr>
          </w:p>
        </w:tc>
        <w:tc>
          <w:tcPr>
            <w:tcW w:w="441" w:type="pct"/>
          </w:tcPr>
          <w:p w:rsidR="00A6174E" w:rsidRPr="00513337" w:rsidRDefault="00A6174E" w:rsidP="00513337">
            <w:pPr>
              <w:keepNext/>
              <w:spacing w:line="240" w:lineRule="auto"/>
              <w:jc w:val="center"/>
              <w:cnfStyle w:val="100000000000" w:firstRow="1" w:lastRow="0" w:firstColumn="0" w:lastColumn="0" w:oddVBand="0" w:evenVBand="0" w:oddHBand="0" w:evenHBand="0" w:firstRowFirstColumn="0" w:firstRowLastColumn="0" w:lastRowFirstColumn="0" w:lastRowLastColumn="0"/>
              <w:rPr>
                <w:bCs/>
                <w:sz w:val="24"/>
                <w:szCs w:val="24"/>
              </w:rPr>
            </w:pPr>
            <w:r w:rsidRPr="00513337">
              <w:rPr>
                <w:bCs/>
                <w:sz w:val="24"/>
                <w:szCs w:val="24"/>
              </w:rPr>
              <w:t>Plot ratio</w:t>
            </w:r>
          </w:p>
        </w:tc>
        <w:tc>
          <w:tcPr>
            <w:tcW w:w="809" w:type="pct"/>
          </w:tcPr>
          <w:p w:rsidR="00A6174E" w:rsidRPr="00513337" w:rsidRDefault="00A6174E" w:rsidP="00513337">
            <w:pPr>
              <w:keepNext/>
              <w:spacing w:line="240" w:lineRule="auto"/>
              <w:jc w:val="center"/>
              <w:cnfStyle w:val="100000000000" w:firstRow="1" w:lastRow="0" w:firstColumn="0" w:lastColumn="0" w:oddVBand="0" w:evenVBand="0" w:oddHBand="0" w:evenHBand="0" w:firstRowFirstColumn="0" w:firstRowLastColumn="0" w:lastRowFirstColumn="0" w:lastRowLastColumn="0"/>
              <w:rPr>
                <w:b w:val="0"/>
                <w:bCs/>
                <w:sz w:val="24"/>
                <w:szCs w:val="24"/>
              </w:rPr>
            </w:pPr>
            <w:r w:rsidRPr="00513337">
              <w:rPr>
                <w:bCs/>
                <w:sz w:val="24"/>
                <w:szCs w:val="24"/>
              </w:rPr>
              <w:t>Floorspace</w:t>
            </w:r>
          </w:p>
          <w:p w:rsidR="00A6174E" w:rsidRPr="00513337" w:rsidRDefault="00A6174E" w:rsidP="00513337">
            <w:pPr>
              <w:keepNext/>
              <w:spacing w:line="240" w:lineRule="auto"/>
              <w:jc w:val="center"/>
              <w:cnfStyle w:val="100000000000" w:firstRow="1" w:lastRow="0" w:firstColumn="0" w:lastColumn="0" w:oddVBand="0" w:evenVBand="0" w:oddHBand="0" w:evenHBand="0" w:firstRowFirstColumn="0" w:firstRowLastColumn="0" w:lastRowFirstColumn="0" w:lastRowLastColumn="0"/>
              <w:rPr>
                <w:bCs/>
                <w:sz w:val="24"/>
                <w:szCs w:val="24"/>
              </w:rPr>
            </w:pPr>
            <w:r w:rsidRPr="00513337">
              <w:rPr>
                <w:bCs/>
                <w:sz w:val="24"/>
                <w:szCs w:val="24"/>
              </w:rPr>
              <w:t>(HDA)</w:t>
            </w:r>
          </w:p>
        </w:tc>
        <w:tc>
          <w:tcPr>
            <w:tcW w:w="515" w:type="pct"/>
          </w:tcPr>
          <w:p w:rsidR="00A6174E" w:rsidRPr="00513337" w:rsidRDefault="00A6174E" w:rsidP="00513337">
            <w:pPr>
              <w:keepNext/>
              <w:spacing w:line="240" w:lineRule="auto"/>
              <w:jc w:val="center"/>
              <w:cnfStyle w:val="100000000000" w:firstRow="1" w:lastRow="0" w:firstColumn="0" w:lastColumn="0" w:oddVBand="0" w:evenVBand="0" w:oddHBand="0" w:evenHBand="0" w:firstRowFirstColumn="0" w:firstRowLastColumn="0" w:lastRowFirstColumn="0" w:lastRowLastColumn="0"/>
              <w:rPr>
                <w:bCs/>
                <w:sz w:val="24"/>
                <w:szCs w:val="24"/>
              </w:rPr>
            </w:pPr>
            <w:r w:rsidRPr="00513337">
              <w:rPr>
                <w:bCs/>
                <w:sz w:val="24"/>
                <w:szCs w:val="24"/>
              </w:rPr>
              <w:t>Plot (HDA)</w:t>
            </w:r>
          </w:p>
        </w:tc>
        <w:tc>
          <w:tcPr>
            <w:tcW w:w="810" w:type="pct"/>
          </w:tcPr>
          <w:p w:rsidR="00A6174E" w:rsidRPr="00513337" w:rsidRDefault="00A6174E" w:rsidP="00513337">
            <w:pPr>
              <w:keepNext/>
              <w:spacing w:line="240" w:lineRule="auto"/>
              <w:jc w:val="center"/>
              <w:cnfStyle w:val="100000000000" w:firstRow="1" w:lastRow="0" w:firstColumn="0" w:lastColumn="0" w:oddVBand="0" w:evenVBand="0" w:oddHBand="0" w:evenHBand="0" w:firstRowFirstColumn="0" w:firstRowLastColumn="0" w:lastRowFirstColumn="0" w:lastRowLastColumn="0"/>
              <w:rPr>
                <w:b w:val="0"/>
                <w:bCs/>
                <w:sz w:val="24"/>
                <w:szCs w:val="24"/>
              </w:rPr>
            </w:pPr>
            <w:r w:rsidRPr="00513337">
              <w:rPr>
                <w:bCs/>
                <w:sz w:val="24"/>
                <w:szCs w:val="24"/>
              </w:rPr>
              <w:t xml:space="preserve">Floorspace </w:t>
            </w:r>
          </w:p>
          <w:p w:rsidR="00A6174E" w:rsidRPr="00513337" w:rsidRDefault="00A6174E" w:rsidP="00513337">
            <w:pPr>
              <w:keepNext/>
              <w:spacing w:line="240" w:lineRule="auto"/>
              <w:jc w:val="center"/>
              <w:cnfStyle w:val="100000000000" w:firstRow="1" w:lastRow="0" w:firstColumn="0" w:lastColumn="0" w:oddVBand="0" w:evenVBand="0" w:oddHBand="0" w:evenHBand="0" w:firstRowFirstColumn="0" w:firstRowLastColumn="0" w:lastRowFirstColumn="0" w:lastRowLastColumn="0"/>
              <w:rPr>
                <w:bCs/>
                <w:sz w:val="24"/>
                <w:szCs w:val="24"/>
              </w:rPr>
            </w:pPr>
            <w:r w:rsidRPr="00513337">
              <w:rPr>
                <w:bCs/>
                <w:sz w:val="24"/>
                <w:szCs w:val="24"/>
              </w:rPr>
              <w:t>(Non HDA)</w:t>
            </w:r>
          </w:p>
        </w:tc>
        <w:tc>
          <w:tcPr>
            <w:tcW w:w="440" w:type="pct"/>
          </w:tcPr>
          <w:p w:rsidR="00A6174E" w:rsidRPr="00513337" w:rsidRDefault="00A6174E" w:rsidP="00513337">
            <w:pPr>
              <w:keepNext/>
              <w:spacing w:line="240" w:lineRule="auto"/>
              <w:jc w:val="center"/>
              <w:cnfStyle w:val="100000000000" w:firstRow="1" w:lastRow="0" w:firstColumn="0" w:lastColumn="0" w:oddVBand="0" w:evenVBand="0" w:oddHBand="0" w:evenHBand="0" w:firstRowFirstColumn="0" w:firstRowLastColumn="0" w:lastRowFirstColumn="0" w:lastRowLastColumn="0"/>
              <w:rPr>
                <w:bCs/>
                <w:sz w:val="24"/>
                <w:szCs w:val="24"/>
              </w:rPr>
            </w:pPr>
            <w:r w:rsidRPr="00513337">
              <w:rPr>
                <w:bCs/>
                <w:sz w:val="24"/>
                <w:szCs w:val="24"/>
              </w:rPr>
              <w:t>Plot (Non HDA)</w:t>
            </w:r>
          </w:p>
        </w:tc>
        <w:tc>
          <w:tcPr>
            <w:tcW w:w="514" w:type="pct"/>
          </w:tcPr>
          <w:p w:rsidR="00A6174E" w:rsidRPr="00513337" w:rsidRDefault="00A6174E" w:rsidP="00513337">
            <w:pPr>
              <w:keepNext/>
              <w:spacing w:line="240" w:lineRule="auto"/>
              <w:jc w:val="center"/>
              <w:cnfStyle w:val="100000000000" w:firstRow="1" w:lastRow="0" w:firstColumn="0" w:lastColumn="0" w:oddVBand="0" w:evenVBand="0" w:oddHBand="0" w:evenHBand="0" w:firstRowFirstColumn="0" w:firstRowLastColumn="0" w:lastRowFirstColumn="0" w:lastRowLastColumn="0"/>
              <w:rPr>
                <w:bCs/>
                <w:sz w:val="24"/>
                <w:szCs w:val="24"/>
              </w:rPr>
            </w:pPr>
            <w:r w:rsidRPr="00513337">
              <w:rPr>
                <w:bCs/>
                <w:sz w:val="24"/>
                <w:szCs w:val="24"/>
              </w:rPr>
              <w:t>Total Plot (sum)</w:t>
            </w:r>
          </w:p>
        </w:tc>
      </w:tr>
      <w:tr w:rsidR="00E519C8" w:rsidRPr="00513337" w:rsidTr="009719FA">
        <w:trPr>
          <w:trHeight w:val="325"/>
        </w:trPr>
        <w:tc>
          <w:tcPr>
            <w:cnfStyle w:val="001000000000" w:firstRow="0" w:lastRow="0" w:firstColumn="1" w:lastColumn="0" w:oddVBand="0" w:evenVBand="0" w:oddHBand="0" w:evenHBand="0" w:firstRowFirstColumn="0" w:firstRowLastColumn="0" w:lastRowFirstColumn="0" w:lastRowLastColumn="0"/>
            <w:tcW w:w="1471" w:type="pct"/>
            <w:shd w:val="clear" w:color="auto" w:fill="FFFFFF" w:themeFill="background1"/>
            <w:noWrap/>
            <w:vAlign w:val="center"/>
            <w:hideMark/>
          </w:tcPr>
          <w:p w:rsidR="00A6174E" w:rsidRPr="00513337" w:rsidRDefault="00A6174E" w:rsidP="00513337">
            <w:pPr>
              <w:keepNext/>
              <w:spacing w:line="240" w:lineRule="auto"/>
              <w:rPr>
                <w:b w:val="0"/>
                <w:bCs/>
                <w:color w:val="000000"/>
                <w:sz w:val="24"/>
                <w:szCs w:val="24"/>
              </w:rPr>
            </w:pPr>
            <w:r w:rsidRPr="00513337">
              <w:rPr>
                <w:b w:val="0"/>
                <w:bCs/>
                <w:color w:val="000000"/>
                <w:sz w:val="24"/>
                <w:szCs w:val="24"/>
              </w:rPr>
              <w:t>Glasshouse net</w:t>
            </w:r>
          </w:p>
        </w:tc>
        <w:tc>
          <w:tcPr>
            <w:tcW w:w="441" w:type="pct"/>
            <w:shd w:val="clear" w:color="auto" w:fill="FFFFFF" w:themeFill="background1"/>
            <w:vAlign w:val="center"/>
          </w:tcPr>
          <w:p w:rsidR="00A6174E" w:rsidRPr="00513337" w:rsidRDefault="00A6174E" w:rsidP="00513337">
            <w:pPr>
              <w:spacing w:line="240" w:lineRule="auto"/>
              <w:jc w:val="center"/>
              <w:cnfStyle w:val="000000000000" w:firstRow="0" w:lastRow="0" w:firstColumn="0" w:lastColumn="0" w:oddVBand="0" w:evenVBand="0" w:oddHBand="0" w:evenHBand="0" w:firstRowFirstColumn="0" w:firstRowLastColumn="0" w:lastRowFirstColumn="0" w:lastRowLastColumn="0"/>
              <w:rPr>
                <w:bCs/>
                <w:color w:val="000000"/>
                <w:sz w:val="24"/>
                <w:szCs w:val="24"/>
              </w:rPr>
            </w:pPr>
            <w:r w:rsidRPr="00513337">
              <w:rPr>
                <w:bCs/>
                <w:color w:val="000000"/>
                <w:sz w:val="24"/>
                <w:szCs w:val="24"/>
              </w:rPr>
              <w:t>0.62</w:t>
            </w:r>
          </w:p>
        </w:tc>
        <w:tc>
          <w:tcPr>
            <w:tcW w:w="809" w:type="pct"/>
            <w:shd w:val="clear" w:color="auto" w:fill="FFFFFF" w:themeFill="background1"/>
            <w:vAlign w:val="center"/>
          </w:tcPr>
          <w:p w:rsidR="00A6174E" w:rsidRPr="00513337" w:rsidRDefault="00A6174E" w:rsidP="00513337">
            <w:pPr>
              <w:spacing w:line="240" w:lineRule="auto"/>
              <w:jc w:val="center"/>
              <w:cnfStyle w:val="000000000000" w:firstRow="0" w:lastRow="0" w:firstColumn="0" w:lastColumn="0" w:oddVBand="0" w:evenVBand="0" w:oddHBand="0" w:evenHBand="0" w:firstRowFirstColumn="0" w:firstRowLastColumn="0" w:lastRowFirstColumn="0" w:lastRowLastColumn="0"/>
              <w:rPr>
                <w:bCs/>
                <w:color w:val="000000"/>
                <w:sz w:val="24"/>
                <w:szCs w:val="24"/>
              </w:rPr>
            </w:pPr>
            <w:r w:rsidRPr="00513337">
              <w:rPr>
                <w:bCs/>
                <w:color w:val="000000"/>
                <w:sz w:val="24"/>
                <w:szCs w:val="24"/>
              </w:rPr>
              <w:t>25.1</w:t>
            </w:r>
          </w:p>
        </w:tc>
        <w:tc>
          <w:tcPr>
            <w:tcW w:w="515" w:type="pct"/>
            <w:shd w:val="clear" w:color="auto" w:fill="FFFFFF" w:themeFill="background1"/>
            <w:vAlign w:val="center"/>
          </w:tcPr>
          <w:p w:rsidR="00A6174E" w:rsidRPr="00513337" w:rsidRDefault="00A6174E" w:rsidP="00513337">
            <w:pPr>
              <w:spacing w:line="240" w:lineRule="auto"/>
              <w:jc w:val="center"/>
              <w:cnfStyle w:val="000000000000" w:firstRow="0" w:lastRow="0" w:firstColumn="0" w:lastColumn="0" w:oddVBand="0" w:evenVBand="0" w:oddHBand="0" w:evenHBand="0" w:firstRowFirstColumn="0" w:firstRowLastColumn="0" w:lastRowFirstColumn="0" w:lastRowLastColumn="0"/>
              <w:rPr>
                <w:bCs/>
                <w:color w:val="000000"/>
                <w:sz w:val="24"/>
                <w:szCs w:val="24"/>
              </w:rPr>
            </w:pPr>
            <w:r w:rsidRPr="00513337">
              <w:rPr>
                <w:bCs/>
                <w:color w:val="000000"/>
                <w:sz w:val="24"/>
                <w:szCs w:val="24"/>
              </w:rPr>
              <w:t>40.5</w:t>
            </w:r>
          </w:p>
        </w:tc>
        <w:tc>
          <w:tcPr>
            <w:tcW w:w="810" w:type="pct"/>
            <w:shd w:val="clear" w:color="auto" w:fill="FFFFFF" w:themeFill="background1"/>
            <w:vAlign w:val="center"/>
          </w:tcPr>
          <w:p w:rsidR="00A6174E" w:rsidRPr="00513337" w:rsidRDefault="00A6174E" w:rsidP="00513337">
            <w:pPr>
              <w:spacing w:line="240" w:lineRule="auto"/>
              <w:jc w:val="center"/>
              <w:cnfStyle w:val="000000000000" w:firstRow="0" w:lastRow="0" w:firstColumn="0" w:lastColumn="0" w:oddVBand="0" w:evenVBand="0" w:oddHBand="0" w:evenHBand="0" w:firstRowFirstColumn="0" w:firstRowLastColumn="0" w:lastRowFirstColumn="0" w:lastRowLastColumn="0"/>
              <w:rPr>
                <w:bCs/>
                <w:color w:val="000000"/>
                <w:sz w:val="24"/>
                <w:szCs w:val="24"/>
              </w:rPr>
            </w:pPr>
            <w:r w:rsidRPr="00513337">
              <w:rPr>
                <w:bCs/>
                <w:color w:val="000000"/>
                <w:sz w:val="24"/>
                <w:szCs w:val="24"/>
              </w:rPr>
              <w:t>2.3</w:t>
            </w:r>
          </w:p>
        </w:tc>
        <w:tc>
          <w:tcPr>
            <w:tcW w:w="440" w:type="pct"/>
            <w:shd w:val="clear" w:color="auto" w:fill="FFFFFF" w:themeFill="background1"/>
            <w:vAlign w:val="center"/>
          </w:tcPr>
          <w:p w:rsidR="00A6174E" w:rsidRPr="00513337" w:rsidRDefault="00A6174E" w:rsidP="00513337">
            <w:pPr>
              <w:spacing w:line="240" w:lineRule="auto"/>
              <w:jc w:val="center"/>
              <w:cnfStyle w:val="000000000000" w:firstRow="0" w:lastRow="0" w:firstColumn="0" w:lastColumn="0" w:oddVBand="0" w:evenVBand="0" w:oddHBand="0" w:evenHBand="0" w:firstRowFirstColumn="0" w:firstRowLastColumn="0" w:lastRowFirstColumn="0" w:lastRowLastColumn="0"/>
              <w:rPr>
                <w:bCs/>
                <w:color w:val="000000"/>
                <w:sz w:val="24"/>
                <w:szCs w:val="24"/>
              </w:rPr>
            </w:pPr>
            <w:r w:rsidRPr="00513337">
              <w:rPr>
                <w:bCs/>
                <w:color w:val="000000"/>
                <w:sz w:val="24"/>
                <w:szCs w:val="24"/>
              </w:rPr>
              <w:t>3.7</w:t>
            </w:r>
          </w:p>
        </w:tc>
        <w:tc>
          <w:tcPr>
            <w:tcW w:w="514" w:type="pct"/>
            <w:shd w:val="clear" w:color="auto" w:fill="FFFFFF" w:themeFill="background1"/>
            <w:vAlign w:val="center"/>
          </w:tcPr>
          <w:p w:rsidR="00A6174E" w:rsidRPr="00513337" w:rsidRDefault="00A6174E" w:rsidP="00513337">
            <w:pPr>
              <w:spacing w:line="240" w:lineRule="auto"/>
              <w:jc w:val="center"/>
              <w:cnfStyle w:val="000000000000" w:firstRow="0" w:lastRow="0" w:firstColumn="0" w:lastColumn="0" w:oddVBand="0" w:evenVBand="0" w:oddHBand="0" w:evenHBand="0" w:firstRowFirstColumn="0" w:firstRowLastColumn="0" w:lastRowFirstColumn="0" w:lastRowLastColumn="0"/>
              <w:rPr>
                <w:bCs/>
                <w:color w:val="000000"/>
                <w:sz w:val="24"/>
                <w:szCs w:val="24"/>
              </w:rPr>
            </w:pPr>
            <w:r w:rsidRPr="00513337">
              <w:rPr>
                <w:bCs/>
                <w:color w:val="000000"/>
                <w:sz w:val="24"/>
                <w:szCs w:val="24"/>
              </w:rPr>
              <w:t>44.2</w:t>
            </w:r>
          </w:p>
        </w:tc>
      </w:tr>
      <w:tr w:rsidR="00E519C8" w:rsidRPr="00513337" w:rsidTr="009719FA">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71" w:type="pct"/>
            <w:shd w:val="clear" w:color="auto" w:fill="FFFFFF" w:themeFill="background1"/>
            <w:noWrap/>
            <w:vAlign w:val="center"/>
            <w:hideMark/>
          </w:tcPr>
          <w:p w:rsidR="00A6174E" w:rsidRPr="00513337" w:rsidRDefault="00A6174E" w:rsidP="00513337">
            <w:pPr>
              <w:keepNext/>
              <w:spacing w:line="240" w:lineRule="auto"/>
              <w:rPr>
                <w:b w:val="0"/>
                <w:bCs/>
                <w:color w:val="000000"/>
                <w:sz w:val="24"/>
                <w:szCs w:val="24"/>
              </w:rPr>
            </w:pPr>
            <w:r w:rsidRPr="00513337">
              <w:rPr>
                <w:b w:val="0"/>
                <w:bCs/>
                <w:color w:val="000000"/>
                <w:sz w:val="24"/>
                <w:szCs w:val="24"/>
              </w:rPr>
              <w:t>Polytunnel / greenhouse</w:t>
            </w:r>
          </w:p>
        </w:tc>
        <w:tc>
          <w:tcPr>
            <w:tcW w:w="441" w:type="pct"/>
            <w:shd w:val="clear" w:color="auto" w:fill="FFFFFF" w:themeFill="background1"/>
            <w:vAlign w:val="center"/>
          </w:tcPr>
          <w:p w:rsidR="00A6174E" w:rsidRPr="00513337" w:rsidRDefault="00A6174E" w:rsidP="00513337">
            <w:pPr>
              <w:spacing w:line="240" w:lineRule="auto"/>
              <w:jc w:val="center"/>
              <w:cnfStyle w:val="000000010000" w:firstRow="0" w:lastRow="0" w:firstColumn="0" w:lastColumn="0" w:oddVBand="0" w:evenVBand="0" w:oddHBand="0" w:evenHBand="1" w:firstRowFirstColumn="0" w:firstRowLastColumn="0" w:lastRowFirstColumn="0" w:lastRowLastColumn="0"/>
              <w:rPr>
                <w:bCs/>
                <w:color w:val="000000"/>
                <w:sz w:val="24"/>
                <w:szCs w:val="24"/>
              </w:rPr>
            </w:pPr>
            <w:r w:rsidRPr="00513337">
              <w:rPr>
                <w:bCs/>
                <w:color w:val="000000"/>
                <w:sz w:val="24"/>
                <w:szCs w:val="24"/>
              </w:rPr>
              <w:t>0.51</w:t>
            </w:r>
          </w:p>
        </w:tc>
        <w:tc>
          <w:tcPr>
            <w:tcW w:w="809" w:type="pct"/>
            <w:shd w:val="clear" w:color="auto" w:fill="FFFFFF" w:themeFill="background1"/>
            <w:vAlign w:val="center"/>
          </w:tcPr>
          <w:p w:rsidR="00A6174E" w:rsidRPr="00513337" w:rsidRDefault="00A6174E" w:rsidP="00513337">
            <w:pPr>
              <w:spacing w:line="240" w:lineRule="auto"/>
              <w:jc w:val="center"/>
              <w:cnfStyle w:val="000000010000" w:firstRow="0" w:lastRow="0" w:firstColumn="0" w:lastColumn="0" w:oddVBand="0" w:evenVBand="0" w:oddHBand="0" w:evenHBand="1" w:firstRowFirstColumn="0" w:firstRowLastColumn="0" w:lastRowFirstColumn="0" w:lastRowLastColumn="0"/>
              <w:rPr>
                <w:bCs/>
                <w:color w:val="000000"/>
                <w:sz w:val="24"/>
                <w:szCs w:val="24"/>
              </w:rPr>
            </w:pPr>
            <w:r w:rsidRPr="00513337">
              <w:rPr>
                <w:bCs/>
                <w:color w:val="000000"/>
                <w:sz w:val="24"/>
                <w:szCs w:val="24"/>
              </w:rPr>
              <w:t>5.2</w:t>
            </w:r>
          </w:p>
        </w:tc>
        <w:tc>
          <w:tcPr>
            <w:tcW w:w="515" w:type="pct"/>
            <w:shd w:val="clear" w:color="auto" w:fill="FFFFFF" w:themeFill="background1"/>
            <w:vAlign w:val="center"/>
          </w:tcPr>
          <w:p w:rsidR="00A6174E" w:rsidRPr="00513337" w:rsidRDefault="00A6174E" w:rsidP="00513337">
            <w:pPr>
              <w:spacing w:line="240" w:lineRule="auto"/>
              <w:jc w:val="center"/>
              <w:cnfStyle w:val="000000010000" w:firstRow="0" w:lastRow="0" w:firstColumn="0" w:lastColumn="0" w:oddVBand="0" w:evenVBand="0" w:oddHBand="0" w:evenHBand="1" w:firstRowFirstColumn="0" w:firstRowLastColumn="0" w:lastRowFirstColumn="0" w:lastRowLastColumn="0"/>
              <w:rPr>
                <w:bCs/>
                <w:color w:val="000000"/>
                <w:sz w:val="24"/>
                <w:szCs w:val="24"/>
              </w:rPr>
            </w:pPr>
            <w:r w:rsidRPr="00513337">
              <w:rPr>
                <w:bCs/>
                <w:color w:val="000000"/>
                <w:sz w:val="24"/>
                <w:szCs w:val="24"/>
              </w:rPr>
              <w:t>10.2</w:t>
            </w:r>
          </w:p>
        </w:tc>
        <w:tc>
          <w:tcPr>
            <w:tcW w:w="810" w:type="pct"/>
            <w:shd w:val="clear" w:color="auto" w:fill="FFFFFF" w:themeFill="background1"/>
            <w:vAlign w:val="center"/>
          </w:tcPr>
          <w:p w:rsidR="00A6174E" w:rsidRPr="00513337" w:rsidRDefault="00A6174E" w:rsidP="00513337">
            <w:pPr>
              <w:spacing w:line="240" w:lineRule="auto"/>
              <w:jc w:val="center"/>
              <w:cnfStyle w:val="000000010000" w:firstRow="0" w:lastRow="0" w:firstColumn="0" w:lastColumn="0" w:oddVBand="0" w:evenVBand="0" w:oddHBand="0" w:evenHBand="1" w:firstRowFirstColumn="0" w:firstRowLastColumn="0" w:lastRowFirstColumn="0" w:lastRowLastColumn="0"/>
              <w:rPr>
                <w:bCs/>
                <w:color w:val="000000"/>
                <w:sz w:val="24"/>
                <w:szCs w:val="24"/>
              </w:rPr>
            </w:pPr>
            <w:r w:rsidRPr="00513337">
              <w:rPr>
                <w:bCs/>
                <w:color w:val="000000"/>
                <w:sz w:val="24"/>
                <w:szCs w:val="24"/>
              </w:rPr>
              <w:t>62.9</w:t>
            </w:r>
          </w:p>
        </w:tc>
        <w:tc>
          <w:tcPr>
            <w:tcW w:w="440" w:type="pct"/>
            <w:shd w:val="clear" w:color="auto" w:fill="FFFFFF" w:themeFill="background1"/>
            <w:vAlign w:val="center"/>
          </w:tcPr>
          <w:p w:rsidR="00A6174E" w:rsidRPr="00513337" w:rsidRDefault="00A6174E" w:rsidP="00513337">
            <w:pPr>
              <w:spacing w:line="240" w:lineRule="auto"/>
              <w:jc w:val="center"/>
              <w:cnfStyle w:val="000000010000" w:firstRow="0" w:lastRow="0" w:firstColumn="0" w:lastColumn="0" w:oddVBand="0" w:evenVBand="0" w:oddHBand="0" w:evenHBand="1" w:firstRowFirstColumn="0" w:firstRowLastColumn="0" w:lastRowFirstColumn="0" w:lastRowLastColumn="0"/>
              <w:rPr>
                <w:bCs/>
                <w:color w:val="000000"/>
                <w:sz w:val="24"/>
                <w:szCs w:val="24"/>
              </w:rPr>
            </w:pPr>
            <w:r w:rsidRPr="00513337">
              <w:rPr>
                <w:bCs/>
                <w:color w:val="000000"/>
                <w:sz w:val="24"/>
                <w:szCs w:val="24"/>
              </w:rPr>
              <w:t>123.3</w:t>
            </w:r>
          </w:p>
        </w:tc>
        <w:tc>
          <w:tcPr>
            <w:tcW w:w="514" w:type="pct"/>
            <w:shd w:val="clear" w:color="auto" w:fill="FFFFFF" w:themeFill="background1"/>
            <w:vAlign w:val="center"/>
          </w:tcPr>
          <w:p w:rsidR="00A6174E" w:rsidRPr="00513337" w:rsidRDefault="00A6174E" w:rsidP="00513337">
            <w:pPr>
              <w:spacing w:line="240" w:lineRule="auto"/>
              <w:jc w:val="center"/>
              <w:cnfStyle w:val="000000010000" w:firstRow="0" w:lastRow="0" w:firstColumn="0" w:lastColumn="0" w:oddVBand="0" w:evenVBand="0" w:oddHBand="0" w:evenHBand="1" w:firstRowFirstColumn="0" w:firstRowLastColumn="0" w:lastRowFirstColumn="0" w:lastRowLastColumn="0"/>
              <w:rPr>
                <w:bCs/>
                <w:color w:val="000000"/>
                <w:sz w:val="24"/>
                <w:szCs w:val="24"/>
              </w:rPr>
            </w:pPr>
            <w:r w:rsidRPr="00513337">
              <w:rPr>
                <w:bCs/>
                <w:color w:val="000000"/>
                <w:sz w:val="24"/>
                <w:szCs w:val="24"/>
              </w:rPr>
              <w:t>133.5</w:t>
            </w:r>
          </w:p>
        </w:tc>
      </w:tr>
      <w:tr w:rsidR="00E519C8" w:rsidRPr="00513337" w:rsidTr="009719FA">
        <w:trPr>
          <w:trHeight w:val="281"/>
        </w:trPr>
        <w:tc>
          <w:tcPr>
            <w:cnfStyle w:val="001000000000" w:firstRow="0" w:lastRow="0" w:firstColumn="1" w:lastColumn="0" w:oddVBand="0" w:evenVBand="0" w:oddHBand="0" w:evenHBand="0" w:firstRowFirstColumn="0" w:firstRowLastColumn="0" w:lastRowFirstColumn="0" w:lastRowLastColumn="0"/>
            <w:tcW w:w="1471" w:type="pct"/>
            <w:shd w:val="clear" w:color="auto" w:fill="FFFFFF" w:themeFill="background1"/>
            <w:noWrap/>
            <w:vAlign w:val="center"/>
          </w:tcPr>
          <w:p w:rsidR="00A6174E" w:rsidRPr="00513337" w:rsidRDefault="00A6174E" w:rsidP="00513337">
            <w:pPr>
              <w:keepNext/>
              <w:spacing w:line="240" w:lineRule="auto"/>
              <w:rPr>
                <w:b w:val="0"/>
                <w:bCs/>
                <w:color w:val="000000"/>
                <w:sz w:val="24"/>
                <w:szCs w:val="24"/>
              </w:rPr>
            </w:pPr>
            <w:r w:rsidRPr="00513337">
              <w:rPr>
                <w:b w:val="0"/>
                <w:bCs/>
                <w:color w:val="000000"/>
                <w:sz w:val="24"/>
                <w:szCs w:val="24"/>
              </w:rPr>
              <w:t>Storage, distribution or packhouse</w:t>
            </w:r>
          </w:p>
        </w:tc>
        <w:tc>
          <w:tcPr>
            <w:tcW w:w="441" w:type="pct"/>
            <w:shd w:val="clear" w:color="auto" w:fill="FFFFFF" w:themeFill="background1"/>
            <w:vAlign w:val="center"/>
          </w:tcPr>
          <w:p w:rsidR="00A6174E" w:rsidRPr="00513337" w:rsidRDefault="00A6174E" w:rsidP="00513337">
            <w:pPr>
              <w:spacing w:line="240" w:lineRule="auto"/>
              <w:jc w:val="center"/>
              <w:cnfStyle w:val="000000000000" w:firstRow="0" w:lastRow="0" w:firstColumn="0" w:lastColumn="0" w:oddVBand="0" w:evenVBand="0" w:oddHBand="0" w:evenHBand="0" w:firstRowFirstColumn="0" w:firstRowLastColumn="0" w:lastRowFirstColumn="0" w:lastRowLastColumn="0"/>
              <w:rPr>
                <w:bCs/>
                <w:color w:val="000000"/>
                <w:sz w:val="24"/>
                <w:szCs w:val="24"/>
              </w:rPr>
            </w:pPr>
            <w:r w:rsidRPr="00513337">
              <w:rPr>
                <w:bCs/>
                <w:color w:val="000000"/>
                <w:sz w:val="24"/>
                <w:szCs w:val="24"/>
              </w:rPr>
              <w:t>0.50</w:t>
            </w:r>
          </w:p>
        </w:tc>
        <w:tc>
          <w:tcPr>
            <w:tcW w:w="809" w:type="pct"/>
            <w:shd w:val="clear" w:color="auto" w:fill="FFFFFF" w:themeFill="background1"/>
            <w:vAlign w:val="center"/>
          </w:tcPr>
          <w:p w:rsidR="00A6174E" w:rsidRPr="00513337" w:rsidRDefault="00A6174E" w:rsidP="00513337">
            <w:pPr>
              <w:spacing w:line="240" w:lineRule="auto"/>
              <w:jc w:val="center"/>
              <w:cnfStyle w:val="000000000000" w:firstRow="0" w:lastRow="0" w:firstColumn="0" w:lastColumn="0" w:oddVBand="0" w:evenVBand="0" w:oddHBand="0" w:evenHBand="0" w:firstRowFirstColumn="0" w:firstRowLastColumn="0" w:lastRowFirstColumn="0" w:lastRowLastColumn="0"/>
              <w:rPr>
                <w:bCs/>
                <w:color w:val="000000"/>
                <w:sz w:val="24"/>
                <w:szCs w:val="24"/>
              </w:rPr>
            </w:pPr>
            <w:r w:rsidRPr="00513337">
              <w:rPr>
                <w:bCs/>
                <w:color w:val="000000"/>
                <w:sz w:val="24"/>
                <w:szCs w:val="24"/>
              </w:rPr>
              <w:t>5.0</w:t>
            </w:r>
          </w:p>
        </w:tc>
        <w:tc>
          <w:tcPr>
            <w:tcW w:w="515" w:type="pct"/>
            <w:shd w:val="clear" w:color="auto" w:fill="FFFFFF" w:themeFill="background1"/>
            <w:vAlign w:val="center"/>
          </w:tcPr>
          <w:p w:rsidR="00A6174E" w:rsidRPr="00513337" w:rsidRDefault="00A6174E" w:rsidP="00513337">
            <w:pPr>
              <w:spacing w:line="240" w:lineRule="auto"/>
              <w:jc w:val="center"/>
              <w:cnfStyle w:val="000000000000" w:firstRow="0" w:lastRow="0" w:firstColumn="0" w:lastColumn="0" w:oddVBand="0" w:evenVBand="0" w:oddHBand="0" w:evenHBand="0" w:firstRowFirstColumn="0" w:firstRowLastColumn="0" w:lastRowFirstColumn="0" w:lastRowLastColumn="0"/>
              <w:rPr>
                <w:bCs/>
                <w:color w:val="000000"/>
                <w:sz w:val="24"/>
                <w:szCs w:val="24"/>
              </w:rPr>
            </w:pPr>
            <w:r w:rsidRPr="00513337">
              <w:rPr>
                <w:bCs/>
                <w:color w:val="000000"/>
                <w:sz w:val="24"/>
                <w:szCs w:val="24"/>
              </w:rPr>
              <w:t>10.0</w:t>
            </w:r>
          </w:p>
        </w:tc>
        <w:tc>
          <w:tcPr>
            <w:tcW w:w="810" w:type="pct"/>
            <w:shd w:val="clear" w:color="auto" w:fill="FFFFFF" w:themeFill="background1"/>
            <w:vAlign w:val="center"/>
          </w:tcPr>
          <w:p w:rsidR="00A6174E" w:rsidRPr="00513337" w:rsidRDefault="00A6174E" w:rsidP="00513337">
            <w:pPr>
              <w:spacing w:line="240" w:lineRule="auto"/>
              <w:jc w:val="center"/>
              <w:cnfStyle w:val="000000000000" w:firstRow="0" w:lastRow="0" w:firstColumn="0" w:lastColumn="0" w:oddVBand="0" w:evenVBand="0" w:oddHBand="0" w:evenHBand="0" w:firstRowFirstColumn="0" w:firstRowLastColumn="0" w:lastRowFirstColumn="0" w:lastRowLastColumn="0"/>
              <w:rPr>
                <w:bCs/>
                <w:color w:val="000000"/>
                <w:sz w:val="24"/>
                <w:szCs w:val="24"/>
              </w:rPr>
            </w:pPr>
            <w:r w:rsidRPr="00513337">
              <w:rPr>
                <w:bCs/>
                <w:color w:val="000000"/>
                <w:sz w:val="24"/>
                <w:szCs w:val="24"/>
              </w:rPr>
              <w:t>1.3</w:t>
            </w:r>
          </w:p>
        </w:tc>
        <w:tc>
          <w:tcPr>
            <w:tcW w:w="440" w:type="pct"/>
            <w:shd w:val="clear" w:color="auto" w:fill="FFFFFF" w:themeFill="background1"/>
            <w:vAlign w:val="center"/>
          </w:tcPr>
          <w:p w:rsidR="00A6174E" w:rsidRPr="00513337" w:rsidRDefault="00A6174E" w:rsidP="00513337">
            <w:pPr>
              <w:spacing w:line="240" w:lineRule="auto"/>
              <w:jc w:val="center"/>
              <w:cnfStyle w:val="000000000000" w:firstRow="0" w:lastRow="0" w:firstColumn="0" w:lastColumn="0" w:oddVBand="0" w:evenVBand="0" w:oddHBand="0" w:evenHBand="0" w:firstRowFirstColumn="0" w:firstRowLastColumn="0" w:lastRowFirstColumn="0" w:lastRowLastColumn="0"/>
              <w:rPr>
                <w:bCs/>
                <w:color w:val="000000"/>
                <w:sz w:val="24"/>
                <w:szCs w:val="24"/>
              </w:rPr>
            </w:pPr>
            <w:r w:rsidRPr="00513337">
              <w:rPr>
                <w:bCs/>
                <w:color w:val="000000"/>
                <w:sz w:val="24"/>
                <w:szCs w:val="24"/>
              </w:rPr>
              <w:t>2.6</w:t>
            </w:r>
          </w:p>
        </w:tc>
        <w:tc>
          <w:tcPr>
            <w:tcW w:w="514" w:type="pct"/>
            <w:shd w:val="clear" w:color="auto" w:fill="FFFFFF" w:themeFill="background1"/>
            <w:vAlign w:val="center"/>
          </w:tcPr>
          <w:p w:rsidR="00A6174E" w:rsidRPr="00513337" w:rsidRDefault="00A6174E" w:rsidP="00513337">
            <w:pPr>
              <w:spacing w:line="240" w:lineRule="auto"/>
              <w:jc w:val="center"/>
              <w:cnfStyle w:val="000000000000" w:firstRow="0" w:lastRow="0" w:firstColumn="0" w:lastColumn="0" w:oddVBand="0" w:evenVBand="0" w:oddHBand="0" w:evenHBand="0" w:firstRowFirstColumn="0" w:firstRowLastColumn="0" w:lastRowFirstColumn="0" w:lastRowLastColumn="0"/>
              <w:rPr>
                <w:bCs/>
                <w:color w:val="000000"/>
                <w:sz w:val="24"/>
                <w:szCs w:val="24"/>
              </w:rPr>
            </w:pPr>
            <w:r w:rsidRPr="00513337">
              <w:rPr>
                <w:bCs/>
                <w:color w:val="000000"/>
                <w:sz w:val="24"/>
                <w:szCs w:val="24"/>
              </w:rPr>
              <w:t>12.6*</w:t>
            </w:r>
          </w:p>
        </w:tc>
      </w:tr>
      <w:tr w:rsidR="00E519C8" w:rsidRPr="00513337" w:rsidTr="009719FA">
        <w:trPr>
          <w:cnfStyle w:val="000000010000" w:firstRow="0" w:lastRow="0" w:firstColumn="0" w:lastColumn="0" w:oddVBand="0" w:evenVBand="0" w:oddHBand="0" w:evenHBand="1"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1471" w:type="pct"/>
            <w:shd w:val="clear" w:color="auto" w:fill="FFFFFF" w:themeFill="background1"/>
            <w:noWrap/>
            <w:vAlign w:val="center"/>
          </w:tcPr>
          <w:p w:rsidR="00A6174E" w:rsidRPr="00513337" w:rsidRDefault="00A6174E" w:rsidP="00513337">
            <w:pPr>
              <w:keepNext/>
              <w:spacing w:line="240" w:lineRule="auto"/>
              <w:rPr>
                <w:b w:val="0"/>
                <w:bCs/>
                <w:color w:val="000000"/>
                <w:sz w:val="24"/>
                <w:szCs w:val="24"/>
              </w:rPr>
            </w:pPr>
            <w:r w:rsidRPr="00513337">
              <w:rPr>
                <w:b w:val="0"/>
                <w:bCs/>
                <w:color w:val="000000"/>
                <w:sz w:val="24"/>
                <w:szCs w:val="24"/>
              </w:rPr>
              <w:t xml:space="preserve">Total </w:t>
            </w:r>
          </w:p>
        </w:tc>
        <w:tc>
          <w:tcPr>
            <w:tcW w:w="441" w:type="pct"/>
            <w:shd w:val="clear" w:color="auto" w:fill="FFFFFF" w:themeFill="background1"/>
          </w:tcPr>
          <w:p w:rsidR="00A6174E" w:rsidRPr="00513337" w:rsidRDefault="00A6174E" w:rsidP="00513337">
            <w:pPr>
              <w:spacing w:line="240" w:lineRule="auto"/>
              <w:jc w:val="center"/>
              <w:cnfStyle w:val="000000010000" w:firstRow="0" w:lastRow="0" w:firstColumn="0" w:lastColumn="0" w:oddVBand="0" w:evenVBand="0" w:oddHBand="0" w:evenHBand="1" w:firstRowFirstColumn="0" w:firstRowLastColumn="0" w:lastRowFirstColumn="0" w:lastRowLastColumn="0"/>
              <w:rPr>
                <w:bCs/>
                <w:color w:val="000000"/>
                <w:sz w:val="24"/>
                <w:szCs w:val="24"/>
              </w:rPr>
            </w:pPr>
          </w:p>
        </w:tc>
        <w:tc>
          <w:tcPr>
            <w:tcW w:w="809" w:type="pct"/>
            <w:shd w:val="clear" w:color="auto" w:fill="FFFFFF" w:themeFill="background1"/>
            <w:vAlign w:val="center"/>
          </w:tcPr>
          <w:p w:rsidR="00A6174E" w:rsidRPr="00513337" w:rsidRDefault="00C97A0A" w:rsidP="00513337">
            <w:pPr>
              <w:spacing w:line="240" w:lineRule="auto"/>
              <w:jc w:val="center"/>
              <w:cnfStyle w:val="000000010000" w:firstRow="0" w:lastRow="0" w:firstColumn="0" w:lastColumn="0" w:oddVBand="0" w:evenVBand="0" w:oddHBand="0" w:evenHBand="1" w:firstRowFirstColumn="0" w:firstRowLastColumn="0" w:lastRowFirstColumn="0" w:lastRowLastColumn="0"/>
              <w:rPr>
                <w:bCs/>
                <w:color w:val="000000"/>
                <w:sz w:val="24"/>
                <w:szCs w:val="24"/>
              </w:rPr>
            </w:pPr>
            <w:r>
              <w:rPr>
                <w:bCs/>
                <w:color w:val="000000"/>
                <w:sz w:val="24"/>
                <w:szCs w:val="24"/>
              </w:rPr>
              <w:t>35.3</w:t>
            </w:r>
          </w:p>
        </w:tc>
        <w:tc>
          <w:tcPr>
            <w:tcW w:w="515" w:type="pct"/>
            <w:shd w:val="clear" w:color="auto" w:fill="FFFFFF" w:themeFill="background1"/>
            <w:vAlign w:val="center"/>
          </w:tcPr>
          <w:p w:rsidR="00A6174E" w:rsidRPr="00513337" w:rsidRDefault="00A6174E" w:rsidP="00513337">
            <w:pPr>
              <w:spacing w:line="240" w:lineRule="auto"/>
              <w:jc w:val="center"/>
              <w:cnfStyle w:val="000000010000" w:firstRow="0" w:lastRow="0" w:firstColumn="0" w:lastColumn="0" w:oddVBand="0" w:evenVBand="0" w:oddHBand="0" w:evenHBand="1" w:firstRowFirstColumn="0" w:firstRowLastColumn="0" w:lastRowFirstColumn="0" w:lastRowLastColumn="0"/>
              <w:rPr>
                <w:b/>
                <w:color w:val="000000"/>
                <w:sz w:val="24"/>
                <w:szCs w:val="24"/>
              </w:rPr>
            </w:pPr>
            <w:r w:rsidRPr="00513337">
              <w:rPr>
                <w:b/>
                <w:color w:val="000000"/>
                <w:sz w:val="24"/>
                <w:szCs w:val="24"/>
              </w:rPr>
              <w:t>60.7</w:t>
            </w:r>
          </w:p>
        </w:tc>
        <w:tc>
          <w:tcPr>
            <w:tcW w:w="810" w:type="pct"/>
            <w:shd w:val="clear" w:color="auto" w:fill="FFFFFF" w:themeFill="background1"/>
            <w:vAlign w:val="center"/>
          </w:tcPr>
          <w:p w:rsidR="00A6174E" w:rsidRPr="00513337" w:rsidRDefault="00C97A0A" w:rsidP="00513337">
            <w:pPr>
              <w:spacing w:line="240" w:lineRule="auto"/>
              <w:jc w:val="center"/>
              <w:cnfStyle w:val="000000010000" w:firstRow="0" w:lastRow="0" w:firstColumn="0" w:lastColumn="0" w:oddVBand="0" w:evenVBand="0" w:oddHBand="0" w:evenHBand="1" w:firstRowFirstColumn="0" w:firstRowLastColumn="0" w:lastRowFirstColumn="0" w:lastRowLastColumn="0"/>
              <w:rPr>
                <w:bCs/>
                <w:color w:val="000000"/>
                <w:sz w:val="24"/>
                <w:szCs w:val="24"/>
              </w:rPr>
            </w:pPr>
            <w:r>
              <w:rPr>
                <w:bCs/>
                <w:color w:val="000000"/>
                <w:sz w:val="24"/>
                <w:szCs w:val="24"/>
              </w:rPr>
              <w:t>66.5</w:t>
            </w:r>
          </w:p>
        </w:tc>
        <w:tc>
          <w:tcPr>
            <w:tcW w:w="440" w:type="pct"/>
            <w:shd w:val="clear" w:color="auto" w:fill="FFFFFF" w:themeFill="background1"/>
            <w:vAlign w:val="center"/>
          </w:tcPr>
          <w:p w:rsidR="00A6174E" w:rsidRPr="00513337" w:rsidRDefault="00A6174E" w:rsidP="00513337">
            <w:pPr>
              <w:spacing w:line="240" w:lineRule="auto"/>
              <w:jc w:val="center"/>
              <w:cnfStyle w:val="000000010000" w:firstRow="0" w:lastRow="0" w:firstColumn="0" w:lastColumn="0" w:oddVBand="0" w:evenVBand="0" w:oddHBand="0" w:evenHBand="1" w:firstRowFirstColumn="0" w:firstRowLastColumn="0" w:lastRowFirstColumn="0" w:lastRowLastColumn="0"/>
              <w:rPr>
                <w:b/>
                <w:color w:val="000000"/>
                <w:sz w:val="24"/>
                <w:szCs w:val="24"/>
              </w:rPr>
            </w:pPr>
            <w:r w:rsidRPr="00513337">
              <w:rPr>
                <w:b/>
                <w:color w:val="000000"/>
                <w:sz w:val="24"/>
                <w:szCs w:val="24"/>
              </w:rPr>
              <w:t>129.6</w:t>
            </w:r>
          </w:p>
        </w:tc>
        <w:tc>
          <w:tcPr>
            <w:tcW w:w="514" w:type="pct"/>
            <w:shd w:val="clear" w:color="auto" w:fill="FFFFFF" w:themeFill="background1"/>
            <w:vAlign w:val="center"/>
          </w:tcPr>
          <w:p w:rsidR="00A6174E" w:rsidRPr="00513337" w:rsidRDefault="00A6174E" w:rsidP="00513337">
            <w:pPr>
              <w:spacing w:line="240" w:lineRule="auto"/>
              <w:jc w:val="center"/>
              <w:cnfStyle w:val="000000010000" w:firstRow="0" w:lastRow="0" w:firstColumn="0" w:lastColumn="0" w:oddVBand="0" w:evenVBand="0" w:oddHBand="0" w:evenHBand="1" w:firstRowFirstColumn="0" w:firstRowLastColumn="0" w:lastRowFirstColumn="0" w:lastRowLastColumn="0"/>
              <w:rPr>
                <w:b/>
                <w:color w:val="000000"/>
                <w:sz w:val="24"/>
                <w:szCs w:val="24"/>
              </w:rPr>
            </w:pPr>
            <w:r w:rsidRPr="00513337">
              <w:rPr>
                <w:b/>
                <w:color w:val="000000"/>
                <w:sz w:val="24"/>
                <w:szCs w:val="24"/>
              </w:rPr>
              <w:t>190.3</w:t>
            </w:r>
          </w:p>
        </w:tc>
      </w:tr>
    </w:tbl>
    <w:p w:rsidR="00A6174E" w:rsidRDefault="00A6174E" w:rsidP="009719FA">
      <w:pPr>
        <w:pStyle w:val="11Bodytext"/>
        <w:numPr>
          <w:ilvl w:val="0"/>
          <w:numId w:val="0"/>
        </w:numPr>
        <w:spacing w:before="0" w:after="0" w:line="240" w:lineRule="auto"/>
      </w:pPr>
      <w:r>
        <w:t xml:space="preserve">* Around 50% or 6.3 ha </w:t>
      </w:r>
      <w:proofErr w:type="gramStart"/>
      <w:r>
        <w:t>is</w:t>
      </w:r>
      <w:proofErr w:type="gramEnd"/>
      <w:r>
        <w:t xml:space="preserve"> considered to be double counted with general B8 needs. </w:t>
      </w:r>
    </w:p>
    <w:p w:rsidR="00DD4479" w:rsidRPr="00DD4479" w:rsidRDefault="00A6174E" w:rsidP="00954663">
      <w:pPr>
        <w:pStyle w:val="11Bodytext"/>
        <w:tabs>
          <w:tab w:val="clear" w:pos="2212"/>
          <w:tab w:val="num" w:pos="567"/>
        </w:tabs>
        <w:ind w:left="567" w:hanging="567"/>
      </w:pPr>
      <w:r>
        <w:t>Using the plot ratio assumptions above</w:t>
      </w:r>
      <w:r w:rsidRPr="00E74497">
        <w:rPr>
          <w:b/>
        </w:rPr>
        <w:t xml:space="preserve"> a total area of 19</w:t>
      </w:r>
      <w:r>
        <w:rPr>
          <w:b/>
        </w:rPr>
        <w:t>0</w:t>
      </w:r>
      <w:r w:rsidRPr="00E74497">
        <w:rPr>
          <w:b/>
        </w:rPr>
        <w:t>.</w:t>
      </w:r>
      <w:r>
        <w:rPr>
          <w:b/>
        </w:rPr>
        <w:t>3</w:t>
      </w:r>
      <w:r w:rsidRPr="00E74497">
        <w:rPr>
          <w:b/>
        </w:rPr>
        <w:t xml:space="preserve"> ha could be planned for </w:t>
      </w:r>
      <w:r>
        <w:rPr>
          <w:b/>
        </w:rPr>
        <w:t xml:space="preserve">to 2036 </w:t>
      </w:r>
      <w:r w:rsidRPr="00E74497">
        <w:rPr>
          <w:b/>
        </w:rPr>
        <w:t xml:space="preserve">of which </w:t>
      </w:r>
      <w:r>
        <w:rPr>
          <w:b/>
        </w:rPr>
        <w:t>60</w:t>
      </w:r>
      <w:r w:rsidRPr="00E74497">
        <w:rPr>
          <w:b/>
        </w:rPr>
        <w:t>.</w:t>
      </w:r>
      <w:r>
        <w:rPr>
          <w:b/>
        </w:rPr>
        <w:t>7</w:t>
      </w:r>
      <w:r w:rsidRPr="00E74497">
        <w:rPr>
          <w:b/>
        </w:rPr>
        <w:t xml:space="preserve"> ha in HDAs and 1</w:t>
      </w:r>
      <w:r>
        <w:rPr>
          <w:b/>
        </w:rPr>
        <w:t>29.6</w:t>
      </w:r>
      <w:r w:rsidRPr="00E74497">
        <w:rPr>
          <w:b/>
        </w:rPr>
        <w:t xml:space="preserve"> ha outside HDAs</w:t>
      </w:r>
      <w:r>
        <w:t>. As noted around 6.3 ha is likely to be double counted with general B8 needs.</w:t>
      </w:r>
      <w:r w:rsidR="00C3730E">
        <w:t xml:space="preserve"> Should </w:t>
      </w:r>
      <w:r w:rsidR="00C3730E" w:rsidRPr="00954663">
        <w:t>Chichester</w:t>
      </w:r>
      <w:r w:rsidR="00C3730E" w:rsidRPr="000E4421">
        <w:rPr>
          <w:iCs/>
        </w:rPr>
        <w:t xml:space="preserve"> District Council</w:t>
      </w:r>
      <w:r w:rsidR="00C3730E">
        <w:rPr>
          <w:iCs/>
        </w:rPr>
        <w:t xml:space="preserve"> do further work on testing </w:t>
      </w:r>
      <w:r w:rsidR="00845FF1">
        <w:rPr>
          <w:iCs/>
        </w:rPr>
        <w:t xml:space="preserve">and refining </w:t>
      </w:r>
      <w:r w:rsidR="00C3730E">
        <w:rPr>
          <w:iCs/>
        </w:rPr>
        <w:t>plot ratios then the future land requirement may be adjusted to reflect this</w:t>
      </w:r>
      <w:r w:rsidR="0072024E">
        <w:rPr>
          <w:iCs/>
        </w:rPr>
        <w:t>.</w:t>
      </w:r>
    </w:p>
    <w:p w:rsidR="00DD4479" w:rsidRDefault="00A6174E" w:rsidP="00954663">
      <w:pPr>
        <w:pStyle w:val="11Bodytext"/>
        <w:tabs>
          <w:tab w:val="clear" w:pos="2212"/>
          <w:tab w:val="num" w:pos="567"/>
        </w:tabs>
        <w:ind w:left="567" w:hanging="567"/>
      </w:pPr>
      <w:r>
        <w:t xml:space="preserve">Based on stakeholder discussions there is anticipated to be a very limited need for new temporary accommodation for agricultural workers however there may be applications where accommodating displacement of existing residences is required. </w:t>
      </w:r>
    </w:p>
    <w:p w:rsidR="00CC3882" w:rsidRPr="00CA47B9" w:rsidRDefault="00F00001" w:rsidP="006765B7">
      <w:pPr>
        <w:pStyle w:val="SubheadBlue12"/>
        <w:ind w:left="567" w:firstLine="0"/>
      </w:pPr>
      <w:r>
        <w:t>Adjacent Authorities Employment Provision</w:t>
      </w:r>
    </w:p>
    <w:p w:rsidR="00D32A59" w:rsidRPr="004F25D8" w:rsidRDefault="00F00001" w:rsidP="00954663">
      <w:pPr>
        <w:pStyle w:val="11Bodytext"/>
        <w:tabs>
          <w:tab w:val="clear" w:pos="2212"/>
          <w:tab w:val="num" w:pos="567"/>
        </w:tabs>
        <w:ind w:left="567" w:hanging="567"/>
      </w:pPr>
      <w:bookmarkStart w:id="236" w:name="_Hlk21704494"/>
      <w:r w:rsidRPr="004F25D8">
        <w:t xml:space="preserve">GL Hearn has considered the allocations being made in adjacent authorities, with Arun being the most relevant given its relationship within the FEMA. </w:t>
      </w:r>
    </w:p>
    <w:p w:rsidR="00A717CF" w:rsidRPr="004F25D8" w:rsidRDefault="00A717CF" w:rsidP="00954663">
      <w:pPr>
        <w:pStyle w:val="11Bodytext"/>
        <w:tabs>
          <w:tab w:val="clear" w:pos="2212"/>
          <w:tab w:val="num" w:pos="567"/>
        </w:tabs>
        <w:ind w:left="567" w:hanging="567"/>
      </w:pPr>
      <w:r w:rsidRPr="004F25D8">
        <w:t>The Arun Local Plan (2018) identifies a total of 74.5 ha of employment through its strategic employment allocations. The 2016 Employment Needs Update considers a range of scenarios with a need of between 6.9 and 28.6 ha. Excluding past take-up requirements for floorspace the land requirement equates to 6.9</w:t>
      </w:r>
      <w:r w:rsidR="00ED1CE5">
        <w:t xml:space="preserve"> </w:t>
      </w:r>
      <w:r w:rsidRPr="004F25D8">
        <w:t>ha to 10.9</w:t>
      </w:r>
      <w:r w:rsidR="00ED1CE5">
        <w:t xml:space="preserve"> </w:t>
      </w:r>
      <w:r w:rsidRPr="004F25D8">
        <w:t>ha respectively.</w:t>
      </w:r>
      <w:r w:rsidR="00855CA6">
        <w:t xml:space="preserve"> </w:t>
      </w:r>
      <w:r w:rsidRPr="004F25D8">
        <w:t>It is recognised that there will be an oversupply of employment land driven by Enterprise Bognor Regis creating inward investment. However</w:t>
      </w:r>
      <w:r w:rsidR="00855CA6">
        <w:t>,</w:t>
      </w:r>
      <w:r w:rsidRPr="004F25D8">
        <w:t xml:space="preserve"> it seems reasonable that some investment anticipated in adjacent areas including Chichester could be accommodated.</w:t>
      </w:r>
    </w:p>
    <w:p w:rsidR="00CC3882" w:rsidRPr="004F25D8" w:rsidRDefault="00880257" w:rsidP="00954663">
      <w:pPr>
        <w:pStyle w:val="11Bodytext"/>
        <w:tabs>
          <w:tab w:val="clear" w:pos="2212"/>
          <w:tab w:val="num" w:pos="567"/>
        </w:tabs>
        <w:ind w:left="567" w:hanging="567"/>
      </w:pPr>
      <w:r w:rsidRPr="004F25D8">
        <w:lastRenderedPageBreak/>
        <w:t>The</w:t>
      </w:r>
      <w:r w:rsidR="004B41A2" w:rsidRPr="004F25D8">
        <w:t xml:space="preserve"> </w:t>
      </w:r>
      <w:r w:rsidRPr="004F25D8">
        <w:t>strategic</w:t>
      </w:r>
      <w:r w:rsidR="004B41A2" w:rsidRPr="004F25D8">
        <w:t xml:space="preserve"> </w:t>
      </w:r>
      <w:r w:rsidRPr="004F25D8">
        <w:t>employment</w:t>
      </w:r>
      <w:r w:rsidR="004B41A2" w:rsidRPr="004F25D8">
        <w:t xml:space="preserve"> </w:t>
      </w:r>
      <w:r w:rsidRPr="004F25D8">
        <w:t>provision</w:t>
      </w:r>
      <w:r w:rsidR="004B41A2" w:rsidRPr="004F25D8">
        <w:t xml:space="preserve"> </w:t>
      </w:r>
      <w:r w:rsidRPr="004F25D8">
        <w:t>in</w:t>
      </w:r>
      <w:r w:rsidR="004B41A2" w:rsidRPr="004F25D8">
        <w:t xml:space="preserve"> </w:t>
      </w:r>
      <w:r w:rsidRPr="004F25D8">
        <w:t>Arun</w:t>
      </w:r>
      <w:r w:rsidR="004B41A2" w:rsidRPr="004F25D8">
        <w:t xml:space="preserve"> </w:t>
      </w:r>
      <w:r w:rsidRPr="004F25D8">
        <w:t>could</w:t>
      </w:r>
      <w:r w:rsidR="00855CA6">
        <w:t>, therefore,</w:t>
      </w:r>
      <w:r w:rsidR="004B41A2" w:rsidRPr="004F25D8">
        <w:t xml:space="preserve"> </w:t>
      </w:r>
      <w:r w:rsidRPr="004F25D8">
        <w:t>contribute</w:t>
      </w:r>
      <w:r w:rsidR="004B41A2" w:rsidRPr="004F25D8">
        <w:t xml:space="preserve"> </w:t>
      </w:r>
      <w:r w:rsidRPr="004F25D8">
        <w:t>towards</w:t>
      </w:r>
      <w:r w:rsidR="004B41A2" w:rsidRPr="004F25D8">
        <w:t xml:space="preserve"> </w:t>
      </w:r>
      <w:r w:rsidRPr="004F25D8">
        <w:t>meeting</w:t>
      </w:r>
      <w:r w:rsidR="004B41A2" w:rsidRPr="004F25D8">
        <w:t xml:space="preserve"> </w:t>
      </w:r>
      <w:r w:rsidRPr="004F25D8">
        <w:t>some</w:t>
      </w:r>
      <w:r w:rsidR="004B41A2" w:rsidRPr="004F25D8">
        <w:t xml:space="preserve"> </w:t>
      </w:r>
      <w:r w:rsidRPr="004F25D8">
        <w:t>of</w:t>
      </w:r>
      <w:r w:rsidR="004B41A2" w:rsidRPr="004F25D8">
        <w:t xml:space="preserve"> </w:t>
      </w:r>
      <w:r w:rsidRPr="004F25D8">
        <w:t>Chichester</w:t>
      </w:r>
      <w:r w:rsidR="004B41A2" w:rsidRPr="004F25D8">
        <w:t xml:space="preserve"> </w:t>
      </w:r>
      <w:r w:rsidRPr="004F25D8">
        <w:t>District’s</w:t>
      </w:r>
      <w:r w:rsidR="004B41A2" w:rsidRPr="004F25D8">
        <w:t xml:space="preserve"> </w:t>
      </w:r>
      <w:r w:rsidRPr="004F25D8">
        <w:t>identified</w:t>
      </w:r>
      <w:r w:rsidR="004B41A2" w:rsidRPr="004F25D8">
        <w:t xml:space="preserve"> </w:t>
      </w:r>
      <w:r w:rsidRPr="004F25D8">
        <w:t>employment</w:t>
      </w:r>
      <w:r w:rsidR="004B41A2" w:rsidRPr="004F25D8">
        <w:t xml:space="preserve"> </w:t>
      </w:r>
      <w:r w:rsidRPr="004F25D8">
        <w:t>need</w:t>
      </w:r>
      <w:r w:rsidR="004B41A2" w:rsidRPr="004F25D8">
        <w:t xml:space="preserve"> </w:t>
      </w:r>
      <w:r w:rsidRPr="004F25D8">
        <w:t>by</w:t>
      </w:r>
      <w:r w:rsidR="004B41A2" w:rsidRPr="004F25D8">
        <w:t xml:space="preserve"> </w:t>
      </w:r>
      <w:r w:rsidRPr="004F25D8">
        <w:t>providing</w:t>
      </w:r>
      <w:r w:rsidR="004B41A2" w:rsidRPr="004F25D8">
        <w:t xml:space="preserve"> </w:t>
      </w:r>
      <w:r w:rsidRPr="004F25D8">
        <w:t>for</w:t>
      </w:r>
      <w:r w:rsidR="004B41A2" w:rsidRPr="004F25D8">
        <w:t xml:space="preserve"> </w:t>
      </w:r>
      <w:r w:rsidR="00CC3882" w:rsidRPr="004F25D8">
        <w:t>a</w:t>
      </w:r>
      <w:r w:rsidR="004B41A2" w:rsidRPr="004F25D8">
        <w:t xml:space="preserve"> </w:t>
      </w:r>
      <w:r w:rsidR="00CC3882" w:rsidRPr="004F25D8">
        <w:t>greater</w:t>
      </w:r>
      <w:r w:rsidR="004B41A2" w:rsidRPr="004F25D8">
        <w:t xml:space="preserve"> </w:t>
      </w:r>
      <w:r w:rsidR="00CC3882" w:rsidRPr="004F25D8">
        <w:t>proportion</w:t>
      </w:r>
      <w:r w:rsidR="004B41A2" w:rsidRPr="004F25D8">
        <w:t xml:space="preserve"> </w:t>
      </w:r>
      <w:r w:rsidR="00CC3882" w:rsidRPr="004F25D8">
        <w:t>of</w:t>
      </w:r>
      <w:r w:rsidR="004B41A2" w:rsidRPr="004F25D8">
        <w:t xml:space="preserve"> </w:t>
      </w:r>
      <w:r w:rsidR="00CC3882" w:rsidRPr="004F25D8">
        <w:t>the</w:t>
      </w:r>
      <w:r w:rsidR="004B41A2" w:rsidRPr="004F25D8">
        <w:t xml:space="preserve"> </w:t>
      </w:r>
      <w:r w:rsidR="00CC3882" w:rsidRPr="004F25D8">
        <w:t>FEMA</w:t>
      </w:r>
      <w:r w:rsidR="004B41A2" w:rsidRPr="004F25D8">
        <w:t xml:space="preserve"> </w:t>
      </w:r>
      <w:r w:rsidR="00CC3882" w:rsidRPr="004F25D8">
        <w:t>wide</w:t>
      </w:r>
      <w:r w:rsidR="004B41A2" w:rsidRPr="004F25D8">
        <w:t xml:space="preserve"> </w:t>
      </w:r>
      <w:r w:rsidR="00CC3882" w:rsidRPr="004F25D8">
        <w:t>need.</w:t>
      </w:r>
      <w:r w:rsidR="004B41A2" w:rsidRPr="004F25D8">
        <w:t xml:space="preserve"> </w:t>
      </w:r>
      <w:r w:rsidR="00CC3882" w:rsidRPr="004F25D8">
        <w:t>This</w:t>
      </w:r>
      <w:r w:rsidR="004B41A2" w:rsidRPr="004F25D8">
        <w:t xml:space="preserve"> </w:t>
      </w:r>
      <w:r w:rsidR="00CC3882" w:rsidRPr="004F25D8">
        <w:t>redistribution</w:t>
      </w:r>
      <w:r w:rsidR="00855CA6">
        <w:t>, however,</w:t>
      </w:r>
      <w:r w:rsidR="004B41A2" w:rsidRPr="004F25D8">
        <w:t xml:space="preserve"> </w:t>
      </w:r>
      <w:r w:rsidR="00CC3882" w:rsidRPr="004F25D8">
        <w:t>would</w:t>
      </w:r>
      <w:r w:rsidR="004B41A2" w:rsidRPr="004F25D8">
        <w:t xml:space="preserve"> </w:t>
      </w:r>
      <w:r w:rsidR="00CC3882" w:rsidRPr="004F25D8">
        <w:t>need</w:t>
      </w:r>
      <w:r w:rsidR="004B41A2" w:rsidRPr="004F25D8">
        <w:t xml:space="preserve"> </w:t>
      </w:r>
      <w:r w:rsidR="00CC3882" w:rsidRPr="004F25D8">
        <w:t>to</w:t>
      </w:r>
      <w:r w:rsidR="004B41A2" w:rsidRPr="004F25D8">
        <w:t xml:space="preserve"> </w:t>
      </w:r>
      <w:r w:rsidR="00CC3882" w:rsidRPr="004F25D8">
        <w:t>be</w:t>
      </w:r>
      <w:r w:rsidR="004B41A2" w:rsidRPr="004F25D8">
        <w:t xml:space="preserve"> </w:t>
      </w:r>
      <w:r w:rsidR="00CC3882" w:rsidRPr="004F25D8">
        <w:t>agreed</w:t>
      </w:r>
      <w:r w:rsidR="004B41A2" w:rsidRPr="004F25D8">
        <w:t xml:space="preserve"> </w:t>
      </w:r>
      <w:r w:rsidRPr="004F25D8">
        <w:t>with</w:t>
      </w:r>
      <w:r w:rsidR="004B41A2" w:rsidRPr="004F25D8">
        <w:t xml:space="preserve"> </w:t>
      </w:r>
      <w:r w:rsidRPr="004F25D8">
        <w:t>Arun</w:t>
      </w:r>
      <w:r w:rsidR="004B41A2" w:rsidRPr="004F25D8">
        <w:t xml:space="preserve"> </w:t>
      </w:r>
      <w:r w:rsidRPr="004F25D8">
        <w:t>DC</w:t>
      </w:r>
      <w:r w:rsidR="004B41A2" w:rsidRPr="004F25D8">
        <w:t xml:space="preserve"> </w:t>
      </w:r>
      <w:r w:rsidR="00CC3882" w:rsidRPr="004F25D8">
        <w:t>through</w:t>
      </w:r>
      <w:r w:rsidR="004B41A2" w:rsidRPr="004F25D8">
        <w:t xml:space="preserve"> </w:t>
      </w:r>
      <w:r w:rsidR="00CC3882" w:rsidRPr="004F25D8">
        <w:t>the</w:t>
      </w:r>
      <w:r w:rsidR="004B41A2" w:rsidRPr="004F25D8">
        <w:t xml:space="preserve"> </w:t>
      </w:r>
      <w:r w:rsidR="00CC3882" w:rsidRPr="004F25D8">
        <w:t>duty</w:t>
      </w:r>
      <w:r w:rsidR="004B41A2" w:rsidRPr="004F25D8">
        <w:t xml:space="preserve"> </w:t>
      </w:r>
      <w:r w:rsidR="00CC3882" w:rsidRPr="004F25D8">
        <w:t>to</w:t>
      </w:r>
      <w:r w:rsidR="004B41A2" w:rsidRPr="004F25D8">
        <w:t xml:space="preserve"> </w:t>
      </w:r>
      <w:r w:rsidR="00CC3882" w:rsidRPr="004F25D8">
        <w:t>cooperate.</w:t>
      </w:r>
      <w:r w:rsidR="004B41A2" w:rsidRPr="004F25D8">
        <w:t xml:space="preserve"> </w:t>
      </w:r>
    </w:p>
    <w:p w:rsidR="00A717CF" w:rsidRPr="004F25D8" w:rsidRDefault="00A717CF" w:rsidP="00954663">
      <w:pPr>
        <w:pStyle w:val="11Bodytext"/>
        <w:tabs>
          <w:tab w:val="clear" w:pos="2212"/>
          <w:tab w:val="num" w:pos="567"/>
        </w:tabs>
        <w:ind w:left="567" w:hanging="567"/>
      </w:pPr>
      <w:r w:rsidRPr="004F25D8">
        <w:t xml:space="preserve">Other nearby authorities </w:t>
      </w:r>
      <w:proofErr w:type="gramStart"/>
      <w:r w:rsidRPr="004F25D8">
        <w:t>are</w:t>
      </w:r>
      <w:proofErr w:type="gramEnd"/>
      <w:r w:rsidRPr="004F25D8">
        <w:t xml:space="preserve"> in the process of progressing their Local Plans.</w:t>
      </w:r>
    </w:p>
    <w:p w:rsidR="00A717CF" w:rsidRDefault="004F25D8" w:rsidP="00901C92">
      <w:pPr>
        <w:pStyle w:val="Bulletblackplain"/>
      </w:pPr>
      <w:r w:rsidRPr="004F25D8">
        <w:t>Havant has a modest need as set out in the 201</w:t>
      </w:r>
      <w:r w:rsidR="0065372F">
        <w:t>9</w:t>
      </w:r>
      <w:r w:rsidRPr="004F25D8">
        <w:t xml:space="preserve"> </w:t>
      </w:r>
      <w:r w:rsidR="0065372F">
        <w:t xml:space="preserve">ELR </w:t>
      </w:r>
      <w:r w:rsidRPr="004F25D8">
        <w:t xml:space="preserve">review of </w:t>
      </w:r>
      <w:r w:rsidR="0065372F">
        <w:t xml:space="preserve">55,551 sqm </w:t>
      </w:r>
      <w:r w:rsidRPr="004F25D8">
        <w:t xml:space="preserve">and will be considered in the emerging Plan. The adopted 2014 Plan identifies </w:t>
      </w:r>
      <w:r>
        <w:t>around 16 Ha of land for employment.</w:t>
      </w:r>
    </w:p>
    <w:p w:rsidR="004F25D8" w:rsidRDefault="004F25D8" w:rsidP="00901C92">
      <w:pPr>
        <w:pStyle w:val="Bulletblackplain"/>
        <w:numPr>
          <w:ilvl w:val="0"/>
          <w:numId w:val="0"/>
        </w:numPr>
        <w:ind w:left="1078"/>
      </w:pPr>
      <w:r>
        <w:t xml:space="preserve">The East Hampshire emerging Local Plan </w:t>
      </w:r>
      <w:r w:rsidR="00375897">
        <w:t>indicates delivering 50 ha of which 32.6 ha of allocations. This appears to exceed the need referenced in the 2019 HEDNA of up to 18.7 ha.</w:t>
      </w:r>
      <w:bookmarkEnd w:id="236"/>
    </w:p>
    <w:p w:rsidR="004F25D8" w:rsidRPr="00CA47B9" w:rsidRDefault="004F25D8" w:rsidP="00901C92">
      <w:pPr>
        <w:pStyle w:val="Bulletblackplain"/>
        <w:numPr>
          <w:ilvl w:val="0"/>
          <w:numId w:val="0"/>
        </w:numPr>
        <w:ind w:left="1078"/>
      </w:pPr>
    </w:p>
    <w:tbl>
      <w:tblPr>
        <w:tblStyle w:val="TableGrid"/>
        <w:tblW w:w="5000" w:type="pct"/>
        <w:tblBorders>
          <w:top w:val="single" w:sz="18" w:space="0" w:color="0093D5" w:themeColor="accent2"/>
          <w:left w:val="single" w:sz="18" w:space="0" w:color="0093D5" w:themeColor="accent2"/>
          <w:bottom w:val="single" w:sz="18" w:space="0" w:color="0093D5" w:themeColor="accent2"/>
          <w:right w:val="single" w:sz="18" w:space="0" w:color="0093D5" w:themeColor="accent2"/>
          <w:insideH w:val="single" w:sz="18" w:space="0" w:color="0093D5" w:themeColor="accent2"/>
          <w:insideV w:val="single" w:sz="18" w:space="0" w:color="0093D5" w:themeColor="accent2"/>
        </w:tblBorders>
        <w:tblLook w:val="04A0" w:firstRow="1" w:lastRow="0" w:firstColumn="1" w:lastColumn="0" w:noHBand="0" w:noVBand="1"/>
        <w:tblCaption w:val="Key Points: Employment Land Requirement"/>
      </w:tblPr>
      <w:tblGrid>
        <w:gridCol w:w="9847"/>
      </w:tblGrid>
      <w:tr w:rsidR="00F04A4C" w:rsidRPr="00CA47B9" w:rsidTr="00D30252">
        <w:trPr>
          <w:cantSplit/>
          <w:tblHeader/>
        </w:trPr>
        <w:tc>
          <w:tcPr>
            <w:tcW w:w="5000" w:type="pct"/>
          </w:tcPr>
          <w:p w:rsidR="00F04A4C" w:rsidRPr="00CA47B9" w:rsidRDefault="00F04A4C" w:rsidP="00F04A4C">
            <w:pPr>
              <w:rPr>
                <w:b/>
              </w:rPr>
            </w:pPr>
          </w:p>
          <w:p w:rsidR="00F04A4C" w:rsidRPr="00513337" w:rsidRDefault="00F04A4C" w:rsidP="00F04A4C">
            <w:pPr>
              <w:rPr>
                <w:b/>
                <w:sz w:val="24"/>
                <w:szCs w:val="24"/>
              </w:rPr>
            </w:pPr>
            <w:r w:rsidRPr="00513337">
              <w:rPr>
                <w:b/>
                <w:sz w:val="24"/>
                <w:szCs w:val="24"/>
              </w:rPr>
              <w:t xml:space="preserve">Key Points </w:t>
            </w:r>
          </w:p>
          <w:p w:rsidR="00F04A4C" w:rsidRPr="00CA47B9" w:rsidRDefault="00F04A4C" w:rsidP="00F04A4C">
            <w:pPr>
              <w:rPr>
                <w:b/>
              </w:rPr>
            </w:pPr>
          </w:p>
          <w:p w:rsidR="00F04A4C" w:rsidRPr="00C0031A" w:rsidRDefault="00F04A4C" w:rsidP="00AF0118">
            <w:pPr>
              <w:pStyle w:val="ListParagraph"/>
              <w:numPr>
                <w:ilvl w:val="0"/>
                <w:numId w:val="30"/>
              </w:numPr>
              <w:ind w:left="482"/>
            </w:pPr>
            <w:r w:rsidRPr="00C0031A">
              <w:t xml:space="preserve">This section estimates the quantum of employment floorspace and land area required to support B Class employment development in the District </w:t>
            </w:r>
            <w:r w:rsidR="0065372F">
              <w:t xml:space="preserve">and Plan Area </w:t>
            </w:r>
            <w:r w:rsidRPr="00C0031A">
              <w:t>over the period 201</w:t>
            </w:r>
            <w:r w:rsidR="004C5458">
              <w:t>9</w:t>
            </w:r>
            <w:r w:rsidRPr="00C0031A">
              <w:t>-36.</w:t>
            </w:r>
          </w:p>
          <w:p w:rsidR="00F04A4C" w:rsidRPr="00C0031A" w:rsidRDefault="00F04A4C" w:rsidP="00AF0118">
            <w:pPr>
              <w:pStyle w:val="ListParagraph"/>
              <w:numPr>
                <w:ilvl w:val="0"/>
                <w:numId w:val="30"/>
              </w:numPr>
              <w:ind w:left="482"/>
            </w:pPr>
            <w:r w:rsidRPr="00C0031A">
              <w:t>Four scenarios have been developed:</w:t>
            </w:r>
          </w:p>
          <w:p w:rsidR="00F04A4C" w:rsidRPr="00C0031A" w:rsidRDefault="00F04A4C" w:rsidP="00AF0118">
            <w:pPr>
              <w:pStyle w:val="ListParagraph"/>
              <w:numPr>
                <w:ilvl w:val="1"/>
                <w:numId w:val="30"/>
              </w:numPr>
              <w:ind w:left="1049"/>
            </w:pPr>
            <w:r w:rsidRPr="00C0031A">
              <w:t>A labour demand baseline scenario – based on the OE baseline jobs growth forecast;</w:t>
            </w:r>
          </w:p>
          <w:p w:rsidR="00F04A4C" w:rsidRPr="00C0031A" w:rsidRDefault="00F04A4C" w:rsidP="00AF0118">
            <w:pPr>
              <w:pStyle w:val="ListParagraph"/>
              <w:numPr>
                <w:ilvl w:val="1"/>
                <w:numId w:val="30"/>
              </w:numPr>
              <w:ind w:left="1049"/>
            </w:pPr>
            <w:r w:rsidRPr="00C0031A">
              <w:t>A labour demand growth scenario – based on the growth scenario;</w:t>
            </w:r>
          </w:p>
          <w:p w:rsidR="00687F17" w:rsidRPr="00C0031A" w:rsidRDefault="00687F17" w:rsidP="00AF0118">
            <w:pPr>
              <w:pStyle w:val="ListParagraph"/>
              <w:numPr>
                <w:ilvl w:val="1"/>
                <w:numId w:val="30"/>
              </w:numPr>
              <w:ind w:left="1049"/>
            </w:pPr>
            <w:r w:rsidRPr="00C0031A">
              <w:t>Consideration of the labour supply position;</w:t>
            </w:r>
          </w:p>
          <w:p w:rsidR="00F04A4C" w:rsidRPr="00C0031A" w:rsidRDefault="00687F17" w:rsidP="00AF0118">
            <w:pPr>
              <w:pStyle w:val="ListParagraph"/>
              <w:numPr>
                <w:ilvl w:val="1"/>
                <w:numId w:val="30"/>
              </w:numPr>
              <w:ind w:left="1049"/>
            </w:pPr>
            <w:r w:rsidRPr="00C0031A">
              <w:t>S</w:t>
            </w:r>
            <w:r w:rsidR="00F04A4C" w:rsidRPr="00C0031A">
              <w:t xml:space="preserve">cenarios based on past completions trends – </w:t>
            </w:r>
            <w:r w:rsidRPr="00C0031A">
              <w:t>reflecting on</w:t>
            </w:r>
            <w:r w:rsidR="00F04A4C" w:rsidRPr="00C0031A">
              <w:t xml:space="preserve"> the </w:t>
            </w:r>
            <w:r w:rsidR="009E4D60" w:rsidRPr="00C0031A">
              <w:t>large-scale</w:t>
            </w:r>
            <w:r w:rsidR="00F04A4C" w:rsidRPr="00C0031A">
              <w:t xml:space="preserve"> Rolls Royce development </w:t>
            </w:r>
            <w:r w:rsidR="00F04A4C" w:rsidRPr="00C0031A">
              <w:rPr>
                <w:rFonts w:asciiTheme="minorHAnsi" w:hAnsiTheme="minorHAnsi" w:cstheme="minorHAnsi"/>
              </w:rPr>
              <w:t>at Westhampnett</w:t>
            </w:r>
            <w:r w:rsidRPr="00C0031A">
              <w:rPr>
                <w:rFonts w:asciiTheme="minorHAnsi" w:hAnsiTheme="minorHAnsi" w:cstheme="minorHAnsi"/>
              </w:rPr>
              <w:t xml:space="preserve"> as well as losses to residential uses</w:t>
            </w:r>
            <w:r w:rsidR="00F04A4C" w:rsidRPr="00C0031A">
              <w:rPr>
                <w:rFonts w:cstheme="minorHAnsi"/>
              </w:rPr>
              <w:t>.</w:t>
            </w:r>
          </w:p>
          <w:p w:rsidR="00A6174E" w:rsidRPr="002B049E" w:rsidRDefault="00A6174E" w:rsidP="00AF0118">
            <w:pPr>
              <w:pStyle w:val="ListParagraph"/>
              <w:numPr>
                <w:ilvl w:val="0"/>
                <w:numId w:val="30"/>
              </w:numPr>
              <w:ind w:left="482"/>
            </w:pPr>
            <w:r w:rsidRPr="00C0031A">
              <w:t>Overall the labour demand growth scenario</w:t>
            </w:r>
            <w:r>
              <w:t xml:space="preserve"> for B1a/b </w:t>
            </w:r>
            <w:r w:rsidRPr="00C0031A">
              <w:t xml:space="preserve">and the </w:t>
            </w:r>
            <w:r>
              <w:t xml:space="preserve">net </w:t>
            </w:r>
            <w:r w:rsidRPr="00C0031A">
              <w:t>completions trend (net excluding losses to residential) scenario</w:t>
            </w:r>
            <w:r>
              <w:t xml:space="preserve"> for and B1c/B2</w:t>
            </w:r>
            <w:r w:rsidRPr="00C0031A">
              <w:t xml:space="preserve"> </w:t>
            </w:r>
            <w:r>
              <w:t>and B8 floorspace</w:t>
            </w:r>
            <w:r w:rsidRPr="00C0031A">
              <w:t xml:space="preserve"> are considered the most </w:t>
            </w:r>
            <w:r w:rsidRPr="002B049E">
              <w:t xml:space="preserve">relevant.  The labour demand model for the District is considered to underestimate requirements for industrial and warehousing premises which are better represented by the longer term trend which aligns with market feedback. </w:t>
            </w:r>
          </w:p>
          <w:p w:rsidR="00A6174E" w:rsidRPr="002B049E" w:rsidRDefault="00A6174E" w:rsidP="00AF0118">
            <w:pPr>
              <w:pStyle w:val="ListParagraph"/>
              <w:numPr>
                <w:ilvl w:val="0"/>
                <w:numId w:val="30"/>
              </w:numPr>
              <w:ind w:left="482"/>
            </w:pPr>
            <w:r w:rsidRPr="002B049E">
              <w:t xml:space="preserve">Considering all factors we consider that the need is </w:t>
            </w:r>
            <w:r w:rsidR="008C5BCD">
              <w:t>132,200</w:t>
            </w:r>
            <w:r w:rsidR="009F018A">
              <w:t xml:space="preserve"> </w:t>
            </w:r>
            <w:r w:rsidRPr="002B049E">
              <w:t xml:space="preserve">sqm or </w:t>
            </w:r>
            <w:r w:rsidR="008C5BCD">
              <w:t>25.6</w:t>
            </w:r>
            <w:r w:rsidR="008C5BCD" w:rsidRPr="002B049E">
              <w:t xml:space="preserve"> </w:t>
            </w:r>
            <w:r w:rsidRPr="002B049E">
              <w:t>ha for the Plan Area.</w:t>
            </w:r>
          </w:p>
          <w:p w:rsidR="00A6174E" w:rsidRPr="002B049E" w:rsidRDefault="00A6174E" w:rsidP="00AF0118">
            <w:pPr>
              <w:pStyle w:val="ListParagraph"/>
              <w:numPr>
                <w:ilvl w:val="0"/>
                <w:numId w:val="30"/>
              </w:numPr>
              <w:ind w:left="482"/>
            </w:pPr>
            <w:r w:rsidRPr="002B049E">
              <w:t>In addition, a trend-based forecast for glasshouses in the Plan Area has been revisited taking into account industry feedback and recent developments. This suggests a need for an additional 374,000 sqm for horticultural development or 60.7 Ha of land within HDAs in addition to a total of 728,000</w:t>
            </w:r>
            <w:r w:rsidR="0072024E">
              <w:t>sqm</w:t>
            </w:r>
            <w:r w:rsidRPr="002B049E">
              <w:t xml:space="preserve"> or 129.6 ha outside of HDAs to avoid constraining growth in the horticultural industry.</w:t>
            </w:r>
          </w:p>
          <w:p w:rsidR="00A6174E" w:rsidRPr="002B049E" w:rsidRDefault="00A6174E" w:rsidP="00AF0118">
            <w:pPr>
              <w:pStyle w:val="ListParagraph"/>
              <w:numPr>
                <w:ilvl w:val="0"/>
                <w:numId w:val="30"/>
              </w:numPr>
              <w:ind w:left="482"/>
            </w:pPr>
            <w:r w:rsidRPr="002B049E">
              <w:t>It is recommended that the Council consider the deliverability of existing allocated sites and if necessary, allocate additional land.</w:t>
            </w:r>
          </w:p>
          <w:p w:rsidR="00F04A4C" w:rsidRPr="00CA47B9" w:rsidRDefault="00F04A4C" w:rsidP="004F4DBD"/>
        </w:tc>
      </w:tr>
    </w:tbl>
    <w:p w:rsidR="00F63FBB" w:rsidRPr="00CA47B9" w:rsidRDefault="00F63FBB">
      <w:pPr>
        <w:spacing w:after="200"/>
        <w:rPr>
          <w:rFonts w:asciiTheme="minorHAnsi" w:hAnsiTheme="minorHAnsi" w:cstheme="minorHAnsi"/>
          <w:bCs/>
        </w:rPr>
      </w:pPr>
      <w:r w:rsidRPr="00CA47B9">
        <w:rPr>
          <w:rFonts w:asciiTheme="minorHAnsi" w:hAnsiTheme="minorHAnsi" w:cstheme="minorHAnsi"/>
        </w:rPr>
        <w:br w:type="page"/>
      </w:r>
    </w:p>
    <w:p w:rsidR="00F63FBB" w:rsidRPr="00CA47B9" w:rsidRDefault="00F63FBB" w:rsidP="00766669">
      <w:pPr>
        <w:pStyle w:val="1Bodytext"/>
        <w:tabs>
          <w:tab w:val="clear" w:pos="794"/>
        </w:tabs>
        <w:spacing w:before="0" w:after="120" w:line="360" w:lineRule="auto"/>
        <w:ind w:left="567" w:hanging="567"/>
      </w:pPr>
      <w:bookmarkStart w:id="237" w:name="_Toc51600020"/>
      <w:bookmarkStart w:id="238" w:name="_Toc472344868"/>
      <w:bookmarkStart w:id="239" w:name="_Toc485718388"/>
      <w:bookmarkStart w:id="240" w:name="_Toc415154686"/>
      <w:bookmarkEnd w:id="211"/>
      <w:r w:rsidRPr="00CA47B9">
        <w:lastRenderedPageBreak/>
        <w:t>Conclusions</w:t>
      </w:r>
      <w:bookmarkEnd w:id="237"/>
      <w:r w:rsidRPr="00CA47B9">
        <w:t xml:space="preserve"> </w:t>
      </w:r>
    </w:p>
    <w:p w:rsidR="00F63FBB" w:rsidRPr="00CA47B9" w:rsidRDefault="00F63FBB" w:rsidP="00954663">
      <w:pPr>
        <w:pStyle w:val="11Bodytext"/>
        <w:tabs>
          <w:tab w:val="clear" w:pos="2212"/>
          <w:tab w:val="num" w:pos="567"/>
        </w:tabs>
        <w:ind w:left="567" w:hanging="567"/>
      </w:pPr>
      <w:r w:rsidRPr="00CA47B9">
        <w:t>The purpose of this Housing and Economic Development Needs Assessment (HEDNA) has been to assess future housing needs, the scale of future economic growth and the quantity of land and floorspace required for B-class</w:t>
      </w:r>
      <w:r w:rsidR="00397B1B">
        <w:t xml:space="preserve"> </w:t>
      </w:r>
      <w:r w:rsidR="00397B1B" w:rsidRPr="00CA47B9">
        <w:t>uses</w:t>
      </w:r>
      <w:r w:rsidR="00397B1B" w:rsidRPr="00CA47B9">
        <w:rPr>
          <w:rStyle w:val="FootnoteReference"/>
        </w:rPr>
        <w:footnoteReference w:id="17"/>
      </w:r>
      <w:r w:rsidR="00855CA6">
        <w:t xml:space="preserve"> </w:t>
      </w:r>
      <w:r w:rsidRPr="00CA47B9">
        <w:t>and horticultural economic development</w:t>
      </w:r>
      <w:r w:rsidR="00397B1B">
        <w:t xml:space="preserve"> uses</w:t>
      </w:r>
      <w:r w:rsidRPr="00CA47B9">
        <w:t xml:space="preserve"> between 2019 and 2036</w:t>
      </w:r>
      <w:r w:rsidR="000431B3">
        <w:t>.</w:t>
      </w:r>
      <w:r w:rsidR="00855CA6">
        <w:t xml:space="preserve"> </w:t>
      </w:r>
      <w:r w:rsidR="000431B3">
        <w:t>The Plan period has now been extended to 2037</w:t>
      </w:r>
      <w:r w:rsidR="007F257E">
        <w:t>. F</w:t>
      </w:r>
      <w:r w:rsidR="000431B3">
        <w:t>igures for this extended period are provided in the appendices.</w:t>
      </w:r>
      <w:r w:rsidR="00855CA6">
        <w:t xml:space="preserve"> </w:t>
      </w:r>
    </w:p>
    <w:p w:rsidR="00F63FBB" w:rsidRPr="00CA47B9" w:rsidRDefault="00F63FBB" w:rsidP="00954663">
      <w:pPr>
        <w:pStyle w:val="11Bodytext"/>
        <w:tabs>
          <w:tab w:val="clear" w:pos="2212"/>
          <w:tab w:val="num" w:pos="567"/>
        </w:tabs>
        <w:ind w:left="567" w:hanging="567"/>
      </w:pPr>
      <w:r w:rsidRPr="00CA47B9">
        <w:t>The HEDNA identifies Chichester and Arun as the relevant Housing Market Area (HMA) and Functional Economic Market Area (FEMA), although we recognise there are overlaps with other neighbouring authorities. For plan-making purposes</w:t>
      </w:r>
      <w:r w:rsidR="00855CA6">
        <w:t>,</w:t>
      </w:r>
      <w:r w:rsidRPr="00CA47B9">
        <w:t xml:space="preserve"> we have</w:t>
      </w:r>
      <w:r w:rsidR="00855CA6">
        <w:t xml:space="preserve"> </w:t>
      </w:r>
      <w:r w:rsidRPr="00CA47B9">
        <w:t xml:space="preserve">considered the needs </w:t>
      </w:r>
      <w:r w:rsidR="00855CA6">
        <w:t>of</w:t>
      </w:r>
      <w:r w:rsidR="00855CA6" w:rsidRPr="00CA47B9">
        <w:t xml:space="preserve"> </w:t>
      </w:r>
      <w:r w:rsidR="00012BA5">
        <w:t xml:space="preserve">the </w:t>
      </w:r>
      <w:r w:rsidRPr="00CA47B9">
        <w:t>Chichester</w:t>
      </w:r>
      <w:r w:rsidR="002B4926">
        <w:t xml:space="preserve"> Local</w:t>
      </w:r>
      <w:r w:rsidR="00012BA5">
        <w:t xml:space="preserve"> Plan Area</w:t>
      </w:r>
      <w:r w:rsidRPr="00CA47B9">
        <w:t xml:space="preserve">. </w:t>
      </w:r>
      <w:r w:rsidR="00EB6054">
        <w:tab/>
      </w:r>
    </w:p>
    <w:p w:rsidR="00F63FBB" w:rsidRPr="00CA47B9" w:rsidRDefault="00862432" w:rsidP="006765B7">
      <w:pPr>
        <w:pStyle w:val="SubheadBlue12"/>
        <w:ind w:left="567" w:firstLine="0"/>
      </w:pPr>
      <w:r>
        <w:t>Housing Need</w:t>
      </w:r>
    </w:p>
    <w:p w:rsidR="00F63FBB" w:rsidRPr="00CA47B9" w:rsidRDefault="00F63FBB" w:rsidP="00954663">
      <w:pPr>
        <w:pStyle w:val="11Bodytext"/>
        <w:tabs>
          <w:tab w:val="clear" w:pos="2212"/>
          <w:tab w:val="num" w:pos="567"/>
        </w:tabs>
        <w:ind w:left="567" w:hanging="567"/>
      </w:pPr>
      <w:r w:rsidRPr="00CA47B9">
        <w:t xml:space="preserve">Calculating the </w:t>
      </w:r>
      <w:r w:rsidR="00862432">
        <w:t xml:space="preserve">housing need </w:t>
      </w:r>
      <w:r w:rsidRPr="00CA47B9">
        <w:t xml:space="preserve">follows the standard methodology outlined in the Planning Practice Guidance which was updated </w:t>
      </w:r>
      <w:r w:rsidR="00831552">
        <w:t xml:space="preserve">in </w:t>
      </w:r>
      <w:r w:rsidRPr="00CA47B9">
        <w:t>February 2019. The standard methodology seeks to simplify the approach to housing need and has three components:</w:t>
      </w:r>
    </w:p>
    <w:p w:rsidR="00F63FBB" w:rsidRPr="00CA47B9" w:rsidRDefault="00F63FBB" w:rsidP="00901C92">
      <w:pPr>
        <w:pStyle w:val="Bulletblueplain"/>
      </w:pPr>
      <w:r w:rsidRPr="00CA47B9">
        <w:t>Starting Point or Baseline;</w:t>
      </w:r>
    </w:p>
    <w:p w:rsidR="00F63FBB" w:rsidRPr="00CA47B9" w:rsidRDefault="00F63FBB" w:rsidP="00901C92">
      <w:pPr>
        <w:pStyle w:val="Bulletblueplain"/>
      </w:pPr>
      <w:r w:rsidRPr="00CA47B9">
        <w:t>Market Signals Adjustment; and</w:t>
      </w:r>
    </w:p>
    <w:p w:rsidR="00F63FBB" w:rsidRPr="00CA47B9" w:rsidRDefault="00F63FBB" w:rsidP="00901C92">
      <w:pPr>
        <w:pStyle w:val="Bulletblueplain"/>
      </w:pPr>
      <w:r w:rsidRPr="00CA47B9">
        <w:t>Cap.</w:t>
      </w:r>
    </w:p>
    <w:p w:rsidR="002B4926" w:rsidRPr="00CA47B9" w:rsidRDefault="002B4926" w:rsidP="006765B7">
      <w:pPr>
        <w:pStyle w:val="Subheadingbold"/>
        <w:tabs>
          <w:tab w:val="left" w:pos="567"/>
        </w:tabs>
        <w:ind w:left="567" w:firstLine="0"/>
      </w:pPr>
      <w:proofErr w:type="gramStart"/>
      <w:r w:rsidRPr="00CA47B9">
        <w:t>Step</w:t>
      </w:r>
      <w:proofErr w:type="gramEnd"/>
      <w:r w:rsidRPr="00CA47B9">
        <w:t xml:space="preserve"> 1 – Setting the baseline </w:t>
      </w:r>
    </w:p>
    <w:p w:rsidR="002B4926" w:rsidRPr="00CA47B9" w:rsidRDefault="002B4926" w:rsidP="00954663">
      <w:pPr>
        <w:pStyle w:val="11Bodytext"/>
        <w:tabs>
          <w:tab w:val="clear" w:pos="2212"/>
          <w:tab w:val="num" w:pos="567"/>
        </w:tabs>
        <w:ind w:left="567" w:hanging="567"/>
      </w:pPr>
      <w:r w:rsidRPr="00CA47B9">
        <w:t xml:space="preserve">Step 1 sets the baseline using national household growth projections (2014-based household projections). The PPG advises that “the projected average annual household growth over a 10-year period (this should be 10 consecutive years, with the current year being the first year)” should be used. </w:t>
      </w:r>
      <w:r>
        <w:t>When much of this report was completed (2019) we</w:t>
      </w:r>
      <w:r w:rsidRPr="00CA47B9">
        <w:t xml:space="preserve"> interpreted the “current” year as 2019.</w:t>
      </w:r>
      <w:r>
        <w:t xml:space="preserve"> </w:t>
      </w:r>
      <w:r w:rsidRPr="00CA47B9">
        <w:t xml:space="preserve">Although step 1 is </w:t>
      </w:r>
      <w:r w:rsidRPr="00CA47B9">
        <w:lastRenderedPageBreak/>
        <w:t>assessed over the next ten years, the figure can be used across the whole plan period.</w:t>
      </w:r>
    </w:p>
    <w:p w:rsidR="002B4926" w:rsidRPr="00CA47B9" w:rsidRDefault="002B4926" w:rsidP="00954663">
      <w:pPr>
        <w:pStyle w:val="11Bodytext"/>
        <w:tabs>
          <w:tab w:val="clear" w:pos="2212"/>
          <w:tab w:val="num" w:pos="567"/>
        </w:tabs>
        <w:ind w:left="567" w:hanging="567"/>
      </w:pPr>
      <w:r w:rsidRPr="00CA47B9">
        <w:t xml:space="preserve">Chichester District’s household projections (2014-based) are: </w:t>
      </w:r>
    </w:p>
    <w:p w:rsidR="002B4926" w:rsidRPr="00CA47B9" w:rsidRDefault="002B4926" w:rsidP="00ED1C06">
      <w:pPr>
        <w:pStyle w:val="10BulletBodytext"/>
      </w:pPr>
      <w:r w:rsidRPr="00CA47B9">
        <w:t>53,299 in 2019</w:t>
      </w:r>
    </w:p>
    <w:p w:rsidR="002B4926" w:rsidRPr="00CA47B9" w:rsidRDefault="002B4926" w:rsidP="00ED1C06">
      <w:pPr>
        <w:pStyle w:val="10BulletBodytext"/>
      </w:pPr>
      <w:r w:rsidRPr="00CA47B9">
        <w:t>58,625 in 2029</w:t>
      </w:r>
    </w:p>
    <w:p w:rsidR="002B4926" w:rsidRPr="00CA47B9" w:rsidRDefault="002B4926" w:rsidP="00954663">
      <w:pPr>
        <w:pStyle w:val="11Bodytext"/>
        <w:tabs>
          <w:tab w:val="clear" w:pos="2212"/>
          <w:tab w:val="num" w:pos="567"/>
        </w:tabs>
        <w:ind w:left="567" w:hanging="567"/>
      </w:pPr>
      <w:r w:rsidRPr="00CA47B9">
        <w:t>This is a total of 5,326</w:t>
      </w:r>
      <w:r>
        <w:t xml:space="preserve"> </w:t>
      </w:r>
      <w:r w:rsidRPr="00CA47B9">
        <w:t>new households over the ten</w:t>
      </w:r>
      <w:r w:rsidR="00855CA6">
        <w:t xml:space="preserve"> years</w:t>
      </w:r>
      <w:r w:rsidRPr="00CA47B9">
        <w:t xml:space="preserve">, equivalent to an average household growth of 533 per year. This annual average household growth (533) is the core output of step 1. </w:t>
      </w:r>
    </w:p>
    <w:p w:rsidR="002B4926" w:rsidRPr="00CA47B9" w:rsidRDefault="002B4926" w:rsidP="006765B7">
      <w:pPr>
        <w:pStyle w:val="Subheadingbold"/>
        <w:tabs>
          <w:tab w:val="clear" w:pos="794"/>
          <w:tab w:val="left" w:pos="567"/>
        </w:tabs>
        <w:ind w:left="567" w:firstLine="0"/>
      </w:pPr>
      <w:r w:rsidRPr="00CA47B9">
        <w:t xml:space="preserve">Step 2 – An adjustment to take account of affordability </w:t>
      </w:r>
    </w:p>
    <w:p w:rsidR="002B4926" w:rsidRPr="00CA47B9" w:rsidRDefault="002B4926" w:rsidP="00954663">
      <w:pPr>
        <w:pStyle w:val="11Bodytext"/>
        <w:tabs>
          <w:tab w:val="clear" w:pos="2212"/>
          <w:tab w:val="num" w:pos="567"/>
        </w:tabs>
        <w:ind w:left="567" w:hanging="567"/>
      </w:pPr>
      <w:r w:rsidRPr="00CA47B9">
        <w:t xml:space="preserve">Step 2 then adjusts the average annual projected household growth figure (as calculated in step 1) based on the affordability of the area. This draws on the most recent median workplace-based affordability ratios. </w:t>
      </w:r>
      <w:r>
        <w:t>The affordability ratio</w:t>
      </w:r>
      <w:r w:rsidR="00855CA6">
        <w:t xml:space="preserve"> </w:t>
      </w:r>
      <w:r>
        <w:t>applied is</w:t>
      </w:r>
      <w:r w:rsidR="007F257E">
        <w:t xml:space="preserve"> that for</w:t>
      </w:r>
      <w:r>
        <w:t xml:space="preserve"> 2018.</w:t>
      </w:r>
    </w:p>
    <w:p w:rsidR="002B4926" w:rsidRPr="00CA47B9" w:rsidRDefault="002B4926" w:rsidP="00954663">
      <w:pPr>
        <w:pStyle w:val="11Bodytext"/>
        <w:tabs>
          <w:tab w:val="clear" w:pos="2212"/>
          <w:tab w:val="num" w:pos="567"/>
        </w:tabs>
        <w:ind w:left="567" w:hanging="567"/>
      </w:pPr>
      <w:r w:rsidRPr="00CA47B9">
        <w:t>For every percentage point the ratio is above 4, the household projections are increased by 0.25%. Four is seen as a reasonable multiple based on standard lending practices. The formula for the adjustment is calculated as below:</w:t>
      </w:r>
    </w:p>
    <w:p w:rsidR="002B4926" w:rsidRPr="00303311" w:rsidRDefault="002B4926" w:rsidP="00ED1C06">
      <w:pPr>
        <w:pStyle w:val="11Bodytext"/>
        <w:numPr>
          <w:ilvl w:val="0"/>
          <w:numId w:val="0"/>
        </w:numPr>
        <w:ind w:left="794"/>
      </w:pPr>
      <m:oMathPara>
        <m:oMathParaPr>
          <m:jc m:val="center"/>
        </m:oMathParaPr>
        <m:oMath>
          <m:r>
            <w:rPr>
              <w:rFonts w:ascii="Cambria Math" w:hAnsi="Cambria Math"/>
            </w:rPr>
            <m:t>Adjustment</m:t>
          </m:r>
          <m:r>
            <m:rPr>
              <m:sty m:val="p"/>
            </m:rPr>
            <w:rPr>
              <w:rFonts w:ascii="Cambria Math" w:hAnsi="Cambria Math"/>
            </w:rPr>
            <m:t xml:space="preserve"> </m:t>
          </m:r>
          <m:r>
            <w:rPr>
              <w:rFonts w:ascii="Cambria Math" w:hAnsi="Cambria Math"/>
            </w:rPr>
            <m:t>Factor</m:t>
          </m:r>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13.1-4</m:t>
                  </m:r>
                </m:num>
                <m:den>
                  <m:r>
                    <m:rPr>
                      <m:sty m:val="p"/>
                    </m:rPr>
                    <w:rPr>
                      <w:rFonts w:ascii="Cambria Math" w:hAnsi="Cambria Math"/>
                    </w:rPr>
                    <m:t>4</m:t>
                  </m:r>
                </m:den>
              </m:f>
            </m:e>
          </m:d>
          <m:r>
            <w:rPr>
              <w:rFonts w:ascii="Cambria Math" w:hAnsi="Cambria Math"/>
            </w:rPr>
            <m:t>x</m:t>
          </m:r>
          <m:r>
            <m:rPr>
              <m:sty m:val="p"/>
            </m:rPr>
            <w:rPr>
              <w:rFonts w:ascii="Cambria Math" w:hAnsi="Cambria Math"/>
            </w:rPr>
            <m:t xml:space="preserve">0.25+1=1.57 </m:t>
          </m:r>
          <m:r>
            <w:rPr>
              <w:rFonts w:ascii="Cambria Math" w:hAnsi="Cambria Math"/>
            </w:rPr>
            <m:t>or</m:t>
          </m:r>
          <m:r>
            <m:rPr>
              <m:sty m:val="p"/>
            </m:rPr>
            <w:rPr>
              <w:rFonts w:ascii="Cambria Math" w:hAnsi="Cambria Math"/>
            </w:rPr>
            <m:t xml:space="preserve"> 157%</m:t>
          </m:r>
        </m:oMath>
      </m:oMathPara>
    </w:p>
    <w:p w:rsidR="002B4926" w:rsidRPr="00CA47B9" w:rsidRDefault="002B4926" w:rsidP="00954663">
      <w:pPr>
        <w:pStyle w:val="11Bodytext"/>
        <w:tabs>
          <w:tab w:val="clear" w:pos="2212"/>
          <w:tab w:val="num" w:pos="567"/>
        </w:tabs>
        <w:ind w:left="567" w:hanging="567"/>
      </w:pPr>
      <w:r w:rsidRPr="00CA47B9">
        <w:t>By this measure, Chichester District’s affordability ratio</w:t>
      </w:r>
      <w:r>
        <w:t xml:space="preserve"> (workplace-based median ratio)</w:t>
      </w:r>
      <w:r w:rsidRPr="00CA47B9">
        <w:t xml:space="preserve"> is 13.1 (2018), meaning that the median house price in Chichester is 13.1 times median earnings of those working in the District. Applying the adjustment formula results in an </w:t>
      </w:r>
      <w:r>
        <w:t>increase of 57% on to the household growth.</w:t>
      </w:r>
      <w:r w:rsidRPr="00CA47B9">
        <w:t xml:space="preserve"> This </w:t>
      </w:r>
      <w:r>
        <w:t>results in an</w:t>
      </w:r>
      <w:r w:rsidRPr="00CA47B9">
        <w:t xml:space="preserve"> uncapped need of 836</w:t>
      </w:r>
      <w:r>
        <w:t xml:space="preserve"> </w:t>
      </w:r>
      <w:r w:rsidRPr="00CA47B9">
        <w:t xml:space="preserve">dpa. </w:t>
      </w:r>
    </w:p>
    <w:p w:rsidR="002B4926" w:rsidRPr="00CA47B9" w:rsidRDefault="002B4926" w:rsidP="006765B7">
      <w:pPr>
        <w:pStyle w:val="Subheadingbold"/>
        <w:tabs>
          <w:tab w:val="clear" w:pos="794"/>
          <w:tab w:val="left" w:pos="567"/>
        </w:tabs>
        <w:ind w:left="567" w:firstLine="0"/>
      </w:pPr>
      <w:r w:rsidRPr="00CA47B9">
        <w:t>Step 3 – Capping the Need</w:t>
      </w:r>
    </w:p>
    <w:p w:rsidR="002B4926" w:rsidRPr="00CA47B9" w:rsidRDefault="002B4926" w:rsidP="00954663">
      <w:pPr>
        <w:pStyle w:val="11Bodytext"/>
        <w:tabs>
          <w:tab w:val="clear" w:pos="2212"/>
          <w:tab w:val="num" w:pos="567"/>
        </w:tabs>
        <w:ind w:left="567" w:hanging="567"/>
      </w:pPr>
      <w:r w:rsidRPr="00CA47B9">
        <w:t xml:space="preserve">The third step of the standard method is to cap the level of increase to a level which is deliverable. The cap comes in the form of a 40% cap in the increase. However, what figure the cap is placed on depends on the age of the Local Plan and </w:t>
      </w:r>
      <w:proofErr w:type="gramStart"/>
      <w:r w:rsidRPr="00CA47B9">
        <w:t>the extend</w:t>
      </w:r>
      <w:proofErr w:type="gramEnd"/>
      <w:r w:rsidRPr="00CA47B9">
        <w:t xml:space="preserve"> of the housing target within it. </w:t>
      </w:r>
    </w:p>
    <w:p w:rsidR="002B4926" w:rsidRDefault="002B4926" w:rsidP="00ED1C06">
      <w:pPr>
        <w:pStyle w:val="10BulletBodytext"/>
      </w:pPr>
      <w:r w:rsidRPr="00CA47B9">
        <w:lastRenderedPageBreak/>
        <w:t xml:space="preserve">Where the Local Plan is adopted within the last 5 years (at the point of making the calculation), the local housing need figure is capped at 40% above the existing housing target. </w:t>
      </w:r>
    </w:p>
    <w:p w:rsidR="002B4926" w:rsidRDefault="002B4926" w:rsidP="00ED1C06">
      <w:pPr>
        <w:pStyle w:val="10BulletBodytext"/>
      </w:pPr>
      <w:r w:rsidRPr="00CA47B9">
        <w:t>Where the Local Plan was adopted more than</w:t>
      </w:r>
      <w:r>
        <w:t xml:space="preserve"> 5</w:t>
      </w:r>
      <w:r w:rsidRPr="00CA47B9">
        <w:t xml:space="preserve"> years ago then the cap is placed at 40% above the higher of either the existing housing target (435 dpa) or the household forecasts</w:t>
      </w:r>
      <w:r>
        <w:t xml:space="preserve"> (533 dpa)</w:t>
      </w:r>
      <w:r w:rsidRPr="00CA47B9">
        <w:t>.</w:t>
      </w:r>
    </w:p>
    <w:p w:rsidR="002B4926" w:rsidRPr="00CA47B9" w:rsidRDefault="002B4926" w:rsidP="00954663">
      <w:pPr>
        <w:pStyle w:val="11Bodytext"/>
        <w:tabs>
          <w:tab w:val="clear" w:pos="2212"/>
          <w:tab w:val="num" w:pos="567"/>
        </w:tabs>
        <w:ind w:left="567" w:hanging="567"/>
      </w:pPr>
      <w:r>
        <w:t xml:space="preserve"> In addition</w:t>
      </w:r>
      <w:r w:rsidR="00855CA6">
        <w:t>,</w:t>
      </w:r>
      <w:r w:rsidRPr="00CA47B9">
        <w:t xml:space="preserve"> the housing target in the </w:t>
      </w:r>
      <w:r>
        <w:t xml:space="preserve">adopted </w:t>
      </w:r>
      <w:r w:rsidRPr="00CA47B9">
        <w:t>Chichester Local Plan is for the Plan Area while the projection and affordability adjustment is for the district area.</w:t>
      </w:r>
    </w:p>
    <w:p w:rsidR="002B4926" w:rsidRPr="00CA47B9" w:rsidRDefault="002B4926" w:rsidP="006765B7">
      <w:pPr>
        <w:pStyle w:val="Subheadingbold"/>
        <w:tabs>
          <w:tab w:val="clear" w:pos="794"/>
          <w:tab w:val="left" w:pos="567"/>
        </w:tabs>
        <w:ind w:left="567" w:firstLine="0"/>
      </w:pPr>
      <w:r w:rsidRPr="00CA47B9">
        <w:t>Local Plan Less than Five Years</w:t>
      </w:r>
    </w:p>
    <w:p w:rsidR="002B4926" w:rsidRPr="00CA47B9" w:rsidRDefault="002B4926" w:rsidP="00954663">
      <w:pPr>
        <w:pStyle w:val="11Bodytext"/>
        <w:tabs>
          <w:tab w:val="clear" w:pos="2212"/>
          <w:tab w:val="num" w:pos="567"/>
        </w:tabs>
        <w:ind w:left="567" w:hanging="567"/>
      </w:pPr>
      <w:r w:rsidRPr="00CA47B9">
        <w:t xml:space="preserve">Until July 2020 the Local Plan for Chichester </w:t>
      </w:r>
      <w:r w:rsidR="00937B0B">
        <w:t>was</w:t>
      </w:r>
      <w:r w:rsidRPr="00CA47B9">
        <w:t xml:space="preserve"> less than 5 years old. Where this is the case the need is capped at 40% above the Local Plan Target. Currently</w:t>
      </w:r>
      <w:r w:rsidR="00855CA6">
        <w:t>,</w:t>
      </w:r>
      <w:r w:rsidRPr="00CA47B9">
        <w:t xml:space="preserve"> in</w:t>
      </w:r>
      <w:r>
        <w:t xml:space="preserve"> the</w:t>
      </w:r>
      <w:r w:rsidRPr="00CA47B9">
        <w:t xml:space="preserve"> Chichester Local Plan</w:t>
      </w:r>
      <w:r w:rsidR="00855CA6">
        <w:t>,</w:t>
      </w:r>
      <w:r w:rsidRPr="00CA47B9">
        <w:t xml:space="preserve"> the adopted housing target is 435 dpa for the Plan Area.</w:t>
      </w:r>
    </w:p>
    <w:p w:rsidR="002B4926" w:rsidRDefault="002B4926" w:rsidP="00954663">
      <w:pPr>
        <w:pStyle w:val="11Bodytext"/>
        <w:tabs>
          <w:tab w:val="clear" w:pos="2212"/>
          <w:tab w:val="num" w:pos="567"/>
        </w:tabs>
        <w:ind w:left="567" w:hanging="567"/>
      </w:pPr>
      <w:r w:rsidRPr="00CA47B9">
        <w:t xml:space="preserve">If we apply the 40% cap to this housing target, we would calculate a need for 609 dpa. As this is based on a cap for the Plan area no further adjustment is necessary to disaggregate </w:t>
      </w:r>
      <w:r>
        <w:t xml:space="preserve">this. </w:t>
      </w:r>
      <w:r w:rsidRPr="004F4DBD">
        <w:rPr>
          <w:b/>
        </w:rPr>
        <w:t>Until July 2020 the Local Housing Need for the Plan Area w</w:t>
      </w:r>
      <w:r w:rsidR="00937B0B">
        <w:rPr>
          <w:b/>
        </w:rPr>
        <w:t>as</w:t>
      </w:r>
      <w:r w:rsidRPr="004F4DBD">
        <w:rPr>
          <w:b/>
        </w:rPr>
        <w:t xml:space="preserve"> 609 dpa.</w:t>
      </w:r>
      <w:r w:rsidRPr="00CA47B9">
        <w:t xml:space="preserve"> </w:t>
      </w:r>
    </w:p>
    <w:p w:rsidR="002B4926" w:rsidRDefault="002B4926" w:rsidP="00954663">
      <w:pPr>
        <w:pStyle w:val="11Bodytext"/>
        <w:tabs>
          <w:tab w:val="clear" w:pos="2212"/>
          <w:tab w:val="num" w:pos="567"/>
        </w:tabs>
        <w:ind w:left="567" w:hanging="567"/>
      </w:pPr>
      <w:r>
        <w:t>We appreciate that this is not a like for like comparison as the standard method is based on the district</w:t>
      </w:r>
      <w:r w:rsidR="00855CA6">
        <w:t>-</w:t>
      </w:r>
      <w:r>
        <w:t xml:space="preserve">wide total and the local plan target is for the Plan Area only. However, such is the extent of affordability issues across the </w:t>
      </w:r>
      <w:proofErr w:type="gramStart"/>
      <w:r>
        <w:t>district,</w:t>
      </w:r>
      <w:proofErr w:type="gramEnd"/>
      <w:r>
        <w:t xml:space="preserve"> it would likely require a 40% increase above the housing requirement in the Plan Area.</w:t>
      </w:r>
      <w:r w:rsidR="00855CA6">
        <w:t xml:space="preserve"> </w:t>
      </w:r>
      <w:r>
        <w:t xml:space="preserve"> </w:t>
      </w:r>
    </w:p>
    <w:p w:rsidR="002B4926" w:rsidRPr="00CA47B9" w:rsidRDefault="002B4926" w:rsidP="006765B7">
      <w:pPr>
        <w:pStyle w:val="NameofDevelopment"/>
        <w:ind w:left="567" w:firstLine="0"/>
      </w:pPr>
      <w:r w:rsidRPr="00CA47B9">
        <w:t>Local Plan Older than Five Years</w:t>
      </w:r>
    </w:p>
    <w:p w:rsidR="002B4926" w:rsidRDefault="002B4926" w:rsidP="00954663">
      <w:pPr>
        <w:pStyle w:val="11Bodytext"/>
        <w:tabs>
          <w:tab w:val="clear" w:pos="2212"/>
          <w:tab w:val="num" w:pos="567"/>
        </w:tabs>
        <w:ind w:left="567" w:hanging="567"/>
      </w:pPr>
      <w:r>
        <w:t xml:space="preserve">Post July 2020, </w:t>
      </w:r>
      <w:r w:rsidRPr="00CA47B9">
        <w:t xml:space="preserve">the Local Plan </w:t>
      </w:r>
      <w:r w:rsidR="00937B0B">
        <w:t>is</w:t>
      </w:r>
      <w:r>
        <w:t xml:space="preserve"> older than</w:t>
      </w:r>
      <w:r w:rsidRPr="00CA47B9">
        <w:t xml:space="preserve"> five years</w:t>
      </w:r>
      <w:r>
        <w:t>,</w:t>
      </w:r>
      <w:r w:rsidRPr="00CA47B9">
        <w:t xml:space="preserve"> then</w:t>
      </w:r>
      <w:r>
        <w:t xml:space="preserve"> the</w:t>
      </w:r>
      <w:r w:rsidRPr="00CA47B9">
        <w:t xml:space="preserve"> local housing need figure is capped at 40% above the</w:t>
      </w:r>
      <w:r>
        <w:t xml:space="preserve"> higher of the Local Plan requirement or the household forecast identified in Step 2.</w:t>
      </w:r>
    </w:p>
    <w:p w:rsidR="002B4926" w:rsidRDefault="002B4926" w:rsidP="00954663">
      <w:pPr>
        <w:pStyle w:val="11Bodytext"/>
        <w:tabs>
          <w:tab w:val="clear" w:pos="2212"/>
          <w:tab w:val="num" w:pos="567"/>
        </w:tabs>
        <w:ind w:left="567" w:hanging="567"/>
      </w:pPr>
      <w:r>
        <w:t>The Local Plan target is 435 dpa and the household forecast set out in Step 2 is 533 dpa. Therefore the cap is applied to the household forecasts.</w:t>
      </w:r>
      <w:r w:rsidR="00855CA6">
        <w:t xml:space="preserve"> </w:t>
      </w:r>
      <w:r>
        <w:t>Again, we recognise this is not a like-for-like comparison as one is for the Plan Area and the other is for the district.</w:t>
      </w:r>
      <w:r w:rsidR="00855CA6">
        <w:t xml:space="preserve"> </w:t>
      </w:r>
      <w:r>
        <w:t>The latter will</w:t>
      </w:r>
      <w:r w:rsidR="00855CA6">
        <w:t>, therefore,</w:t>
      </w:r>
      <w:r>
        <w:t xml:space="preserve"> need to be disaggregated to the Plan Area.</w:t>
      </w:r>
    </w:p>
    <w:p w:rsidR="002B4926" w:rsidRDefault="002B4926" w:rsidP="00954663">
      <w:pPr>
        <w:pStyle w:val="11Bodytext"/>
        <w:tabs>
          <w:tab w:val="clear" w:pos="2212"/>
          <w:tab w:val="num" w:pos="567"/>
        </w:tabs>
        <w:ind w:left="567" w:hanging="567"/>
      </w:pPr>
      <w:r>
        <w:lastRenderedPageBreak/>
        <w:t xml:space="preserve">Applying the 40% cap above the household forecasts </w:t>
      </w:r>
      <w:r w:rsidRPr="004F4DBD">
        <w:t>results in a housing need of 746 dpa for the District</w:t>
      </w:r>
      <w:r w:rsidRPr="004E228A">
        <w:rPr>
          <w:b/>
        </w:rPr>
        <w:t xml:space="preserve"> (</w:t>
      </w:r>
      <w:r w:rsidRPr="00CA47B9">
        <w:t xml:space="preserve">533 + 40% = 746 dpa). However, to reiterate this is </w:t>
      </w:r>
      <w:r w:rsidRPr="004F4DBD">
        <w:rPr>
          <w:u w:val="single"/>
        </w:rPr>
        <w:t>not the housing target</w:t>
      </w:r>
      <w:r w:rsidRPr="00CA47B9">
        <w:t xml:space="preserve"> but the local housing need for the entire District.</w:t>
      </w:r>
      <w:r w:rsidR="00855CA6">
        <w:t xml:space="preserve"> </w:t>
      </w:r>
      <w:r>
        <w:t xml:space="preserve">We have disaggregated this below. </w:t>
      </w:r>
    </w:p>
    <w:p w:rsidR="002B4926" w:rsidRDefault="002B4926" w:rsidP="00954663">
      <w:pPr>
        <w:pStyle w:val="11Bodytext"/>
        <w:tabs>
          <w:tab w:val="clear" w:pos="2212"/>
          <w:tab w:val="num" w:pos="567"/>
        </w:tabs>
        <w:ind w:left="567" w:hanging="567"/>
      </w:pPr>
      <w:r>
        <w:t>Furthermore, as this is a district</w:t>
      </w:r>
      <w:r w:rsidR="00855CA6">
        <w:t>-</w:t>
      </w:r>
      <w:r>
        <w:t>wide figure it would also apply to parts of the National Park.</w:t>
      </w:r>
      <w:r w:rsidR="00855CA6">
        <w:t xml:space="preserve"> </w:t>
      </w:r>
      <w:r>
        <w:t>However unconstrained development would run contrary to the purposes and duty of the National Park and this approach may not be the most appropriate.</w:t>
      </w:r>
      <w:r w:rsidR="00855CA6">
        <w:t xml:space="preserve"> </w:t>
      </w:r>
    </w:p>
    <w:p w:rsidR="002B4926" w:rsidRDefault="002B4926" w:rsidP="006765B7">
      <w:pPr>
        <w:pStyle w:val="NameofDevelopment"/>
        <w:ind w:left="567" w:firstLine="0"/>
      </w:pPr>
      <w:r>
        <w:t>Unmet Need</w:t>
      </w:r>
    </w:p>
    <w:p w:rsidR="002B4926" w:rsidRDefault="002B4926" w:rsidP="00954663">
      <w:pPr>
        <w:pStyle w:val="11Bodytext"/>
        <w:tabs>
          <w:tab w:val="clear" w:pos="2212"/>
          <w:tab w:val="num" w:pos="567"/>
        </w:tabs>
        <w:ind w:left="567" w:hanging="567"/>
      </w:pPr>
      <w:r w:rsidRPr="00CA47B9">
        <w:t xml:space="preserve">The South Downs National Park HEDNA (2017) identified that the local housing need for </w:t>
      </w:r>
      <w:r>
        <w:t xml:space="preserve">the part of the </w:t>
      </w:r>
      <w:r w:rsidRPr="00CA47B9">
        <w:t>South Downs National Park (SDNP)</w:t>
      </w:r>
      <w:r>
        <w:t xml:space="preserve"> within Chichester District</w:t>
      </w:r>
      <w:r w:rsidR="00855CA6">
        <w:t xml:space="preserve"> </w:t>
      </w:r>
      <w:r w:rsidRPr="00CA47B9">
        <w:t xml:space="preserve">is 125 dpa. However, </w:t>
      </w:r>
      <w:r>
        <w:t xml:space="preserve">in 2019 </w:t>
      </w:r>
      <w:r w:rsidRPr="00CA47B9">
        <w:t>the</w:t>
      </w:r>
      <w:r>
        <w:t xml:space="preserve"> National Park Authority</w:t>
      </w:r>
      <w:r w:rsidRPr="00CA47B9">
        <w:t xml:space="preserve"> </w:t>
      </w:r>
      <w:r>
        <w:t>was</w:t>
      </w:r>
      <w:r w:rsidRPr="00CA47B9">
        <w:t xml:space="preserve"> only </w:t>
      </w:r>
      <w:r>
        <w:t>expecting to build</w:t>
      </w:r>
      <w:r w:rsidRPr="00CA47B9">
        <w:t xml:space="preserve"> 81 dpa of th</w:t>
      </w:r>
      <w:r>
        <w:t>is</w:t>
      </w:r>
      <w:r w:rsidRPr="00CA47B9">
        <w:t xml:space="preserve"> need within the National Park area that falls within Chichester District. </w:t>
      </w:r>
      <w:r>
        <w:t>T</w:t>
      </w:r>
      <w:r w:rsidRPr="00CA47B9">
        <w:t>hey</w:t>
      </w:r>
      <w:r w:rsidR="00855CA6">
        <w:t>, therefore,</w:t>
      </w:r>
      <w:r w:rsidRPr="00CA47B9">
        <w:t xml:space="preserve"> ha</w:t>
      </w:r>
      <w:r>
        <w:t>d</w:t>
      </w:r>
      <w:r w:rsidRPr="00CA47B9">
        <w:t xml:space="preserve"> an unmet need of 44 dpa. </w:t>
      </w:r>
    </w:p>
    <w:p w:rsidR="002B4926" w:rsidRDefault="002B4926" w:rsidP="00954663">
      <w:pPr>
        <w:pStyle w:val="11Bodytext"/>
        <w:tabs>
          <w:tab w:val="clear" w:pos="2212"/>
          <w:tab w:val="num" w:pos="567"/>
        </w:tabs>
        <w:ind w:left="567" w:hanging="567"/>
      </w:pPr>
      <w:r w:rsidRPr="00CA47B9">
        <w:t xml:space="preserve">Chichester District Council </w:t>
      </w:r>
      <w:r>
        <w:t>previously signed a Statement of Common Ground to test if it can accommodate</w:t>
      </w:r>
      <w:r w:rsidRPr="00CA47B9">
        <w:t xml:space="preserve"> </w:t>
      </w:r>
      <w:r>
        <w:t xml:space="preserve">the identified </w:t>
      </w:r>
      <w:r w:rsidRPr="00CA47B9">
        <w:t>unmet need</w:t>
      </w:r>
      <w:r>
        <w:t xml:space="preserve"> of 44 dpa from the National Park</w:t>
      </w:r>
      <w:r w:rsidRPr="00CA47B9">
        <w:t>.</w:t>
      </w:r>
      <w:r w:rsidR="00855CA6">
        <w:t xml:space="preserve"> </w:t>
      </w:r>
      <w:r>
        <w:t>A final decision on the capacity of the district to accommodate unmet need from the National Park or elsewhere has not yet been taken.</w:t>
      </w:r>
      <w:r w:rsidR="00855CA6">
        <w:t xml:space="preserve"> </w:t>
      </w:r>
      <w:r>
        <w:t xml:space="preserve">This can potentially be added to any identified need for the Plan Area. </w:t>
      </w:r>
    </w:p>
    <w:p w:rsidR="002B4926" w:rsidRPr="004F4DBD" w:rsidRDefault="002B4926" w:rsidP="006765B7">
      <w:pPr>
        <w:pStyle w:val="NameofDevelopment"/>
        <w:ind w:left="567" w:firstLine="0"/>
      </w:pPr>
      <w:r>
        <w:t xml:space="preserve">Housing Need </w:t>
      </w:r>
      <w:r w:rsidRPr="004F4DBD">
        <w:t>Conclusion</w:t>
      </w:r>
    </w:p>
    <w:p w:rsidR="002B4926" w:rsidRDefault="002B4926" w:rsidP="00954663">
      <w:pPr>
        <w:pStyle w:val="11Bodytext"/>
        <w:tabs>
          <w:tab w:val="clear" w:pos="2212"/>
          <w:tab w:val="num" w:pos="567"/>
        </w:tabs>
        <w:ind w:left="567" w:hanging="567"/>
      </w:pPr>
      <w:r w:rsidRPr="004F4DBD">
        <w:t>The standard method for the district identifie</w:t>
      </w:r>
      <w:r>
        <w:t>d</w:t>
      </w:r>
      <w:r w:rsidRPr="004F4DBD">
        <w:t xml:space="preserve"> a </w:t>
      </w:r>
      <w:r w:rsidRPr="009038FF">
        <w:t>local housing need for 746 dpa.</w:t>
      </w:r>
      <w:r w:rsidR="00855CA6">
        <w:t xml:space="preserve"> </w:t>
      </w:r>
      <w:r w:rsidRPr="009038FF">
        <w:t xml:space="preserve">A component of this need will also be covered by the 125 dpa identified for the South Downs National Park. </w:t>
      </w:r>
      <w:r>
        <w:t>Therefore s</w:t>
      </w:r>
      <w:r w:rsidRPr="009038FF">
        <w:t>ubtracting</w:t>
      </w:r>
      <w:r w:rsidRPr="004F4DBD">
        <w:t xml:space="preserve"> the SDNP </w:t>
      </w:r>
      <w:r>
        <w:t>n</w:t>
      </w:r>
      <w:r w:rsidRPr="004F4DBD">
        <w:t xml:space="preserve">eed from the </w:t>
      </w:r>
      <w:r>
        <w:t>district need</w:t>
      </w:r>
      <w:r w:rsidRPr="004F4DBD">
        <w:t xml:space="preserve"> would </w:t>
      </w:r>
      <w:r w:rsidRPr="009038FF">
        <w:t>result in a Local Housing Need (LHN) for the Chichester Plan Area of 621 dpa.</w:t>
      </w:r>
    </w:p>
    <w:p w:rsidR="002B4926" w:rsidRPr="001B2E7E" w:rsidRDefault="00937B0B" w:rsidP="00954663">
      <w:pPr>
        <w:pStyle w:val="11Bodytext"/>
        <w:tabs>
          <w:tab w:val="clear" w:pos="2212"/>
          <w:tab w:val="num" w:pos="567"/>
        </w:tabs>
        <w:ind w:left="567" w:hanging="567"/>
      </w:pPr>
      <w:r>
        <w:t xml:space="preserve">Prior to July </w:t>
      </w:r>
      <w:proofErr w:type="gramStart"/>
      <w:r>
        <w:t xml:space="preserve">2020 </w:t>
      </w:r>
      <w:r w:rsidR="002B4926">
        <w:t>,</w:t>
      </w:r>
      <w:proofErr w:type="gramEnd"/>
      <w:r w:rsidR="002B4926">
        <w:t xml:space="preserve"> the standard method for the Plan Area would likely result in a need for 609 dpa.</w:t>
      </w:r>
      <w:r w:rsidR="00855CA6">
        <w:t xml:space="preserve"> </w:t>
      </w:r>
      <w:r w:rsidR="002B4926">
        <w:t xml:space="preserve">This assumes </w:t>
      </w:r>
      <w:proofErr w:type="gramStart"/>
      <w:r w:rsidR="002B4926">
        <w:t>a 40</w:t>
      </w:r>
      <w:proofErr w:type="gramEnd"/>
      <w:r w:rsidR="002B4926">
        <w:t>% uplift above the existing Local Plan target.</w:t>
      </w:r>
      <w:r w:rsidR="00855CA6">
        <w:t xml:space="preserve"> </w:t>
      </w:r>
    </w:p>
    <w:p w:rsidR="002B4926" w:rsidRPr="00873DCC" w:rsidRDefault="002B4926" w:rsidP="00954663">
      <w:pPr>
        <w:pStyle w:val="11Bodytext"/>
        <w:tabs>
          <w:tab w:val="clear" w:pos="2212"/>
          <w:tab w:val="num" w:pos="567"/>
        </w:tabs>
        <w:ind w:left="567" w:hanging="567"/>
        <w:rPr>
          <w:b/>
        </w:rPr>
      </w:pPr>
      <w:r w:rsidRPr="001B2E7E">
        <w:t>In addition, the</w:t>
      </w:r>
      <w:r>
        <w:t xml:space="preserve"> previous </w:t>
      </w:r>
      <w:r>
        <w:rPr>
          <w:i/>
        </w:rPr>
        <w:t>Preferred Approach Local Plan</w:t>
      </w:r>
      <w:r w:rsidRPr="001B2E7E">
        <w:t xml:space="preserve"> also</w:t>
      </w:r>
      <w:r w:rsidR="00855CA6">
        <w:t xml:space="preserve"> </w:t>
      </w:r>
      <w:r w:rsidRPr="001B2E7E">
        <w:t>t</w:t>
      </w:r>
      <w:r>
        <w:t>ook</w:t>
      </w:r>
      <w:r w:rsidRPr="001B2E7E">
        <w:t xml:space="preserve"> account of </w:t>
      </w:r>
      <w:r>
        <w:t>the agreement in the Statement of Common Ground</w:t>
      </w:r>
      <w:r w:rsidR="00855CA6">
        <w:t xml:space="preserve"> </w:t>
      </w:r>
      <w:r>
        <w:t xml:space="preserve">to test the possibility of taking the </w:t>
      </w:r>
      <w:r w:rsidRPr="001B2E7E">
        <w:lastRenderedPageBreak/>
        <w:t>unmet need for the South Downs National Park.</w:t>
      </w:r>
      <w:r w:rsidR="00855CA6">
        <w:t xml:space="preserve"> </w:t>
      </w:r>
      <w:r w:rsidRPr="004F4DBD">
        <w:t>Adding this to the Plan Area LHN result</w:t>
      </w:r>
      <w:r>
        <w:t>ed</w:t>
      </w:r>
      <w:r w:rsidRPr="004F4DBD">
        <w:t xml:space="preserve"> in </w:t>
      </w:r>
      <w:r w:rsidRPr="001B2E7E">
        <w:rPr>
          <w:b/>
        </w:rPr>
        <w:t xml:space="preserve">a housing </w:t>
      </w:r>
      <w:r>
        <w:rPr>
          <w:b/>
        </w:rPr>
        <w:t>target</w:t>
      </w:r>
      <w:r w:rsidRPr="001B2E7E">
        <w:rPr>
          <w:b/>
        </w:rPr>
        <w:t xml:space="preserve"> of 650 dpa for the Plan</w:t>
      </w:r>
      <w:r w:rsidRPr="004F4DBD">
        <w:rPr>
          <w:b/>
        </w:rPr>
        <w:t xml:space="preserve"> </w:t>
      </w:r>
      <w:r w:rsidRPr="001B2E7E">
        <w:rPr>
          <w:b/>
        </w:rPr>
        <w:t>Area</w:t>
      </w:r>
      <w:r w:rsidRPr="001B2E7E">
        <w:t xml:space="preserve"> (4</w:t>
      </w:r>
      <w:r>
        <w:t>4</w:t>
      </w:r>
      <w:r w:rsidRPr="001B2E7E">
        <w:t xml:space="preserve"> dpa + 609 dpa</w:t>
      </w:r>
      <w:r>
        <w:t xml:space="preserve"> = 653 dpa, rounded to 650dpa</w:t>
      </w:r>
      <w:r w:rsidRPr="001B2E7E">
        <w:t>).</w:t>
      </w:r>
      <w:r w:rsidR="00855CA6">
        <w:t xml:space="preserve"> </w:t>
      </w:r>
    </w:p>
    <w:p w:rsidR="002B4926" w:rsidRPr="00873DCC" w:rsidRDefault="002B4926" w:rsidP="00954663">
      <w:pPr>
        <w:pStyle w:val="11Bodytext"/>
        <w:tabs>
          <w:tab w:val="clear" w:pos="2212"/>
          <w:tab w:val="num" w:pos="567"/>
        </w:tabs>
        <w:ind w:left="567" w:hanging="567"/>
        <w:rPr>
          <w:b/>
        </w:rPr>
      </w:pPr>
      <w:r w:rsidRPr="001B2E7E">
        <w:t>To co</w:t>
      </w:r>
      <w:r>
        <w:t>n</w:t>
      </w:r>
      <w:r w:rsidRPr="001B2E7E">
        <w:t xml:space="preserve">vert this back to a district area need the SNDPA capacity of 81 could be added to the 650 dpa need for the Plan Area to calculate a </w:t>
      </w:r>
      <w:r w:rsidRPr="004F4DBD">
        <w:rPr>
          <w:b/>
        </w:rPr>
        <w:t>District</w:t>
      </w:r>
      <w:r w:rsidR="00855CA6">
        <w:rPr>
          <w:b/>
        </w:rPr>
        <w:t>-</w:t>
      </w:r>
      <w:r w:rsidRPr="004F4DBD">
        <w:rPr>
          <w:b/>
        </w:rPr>
        <w:t>wide housing need of 731 dpa.</w:t>
      </w:r>
      <w:r w:rsidR="00855CA6">
        <w:rPr>
          <w:b/>
        </w:rPr>
        <w:t xml:space="preserve"> </w:t>
      </w:r>
      <w:r w:rsidRPr="004F4DBD">
        <w:t>Th</w:t>
      </w:r>
      <w:r w:rsidR="00937B0B">
        <w:t>is</w:t>
      </w:r>
      <w:r w:rsidRPr="004F4DBD">
        <w:t xml:space="preserve"> number </w:t>
      </w:r>
      <w:r w:rsidR="00937B0B">
        <w:t>was used</w:t>
      </w:r>
      <w:r w:rsidRPr="004F4DBD">
        <w:t xml:space="preserve"> for the analysis within th</w:t>
      </w:r>
      <w:r w:rsidR="00937B0B">
        <w:t>is report which was largely competed prior to the plan becoming 5 years old</w:t>
      </w:r>
      <w:proofErr w:type="gramStart"/>
      <w:r w:rsidR="00937B0B">
        <w:t>.</w:t>
      </w:r>
      <w:r w:rsidRPr="004F4DBD">
        <w:t>.</w:t>
      </w:r>
      <w:proofErr w:type="gramEnd"/>
    </w:p>
    <w:p w:rsidR="002B4926" w:rsidRPr="006A7CAA" w:rsidRDefault="002B4926" w:rsidP="00954663">
      <w:pPr>
        <w:pStyle w:val="11Bodytext"/>
        <w:tabs>
          <w:tab w:val="clear" w:pos="2212"/>
          <w:tab w:val="num" w:pos="567"/>
        </w:tabs>
        <w:ind w:left="567" w:hanging="567"/>
      </w:pPr>
      <w:r>
        <w:t xml:space="preserve">On this basis, </w:t>
      </w:r>
      <w:r w:rsidRPr="004F4DBD">
        <w:t>it would appear that 11% of the district</w:t>
      </w:r>
      <w:r>
        <w:t>-</w:t>
      </w:r>
      <w:r w:rsidRPr="004F4DBD">
        <w:t xml:space="preserve">wide need </w:t>
      </w:r>
      <w:r>
        <w:t>would</w:t>
      </w:r>
      <w:r w:rsidRPr="004F4DBD">
        <w:t xml:space="preserve"> be addressed within the South Downs National Park and 89% within the Plan Area.</w:t>
      </w:r>
      <w:r w:rsidR="00855CA6">
        <w:t xml:space="preserve"> </w:t>
      </w:r>
    </w:p>
    <w:p w:rsidR="002B4926" w:rsidRPr="00873DCC" w:rsidRDefault="00937B0B" w:rsidP="00954663">
      <w:pPr>
        <w:pStyle w:val="11Bodytext"/>
        <w:tabs>
          <w:tab w:val="clear" w:pos="2212"/>
          <w:tab w:val="num" w:pos="567"/>
        </w:tabs>
        <w:ind w:left="567" w:hanging="567"/>
        <w:rPr>
          <w:b/>
        </w:rPr>
      </w:pPr>
      <w:r>
        <w:t xml:space="preserve">Now </w:t>
      </w:r>
      <w:proofErr w:type="gramStart"/>
      <w:r>
        <w:t xml:space="preserve">the </w:t>
      </w:r>
      <w:r w:rsidR="002B4926">
        <w:t xml:space="preserve"> Local</w:t>
      </w:r>
      <w:proofErr w:type="gramEnd"/>
      <w:r w:rsidR="002B4926">
        <w:t xml:space="preserve"> Plan </w:t>
      </w:r>
      <w:r>
        <w:t>is</w:t>
      </w:r>
      <w:r w:rsidR="002B4926">
        <w:t xml:space="preserve"> older than 5 years old the District-wide local housing would arguably increase slightly to 746 dpa.</w:t>
      </w:r>
      <w:r w:rsidR="00855CA6">
        <w:t xml:space="preserve"> </w:t>
      </w:r>
      <w:r w:rsidR="002B4926">
        <w:t>However, this in no way recognises the constraints within the South Downs National Park nor its purposes and duty</w:t>
      </w:r>
      <w:r>
        <w:t>, and is sufficiently close to 731 for the assessments to remain valid</w:t>
      </w:r>
      <w:r w:rsidR="002B4926">
        <w:t>.</w:t>
      </w:r>
    </w:p>
    <w:p w:rsidR="00F63FBB" w:rsidRPr="00CA47B9" w:rsidRDefault="00F63FBB" w:rsidP="006765B7">
      <w:pPr>
        <w:pStyle w:val="SubheadBlue12"/>
        <w:ind w:left="567" w:firstLine="0"/>
      </w:pPr>
      <w:r w:rsidRPr="00CA47B9">
        <w:t>Affordable Housing Need</w:t>
      </w:r>
    </w:p>
    <w:p w:rsidR="003C1BFF" w:rsidRPr="003C1BFF" w:rsidRDefault="00F63FBB" w:rsidP="00954663">
      <w:pPr>
        <w:pStyle w:val="11Bodytext"/>
        <w:tabs>
          <w:tab w:val="clear" w:pos="2212"/>
          <w:tab w:val="num" w:pos="567"/>
        </w:tabs>
        <w:ind w:left="567" w:hanging="567"/>
        <w:rPr>
          <w:b/>
        </w:rPr>
      </w:pPr>
      <w:r w:rsidRPr="00CA47B9">
        <w:t xml:space="preserve">The report has considered the need for affordable housing. The analysis identifies a net need </w:t>
      </w:r>
      <w:r w:rsidR="00CF3C77">
        <w:t xml:space="preserve">for </w:t>
      </w:r>
      <w:r w:rsidRPr="00CA47B9">
        <w:t xml:space="preserve">348 affordable rented </w:t>
      </w:r>
      <w:r w:rsidR="00CF3C77">
        <w:t xml:space="preserve">dwellings </w:t>
      </w:r>
      <w:r w:rsidRPr="00CA47B9">
        <w:t>per annum for the District</w:t>
      </w:r>
      <w:r w:rsidR="00DC360F">
        <w:t xml:space="preserve">. Of this, there is a need </w:t>
      </w:r>
      <w:r w:rsidR="00CF3C77">
        <w:t>for</w:t>
      </w:r>
      <w:r w:rsidR="003662E0">
        <w:t xml:space="preserve"> </w:t>
      </w:r>
      <w:r w:rsidRPr="00CA47B9">
        <w:t xml:space="preserve">286 affordable rented </w:t>
      </w:r>
      <w:r w:rsidR="00CF3C77">
        <w:t xml:space="preserve">dwellings </w:t>
      </w:r>
      <w:r w:rsidRPr="00CA47B9">
        <w:t>per annum for the Plan Area.</w:t>
      </w:r>
      <w:r w:rsidR="00855CA6">
        <w:t xml:space="preserve"> </w:t>
      </w:r>
      <w:r w:rsidR="003C1BFF">
        <w:t>T</w:t>
      </w:r>
      <w:r w:rsidR="003C1BFF" w:rsidRPr="00D653EB">
        <w:t xml:space="preserve">here is </w:t>
      </w:r>
      <w:r w:rsidR="003C1BFF">
        <w:t xml:space="preserve">also </w:t>
      </w:r>
      <w:r w:rsidR="003C1BFF" w:rsidRPr="00D653EB">
        <w:t xml:space="preserve">a net need for </w:t>
      </w:r>
      <w:r w:rsidR="003C1BFF">
        <w:t>130</w:t>
      </w:r>
      <w:r w:rsidR="003C1BFF" w:rsidRPr="00D653EB">
        <w:t xml:space="preserve"> low</w:t>
      </w:r>
      <w:r w:rsidR="003C1BFF">
        <w:t>-</w:t>
      </w:r>
      <w:r w:rsidR="003C1BFF" w:rsidRPr="00D653EB">
        <w:t xml:space="preserve">cost </w:t>
      </w:r>
      <w:r w:rsidR="00451CFA">
        <w:t>home ownership</w:t>
      </w:r>
      <w:r w:rsidR="003C1BFF" w:rsidRPr="00D653EB">
        <w:t xml:space="preserve"> dwellings</w:t>
      </w:r>
      <w:r w:rsidR="003C1BFF">
        <w:t xml:space="preserve"> for the district</w:t>
      </w:r>
      <w:r w:rsidR="003C1BFF" w:rsidRPr="00D653EB">
        <w:t>.</w:t>
      </w:r>
      <w:r w:rsidR="003C1BFF">
        <w:t xml:space="preserve"> Removing the need generated from the SDNP gives a Plan Area need of 97 per annum.</w:t>
      </w:r>
      <w:r w:rsidR="003C1BFF" w:rsidRPr="003C1BFF">
        <w:rPr>
          <w:b/>
        </w:rPr>
        <w:t xml:space="preserve"> </w:t>
      </w:r>
    </w:p>
    <w:p w:rsidR="00F63FBB" w:rsidRPr="00CA47B9" w:rsidRDefault="00F63FBB" w:rsidP="00954663">
      <w:pPr>
        <w:pStyle w:val="11Bodytext"/>
        <w:tabs>
          <w:tab w:val="clear" w:pos="2212"/>
          <w:tab w:val="num" w:pos="567"/>
        </w:tabs>
        <w:ind w:left="567" w:hanging="567"/>
      </w:pPr>
      <w:r w:rsidRPr="00CA47B9">
        <w:t xml:space="preserve">As the report explains this would represent the ‘theoretical need’ for affordable homes if all households who needed some form of support in meeting their housing need were to be allocated an affordable home. </w:t>
      </w:r>
    </w:p>
    <w:p w:rsidR="00F63FBB" w:rsidRPr="00CA47B9" w:rsidRDefault="00F63FBB" w:rsidP="00954663">
      <w:pPr>
        <w:pStyle w:val="11Bodytext"/>
        <w:tabs>
          <w:tab w:val="clear" w:pos="2212"/>
          <w:tab w:val="num" w:pos="567"/>
        </w:tabs>
        <w:ind w:left="567" w:hanging="567"/>
      </w:pPr>
      <w:r w:rsidRPr="00CA47B9">
        <w:t xml:space="preserve">However, the affordable needs calculations include the needs arising from existing households who require an alternative type/ size of home (and would thus release their current homes) and from newly forming households who are already included in the demographic growth. </w:t>
      </w:r>
    </w:p>
    <w:p w:rsidR="00F63FBB" w:rsidRPr="00CA47B9" w:rsidRDefault="00F63FBB" w:rsidP="006765B7">
      <w:pPr>
        <w:pStyle w:val="SubheadBlue12"/>
        <w:ind w:left="567" w:firstLine="0"/>
      </w:pPr>
      <w:r w:rsidRPr="00CA47B9">
        <w:lastRenderedPageBreak/>
        <w:t>Tenure Mix</w:t>
      </w:r>
    </w:p>
    <w:p w:rsidR="00F63FBB" w:rsidRPr="00CA47B9" w:rsidRDefault="00F63FBB" w:rsidP="00954663">
      <w:pPr>
        <w:pStyle w:val="11Bodytext"/>
        <w:tabs>
          <w:tab w:val="clear" w:pos="2212"/>
          <w:tab w:val="num" w:pos="567"/>
        </w:tabs>
        <w:ind w:left="567" w:hanging="567"/>
      </w:pPr>
      <w:r w:rsidRPr="00CA47B9">
        <w:t xml:space="preserve">In analysing the need for housing of different tenures it needs to be recognised that there are a series of choices to be made </w:t>
      </w:r>
      <w:r w:rsidR="000E3721">
        <w:t>concerning</w:t>
      </w:r>
      <w:r w:rsidRPr="00CA47B9">
        <w:t xml:space="preserve"> the provision of new affordable housing; essentially a trade-off between the affordability of accommodation and the number of homes that can viably be provided. Hence the analysis in this report can only provide a guide to the types of affordable housing that should be provided.</w:t>
      </w:r>
    </w:p>
    <w:p w:rsidR="00F63FBB" w:rsidRPr="00CA47B9" w:rsidRDefault="00855CA6" w:rsidP="00954663">
      <w:pPr>
        <w:pStyle w:val="11Bodytext"/>
        <w:tabs>
          <w:tab w:val="clear" w:pos="2212"/>
          <w:tab w:val="num" w:pos="567"/>
        </w:tabs>
        <w:ind w:left="567" w:hanging="567"/>
      </w:pPr>
      <w:r>
        <w:t>T</w:t>
      </w:r>
      <w:r w:rsidR="00F63FBB" w:rsidRPr="00CA47B9">
        <w:t>o aid the decision-making process regarding these choices, the following breakdown of tenure could be used as a starting point.</w:t>
      </w:r>
    </w:p>
    <w:p w:rsidR="00F63FBB" w:rsidRPr="00CA47B9" w:rsidRDefault="00F63FBB" w:rsidP="00ED1C06">
      <w:pPr>
        <w:pStyle w:val="10BulletBodytext"/>
        <w:rPr>
          <w:lang w:eastAsia="en-GB"/>
        </w:rPr>
      </w:pPr>
      <w:r w:rsidRPr="00CA47B9">
        <w:t>70% market</w:t>
      </w:r>
    </w:p>
    <w:p w:rsidR="00F63FBB" w:rsidRPr="00CA47B9" w:rsidRDefault="00F63FBB" w:rsidP="00ED1C06">
      <w:pPr>
        <w:pStyle w:val="10BulletBodytext"/>
        <w:rPr>
          <w:lang w:eastAsia="en-GB"/>
        </w:rPr>
      </w:pPr>
      <w:r w:rsidRPr="00CA47B9">
        <w:t xml:space="preserve">10% affordable </w:t>
      </w:r>
      <w:r w:rsidR="00451CFA">
        <w:t>home ownership</w:t>
      </w:r>
    </w:p>
    <w:p w:rsidR="00F63FBB" w:rsidRPr="00CA47B9" w:rsidRDefault="00F63FBB" w:rsidP="00ED1C06">
      <w:pPr>
        <w:pStyle w:val="10BulletBodytext"/>
        <w:rPr>
          <w:lang w:eastAsia="en-GB"/>
        </w:rPr>
      </w:pPr>
      <w:r w:rsidRPr="00CA47B9">
        <w:t>20% social/affordable rented</w:t>
      </w:r>
    </w:p>
    <w:p w:rsidR="00F63FBB" w:rsidRPr="00CA47B9" w:rsidRDefault="00F63FBB" w:rsidP="00954663">
      <w:pPr>
        <w:pStyle w:val="11Bodytext"/>
        <w:tabs>
          <w:tab w:val="clear" w:pos="2212"/>
          <w:tab w:val="num" w:pos="567"/>
        </w:tabs>
        <w:ind w:left="567" w:hanging="567"/>
      </w:pPr>
      <w:r w:rsidRPr="00CA47B9">
        <w:t xml:space="preserve">However, this comes with a series of caveats including the viability of providing different types of affordable housing. Furthermore, the cost of low-cost </w:t>
      </w:r>
      <w:r w:rsidR="00451CFA">
        <w:t>home ownership</w:t>
      </w:r>
      <w:r w:rsidRPr="00CA47B9">
        <w:t xml:space="preserve"> properties can sometimes exceed those of </w:t>
      </w:r>
      <w:r w:rsidR="00855CA6" w:rsidRPr="00CA47B9">
        <w:t>lower</w:t>
      </w:r>
      <w:r w:rsidR="00855CA6">
        <w:t>-</w:t>
      </w:r>
      <w:r w:rsidRPr="00CA47B9">
        <w:t xml:space="preserve">cost market homes and thus cannot be truly considered as “affordable”, albeit they might be recognised as such by the government. </w:t>
      </w:r>
    </w:p>
    <w:p w:rsidR="00F63FBB" w:rsidRDefault="00F63FBB" w:rsidP="00901C92">
      <w:pPr>
        <w:pStyle w:val="Subheadingbold"/>
      </w:pPr>
      <w:r w:rsidRPr="00CA47B9">
        <w:t>Need for Different Types and Sizes of Homes</w:t>
      </w:r>
    </w:p>
    <w:p w:rsidR="00F63FBB" w:rsidRPr="00CA47B9" w:rsidRDefault="00F63FBB" w:rsidP="00954663">
      <w:pPr>
        <w:pStyle w:val="11Bodytext"/>
        <w:tabs>
          <w:tab w:val="clear" w:pos="2212"/>
          <w:tab w:val="num" w:pos="567"/>
        </w:tabs>
        <w:ind w:left="567" w:hanging="567"/>
      </w:pPr>
      <w:r w:rsidRPr="00CA47B9">
        <w:t xml:space="preserve">The modelling outputs provide an estimate of the proportion of homes of different sizes that are </w:t>
      </w:r>
      <w:proofErr w:type="gramStart"/>
      <w:r w:rsidRPr="00CA47B9">
        <w:t>needed,</w:t>
      </w:r>
      <w:proofErr w:type="gramEnd"/>
      <w:r w:rsidRPr="00CA47B9">
        <w:t xml:space="preserve"> there are a range of factors which should be taken into account in setting policies for provision. The mix of </w:t>
      </w:r>
      <w:r w:rsidRPr="00CA47B9">
        <w:rPr>
          <w:u w:val="single"/>
        </w:rPr>
        <w:t>affordable rented housing</w:t>
      </w:r>
      <w:r w:rsidRPr="00CA47B9">
        <w:t xml:space="preserve"> sought through development at a District-wide level should be as follows:</w:t>
      </w:r>
    </w:p>
    <w:p w:rsidR="00BF2022" w:rsidRPr="00CA47B9" w:rsidRDefault="00BF2022" w:rsidP="00901C92">
      <w:pPr>
        <w:pStyle w:val="Bulletblueplain"/>
      </w:pPr>
      <w:r w:rsidRPr="00CA47B9">
        <w:t xml:space="preserve">1-bed properties: </w:t>
      </w:r>
      <w:r>
        <w:t>25</w:t>
      </w:r>
      <w:r w:rsidRPr="00CA47B9">
        <w:t>-3</w:t>
      </w:r>
      <w:r>
        <w:t>0</w:t>
      </w:r>
      <w:r w:rsidRPr="00CA47B9">
        <w:t>%</w:t>
      </w:r>
    </w:p>
    <w:p w:rsidR="00BF2022" w:rsidRPr="00CA47B9" w:rsidRDefault="00BF2022" w:rsidP="00901C92">
      <w:pPr>
        <w:pStyle w:val="Bulletblueplain"/>
      </w:pPr>
      <w:r w:rsidRPr="00CA47B9">
        <w:t xml:space="preserve">2-bed properties: </w:t>
      </w:r>
      <w:r>
        <w:t>40</w:t>
      </w:r>
      <w:r w:rsidRPr="00CA47B9">
        <w:t>-</w:t>
      </w:r>
      <w:r>
        <w:t>45</w:t>
      </w:r>
      <w:r w:rsidRPr="00CA47B9">
        <w:t>%</w:t>
      </w:r>
    </w:p>
    <w:p w:rsidR="00CC40EA" w:rsidRPr="00CA47B9" w:rsidRDefault="00CC40EA" w:rsidP="00901C92">
      <w:pPr>
        <w:pStyle w:val="Bulletblueplain"/>
        <w:rPr>
          <w:szCs w:val="20"/>
          <w:lang w:eastAsia="en-GB"/>
        </w:rPr>
      </w:pPr>
      <w:r w:rsidRPr="00CA47B9">
        <w:t>3-bed properties: 20-25%</w:t>
      </w:r>
      <w:r>
        <w:t>; and</w:t>
      </w:r>
    </w:p>
    <w:p w:rsidR="00CC40EA" w:rsidRPr="00CA47B9" w:rsidRDefault="00CC40EA" w:rsidP="00901C92">
      <w:pPr>
        <w:pStyle w:val="Bulletblueplain"/>
        <w:rPr>
          <w:szCs w:val="20"/>
          <w:lang w:eastAsia="en-GB"/>
        </w:rPr>
      </w:pPr>
      <w:r w:rsidRPr="00CA47B9">
        <w:t>4-bed properties: 5-10%</w:t>
      </w:r>
      <w:r>
        <w:t xml:space="preserve">; </w:t>
      </w:r>
    </w:p>
    <w:p w:rsidR="00F63FBB" w:rsidRPr="00CA47B9" w:rsidRDefault="00F63FBB" w:rsidP="00954663">
      <w:pPr>
        <w:pStyle w:val="11Bodytext"/>
        <w:tabs>
          <w:tab w:val="clear" w:pos="2212"/>
          <w:tab w:val="num" w:pos="567"/>
        </w:tabs>
        <w:ind w:left="567" w:hanging="567"/>
      </w:pPr>
      <w:r w:rsidRPr="00CA47B9">
        <w:t xml:space="preserve">The strategic conclusions recognise the role which delivery of larger family homes can play in releasing supply of smaller properties for other households; together with the limited flexibility which one-bed properties offer to changing household circumstances which feed through into higher turnover and management issues and the issue of single people under 35 years old only being eligible to claim benefits for a room in a shared house. </w:t>
      </w:r>
    </w:p>
    <w:p w:rsidR="00F63FBB" w:rsidRPr="00CA47B9" w:rsidRDefault="00F63FBB" w:rsidP="00954663">
      <w:pPr>
        <w:pStyle w:val="11Bodytext"/>
        <w:tabs>
          <w:tab w:val="clear" w:pos="2212"/>
          <w:tab w:val="num" w:pos="567"/>
        </w:tabs>
        <w:ind w:left="567" w:hanging="567"/>
      </w:pPr>
      <w:r w:rsidRPr="00CA47B9">
        <w:lastRenderedPageBreak/>
        <w:t xml:space="preserve">The provision of affordable </w:t>
      </w:r>
      <w:r w:rsidR="00451CFA">
        <w:t>home ownership</w:t>
      </w:r>
      <w:r w:rsidRPr="00CA47B9">
        <w:t xml:space="preserve"> should be more explicitly focused on delivering smaller family housing for younger households. On this basis the following mix of </w:t>
      </w:r>
      <w:r w:rsidRPr="00CA47B9">
        <w:rPr>
          <w:u w:val="single"/>
        </w:rPr>
        <w:t>affordable ownership housing</w:t>
      </w:r>
      <w:r w:rsidRPr="00CA47B9">
        <w:t xml:space="preserve"> is suggested:</w:t>
      </w:r>
    </w:p>
    <w:p w:rsidR="00F63FBB" w:rsidRPr="00CA47B9" w:rsidRDefault="00F63FBB" w:rsidP="00901C92">
      <w:pPr>
        <w:pStyle w:val="Bulletblueplain"/>
      </w:pPr>
      <w:r w:rsidRPr="00CA47B9">
        <w:t>1-bed properties: 15-25%;</w:t>
      </w:r>
    </w:p>
    <w:p w:rsidR="00F63FBB" w:rsidRPr="00CA47B9" w:rsidRDefault="00F63FBB" w:rsidP="00901C92">
      <w:pPr>
        <w:pStyle w:val="Bulletblueplain"/>
      </w:pPr>
      <w:r w:rsidRPr="00CA47B9">
        <w:t>2-bed properties:35-45%;</w:t>
      </w:r>
    </w:p>
    <w:p w:rsidR="00F63FBB" w:rsidRPr="00CA47B9" w:rsidRDefault="00F63FBB" w:rsidP="00901C92">
      <w:pPr>
        <w:pStyle w:val="Bulletblueplain"/>
      </w:pPr>
      <w:r w:rsidRPr="00CA47B9">
        <w:t>3-bed properties: 25-35%; and</w:t>
      </w:r>
    </w:p>
    <w:p w:rsidR="00F63FBB" w:rsidRPr="00CA47B9" w:rsidRDefault="00F63FBB" w:rsidP="00901C92">
      <w:pPr>
        <w:pStyle w:val="Bulletblueplain"/>
        <w:rPr>
          <w:bCs/>
        </w:rPr>
      </w:pPr>
      <w:r w:rsidRPr="00CA47B9">
        <w:t>4-bed properties: 5-15%.</w:t>
      </w:r>
    </w:p>
    <w:p w:rsidR="00F63FBB" w:rsidRPr="00CA47B9" w:rsidRDefault="00F63FBB" w:rsidP="00954663">
      <w:pPr>
        <w:pStyle w:val="11Bodytext"/>
        <w:tabs>
          <w:tab w:val="clear" w:pos="2212"/>
          <w:tab w:val="num" w:pos="567"/>
        </w:tabs>
        <w:ind w:left="567" w:hanging="567"/>
      </w:pPr>
      <w:r w:rsidRPr="00CA47B9">
        <w:t xml:space="preserve">In the market sector, a balance of dwellings is suggested that takes account of both the demand for homes and the changing demographic profile. The following mix of </w:t>
      </w:r>
      <w:r w:rsidRPr="00CA47B9">
        <w:rPr>
          <w:u w:val="single"/>
        </w:rPr>
        <w:t>market housing</w:t>
      </w:r>
      <w:r w:rsidRPr="00CA47B9">
        <w:t xml:space="preserve"> is suggested:</w:t>
      </w:r>
    </w:p>
    <w:p w:rsidR="00F63FBB" w:rsidRPr="00CA47B9" w:rsidRDefault="00F63FBB" w:rsidP="00901C92">
      <w:pPr>
        <w:pStyle w:val="Bulletblueplain"/>
      </w:pPr>
      <w:r w:rsidRPr="00CA47B9">
        <w:t xml:space="preserve">1-bed properties: </w:t>
      </w:r>
      <w:r w:rsidR="00CC40EA">
        <w:t>5</w:t>
      </w:r>
      <w:r w:rsidRPr="00CA47B9">
        <w:t>-1</w:t>
      </w:r>
      <w:r w:rsidR="00CC40EA">
        <w:t>5</w:t>
      </w:r>
      <w:r w:rsidRPr="00CA47B9">
        <w:t>%;</w:t>
      </w:r>
    </w:p>
    <w:p w:rsidR="00F63FBB" w:rsidRPr="00CA47B9" w:rsidRDefault="00F63FBB" w:rsidP="00901C92">
      <w:pPr>
        <w:pStyle w:val="Bulletblueplain"/>
      </w:pPr>
      <w:r w:rsidRPr="00CA47B9">
        <w:t xml:space="preserve">2-bed properties: </w:t>
      </w:r>
      <w:r w:rsidR="00CC40EA">
        <w:t>3</w:t>
      </w:r>
      <w:r w:rsidRPr="00CA47B9">
        <w:t>5-</w:t>
      </w:r>
      <w:r w:rsidR="00CC40EA">
        <w:t>4</w:t>
      </w:r>
      <w:r w:rsidRPr="00CA47B9">
        <w:t>0%;</w:t>
      </w:r>
    </w:p>
    <w:p w:rsidR="00F63FBB" w:rsidRPr="00CA47B9" w:rsidRDefault="00F63FBB" w:rsidP="00901C92">
      <w:pPr>
        <w:pStyle w:val="Bulletblueplain"/>
      </w:pPr>
      <w:r w:rsidRPr="00CA47B9">
        <w:t>3-bed properties: 3</w:t>
      </w:r>
      <w:r w:rsidR="00CC40EA">
        <w:t>0</w:t>
      </w:r>
      <w:r w:rsidRPr="00CA47B9">
        <w:t>-4</w:t>
      </w:r>
      <w:r w:rsidR="00CC40EA">
        <w:t>0</w:t>
      </w:r>
      <w:r w:rsidRPr="00CA47B9">
        <w:t>%; and</w:t>
      </w:r>
    </w:p>
    <w:p w:rsidR="00F63FBB" w:rsidRPr="00CA47B9" w:rsidRDefault="00F63FBB" w:rsidP="00901C92">
      <w:pPr>
        <w:pStyle w:val="Bulletblueplain"/>
      </w:pPr>
      <w:r w:rsidRPr="00CA47B9">
        <w:t xml:space="preserve">4-bed properties: </w:t>
      </w:r>
      <w:r w:rsidR="00CC40EA">
        <w:t>1</w:t>
      </w:r>
      <w:r w:rsidRPr="00CA47B9">
        <w:t>0-</w:t>
      </w:r>
      <w:r w:rsidR="00CC40EA">
        <w:t>2</w:t>
      </w:r>
      <w:r w:rsidRPr="00CA47B9">
        <w:t>0%</w:t>
      </w:r>
    </w:p>
    <w:p w:rsidR="00F63FBB" w:rsidRPr="00CA47B9" w:rsidRDefault="00F63FBB" w:rsidP="00954663">
      <w:pPr>
        <w:pStyle w:val="11Bodytext"/>
        <w:tabs>
          <w:tab w:val="clear" w:pos="2212"/>
          <w:tab w:val="num" w:pos="567"/>
        </w:tabs>
        <w:ind w:left="567" w:hanging="567"/>
      </w:pPr>
      <w:r w:rsidRPr="00CA47B9">
        <w:t>The figures can</w:t>
      </w:r>
      <w:r w:rsidR="00855CA6">
        <w:t>, however,</w:t>
      </w:r>
      <w:r w:rsidRPr="00CA47B9">
        <w:t xml:space="preserve"> be used as a monitoring tool to ensure that future delivery is not unbalanced when compared with the likely requirements as driven by demographic change in the area or linked to macro-economic factors and local supply.</w:t>
      </w:r>
    </w:p>
    <w:p w:rsidR="00F63FBB" w:rsidRPr="00CA47B9" w:rsidRDefault="00F63FBB" w:rsidP="00954663">
      <w:pPr>
        <w:pStyle w:val="11Bodytext"/>
        <w:tabs>
          <w:tab w:val="clear" w:pos="2212"/>
          <w:tab w:val="num" w:pos="567"/>
        </w:tabs>
        <w:ind w:left="567" w:hanging="567"/>
      </w:pPr>
      <w:r w:rsidRPr="00CA47B9">
        <w:t>The need for affordable housing of different sizes will vary by area (at a more localised level) and over time. In considering the mix of homes to be provided within specific development schemes, the information herein should be brought together with details of households currently on the Housing Register in the local area and the stock and turnover of existing properties.</w:t>
      </w:r>
    </w:p>
    <w:p w:rsidR="00F63FBB" w:rsidRPr="00CA47B9" w:rsidRDefault="00F63FBB" w:rsidP="00954663">
      <w:pPr>
        <w:pStyle w:val="11Bodytext"/>
        <w:tabs>
          <w:tab w:val="clear" w:pos="2212"/>
          <w:tab w:val="num" w:pos="567"/>
        </w:tabs>
        <w:ind w:left="567" w:hanging="567"/>
      </w:pPr>
      <w:r w:rsidRPr="00CA47B9">
        <w:t>The mix identified above should inform strategic planning and housing policies. In applying recommended housing mix to individual development sites, regard should be had to the nature of the development site and character of the area, and up-to-date evidence of need as well as the existing mix and turnover of properties at the local level.</w:t>
      </w:r>
    </w:p>
    <w:p w:rsidR="00F63FBB" w:rsidRPr="00CA47B9" w:rsidRDefault="00F63FBB" w:rsidP="006765B7">
      <w:pPr>
        <w:pStyle w:val="SubheadBlue12"/>
        <w:ind w:left="567" w:firstLine="0"/>
      </w:pPr>
      <w:r w:rsidRPr="00CA47B9">
        <w:t xml:space="preserve">Older Persons Housing Need </w:t>
      </w:r>
    </w:p>
    <w:p w:rsidR="00F63FBB" w:rsidRPr="00CA47B9" w:rsidRDefault="00F63FBB" w:rsidP="00954663">
      <w:pPr>
        <w:pStyle w:val="11Bodytext"/>
        <w:tabs>
          <w:tab w:val="clear" w:pos="2212"/>
          <w:tab w:val="num" w:pos="567"/>
        </w:tabs>
        <w:ind w:left="567" w:hanging="567"/>
      </w:pPr>
      <w:r w:rsidRPr="00CA47B9">
        <w:t>The HEDNA indicates that the number of residents aged over 75 across</w:t>
      </w:r>
      <w:r w:rsidR="00DC360F">
        <w:t xml:space="preserve"> the</w:t>
      </w:r>
      <w:r w:rsidRPr="00CA47B9">
        <w:t xml:space="preserve"> district is projected to increase by 55% over the period to 2036. As a result of a growing </w:t>
      </w:r>
      <w:r w:rsidRPr="00CA47B9">
        <w:lastRenderedPageBreak/>
        <w:t xml:space="preserve">older population and increasing life expectancy, the official projections would result in an increase in people with mobility problems of around </w:t>
      </w:r>
      <w:r w:rsidR="00862E2B">
        <w:t>51.5</w:t>
      </w:r>
      <w:r w:rsidRPr="00CA47B9">
        <w:t xml:space="preserve">% by 2036 and an increase of </w:t>
      </w:r>
      <w:r w:rsidR="006863E5">
        <w:t>58.2</w:t>
      </w:r>
      <w:r w:rsidRPr="00CA47B9">
        <w:t xml:space="preserve">% in persons with dementia. </w:t>
      </w:r>
    </w:p>
    <w:p w:rsidR="00F63FBB" w:rsidRPr="00CA47B9" w:rsidRDefault="00F63FBB" w:rsidP="00954663">
      <w:pPr>
        <w:pStyle w:val="11Bodytext"/>
        <w:tabs>
          <w:tab w:val="clear" w:pos="2212"/>
          <w:tab w:val="num" w:pos="567"/>
        </w:tabs>
        <w:ind w:left="567" w:hanging="567"/>
      </w:pPr>
      <w:r w:rsidRPr="00CA47B9">
        <w:t xml:space="preserve">Some of these households will require adaptations to properties to meet their changing needs whilst others may require more specialist accommodation or support. There is clear evidence of </w:t>
      </w:r>
      <w:r w:rsidR="000E3721">
        <w:t xml:space="preserve">the </w:t>
      </w:r>
      <w:r w:rsidRPr="00CA47B9">
        <w:t xml:space="preserve">need for properties which are capable of accommodating people’s changing needs. </w:t>
      </w:r>
    </w:p>
    <w:p w:rsidR="007C28FD" w:rsidRPr="000301F5" w:rsidRDefault="00F63FBB" w:rsidP="00954663">
      <w:pPr>
        <w:pStyle w:val="11Bodytext"/>
        <w:tabs>
          <w:tab w:val="clear" w:pos="2212"/>
          <w:tab w:val="num" w:pos="567"/>
        </w:tabs>
        <w:ind w:left="567" w:hanging="567"/>
      </w:pPr>
      <w:r w:rsidRPr="007C28FD">
        <w:t xml:space="preserve">Based principally on the expected growth in </w:t>
      </w:r>
      <w:r w:rsidR="000E3721">
        <w:t xml:space="preserve">the </w:t>
      </w:r>
      <w:r w:rsidRPr="007C28FD">
        <w:t>population of older persons, the report estimates a</w:t>
      </w:r>
      <w:r w:rsidR="007C28FD" w:rsidRPr="00CA47B9">
        <w:t xml:space="preserve"> deficit for housing with support (rented and leasehold) is</w:t>
      </w:r>
      <w:r w:rsidR="007C28FD">
        <w:t xml:space="preserve"> 376 dwellings increasing to</w:t>
      </w:r>
      <w:r w:rsidR="007C28FD" w:rsidRPr="00CA47B9">
        <w:t xml:space="preserve"> 1,</w:t>
      </w:r>
      <w:r w:rsidR="007C28FD">
        <w:t>319 units by 2036, the majority of which would be leasehold</w:t>
      </w:r>
      <w:r w:rsidR="007C28FD" w:rsidRPr="00CA47B9">
        <w:t>. There is a current deficit of</w:t>
      </w:r>
      <w:r w:rsidR="007C28FD">
        <w:t xml:space="preserve"> 485 increasing to</w:t>
      </w:r>
      <w:r w:rsidR="007C28FD" w:rsidRPr="00CA47B9">
        <w:t xml:space="preserve"> </w:t>
      </w:r>
      <w:r w:rsidR="007C28FD">
        <w:t>825</w:t>
      </w:r>
      <w:r w:rsidR="007C28FD" w:rsidRPr="00CA47B9">
        <w:t xml:space="preserve"> </w:t>
      </w:r>
      <w:r w:rsidR="007C28FD">
        <w:t>units</w:t>
      </w:r>
      <w:r w:rsidR="007C28FD" w:rsidRPr="00CA47B9">
        <w:t xml:space="preserve"> for housing with care with a higher volume required for leasehold. There is also a</w:t>
      </w:r>
      <w:r w:rsidR="00B04502">
        <w:t>n estimate</w:t>
      </w:r>
      <w:r w:rsidR="00EC6399">
        <w:t>d</w:t>
      </w:r>
      <w:r w:rsidR="007C28FD">
        <w:t xml:space="preserve"> </w:t>
      </w:r>
      <w:r w:rsidR="00B04502">
        <w:t xml:space="preserve">small </w:t>
      </w:r>
      <w:r w:rsidR="007C28FD">
        <w:t xml:space="preserve">current </w:t>
      </w:r>
      <w:r w:rsidR="007C28FD" w:rsidRPr="00CA47B9">
        <w:t xml:space="preserve">shortfall of </w:t>
      </w:r>
      <w:r w:rsidR="007C28FD">
        <w:t>9</w:t>
      </w:r>
      <w:r w:rsidR="007C28FD" w:rsidRPr="00CA47B9">
        <w:t xml:space="preserve"> </w:t>
      </w:r>
      <w:r w:rsidR="007C28FD">
        <w:t>C</w:t>
      </w:r>
      <w:r w:rsidR="007C28FD" w:rsidRPr="00CA47B9">
        <w:t>are bedspaces</w:t>
      </w:r>
      <w:r w:rsidR="007C28FD">
        <w:t>.</w:t>
      </w:r>
      <w:r w:rsidR="00855CA6">
        <w:t xml:space="preserve"> </w:t>
      </w:r>
      <w:r w:rsidR="007C28FD">
        <w:t>However, this is expected to increase significantly to 839 over the period to 2036.</w:t>
      </w:r>
    </w:p>
    <w:p w:rsidR="008F5270" w:rsidRDefault="008F5270" w:rsidP="00954663">
      <w:pPr>
        <w:pStyle w:val="11Bodytext"/>
        <w:tabs>
          <w:tab w:val="clear" w:pos="2212"/>
          <w:tab w:val="num" w:pos="567"/>
        </w:tabs>
        <w:ind w:left="567" w:hanging="567"/>
      </w:pPr>
      <w:r>
        <w:t>Based on the population growth of those aged 75 and over in the Plan Area and the District (see table 13 and 14) approximately 77% of the additional demand for specialist accommodation will be in the Plan Area. Assuming the supply is distributed on the same basis this would provide a Plan Area need by 2036 for:</w:t>
      </w:r>
    </w:p>
    <w:p w:rsidR="008F5270" w:rsidRDefault="008F5270" w:rsidP="008F5270">
      <w:pPr>
        <w:pStyle w:val="Bulletblueplain"/>
      </w:pPr>
      <w:r>
        <w:t>1,016 Units of Housing With Support of which 316 would be rented and 699 leasehold;</w:t>
      </w:r>
    </w:p>
    <w:p w:rsidR="008F5270" w:rsidRDefault="008F5270" w:rsidP="008F5270">
      <w:pPr>
        <w:pStyle w:val="Bulletblueplain"/>
      </w:pPr>
      <w:r>
        <w:t>635 Units of Housing With Care of which 259 would be rented and 376 leasehold; and</w:t>
      </w:r>
    </w:p>
    <w:p w:rsidR="008F5270" w:rsidRDefault="008F5270" w:rsidP="008F5270">
      <w:pPr>
        <w:pStyle w:val="Bulletblueplain"/>
      </w:pPr>
      <w:r>
        <w:t xml:space="preserve">646 care bedspaces. </w:t>
      </w:r>
    </w:p>
    <w:p w:rsidR="00DB0CB2" w:rsidRPr="00CA47B9" w:rsidRDefault="00CD7A48" w:rsidP="00954663">
      <w:pPr>
        <w:pStyle w:val="11Bodytext"/>
        <w:tabs>
          <w:tab w:val="clear" w:pos="2212"/>
          <w:tab w:val="num" w:pos="567"/>
        </w:tabs>
        <w:ind w:left="567" w:hanging="567"/>
      </w:pPr>
      <w:r>
        <w:rPr>
          <w:lang w:eastAsia="en-GB"/>
        </w:rPr>
        <w:t>Those with a mobility problem are expected to increase by around 51.5%.</w:t>
      </w:r>
      <w:r w:rsidR="00855CA6">
        <w:rPr>
          <w:lang w:eastAsia="en-GB"/>
        </w:rPr>
        <w:t xml:space="preserve"> </w:t>
      </w:r>
      <w:r>
        <w:rPr>
          <w:lang w:eastAsia="en-GB"/>
        </w:rPr>
        <w:t xml:space="preserve">This </w:t>
      </w:r>
      <w:r>
        <w:t>along</w:t>
      </w:r>
      <w:r>
        <w:rPr>
          <w:lang w:eastAsia="en-GB"/>
        </w:rPr>
        <w:t xml:space="preserve"> with the growth in other conditions </w:t>
      </w:r>
      <w:r>
        <w:t xml:space="preserve">would justify that the Council should seek as much </w:t>
      </w:r>
      <w:proofErr w:type="gramStart"/>
      <w:r>
        <w:t>M4(</w:t>
      </w:r>
      <w:proofErr w:type="gramEnd"/>
      <w:r>
        <w:t>2) compliant as is viably possible.</w:t>
      </w:r>
      <w:r w:rsidR="00855CA6">
        <w:t xml:space="preserve"> </w:t>
      </w:r>
    </w:p>
    <w:p w:rsidR="00EC6399" w:rsidRDefault="00DB0CB2" w:rsidP="00954663">
      <w:pPr>
        <w:pStyle w:val="11Bodytext"/>
        <w:tabs>
          <w:tab w:val="clear" w:pos="2212"/>
          <w:tab w:val="num" w:pos="567"/>
        </w:tabs>
        <w:ind w:left="567" w:hanging="567"/>
      </w:pPr>
      <w:r>
        <w:t>T</w:t>
      </w:r>
      <w:r w:rsidRPr="00CA47B9">
        <w:t xml:space="preserve">he report estimates that there is an unmet need for wheelchair adapted dwellings equivalent to 3.5 per 1,000 households – in the Chichester District, as of 2019, this would represent a need for about </w:t>
      </w:r>
      <w:r>
        <w:t>190</w:t>
      </w:r>
      <w:r w:rsidRPr="00CA47B9">
        <w:t xml:space="preserve"> wheelchair adapted dwellings. Moving forward, the report estimates a wheelchair accessibility need from around 3% of households. If 3% is applied to the household growth in the projections (2019-</w:t>
      </w:r>
      <w:r>
        <w:t>36</w:t>
      </w:r>
      <w:r w:rsidRPr="00CA47B9">
        <w:t xml:space="preserve">) then there </w:t>
      </w:r>
      <w:r w:rsidRPr="00CA47B9">
        <w:lastRenderedPageBreak/>
        <w:t xml:space="preserve">would be an additional need for around </w:t>
      </w:r>
      <w:r>
        <w:t>373</w:t>
      </w:r>
      <w:r w:rsidRPr="00CA47B9">
        <w:t xml:space="preserve"> adapted homes</w:t>
      </w:r>
      <w:r>
        <w:t xml:space="preserve"> or 22 per annum</w:t>
      </w:r>
      <w:r w:rsidR="00FA5088">
        <w:t xml:space="preserve"> and 287 wheelchair adapted homes in future or 17 per annum for the local plan area.</w:t>
      </w:r>
    </w:p>
    <w:p w:rsidR="00EC6399" w:rsidRPr="00303311" w:rsidRDefault="00EC6399" w:rsidP="00954663">
      <w:pPr>
        <w:pStyle w:val="11Bodytext"/>
        <w:tabs>
          <w:tab w:val="clear" w:pos="2212"/>
          <w:tab w:val="num" w:pos="567"/>
        </w:tabs>
        <w:ind w:left="567" w:hanging="567"/>
      </w:pPr>
      <w:r w:rsidRPr="00303311">
        <w:t xml:space="preserve">Although outside the requirements of the PPG more detailed building regulations can split the </w:t>
      </w:r>
      <w:proofErr w:type="gramStart"/>
      <w:r w:rsidRPr="00303311">
        <w:t>M4(</w:t>
      </w:r>
      <w:proofErr w:type="gramEnd"/>
      <w:r w:rsidRPr="00303311">
        <w:t>3) category in</w:t>
      </w:r>
      <w:r w:rsidR="00862E2B">
        <w:t>to</w:t>
      </w:r>
      <w:r w:rsidRPr="00303311">
        <w:t xml:space="preserve"> M4(3)a and M4(3)b. According to MHLG information on “The Current status of Part M of the Building Regulations”</w:t>
      </w:r>
      <w:r w:rsidRPr="00303311">
        <w:rPr>
          <w:rStyle w:val="FootnoteReference"/>
        </w:rPr>
        <w:footnoteReference w:id="18"/>
      </w:r>
      <w:r w:rsidRPr="00303311">
        <w:t xml:space="preserve"> </w:t>
      </w:r>
      <w:proofErr w:type="gramStart"/>
      <w:r w:rsidRPr="00303311">
        <w:t>M4(</w:t>
      </w:r>
      <w:proofErr w:type="gramEnd"/>
      <w:r w:rsidRPr="00303311">
        <w:t xml:space="preserve">3)a is designed to require only simple adaptation and M4(3)b is ready for wheelchair use on completion. </w:t>
      </w:r>
    </w:p>
    <w:p w:rsidR="00EC6399" w:rsidRPr="00C85FD6" w:rsidRDefault="00EC6399" w:rsidP="00954663">
      <w:pPr>
        <w:pStyle w:val="11Bodytext"/>
        <w:tabs>
          <w:tab w:val="clear" w:pos="2212"/>
          <w:tab w:val="num" w:pos="567"/>
        </w:tabs>
        <w:ind w:left="567" w:hanging="567"/>
      </w:pPr>
      <w:r>
        <w:t>However, t</w:t>
      </w:r>
      <w:r w:rsidRPr="00C85FD6">
        <w:t xml:space="preserve">here </w:t>
      </w:r>
      <w:r>
        <w:t>are</w:t>
      </w:r>
      <w:r w:rsidRPr="00C85FD6">
        <w:t xml:space="preserve"> restriction</w:t>
      </w:r>
      <w:r w:rsidR="00855CA6">
        <w:t>s</w:t>
      </w:r>
      <w:r w:rsidRPr="00C85FD6">
        <w:t xml:space="preserve"> on the tenure that wheelchair accessible homes standards are applied i.e</w:t>
      </w:r>
      <w:r>
        <w:t>.</w:t>
      </w:r>
      <w:r w:rsidRPr="00C85FD6">
        <w:t xml:space="preserve"> only to those dwellings where the local authority is responsible for allocating or nominating a person to live in that dwelling.</w:t>
      </w:r>
      <w:r w:rsidR="00855CA6">
        <w:t xml:space="preserve"> </w:t>
      </w:r>
      <w:r w:rsidRPr="00C85FD6">
        <w:t xml:space="preserve">One solution could be having separate policies for </w:t>
      </w:r>
      <w:r>
        <w:t>5</w:t>
      </w:r>
      <w:r w:rsidRPr="00C85FD6">
        <w:t xml:space="preserve">% of market properties as </w:t>
      </w:r>
      <w:proofErr w:type="gramStart"/>
      <w:r w:rsidRPr="00C85FD6">
        <w:t>M4(</w:t>
      </w:r>
      <w:proofErr w:type="gramEnd"/>
      <w:r w:rsidRPr="00C85FD6">
        <w:t xml:space="preserve">3)a standard and </w:t>
      </w:r>
      <w:r>
        <w:t>5-10</w:t>
      </w:r>
      <w:r w:rsidRPr="00C85FD6">
        <w:t>% affordable dwellings at M4(3)b standard.</w:t>
      </w:r>
    </w:p>
    <w:p w:rsidR="00DB0CB2" w:rsidRDefault="00DB0CB2" w:rsidP="00954663">
      <w:pPr>
        <w:pStyle w:val="11Bodytext"/>
        <w:tabs>
          <w:tab w:val="clear" w:pos="2212"/>
          <w:tab w:val="num" w:pos="567"/>
        </w:tabs>
        <w:ind w:left="567" w:hanging="567"/>
      </w:pPr>
      <w:r>
        <w:t>However</w:t>
      </w:r>
      <w:r w:rsidR="00855CA6">
        <w:t>,</w:t>
      </w:r>
      <w:r>
        <w:t xml:space="preserve"> we </w:t>
      </w:r>
      <w:r w:rsidR="00EC6399">
        <w:t xml:space="preserve">also </w:t>
      </w:r>
      <w:r>
        <w:t>recognise that this won’t be possible on all sites due to topography and other constraints such as site configuration.</w:t>
      </w:r>
      <w:r w:rsidR="00855CA6">
        <w:t xml:space="preserve"> </w:t>
      </w:r>
      <w:r w:rsidR="00EC6399">
        <w:t xml:space="preserve"> </w:t>
      </w:r>
    </w:p>
    <w:p w:rsidR="00F63FBB" w:rsidRPr="00CA47B9" w:rsidRDefault="00F63FBB" w:rsidP="006765B7">
      <w:pPr>
        <w:pStyle w:val="SubheadBlue12"/>
        <w:ind w:left="567" w:firstLine="0"/>
      </w:pPr>
      <w:r w:rsidRPr="00CA47B9">
        <w:t>Employment Land Requirements</w:t>
      </w:r>
    </w:p>
    <w:p w:rsidR="00886165" w:rsidRPr="00CA47B9" w:rsidRDefault="00F63FBB" w:rsidP="00954663">
      <w:pPr>
        <w:pStyle w:val="11Bodytext"/>
        <w:tabs>
          <w:tab w:val="clear" w:pos="2212"/>
          <w:tab w:val="num" w:pos="567"/>
        </w:tabs>
        <w:ind w:left="567" w:hanging="567"/>
      </w:pPr>
      <w:r w:rsidRPr="00CA47B9">
        <w:t>GL Hearn ha</w:t>
      </w:r>
      <w:r w:rsidR="004457E8">
        <w:t>s</w:t>
      </w:r>
      <w:r w:rsidRPr="00CA47B9">
        <w:t xml:space="preserve"> purchased forecasts for Chichester from Oxford Economics to inform this assessment. The baseline forecasts show a growth of employment of </w:t>
      </w:r>
      <w:r w:rsidR="00886165">
        <w:t>3,700</w:t>
      </w:r>
      <w:r w:rsidRPr="00CA47B9">
        <w:t xml:space="preserve"> jobs </w:t>
      </w:r>
      <w:r w:rsidR="00A205D9">
        <w:t xml:space="preserve">across the District </w:t>
      </w:r>
      <w:r w:rsidRPr="00CA47B9">
        <w:t>over the period 201</w:t>
      </w:r>
      <w:r w:rsidR="00886165">
        <w:t>9</w:t>
      </w:r>
      <w:r w:rsidRPr="00CA47B9">
        <w:t xml:space="preserve">-36. </w:t>
      </w:r>
      <w:r w:rsidRPr="00A205D9">
        <w:t xml:space="preserve">The “Growth Scenario” </w:t>
      </w:r>
      <w:r w:rsidR="00A205D9" w:rsidRPr="00A205D9">
        <w:t xml:space="preserve">sets </w:t>
      </w:r>
      <w:r w:rsidRPr="00A205D9">
        <w:t>out a growth</w:t>
      </w:r>
      <w:r w:rsidR="00F918E8" w:rsidRPr="00A205D9">
        <w:t xml:space="preserve"> of</w:t>
      </w:r>
      <w:r w:rsidRPr="00A205D9">
        <w:t xml:space="preserve"> </w:t>
      </w:r>
      <w:r w:rsidR="00886165">
        <w:t>9,500</w:t>
      </w:r>
      <w:r w:rsidRPr="00CA47B9">
        <w:t xml:space="preserve"> </w:t>
      </w:r>
      <w:r w:rsidR="00A205D9">
        <w:t xml:space="preserve">jobs </w:t>
      </w:r>
      <w:r w:rsidRPr="00CA47B9">
        <w:t>over the period 201</w:t>
      </w:r>
      <w:r w:rsidR="004C5458">
        <w:t>9</w:t>
      </w:r>
      <w:r w:rsidRPr="00CA47B9">
        <w:t>-36</w:t>
      </w:r>
      <w:r w:rsidR="00F918E8">
        <w:t xml:space="preserve"> for the whole Distric</w:t>
      </w:r>
      <w:r w:rsidR="00A205D9">
        <w:t xml:space="preserve">t, </w:t>
      </w:r>
      <w:r w:rsidR="00A205D9" w:rsidRPr="00A205D9">
        <w:t>reflecting the progression of some specific sectors locally.</w:t>
      </w:r>
      <w:r w:rsidR="00A205D9">
        <w:t xml:space="preserve"> Labour supply and completions trends are also considered.</w:t>
      </w:r>
    </w:p>
    <w:p w:rsidR="0073491D" w:rsidRPr="0073491D" w:rsidRDefault="00443CD4" w:rsidP="00954663">
      <w:pPr>
        <w:pStyle w:val="11Bodytext"/>
        <w:tabs>
          <w:tab w:val="clear" w:pos="2212"/>
          <w:tab w:val="num" w:pos="567"/>
        </w:tabs>
        <w:ind w:left="567" w:hanging="567"/>
      </w:pPr>
      <w:r w:rsidRPr="00C0031A">
        <w:t>Overall the labour demand growth scenario and the</w:t>
      </w:r>
      <w:r w:rsidR="00B45C4E">
        <w:t xml:space="preserve"> net</w:t>
      </w:r>
      <w:r w:rsidRPr="00C0031A">
        <w:t xml:space="preserve"> completions trend scenarios are considered the most </w:t>
      </w:r>
      <w:r>
        <w:t>relevant</w:t>
      </w:r>
      <w:r w:rsidRPr="00C0031A">
        <w:t>.</w:t>
      </w:r>
      <w:r w:rsidR="00855CA6">
        <w:t xml:space="preserve"> </w:t>
      </w:r>
    </w:p>
    <w:p w:rsidR="00A6174E" w:rsidRPr="002B049E" w:rsidRDefault="00A6174E" w:rsidP="00954663">
      <w:pPr>
        <w:pStyle w:val="11Bodytext"/>
        <w:tabs>
          <w:tab w:val="clear" w:pos="2212"/>
          <w:tab w:val="num" w:pos="567"/>
        </w:tabs>
        <w:ind w:left="567" w:hanging="567"/>
      </w:pPr>
      <w:r w:rsidRPr="00C0031A">
        <w:t xml:space="preserve">Considering all factors we consider that </w:t>
      </w:r>
      <w:r>
        <w:t xml:space="preserve">the need for employment space in the Plan Area is </w:t>
      </w:r>
      <w:r w:rsidR="00625519">
        <w:t>129,300</w:t>
      </w:r>
      <w:r>
        <w:t xml:space="preserve"> sqm or </w:t>
      </w:r>
      <w:r w:rsidR="00625519">
        <w:t>25.6</w:t>
      </w:r>
      <w:r>
        <w:t xml:space="preserve"> ha. </w:t>
      </w:r>
    </w:p>
    <w:p w:rsidR="00A6174E" w:rsidRPr="00C62C03" w:rsidRDefault="00A6174E" w:rsidP="009719FA">
      <w:pPr>
        <w:pStyle w:val="Tableheading"/>
        <w:tabs>
          <w:tab w:val="clear" w:pos="794"/>
          <w:tab w:val="clear" w:pos="1843"/>
          <w:tab w:val="left" w:pos="0"/>
          <w:tab w:val="left" w:pos="284"/>
        </w:tabs>
        <w:spacing w:line="240" w:lineRule="auto"/>
        <w:ind w:left="0" w:firstLine="0"/>
      </w:pPr>
      <w:r>
        <w:lastRenderedPageBreak/>
        <w:t>Employment</w:t>
      </w:r>
      <w:r w:rsidRPr="00CA47B9">
        <w:t xml:space="preserve"> requirements 201</w:t>
      </w:r>
      <w:r>
        <w:t>9</w:t>
      </w:r>
      <w:r w:rsidRPr="00CA47B9">
        <w:t xml:space="preserve">-2036 </w:t>
      </w:r>
      <w:r w:rsidRPr="0013503C">
        <w:rPr>
          <w:color w:val="auto"/>
        </w:rPr>
        <w:t>– CLP Area</w:t>
      </w:r>
    </w:p>
    <w:tbl>
      <w:tblPr>
        <w:tblStyle w:val="GLHearntable1"/>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68: Employment requirements 2019-2036 – CLP Area"/>
      </w:tblPr>
      <w:tblGrid>
        <w:gridCol w:w="1843"/>
        <w:gridCol w:w="4470"/>
        <w:gridCol w:w="3325"/>
      </w:tblGrid>
      <w:tr w:rsidR="00A6174E" w:rsidRPr="00427BB0" w:rsidTr="009719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56" w:type="pct"/>
          </w:tcPr>
          <w:p w:rsidR="00A6174E" w:rsidRPr="00427BB0" w:rsidRDefault="00A6174E" w:rsidP="00427BB0">
            <w:pPr>
              <w:pStyle w:val="TableBodytext"/>
              <w:keepNext/>
              <w:spacing w:before="0" w:after="0" w:line="240" w:lineRule="auto"/>
              <w:rPr>
                <w:rFonts w:asciiTheme="minorHAnsi" w:hAnsiTheme="minorHAnsi" w:cstheme="minorHAnsi"/>
                <w:sz w:val="24"/>
                <w:szCs w:val="24"/>
              </w:rPr>
            </w:pPr>
            <w:r w:rsidRPr="00427BB0">
              <w:rPr>
                <w:rFonts w:asciiTheme="minorHAnsi" w:hAnsiTheme="minorHAnsi" w:cstheme="minorHAnsi"/>
                <w:sz w:val="24"/>
                <w:szCs w:val="24"/>
              </w:rPr>
              <w:t>Use Class</w:t>
            </w:r>
          </w:p>
        </w:tc>
        <w:tc>
          <w:tcPr>
            <w:tcW w:w="2319" w:type="pct"/>
          </w:tcPr>
          <w:p w:rsidR="00A6174E" w:rsidRPr="00427BB0" w:rsidRDefault="00A6174E" w:rsidP="00427BB0">
            <w:pPr>
              <w:pStyle w:val="TableBodytext"/>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27BB0">
              <w:rPr>
                <w:rFonts w:asciiTheme="minorHAnsi" w:hAnsiTheme="minorHAnsi" w:cstheme="minorHAnsi"/>
                <w:sz w:val="24"/>
                <w:szCs w:val="24"/>
              </w:rPr>
              <w:t>Floorspace (sqm)</w:t>
            </w:r>
          </w:p>
        </w:tc>
        <w:tc>
          <w:tcPr>
            <w:tcW w:w="1725" w:type="pct"/>
          </w:tcPr>
          <w:p w:rsidR="00A6174E" w:rsidRPr="00427BB0" w:rsidRDefault="00A6174E" w:rsidP="00427BB0">
            <w:pPr>
              <w:pStyle w:val="TableBodytext"/>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27BB0">
              <w:rPr>
                <w:rFonts w:asciiTheme="minorHAnsi" w:hAnsiTheme="minorHAnsi" w:cstheme="minorHAnsi"/>
                <w:sz w:val="24"/>
                <w:szCs w:val="24"/>
              </w:rPr>
              <w:t>Land (ha)</w:t>
            </w:r>
          </w:p>
        </w:tc>
      </w:tr>
      <w:tr w:rsidR="00625519" w:rsidRPr="00427BB0" w:rsidTr="009719FA">
        <w:tc>
          <w:tcPr>
            <w:cnfStyle w:val="001000000000" w:firstRow="0" w:lastRow="0" w:firstColumn="1" w:lastColumn="0" w:oddVBand="0" w:evenVBand="0" w:oddHBand="0" w:evenHBand="0" w:firstRowFirstColumn="0" w:firstRowLastColumn="0" w:lastRowFirstColumn="0" w:lastRowLastColumn="0"/>
            <w:tcW w:w="956" w:type="pct"/>
            <w:shd w:val="clear" w:color="auto" w:fill="FFFFFF" w:themeFill="background1"/>
            <w:vAlign w:val="center"/>
          </w:tcPr>
          <w:p w:rsidR="00625519" w:rsidRPr="00427BB0" w:rsidRDefault="00625519" w:rsidP="00625519">
            <w:pPr>
              <w:pStyle w:val="TableBodytext"/>
              <w:keepNext/>
              <w:spacing w:before="0" w:after="0" w:line="240" w:lineRule="auto"/>
              <w:rPr>
                <w:rFonts w:asciiTheme="minorHAnsi" w:hAnsiTheme="minorHAnsi" w:cstheme="minorHAnsi"/>
                <w:b w:val="0"/>
                <w:sz w:val="24"/>
                <w:szCs w:val="24"/>
              </w:rPr>
            </w:pPr>
            <w:r w:rsidRPr="00427BB0">
              <w:rPr>
                <w:b w:val="0"/>
                <w:bCs/>
                <w:color w:val="000000"/>
                <w:sz w:val="24"/>
                <w:szCs w:val="24"/>
              </w:rPr>
              <w:t>B1a/b</w:t>
            </w:r>
          </w:p>
        </w:tc>
        <w:tc>
          <w:tcPr>
            <w:tcW w:w="2319" w:type="pct"/>
            <w:shd w:val="clear" w:color="auto" w:fill="FFFFFF" w:themeFill="background1"/>
            <w:vAlign w:val="center"/>
          </w:tcPr>
          <w:p w:rsidR="00625519" w:rsidRPr="00625519" w:rsidRDefault="00625519" w:rsidP="0062551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4"/>
                <w:szCs w:val="24"/>
              </w:rPr>
            </w:pPr>
            <w:r w:rsidRPr="00625519">
              <w:rPr>
                <w:rFonts w:asciiTheme="minorHAnsi" w:hAnsiTheme="minorHAnsi" w:cstheme="minorHAnsi"/>
                <w:sz w:val="24"/>
                <w:szCs w:val="24"/>
              </w:rPr>
              <w:t>40,400</w:t>
            </w:r>
          </w:p>
        </w:tc>
        <w:tc>
          <w:tcPr>
            <w:tcW w:w="1725" w:type="pct"/>
            <w:shd w:val="clear" w:color="auto" w:fill="FFFFFF" w:themeFill="background1"/>
            <w:vAlign w:val="center"/>
          </w:tcPr>
          <w:p w:rsidR="00625519" w:rsidRPr="00625519" w:rsidRDefault="00625519" w:rsidP="0062551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4"/>
                <w:szCs w:val="24"/>
              </w:rPr>
            </w:pPr>
            <w:r w:rsidRPr="00625519">
              <w:rPr>
                <w:rFonts w:asciiTheme="minorHAnsi" w:hAnsiTheme="minorHAnsi" w:cstheme="minorHAnsi"/>
                <w:sz w:val="24"/>
                <w:szCs w:val="24"/>
              </w:rPr>
              <w:t>5.4</w:t>
            </w:r>
          </w:p>
        </w:tc>
      </w:tr>
      <w:tr w:rsidR="00625519" w:rsidRPr="00427BB0" w:rsidTr="00971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 w:type="pct"/>
            <w:shd w:val="clear" w:color="auto" w:fill="FFFFFF" w:themeFill="background1"/>
            <w:vAlign w:val="center"/>
          </w:tcPr>
          <w:p w:rsidR="00625519" w:rsidRPr="00427BB0" w:rsidRDefault="00625519" w:rsidP="00625519">
            <w:pPr>
              <w:pStyle w:val="TableBodytext"/>
              <w:keepNext/>
              <w:spacing w:before="0" w:after="0" w:line="240" w:lineRule="auto"/>
              <w:rPr>
                <w:rFonts w:asciiTheme="minorHAnsi" w:hAnsiTheme="minorHAnsi" w:cstheme="minorHAnsi"/>
                <w:b w:val="0"/>
                <w:sz w:val="24"/>
                <w:szCs w:val="24"/>
              </w:rPr>
            </w:pPr>
            <w:r w:rsidRPr="00427BB0">
              <w:rPr>
                <w:b w:val="0"/>
                <w:bCs/>
                <w:color w:val="000000"/>
                <w:sz w:val="24"/>
                <w:szCs w:val="24"/>
              </w:rPr>
              <w:t>B1c/B2</w:t>
            </w:r>
          </w:p>
        </w:tc>
        <w:tc>
          <w:tcPr>
            <w:tcW w:w="2319" w:type="pct"/>
            <w:shd w:val="clear" w:color="auto" w:fill="FFFFFF" w:themeFill="background1"/>
          </w:tcPr>
          <w:p w:rsidR="00625519" w:rsidRPr="00625519" w:rsidRDefault="00625519" w:rsidP="00625519">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sz w:val="24"/>
                <w:szCs w:val="24"/>
              </w:rPr>
            </w:pPr>
            <w:r w:rsidRPr="00625519">
              <w:rPr>
                <w:rFonts w:asciiTheme="minorHAnsi" w:hAnsiTheme="minorHAnsi" w:cstheme="minorHAnsi"/>
                <w:sz w:val="24"/>
                <w:szCs w:val="24"/>
              </w:rPr>
              <w:t xml:space="preserve"> 36,200 </w:t>
            </w:r>
          </w:p>
        </w:tc>
        <w:tc>
          <w:tcPr>
            <w:tcW w:w="1725" w:type="pct"/>
            <w:shd w:val="clear" w:color="auto" w:fill="FFFFFF" w:themeFill="background1"/>
            <w:vAlign w:val="center"/>
          </w:tcPr>
          <w:p w:rsidR="00625519" w:rsidRPr="00625519" w:rsidRDefault="00625519" w:rsidP="00625519">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sz w:val="24"/>
                <w:szCs w:val="24"/>
              </w:rPr>
            </w:pPr>
            <w:r w:rsidRPr="00625519">
              <w:rPr>
                <w:rFonts w:asciiTheme="minorHAnsi" w:hAnsiTheme="minorHAnsi" w:cstheme="minorHAnsi"/>
                <w:color w:val="000000"/>
                <w:sz w:val="24"/>
                <w:szCs w:val="24"/>
              </w:rPr>
              <w:t>9.1</w:t>
            </w:r>
          </w:p>
        </w:tc>
      </w:tr>
      <w:tr w:rsidR="00625519" w:rsidRPr="00427BB0" w:rsidTr="009719FA">
        <w:tc>
          <w:tcPr>
            <w:cnfStyle w:val="001000000000" w:firstRow="0" w:lastRow="0" w:firstColumn="1" w:lastColumn="0" w:oddVBand="0" w:evenVBand="0" w:oddHBand="0" w:evenHBand="0" w:firstRowFirstColumn="0" w:firstRowLastColumn="0" w:lastRowFirstColumn="0" w:lastRowLastColumn="0"/>
            <w:tcW w:w="956" w:type="pct"/>
            <w:shd w:val="clear" w:color="auto" w:fill="FFFFFF" w:themeFill="background1"/>
            <w:vAlign w:val="center"/>
          </w:tcPr>
          <w:p w:rsidR="00625519" w:rsidRPr="00427BB0" w:rsidRDefault="00625519" w:rsidP="00625519">
            <w:pPr>
              <w:pStyle w:val="TableBodytext"/>
              <w:keepNext/>
              <w:spacing w:before="0" w:after="0" w:line="240" w:lineRule="auto"/>
              <w:rPr>
                <w:rFonts w:asciiTheme="minorHAnsi" w:hAnsiTheme="minorHAnsi" w:cstheme="minorHAnsi"/>
                <w:b w:val="0"/>
                <w:sz w:val="24"/>
                <w:szCs w:val="24"/>
              </w:rPr>
            </w:pPr>
            <w:r w:rsidRPr="00427BB0">
              <w:rPr>
                <w:b w:val="0"/>
                <w:bCs/>
                <w:color w:val="000000"/>
                <w:sz w:val="24"/>
                <w:szCs w:val="24"/>
              </w:rPr>
              <w:t>B8</w:t>
            </w:r>
          </w:p>
        </w:tc>
        <w:tc>
          <w:tcPr>
            <w:tcW w:w="2319" w:type="pct"/>
            <w:shd w:val="clear" w:color="auto" w:fill="FFFFFF" w:themeFill="background1"/>
          </w:tcPr>
          <w:p w:rsidR="00625519" w:rsidRPr="00625519" w:rsidRDefault="00625519" w:rsidP="0062551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4"/>
                <w:szCs w:val="24"/>
              </w:rPr>
            </w:pPr>
            <w:r w:rsidRPr="00625519">
              <w:rPr>
                <w:rFonts w:asciiTheme="minorHAnsi" w:hAnsiTheme="minorHAnsi" w:cstheme="minorHAnsi"/>
                <w:sz w:val="24"/>
                <w:szCs w:val="24"/>
              </w:rPr>
              <w:t xml:space="preserve"> 55,600</w:t>
            </w:r>
          </w:p>
        </w:tc>
        <w:tc>
          <w:tcPr>
            <w:tcW w:w="1725" w:type="pct"/>
            <w:shd w:val="clear" w:color="auto" w:fill="FFFFFF" w:themeFill="background1"/>
            <w:vAlign w:val="center"/>
          </w:tcPr>
          <w:p w:rsidR="00625519" w:rsidRPr="00625519" w:rsidRDefault="00625519" w:rsidP="00625519">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4"/>
                <w:szCs w:val="24"/>
              </w:rPr>
            </w:pPr>
            <w:r w:rsidRPr="00625519">
              <w:rPr>
                <w:rFonts w:asciiTheme="minorHAnsi" w:hAnsiTheme="minorHAnsi" w:cstheme="minorHAnsi"/>
                <w:color w:val="000000"/>
                <w:sz w:val="24"/>
                <w:szCs w:val="24"/>
              </w:rPr>
              <w:t>11.1</w:t>
            </w:r>
          </w:p>
        </w:tc>
      </w:tr>
      <w:tr w:rsidR="00625519" w:rsidRPr="00427BB0" w:rsidTr="00971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 w:type="pct"/>
            <w:shd w:val="clear" w:color="auto" w:fill="FFFFFF" w:themeFill="background1"/>
            <w:vAlign w:val="center"/>
          </w:tcPr>
          <w:p w:rsidR="00625519" w:rsidRPr="00427BB0" w:rsidRDefault="00625519" w:rsidP="00625519">
            <w:pPr>
              <w:pStyle w:val="TableBodytext"/>
              <w:keepNext/>
              <w:spacing w:before="0" w:after="0" w:line="240" w:lineRule="auto"/>
              <w:rPr>
                <w:rFonts w:asciiTheme="minorHAnsi" w:hAnsiTheme="minorHAnsi" w:cstheme="minorHAnsi"/>
                <w:sz w:val="24"/>
                <w:szCs w:val="24"/>
              </w:rPr>
            </w:pPr>
            <w:r w:rsidRPr="00427BB0">
              <w:rPr>
                <w:b w:val="0"/>
                <w:bCs/>
                <w:color w:val="000000"/>
                <w:sz w:val="24"/>
                <w:szCs w:val="24"/>
              </w:rPr>
              <w:t>Total</w:t>
            </w:r>
          </w:p>
        </w:tc>
        <w:tc>
          <w:tcPr>
            <w:tcW w:w="2319" w:type="pct"/>
            <w:shd w:val="clear" w:color="auto" w:fill="FFFFFF" w:themeFill="background1"/>
          </w:tcPr>
          <w:p w:rsidR="00625519" w:rsidRPr="00625519" w:rsidRDefault="00625519" w:rsidP="00625519">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24"/>
                <w:szCs w:val="24"/>
              </w:rPr>
            </w:pPr>
            <w:r w:rsidRPr="00625519">
              <w:rPr>
                <w:rFonts w:asciiTheme="minorHAnsi" w:hAnsiTheme="minorHAnsi" w:cstheme="minorHAnsi"/>
                <w:b/>
                <w:bCs/>
                <w:color w:val="000000"/>
                <w:sz w:val="24"/>
                <w:szCs w:val="24"/>
              </w:rPr>
              <w:t>1</w:t>
            </w:r>
            <w:r w:rsidR="008C5BCD">
              <w:rPr>
                <w:rFonts w:asciiTheme="minorHAnsi" w:hAnsiTheme="minorHAnsi" w:cstheme="minorHAnsi"/>
                <w:b/>
                <w:bCs/>
                <w:color w:val="000000"/>
                <w:sz w:val="24"/>
                <w:szCs w:val="24"/>
              </w:rPr>
              <w:t>32</w:t>
            </w:r>
            <w:r w:rsidRPr="00625519">
              <w:rPr>
                <w:rFonts w:asciiTheme="minorHAnsi" w:hAnsiTheme="minorHAnsi" w:cstheme="minorHAnsi"/>
                <w:b/>
                <w:bCs/>
                <w:color w:val="000000"/>
                <w:sz w:val="24"/>
                <w:szCs w:val="24"/>
              </w:rPr>
              <w:t>,</w:t>
            </w:r>
            <w:r w:rsidR="008C5BCD">
              <w:rPr>
                <w:rFonts w:asciiTheme="minorHAnsi" w:hAnsiTheme="minorHAnsi" w:cstheme="minorHAnsi"/>
                <w:b/>
                <w:bCs/>
                <w:color w:val="000000"/>
                <w:sz w:val="24"/>
                <w:szCs w:val="24"/>
              </w:rPr>
              <w:t>2</w:t>
            </w:r>
            <w:r w:rsidRPr="00625519">
              <w:rPr>
                <w:rFonts w:asciiTheme="minorHAnsi" w:hAnsiTheme="minorHAnsi" w:cstheme="minorHAnsi"/>
                <w:b/>
                <w:bCs/>
                <w:color w:val="000000"/>
                <w:sz w:val="24"/>
                <w:szCs w:val="24"/>
              </w:rPr>
              <w:t>00</w:t>
            </w:r>
          </w:p>
        </w:tc>
        <w:tc>
          <w:tcPr>
            <w:tcW w:w="1725" w:type="pct"/>
            <w:shd w:val="clear" w:color="auto" w:fill="FFFFFF" w:themeFill="background1"/>
            <w:vAlign w:val="center"/>
          </w:tcPr>
          <w:p w:rsidR="00625519" w:rsidRPr="00625519" w:rsidRDefault="00625519" w:rsidP="00625519">
            <w:pPr>
              <w:keepNext/>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24"/>
                <w:szCs w:val="24"/>
              </w:rPr>
            </w:pPr>
            <w:r w:rsidRPr="00625519">
              <w:rPr>
                <w:rFonts w:asciiTheme="minorHAnsi" w:hAnsiTheme="minorHAnsi" w:cstheme="minorHAnsi"/>
                <w:b/>
                <w:bCs/>
                <w:color w:val="000000"/>
                <w:sz w:val="24"/>
                <w:szCs w:val="24"/>
              </w:rPr>
              <w:t>25.6</w:t>
            </w:r>
          </w:p>
        </w:tc>
      </w:tr>
    </w:tbl>
    <w:p w:rsidR="00A6174E" w:rsidRPr="002B049E" w:rsidRDefault="00A6174E" w:rsidP="009719FA">
      <w:pPr>
        <w:pStyle w:val="11Bodytext"/>
        <w:numPr>
          <w:ilvl w:val="0"/>
          <w:numId w:val="0"/>
        </w:numPr>
        <w:spacing w:before="0" w:after="0" w:line="240" w:lineRule="auto"/>
      </w:pPr>
      <w:r>
        <w:t>Source: GL Hearn</w:t>
      </w:r>
    </w:p>
    <w:p w:rsidR="00A6174E" w:rsidRPr="002B049E" w:rsidRDefault="00A6174E" w:rsidP="00954663">
      <w:pPr>
        <w:pStyle w:val="11Bodytext"/>
        <w:tabs>
          <w:tab w:val="clear" w:pos="2212"/>
          <w:tab w:val="num" w:pos="567"/>
        </w:tabs>
        <w:ind w:left="567" w:hanging="567"/>
      </w:pPr>
      <w:r w:rsidRPr="002B049E">
        <w:t xml:space="preserve">In addition, a trend-based forecast for </w:t>
      </w:r>
      <w:r w:rsidRPr="000E4421">
        <w:t xml:space="preserve">horticultural development </w:t>
      </w:r>
      <w:r w:rsidRPr="002B049E">
        <w:t>in the Plan Area has been revisited taking into account industry feedback and recent developments. This suggests a need for an additional 374,000 sqm for horticultural development or 60.7 Ha of land within HDAs in addition to a total of 728,000 or 129.6 ha outside of HDAs to avoid constraining growth in the horticultural industry.</w:t>
      </w:r>
      <w:r>
        <w:t xml:space="preserve"> This is increased from past recommendations in 2018 which did not report on potential needs outside of the HDAs.</w:t>
      </w:r>
    </w:p>
    <w:p w:rsidR="00324FC0" w:rsidRDefault="0013503C" w:rsidP="00954663">
      <w:pPr>
        <w:pStyle w:val="11Bodytext"/>
        <w:tabs>
          <w:tab w:val="clear" w:pos="2212"/>
          <w:tab w:val="num" w:pos="567"/>
        </w:tabs>
        <w:ind w:left="567" w:hanging="567"/>
        <w:sectPr w:rsidR="00324FC0" w:rsidSect="008B43C6">
          <w:pgSz w:w="11900" w:h="16840"/>
          <w:pgMar w:top="1668" w:right="851" w:bottom="1418" w:left="1418" w:header="709" w:footer="709" w:gutter="0"/>
          <w:cols w:space="720"/>
          <w:formProt w:val="0"/>
        </w:sectPr>
      </w:pPr>
      <w:r>
        <w:t>Following discussions with horticultural industry stakeholders, it is recommended that the deliverability of the remaining Tangmere allocation be revisited to ensure that sufficient future land is available and if necessary additional land be allocated.</w:t>
      </w:r>
      <w:bookmarkEnd w:id="4"/>
      <w:bookmarkEnd w:id="5"/>
      <w:bookmarkEnd w:id="238"/>
      <w:bookmarkEnd w:id="239"/>
      <w:bookmarkEnd w:id="240"/>
    </w:p>
    <w:p w:rsidR="007636E9" w:rsidRPr="00427BB0" w:rsidRDefault="00E10ED6" w:rsidP="009719FA">
      <w:pPr>
        <w:pStyle w:val="Appendices"/>
        <w:tabs>
          <w:tab w:val="clear" w:pos="794"/>
          <w:tab w:val="num" w:pos="0"/>
        </w:tabs>
        <w:ind w:left="0" w:firstLine="0"/>
        <w:rPr>
          <w:b/>
          <w:sz w:val="24"/>
          <w:szCs w:val="32"/>
        </w:rPr>
      </w:pPr>
      <w:r w:rsidRPr="00427BB0">
        <w:rPr>
          <w:b/>
          <w:sz w:val="24"/>
          <w:szCs w:val="32"/>
        </w:rPr>
        <w:lastRenderedPageBreak/>
        <w:t>OXFORD</w:t>
      </w:r>
      <w:r w:rsidR="004B41A2" w:rsidRPr="00427BB0">
        <w:rPr>
          <w:b/>
          <w:sz w:val="24"/>
          <w:szCs w:val="32"/>
        </w:rPr>
        <w:t xml:space="preserve"> </w:t>
      </w:r>
      <w:r w:rsidRPr="00427BB0">
        <w:rPr>
          <w:b/>
          <w:sz w:val="24"/>
          <w:szCs w:val="32"/>
        </w:rPr>
        <w:t>ECONOMICS</w:t>
      </w:r>
      <w:r w:rsidR="004B41A2" w:rsidRPr="00427BB0">
        <w:rPr>
          <w:b/>
          <w:sz w:val="24"/>
          <w:szCs w:val="32"/>
        </w:rPr>
        <w:t xml:space="preserve"> </w:t>
      </w:r>
      <w:r w:rsidRPr="00427BB0">
        <w:rPr>
          <w:b/>
          <w:sz w:val="24"/>
          <w:szCs w:val="32"/>
        </w:rPr>
        <w:t>BROAD</w:t>
      </w:r>
      <w:r w:rsidR="004B41A2" w:rsidRPr="00427BB0">
        <w:rPr>
          <w:b/>
          <w:sz w:val="24"/>
          <w:szCs w:val="32"/>
        </w:rPr>
        <w:t xml:space="preserve"> </w:t>
      </w:r>
      <w:r w:rsidRPr="00427BB0">
        <w:rPr>
          <w:b/>
          <w:sz w:val="24"/>
          <w:szCs w:val="32"/>
        </w:rPr>
        <w:t>SECTORS</w:t>
      </w:r>
      <w:r w:rsidR="004B41A2" w:rsidRPr="00427BB0">
        <w:rPr>
          <w:b/>
          <w:sz w:val="24"/>
          <w:szCs w:val="32"/>
        </w:rPr>
        <w:t xml:space="preserve"> </w:t>
      </w:r>
      <w:r w:rsidRPr="00427BB0">
        <w:rPr>
          <w:b/>
          <w:sz w:val="24"/>
          <w:szCs w:val="32"/>
        </w:rPr>
        <w:t>BY</w:t>
      </w:r>
      <w:r w:rsidR="004B41A2" w:rsidRPr="00427BB0">
        <w:rPr>
          <w:b/>
          <w:sz w:val="24"/>
          <w:szCs w:val="32"/>
        </w:rPr>
        <w:t xml:space="preserve"> </w:t>
      </w:r>
      <w:r w:rsidRPr="00427BB0">
        <w:rPr>
          <w:b/>
          <w:sz w:val="24"/>
          <w:szCs w:val="32"/>
        </w:rPr>
        <w:t>2</w:t>
      </w:r>
      <w:r w:rsidR="004B41A2" w:rsidRPr="00427BB0">
        <w:rPr>
          <w:b/>
          <w:sz w:val="24"/>
          <w:szCs w:val="32"/>
        </w:rPr>
        <w:t xml:space="preserve"> </w:t>
      </w:r>
      <w:r w:rsidRPr="00427BB0">
        <w:rPr>
          <w:b/>
          <w:sz w:val="24"/>
          <w:szCs w:val="32"/>
        </w:rPr>
        <w:t>DIGIT</w:t>
      </w:r>
      <w:r w:rsidR="004B41A2" w:rsidRPr="00427BB0">
        <w:rPr>
          <w:b/>
          <w:sz w:val="24"/>
          <w:szCs w:val="32"/>
        </w:rPr>
        <w:t xml:space="preserve"> </w:t>
      </w:r>
      <w:r w:rsidRPr="00427BB0">
        <w:rPr>
          <w:b/>
          <w:sz w:val="24"/>
          <w:szCs w:val="32"/>
        </w:rPr>
        <w:t>SECTORS</w:t>
      </w:r>
    </w:p>
    <w:tbl>
      <w:tblPr>
        <w:tblStyle w:val="GLHearntable1"/>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PPENDIX A: OXFORD ECONOMICS BROAD SECTORS BY 2 DIGIT SECTORS"/>
      </w:tblPr>
      <w:tblGrid>
        <w:gridCol w:w="4570"/>
        <w:gridCol w:w="5068"/>
      </w:tblGrid>
      <w:tr w:rsidR="00E10ED6" w:rsidRPr="00CA47B9" w:rsidTr="00A06746">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2371" w:type="pct"/>
            <w:noWrap/>
            <w:hideMark/>
          </w:tcPr>
          <w:p w:rsidR="00E10ED6" w:rsidRPr="00427BB0" w:rsidRDefault="00E10ED6" w:rsidP="00E10ED6">
            <w:pPr>
              <w:rPr>
                <w:rFonts w:ascii="Arial Narrow" w:eastAsia="Times New Roman" w:hAnsi="Arial Narrow"/>
                <w:sz w:val="24"/>
                <w:szCs w:val="24"/>
                <w:lang w:eastAsia="en-GB"/>
              </w:rPr>
            </w:pPr>
            <w:r w:rsidRPr="00427BB0">
              <w:rPr>
                <w:rFonts w:ascii="Arial Narrow" w:eastAsia="Times New Roman" w:hAnsi="Arial Narrow"/>
                <w:sz w:val="24"/>
                <w:szCs w:val="24"/>
                <w:lang w:eastAsia="en-GB"/>
              </w:rPr>
              <w:t>Broad</w:t>
            </w:r>
            <w:r w:rsidR="004B41A2" w:rsidRPr="00427BB0">
              <w:rPr>
                <w:rFonts w:ascii="Arial Narrow" w:eastAsia="Times New Roman" w:hAnsi="Arial Narrow"/>
                <w:sz w:val="24"/>
                <w:szCs w:val="24"/>
                <w:lang w:eastAsia="en-GB"/>
              </w:rPr>
              <w:t xml:space="preserve"> </w:t>
            </w:r>
            <w:r w:rsidRPr="00427BB0">
              <w:rPr>
                <w:rFonts w:ascii="Arial Narrow" w:eastAsia="Times New Roman" w:hAnsi="Arial Narrow"/>
                <w:sz w:val="24"/>
                <w:szCs w:val="24"/>
                <w:lang w:eastAsia="en-GB"/>
              </w:rPr>
              <w:t>Sector</w:t>
            </w:r>
          </w:p>
        </w:tc>
        <w:tc>
          <w:tcPr>
            <w:tcW w:w="2629" w:type="pct"/>
            <w:noWrap/>
            <w:hideMark/>
          </w:tcPr>
          <w:p w:rsidR="00E10ED6" w:rsidRPr="00427BB0" w:rsidRDefault="00E10ED6" w:rsidP="00E10ED6">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sz w:val="24"/>
                <w:szCs w:val="24"/>
                <w:lang w:eastAsia="en-GB"/>
              </w:rPr>
            </w:pPr>
            <w:r w:rsidRPr="00427BB0">
              <w:rPr>
                <w:rFonts w:ascii="Arial Narrow" w:eastAsia="Times New Roman" w:hAnsi="Arial Narrow"/>
                <w:sz w:val="24"/>
                <w:szCs w:val="24"/>
                <w:lang w:eastAsia="en-GB"/>
              </w:rPr>
              <w:t>2</w:t>
            </w:r>
            <w:r w:rsidR="004B41A2" w:rsidRPr="00427BB0">
              <w:rPr>
                <w:rFonts w:ascii="Arial Narrow" w:eastAsia="Times New Roman" w:hAnsi="Arial Narrow"/>
                <w:sz w:val="24"/>
                <w:szCs w:val="24"/>
                <w:lang w:eastAsia="en-GB"/>
              </w:rPr>
              <w:t xml:space="preserve"> </w:t>
            </w:r>
            <w:r w:rsidRPr="00427BB0">
              <w:rPr>
                <w:rFonts w:ascii="Arial Narrow" w:eastAsia="Times New Roman" w:hAnsi="Arial Narrow"/>
                <w:sz w:val="24"/>
                <w:szCs w:val="24"/>
                <w:lang w:eastAsia="en-GB"/>
              </w:rPr>
              <w:t>Digit</w:t>
            </w:r>
            <w:r w:rsidR="004B41A2" w:rsidRPr="00427BB0">
              <w:rPr>
                <w:rFonts w:ascii="Arial Narrow" w:eastAsia="Times New Roman" w:hAnsi="Arial Narrow"/>
                <w:sz w:val="24"/>
                <w:szCs w:val="24"/>
                <w:lang w:eastAsia="en-GB"/>
              </w:rPr>
              <w:t xml:space="preserve"> </w:t>
            </w:r>
            <w:r w:rsidRPr="00427BB0">
              <w:rPr>
                <w:rFonts w:ascii="Arial Narrow" w:eastAsia="Times New Roman" w:hAnsi="Arial Narrow"/>
                <w:sz w:val="24"/>
                <w:szCs w:val="24"/>
                <w:lang w:eastAsia="en-GB"/>
              </w:rPr>
              <w:t>Sector</w:t>
            </w:r>
          </w:p>
        </w:tc>
      </w:tr>
      <w:tr w:rsidR="002B7B55" w:rsidRPr="00CA47B9" w:rsidTr="00E450B4">
        <w:trPr>
          <w:trHeight w:val="20"/>
        </w:trPr>
        <w:tc>
          <w:tcPr>
            <w:cnfStyle w:val="001000000000" w:firstRow="0" w:lastRow="0" w:firstColumn="1" w:lastColumn="0" w:oddVBand="0" w:evenVBand="0" w:oddHBand="0" w:evenHBand="0" w:firstRowFirstColumn="0" w:firstRowLastColumn="0" w:lastRowFirstColumn="0" w:lastRowLastColumn="0"/>
            <w:tcW w:w="2371" w:type="pct"/>
            <w:tcBorders>
              <w:bottom w:val="single" w:sz="4" w:space="0" w:color="FFFFFF" w:themeColor="background1"/>
            </w:tcBorders>
            <w:noWrap/>
            <w:hideMark/>
          </w:tcPr>
          <w:p w:rsidR="002B7B55" w:rsidRPr="00427BB0" w:rsidRDefault="002B7B55" w:rsidP="00E450B4">
            <w:pPr>
              <w:rPr>
                <w:rFonts w:ascii="Arial Narrow" w:eastAsia="Times New Roman" w:hAnsi="Arial Narrow" w:cstheme="minorHAnsi"/>
                <w:b w:val="0"/>
                <w:color w:val="000000"/>
                <w:sz w:val="24"/>
                <w:szCs w:val="24"/>
                <w:lang w:eastAsia="en-GB"/>
              </w:rPr>
            </w:pPr>
            <w:r w:rsidRPr="00427BB0">
              <w:rPr>
                <w:rFonts w:ascii="Arial Narrow" w:eastAsia="Times New Roman" w:hAnsi="Arial Narrow" w:cstheme="minorHAnsi"/>
                <w:color w:val="000000"/>
                <w:sz w:val="24"/>
                <w:szCs w:val="24"/>
                <w:lang w:eastAsia="en-GB"/>
              </w:rPr>
              <w:t>Agriculture,</w:t>
            </w:r>
            <w:r w:rsidR="004B41A2" w:rsidRPr="00427BB0">
              <w:rPr>
                <w:rFonts w:ascii="Arial Narrow" w:eastAsia="Times New Roman" w:hAnsi="Arial Narrow" w:cstheme="minorHAnsi"/>
                <w:color w:val="000000"/>
                <w:sz w:val="24"/>
                <w:szCs w:val="24"/>
                <w:lang w:eastAsia="en-GB"/>
              </w:rPr>
              <w:t xml:space="preserve"> </w:t>
            </w:r>
            <w:r w:rsidRPr="00427BB0">
              <w:rPr>
                <w:rFonts w:ascii="Arial Narrow" w:eastAsia="Times New Roman" w:hAnsi="Arial Narrow" w:cstheme="minorHAnsi"/>
                <w:color w:val="000000"/>
                <w:sz w:val="24"/>
                <w:szCs w:val="24"/>
                <w:lang w:eastAsia="en-GB"/>
              </w:rPr>
              <w:t>forestry</w:t>
            </w:r>
            <w:r w:rsidR="004B41A2" w:rsidRPr="00427BB0">
              <w:rPr>
                <w:rFonts w:ascii="Arial Narrow" w:eastAsia="Times New Roman" w:hAnsi="Arial Narrow" w:cstheme="minorHAnsi"/>
                <w:color w:val="000000"/>
                <w:sz w:val="24"/>
                <w:szCs w:val="24"/>
                <w:lang w:eastAsia="en-GB"/>
              </w:rPr>
              <w:t xml:space="preserve"> </w:t>
            </w:r>
            <w:r w:rsidRPr="00427BB0">
              <w:rPr>
                <w:rFonts w:ascii="Arial Narrow" w:eastAsia="Times New Roman" w:hAnsi="Arial Narrow" w:cstheme="minorHAnsi"/>
                <w:color w:val="000000"/>
                <w:sz w:val="24"/>
                <w:szCs w:val="24"/>
                <w:lang w:eastAsia="en-GB"/>
              </w:rPr>
              <w:t>and</w:t>
            </w:r>
            <w:r w:rsidR="004B41A2" w:rsidRPr="00427BB0">
              <w:rPr>
                <w:rFonts w:ascii="Arial Narrow" w:eastAsia="Times New Roman" w:hAnsi="Arial Narrow" w:cstheme="minorHAnsi"/>
                <w:color w:val="000000"/>
                <w:sz w:val="24"/>
                <w:szCs w:val="24"/>
                <w:lang w:eastAsia="en-GB"/>
              </w:rPr>
              <w:t xml:space="preserve"> </w:t>
            </w:r>
            <w:r w:rsidRPr="00427BB0">
              <w:rPr>
                <w:rFonts w:ascii="Arial Narrow" w:eastAsia="Times New Roman" w:hAnsi="Arial Narrow" w:cstheme="minorHAnsi"/>
                <w:color w:val="000000"/>
                <w:sz w:val="24"/>
                <w:szCs w:val="24"/>
                <w:lang w:eastAsia="en-GB"/>
              </w:rPr>
              <w:t>fishing</w:t>
            </w:r>
          </w:p>
        </w:tc>
        <w:tc>
          <w:tcPr>
            <w:tcW w:w="2629" w:type="pct"/>
            <w:noWrap/>
            <w:vAlign w:val="bottom"/>
            <w:hideMark/>
          </w:tcPr>
          <w:p w:rsidR="002B7B55" w:rsidRPr="00427BB0" w:rsidRDefault="002B7B55" w:rsidP="00E10ED6">
            <w:pPr>
              <w:keepNext/>
              <w:spacing w:line="300" w:lineRule="atLeast"/>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Crop</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and</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animal</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production</w:t>
            </w:r>
          </w:p>
        </w:tc>
      </w:tr>
      <w:tr w:rsidR="002B7B55" w:rsidRPr="00CA47B9" w:rsidTr="00E450B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FFFFFF" w:themeColor="background1"/>
              <w:bottom w:val="single" w:sz="4" w:space="0" w:color="FFFFFF" w:themeColor="background1"/>
            </w:tcBorders>
            <w:shd w:val="clear" w:color="auto" w:fill="auto"/>
            <w:noWrap/>
            <w:hideMark/>
          </w:tcPr>
          <w:p w:rsidR="002B7B55" w:rsidRPr="00427BB0" w:rsidRDefault="002B7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2B7B55" w:rsidRPr="00427BB0" w:rsidRDefault="002B7B55" w:rsidP="00E10ED6">
            <w:pPr>
              <w:keepNext/>
              <w:spacing w:line="300" w:lineRule="atLeast"/>
              <w:contextualSpacing/>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Forestry</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and</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logging</w:t>
            </w:r>
          </w:p>
        </w:tc>
      </w:tr>
      <w:tr w:rsidR="002B7B55" w:rsidRPr="00CA47B9" w:rsidTr="00E450B4">
        <w:trPr>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FFFFFF" w:themeColor="background1"/>
            </w:tcBorders>
            <w:noWrap/>
            <w:hideMark/>
          </w:tcPr>
          <w:p w:rsidR="002B7B55" w:rsidRPr="00427BB0" w:rsidRDefault="002B7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2B7B55" w:rsidRPr="00427BB0" w:rsidRDefault="002B7B55" w:rsidP="00E10ED6">
            <w:pPr>
              <w:keepNext/>
              <w:spacing w:line="300" w:lineRule="atLeast"/>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Fishing</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and</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aquaculture</w:t>
            </w:r>
          </w:p>
        </w:tc>
      </w:tr>
      <w:tr w:rsidR="002B7B55" w:rsidRPr="00CA47B9" w:rsidTr="00E450B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1" w:type="pct"/>
            <w:tcBorders>
              <w:bottom w:val="single" w:sz="4" w:space="0" w:color="C3ECFF" w:themeColor="accent2" w:themeTint="33"/>
            </w:tcBorders>
            <w:noWrap/>
            <w:hideMark/>
          </w:tcPr>
          <w:p w:rsidR="002B7B55" w:rsidRPr="00427BB0" w:rsidRDefault="002B7B55" w:rsidP="00E450B4">
            <w:pPr>
              <w:rPr>
                <w:rFonts w:ascii="Arial Narrow" w:eastAsia="Times New Roman" w:hAnsi="Arial Narrow" w:cstheme="minorHAnsi"/>
                <w:b w:val="0"/>
                <w:color w:val="000000"/>
                <w:sz w:val="24"/>
                <w:szCs w:val="24"/>
                <w:lang w:eastAsia="en-GB"/>
              </w:rPr>
            </w:pPr>
            <w:r w:rsidRPr="00427BB0">
              <w:rPr>
                <w:rFonts w:ascii="Arial Narrow" w:eastAsia="Times New Roman" w:hAnsi="Arial Narrow" w:cstheme="minorHAnsi"/>
                <w:color w:val="000000"/>
                <w:sz w:val="24"/>
                <w:szCs w:val="24"/>
                <w:lang w:eastAsia="en-GB"/>
              </w:rPr>
              <w:t>Mining</w:t>
            </w:r>
            <w:r w:rsidR="004B41A2" w:rsidRPr="00427BB0">
              <w:rPr>
                <w:rFonts w:ascii="Arial Narrow" w:eastAsia="Times New Roman" w:hAnsi="Arial Narrow" w:cstheme="minorHAnsi"/>
                <w:color w:val="000000"/>
                <w:sz w:val="24"/>
                <w:szCs w:val="24"/>
                <w:lang w:eastAsia="en-GB"/>
              </w:rPr>
              <w:t xml:space="preserve"> </w:t>
            </w:r>
            <w:r w:rsidRPr="00427BB0">
              <w:rPr>
                <w:rFonts w:ascii="Arial Narrow" w:eastAsia="Times New Roman" w:hAnsi="Arial Narrow" w:cstheme="minorHAnsi"/>
                <w:color w:val="000000"/>
                <w:sz w:val="24"/>
                <w:szCs w:val="24"/>
                <w:lang w:eastAsia="en-GB"/>
              </w:rPr>
              <w:t>and</w:t>
            </w:r>
            <w:r w:rsidR="004B41A2" w:rsidRPr="00427BB0">
              <w:rPr>
                <w:rFonts w:ascii="Arial Narrow" w:eastAsia="Times New Roman" w:hAnsi="Arial Narrow" w:cstheme="minorHAnsi"/>
                <w:color w:val="000000"/>
                <w:sz w:val="24"/>
                <w:szCs w:val="24"/>
                <w:lang w:eastAsia="en-GB"/>
              </w:rPr>
              <w:t xml:space="preserve"> </w:t>
            </w:r>
            <w:r w:rsidRPr="00427BB0">
              <w:rPr>
                <w:rFonts w:ascii="Arial Narrow" w:eastAsia="Times New Roman" w:hAnsi="Arial Narrow" w:cstheme="minorHAnsi"/>
                <w:color w:val="000000"/>
                <w:sz w:val="24"/>
                <w:szCs w:val="24"/>
                <w:lang w:eastAsia="en-GB"/>
              </w:rPr>
              <w:t>quarrying</w:t>
            </w:r>
          </w:p>
        </w:tc>
        <w:tc>
          <w:tcPr>
            <w:tcW w:w="2629" w:type="pct"/>
            <w:noWrap/>
            <w:vAlign w:val="bottom"/>
            <w:hideMark/>
          </w:tcPr>
          <w:p w:rsidR="002B7B55" w:rsidRPr="00427BB0" w:rsidRDefault="002B7B55" w:rsidP="00E10ED6">
            <w:pPr>
              <w:keepNext/>
              <w:spacing w:line="300" w:lineRule="atLeast"/>
              <w:contextualSpacing/>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Mining</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of</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coal</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and</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lignite</w:t>
            </w:r>
          </w:p>
        </w:tc>
      </w:tr>
      <w:tr w:rsidR="002B7B55" w:rsidRPr="00CA47B9" w:rsidTr="00E450B4">
        <w:trPr>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C3ECFF" w:themeColor="accent2" w:themeTint="33"/>
              <w:bottom w:val="single" w:sz="4" w:space="0" w:color="C3ECFF" w:themeColor="accent2" w:themeTint="33"/>
            </w:tcBorders>
            <w:shd w:val="clear" w:color="auto" w:fill="C3ECFF" w:themeFill="accent2" w:themeFillTint="33"/>
            <w:noWrap/>
            <w:hideMark/>
          </w:tcPr>
          <w:p w:rsidR="002B7B55" w:rsidRPr="00427BB0" w:rsidRDefault="002B7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2B7B55" w:rsidRPr="00427BB0" w:rsidRDefault="002B7B55" w:rsidP="00E10ED6">
            <w:pPr>
              <w:keepNext/>
              <w:spacing w:line="300" w:lineRule="atLeast"/>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Extraction</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of</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crude</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petroleum</w:t>
            </w:r>
            <w:r w:rsidR="004B41A2" w:rsidRPr="00427BB0">
              <w:rPr>
                <w:rFonts w:ascii="Arial Narrow" w:hAnsi="Arial Narrow" w:cstheme="minorHAnsi"/>
                <w:color w:val="000000"/>
                <w:sz w:val="24"/>
                <w:szCs w:val="24"/>
              </w:rPr>
              <w:t xml:space="preserve"> </w:t>
            </w:r>
          </w:p>
        </w:tc>
      </w:tr>
      <w:tr w:rsidR="002B7B55" w:rsidRPr="00CA47B9" w:rsidTr="00E450B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C3ECFF" w:themeColor="accent2" w:themeTint="33"/>
              <w:bottom w:val="single" w:sz="4" w:space="0" w:color="C3ECFF" w:themeColor="accent2" w:themeTint="33"/>
            </w:tcBorders>
            <w:noWrap/>
            <w:hideMark/>
          </w:tcPr>
          <w:p w:rsidR="002B7B55" w:rsidRPr="00427BB0" w:rsidRDefault="002B7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2B7B55" w:rsidRPr="00427BB0" w:rsidRDefault="002B7B55" w:rsidP="00E10ED6">
            <w:pPr>
              <w:keepNext/>
              <w:spacing w:line="300" w:lineRule="atLeast"/>
              <w:contextualSpacing/>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Mining</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of</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metal</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ores</w:t>
            </w:r>
          </w:p>
        </w:tc>
      </w:tr>
      <w:tr w:rsidR="002B7B55" w:rsidRPr="00CA47B9" w:rsidTr="00E450B4">
        <w:trPr>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C3ECFF" w:themeColor="accent2" w:themeTint="33"/>
              <w:bottom w:val="single" w:sz="4" w:space="0" w:color="C3ECFF" w:themeColor="accent2" w:themeTint="33"/>
            </w:tcBorders>
            <w:shd w:val="clear" w:color="auto" w:fill="C3ECFF" w:themeFill="accent2" w:themeFillTint="33"/>
            <w:noWrap/>
            <w:hideMark/>
          </w:tcPr>
          <w:p w:rsidR="002B7B55" w:rsidRPr="00427BB0" w:rsidRDefault="002B7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2B7B55" w:rsidRPr="00427BB0" w:rsidRDefault="002B7B55" w:rsidP="00E10ED6">
            <w:pPr>
              <w:keepNext/>
              <w:spacing w:line="300" w:lineRule="atLeast"/>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Other</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mining</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and</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quarrying</w:t>
            </w:r>
          </w:p>
        </w:tc>
      </w:tr>
      <w:tr w:rsidR="002B7B55" w:rsidRPr="00CA47B9" w:rsidTr="00E450B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C3ECFF" w:themeColor="accent2" w:themeTint="33"/>
            </w:tcBorders>
            <w:noWrap/>
            <w:hideMark/>
          </w:tcPr>
          <w:p w:rsidR="002B7B55" w:rsidRPr="00427BB0" w:rsidRDefault="002B7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2B7B55" w:rsidRPr="00427BB0" w:rsidRDefault="002B7B55" w:rsidP="00E10ED6">
            <w:pPr>
              <w:keepNext/>
              <w:spacing w:line="300" w:lineRule="atLeast"/>
              <w:contextualSpacing/>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Mining</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support</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service</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activities</w:t>
            </w:r>
          </w:p>
        </w:tc>
      </w:tr>
      <w:tr w:rsidR="00D23B55" w:rsidRPr="00CA47B9" w:rsidTr="00D23B55">
        <w:trPr>
          <w:trHeight w:val="20"/>
        </w:trPr>
        <w:tc>
          <w:tcPr>
            <w:cnfStyle w:val="001000000000" w:firstRow="0" w:lastRow="0" w:firstColumn="1" w:lastColumn="0" w:oddVBand="0" w:evenVBand="0" w:oddHBand="0" w:evenHBand="0" w:firstRowFirstColumn="0" w:firstRowLastColumn="0" w:lastRowFirstColumn="0" w:lastRowLastColumn="0"/>
            <w:tcW w:w="2371" w:type="pct"/>
            <w:tcBorders>
              <w:bottom w:val="single" w:sz="4" w:space="0" w:color="FFFFFF" w:themeColor="background1"/>
            </w:tcBorders>
            <w:noWrap/>
            <w:hideMark/>
          </w:tcPr>
          <w:p w:rsidR="00D23B55" w:rsidRPr="00427BB0" w:rsidRDefault="00D23B55" w:rsidP="00E10ED6">
            <w:pPr>
              <w:rPr>
                <w:rFonts w:ascii="Arial Narrow" w:eastAsia="Times New Roman" w:hAnsi="Arial Narrow" w:cstheme="minorHAnsi"/>
                <w:color w:val="000000"/>
                <w:sz w:val="24"/>
                <w:szCs w:val="24"/>
                <w:lang w:eastAsia="en-GB"/>
              </w:rPr>
            </w:pPr>
            <w:r w:rsidRPr="00427BB0">
              <w:rPr>
                <w:rFonts w:ascii="Arial Narrow" w:eastAsia="Times New Roman" w:hAnsi="Arial Narrow" w:cstheme="minorHAnsi"/>
                <w:color w:val="000000"/>
                <w:sz w:val="24"/>
                <w:szCs w:val="24"/>
                <w:lang w:eastAsia="en-GB"/>
              </w:rPr>
              <w:t>Manufacturing</w:t>
            </w:r>
          </w:p>
        </w:tc>
        <w:tc>
          <w:tcPr>
            <w:tcW w:w="2629" w:type="pct"/>
            <w:noWrap/>
            <w:vAlign w:val="bottom"/>
            <w:hideMark/>
          </w:tcPr>
          <w:p w:rsidR="00D23B55" w:rsidRPr="00427BB0" w:rsidRDefault="00D23B55" w:rsidP="00E10ED6">
            <w:pPr>
              <w:keepNext/>
              <w:spacing w:line="300" w:lineRule="atLeast"/>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Manufacture of food products</w:t>
            </w:r>
          </w:p>
        </w:tc>
      </w:tr>
      <w:tr w:rsidR="00D23B55" w:rsidRPr="00CA47B9" w:rsidTr="00D23B5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FFFFFF" w:themeColor="background1"/>
              <w:bottom w:val="single" w:sz="4" w:space="0" w:color="FFFFFF" w:themeColor="background1"/>
            </w:tcBorders>
            <w:shd w:val="clear" w:color="auto" w:fill="auto"/>
            <w:noWrap/>
            <w:hideMark/>
          </w:tcPr>
          <w:p w:rsidR="00D23B55" w:rsidRPr="00427BB0" w:rsidRDefault="00D23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D23B55" w:rsidRPr="00427BB0" w:rsidRDefault="00D23B55" w:rsidP="00E10ED6">
            <w:pPr>
              <w:keepNext/>
              <w:spacing w:line="300" w:lineRule="atLeast"/>
              <w:contextualSpacing/>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Manufacture of beverages</w:t>
            </w:r>
          </w:p>
        </w:tc>
      </w:tr>
      <w:tr w:rsidR="00D23B55" w:rsidRPr="00CA47B9" w:rsidTr="00D23B55">
        <w:trPr>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FFFFFF" w:themeColor="background1"/>
              <w:bottom w:val="single" w:sz="4" w:space="0" w:color="FFFFFF" w:themeColor="background1"/>
            </w:tcBorders>
            <w:noWrap/>
            <w:hideMark/>
          </w:tcPr>
          <w:p w:rsidR="00D23B55" w:rsidRPr="00427BB0" w:rsidRDefault="00D23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D23B55" w:rsidRPr="00427BB0" w:rsidRDefault="00D23B55" w:rsidP="00E10ED6">
            <w:pPr>
              <w:keepNext/>
              <w:spacing w:line="300" w:lineRule="atLeast"/>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Manufacture of tobacco products</w:t>
            </w:r>
          </w:p>
        </w:tc>
      </w:tr>
      <w:tr w:rsidR="00D23B55" w:rsidRPr="00CA47B9" w:rsidTr="00D23B5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FFFFFF" w:themeColor="background1"/>
              <w:bottom w:val="single" w:sz="4" w:space="0" w:color="FFFFFF" w:themeColor="background1"/>
            </w:tcBorders>
            <w:shd w:val="clear" w:color="auto" w:fill="auto"/>
            <w:noWrap/>
            <w:hideMark/>
          </w:tcPr>
          <w:p w:rsidR="00D23B55" w:rsidRPr="00427BB0" w:rsidRDefault="00D23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D23B55" w:rsidRPr="00427BB0" w:rsidRDefault="00D23B55" w:rsidP="00E10ED6">
            <w:pPr>
              <w:keepNext/>
              <w:spacing w:line="300" w:lineRule="atLeast"/>
              <w:contextualSpacing/>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Manufacture of textiles</w:t>
            </w:r>
          </w:p>
        </w:tc>
      </w:tr>
      <w:tr w:rsidR="00D23B55" w:rsidRPr="00CA47B9" w:rsidTr="00D23B55">
        <w:trPr>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FFFFFF" w:themeColor="background1"/>
              <w:bottom w:val="single" w:sz="4" w:space="0" w:color="FFFFFF" w:themeColor="background1"/>
            </w:tcBorders>
            <w:noWrap/>
            <w:hideMark/>
          </w:tcPr>
          <w:p w:rsidR="00D23B55" w:rsidRPr="00427BB0" w:rsidRDefault="00D23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D23B55" w:rsidRPr="00427BB0" w:rsidRDefault="00D23B55" w:rsidP="00E10ED6">
            <w:pPr>
              <w:keepNext/>
              <w:spacing w:line="300" w:lineRule="atLeast"/>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Manufacture of wearing apparel</w:t>
            </w:r>
          </w:p>
        </w:tc>
      </w:tr>
      <w:tr w:rsidR="00D23B55" w:rsidRPr="00CA47B9" w:rsidTr="00D23B5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FFFFFF" w:themeColor="background1"/>
              <w:bottom w:val="single" w:sz="4" w:space="0" w:color="FFFFFF" w:themeColor="background1"/>
            </w:tcBorders>
            <w:shd w:val="clear" w:color="auto" w:fill="auto"/>
            <w:noWrap/>
            <w:hideMark/>
          </w:tcPr>
          <w:p w:rsidR="00D23B55" w:rsidRPr="00427BB0" w:rsidRDefault="00D23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D23B55" w:rsidRPr="00427BB0" w:rsidRDefault="00D23B55" w:rsidP="00E10ED6">
            <w:pPr>
              <w:keepNext/>
              <w:spacing w:line="300" w:lineRule="atLeast"/>
              <w:contextualSpacing/>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 xml:space="preserve">Manufacture of leather </w:t>
            </w:r>
          </w:p>
        </w:tc>
      </w:tr>
      <w:tr w:rsidR="00D23B55" w:rsidRPr="00CA47B9" w:rsidTr="00D23B55">
        <w:trPr>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FFFFFF" w:themeColor="background1"/>
              <w:bottom w:val="single" w:sz="4" w:space="0" w:color="FFFFFF" w:themeColor="background1"/>
            </w:tcBorders>
            <w:noWrap/>
            <w:hideMark/>
          </w:tcPr>
          <w:p w:rsidR="00D23B55" w:rsidRPr="00427BB0" w:rsidRDefault="00D23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D23B55" w:rsidRPr="00427BB0" w:rsidRDefault="00D23B55" w:rsidP="00E10ED6">
            <w:pPr>
              <w:keepNext/>
              <w:spacing w:line="300" w:lineRule="atLeast"/>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Manufacture of wood and of products</w:t>
            </w:r>
          </w:p>
        </w:tc>
      </w:tr>
      <w:tr w:rsidR="00D23B55" w:rsidRPr="00CA47B9" w:rsidTr="00D23B5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FFFFFF" w:themeColor="background1"/>
              <w:bottom w:val="single" w:sz="4" w:space="0" w:color="FFFFFF" w:themeColor="background1"/>
            </w:tcBorders>
            <w:shd w:val="clear" w:color="auto" w:fill="auto"/>
            <w:noWrap/>
            <w:hideMark/>
          </w:tcPr>
          <w:p w:rsidR="00D23B55" w:rsidRPr="00427BB0" w:rsidRDefault="00D23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D23B55" w:rsidRPr="00427BB0" w:rsidRDefault="00D23B55" w:rsidP="00E10ED6">
            <w:pPr>
              <w:keepNext/>
              <w:spacing w:line="300" w:lineRule="atLeast"/>
              <w:contextualSpacing/>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 xml:space="preserve">Manufacture of paper and paper </w:t>
            </w:r>
          </w:p>
        </w:tc>
      </w:tr>
      <w:tr w:rsidR="00D23B55" w:rsidRPr="00CA47B9" w:rsidTr="00D23B55">
        <w:trPr>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FFFFFF" w:themeColor="background1"/>
              <w:bottom w:val="single" w:sz="4" w:space="0" w:color="FFFFFF" w:themeColor="background1"/>
            </w:tcBorders>
            <w:noWrap/>
            <w:hideMark/>
          </w:tcPr>
          <w:p w:rsidR="00D23B55" w:rsidRPr="00427BB0" w:rsidRDefault="00D23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D23B55" w:rsidRPr="00427BB0" w:rsidRDefault="00D23B55" w:rsidP="00E10ED6">
            <w:pPr>
              <w:keepNext/>
              <w:spacing w:line="300" w:lineRule="atLeast"/>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Printing and reproduction of records</w:t>
            </w:r>
          </w:p>
        </w:tc>
      </w:tr>
      <w:tr w:rsidR="00D23B55" w:rsidRPr="00CA47B9" w:rsidTr="00D23B5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FFFFFF" w:themeColor="background1"/>
              <w:bottom w:val="single" w:sz="4" w:space="0" w:color="FFFFFF" w:themeColor="background1"/>
            </w:tcBorders>
            <w:shd w:val="clear" w:color="auto" w:fill="auto"/>
            <w:noWrap/>
            <w:hideMark/>
          </w:tcPr>
          <w:p w:rsidR="00D23B55" w:rsidRPr="00427BB0" w:rsidRDefault="00D23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D23B55" w:rsidRPr="00427BB0" w:rsidRDefault="00D23B55" w:rsidP="00E10ED6">
            <w:pPr>
              <w:keepNext/>
              <w:spacing w:line="300" w:lineRule="atLeast"/>
              <w:contextualSpacing/>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 xml:space="preserve">Manufacture of coke </w:t>
            </w:r>
          </w:p>
        </w:tc>
      </w:tr>
      <w:tr w:rsidR="00D23B55" w:rsidRPr="00CA47B9" w:rsidTr="00D23B55">
        <w:trPr>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FFFFFF" w:themeColor="background1"/>
              <w:bottom w:val="single" w:sz="4" w:space="0" w:color="FFFFFF" w:themeColor="background1"/>
            </w:tcBorders>
            <w:noWrap/>
            <w:hideMark/>
          </w:tcPr>
          <w:p w:rsidR="00D23B55" w:rsidRPr="00427BB0" w:rsidRDefault="00D23B55" w:rsidP="00E10ED6">
            <w:pPr>
              <w:rPr>
                <w:rFonts w:ascii="Arial Narrow" w:eastAsia="Times New Roman" w:hAnsi="Arial Narrow" w:cstheme="minorHAnsi"/>
                <w:color w:val="000000"/>
                <w:sz w:val="24"/>
                <w:szCs w:val="24"/>
                <w:lang w:eastAsia="en-GB"/>
              </w:rPr>
            </w:pPr>
          </w:p>
        </w:tc>
        <w:tc>
          <w:tcPr>
            <w:tcW w:w="2629" w:type="pct"/>
            <w:noWrap/>
            <w:vAlign w:val="bottom"/>
            <w:hideMark/>
          </w:tcPr>
          <w:p w:rsidR="00D23B55" w:rsidRPr="00427BB0" w:rsidRDefault="00D23B55" w:rsidP="00E10ED6">
            <w:pPr>
              <w:keepNext/>
              <w:spacing w:line="300" w:lineRule="atLeast"/>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Manufacture of chemicals</w:t>
            </w:r>
          </w:p>
        </w:tc>
      </w:tr>
      <w:tr w:rsidR="00D23B55" w:rsidRPr="00CA47B9" w:rsidTr="00D23B5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FFFFFF" w:themeColor="background1"/>
              <w:bottom w:val="single" w:sz="4" w:space="0" w:color="FFFFFF" w:themeColor="background1"/>
            </w:tcBorders>
            <w:shd w:val="clear" w:color="auto" w:fill="auto"/>
            <w:noWrap/>
            <w:hideMark/>
          </w:tcPr>
          <w:p w:rsidR="00D23B55" w:rsidRPr="00427BB0" w:rsidRDefault="00D23B55" w:rsidP="00E10ED6">
            <w:pPr>
              <w:rPr>
                <w:rFonts w:ascii="Arial Narrow" w:eastAsia="Times New Roman" w:hAnsi="Arial Narrow" w:cstheme="minorHAnsi"/>
                <w:color w:val="000000"/>
                <w:sz w:val="24"/>
                <w:szCs w:val="24"/>
                <w:lang w:eastAsia="en-GB"/>
              </w:rPr>
            </w:pPr>
          </w:p>
        </w:tc>
        <w:tc>
          <w:tcPr>
            <w:tcW w:w="2629" w:type="pct"/>
            <w:noWrap/>
            <w:vAlign w:val="bottom"/>
            <w:hideMark/>
          </w:tcPr>
          <w:p w:rsidR="00D23B55" w:rsidRPr="00427BB0" w:rsidRDefault="00D23B55" w:rsidP="00E10ED6">
            <w:pPr>
              <w:keepNext/>
              <w:spacing w:line="300" w:lineRule="atLeast"/>
              <w:contextualSpacing/>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Manufacture of basic pharmaceuticals</w:t>
            </w:r>
          </w:p>
        </w:tc>
      </w:tr>
      <w:tr w:rsidR="00D23B55" w:rsidRPr="00CA47B9" w:rsidTr="00D23B55">
        <w:trPr>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FFFFFF" w:themeColor="background1"/>
              <w:bottom w:val="single" w:sz="4" w:space="0" w:color="FFFFFF" w:themeColor="background1"/>
            </w:tcBorders>
            <w:noWrap/>
            <w:hideMark/>
          </w:tcPr>
          <w:p w:rsidR="00D23B55" w:rsidRPr="00427BB0" w:rsidRDefault="00D23B55" w:rsidP="00E10ED6">
            <w:pPr>
              <w:rPr>
                <w:rFonts w:ascii="Arial Narrow" w:eastAsia="Times New Roman" w:hAnsi="Arial Narrow" w:cstheme="minorHAnsi"/>
                <w:color w:val="000000"/>
                <w:sz w:val="24"/>
                <w:szCs w:val="24"/>
                <w:lang w:eastAsia="en-GB"/>
              </w:rPr>
            </w:pPr>
          </w:p>
        </w:tc>
        <w:tc>
          <w:tcPr>
            <w:tcW w:w="2629" w:type="pct"/>
            <w:noWrap/>
            <w:vAlign w:val="bottom"/>
            <w:hideMark/>
          </w:tcPr>
          <w:p w:rsidR="00D23B55" w:rsidRPr="00427BB0" w:rsidRDefault="00D23B55" w:rsidP="00E10ED6">
            <w:pPr>
              <w:keepNext/>
              <w:spacing w:line="300" w:lineRule="atLeast"/>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Manufacture of rubber and plastic</w:t>
            </w:r>
          </w:p>
        </w:tc>
      </w:tr>
      <w:tr w:rsidR="00D23B55" w:rsidRPr="00CA47B9" w:rsidTr="00D23B5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FFFFFF" w:themeColor="background1"/>
              <w:bottom w:val="single" w:sz="4" w:space="0" w:color="FFFFFF" w:themeColor="background1"/>
            </w:tcBorders>
            <w:shd w:val="clear" w:color="auto" w:fill="auto"/>
            <w:noWrap/>
            <w:hideMark/>
          </w:tcPr>
          <w:p w:rsidR="00D23B55" w:rsidRPr="00427BB0" w:rsidRDefault="00D23B55" w:rsidP="00E10ED6">
            <w:pPr>
              <w:rPr>
                <w:rFonts w:ascii="Arial Narrow" w:eastAsia="Times New Roman" w:hAnsi="Arial Narrow" w:cstheme="minorHAnsi"/>
                <w:color w:val="000000"/>
                <w:sz w:val="24"/>
                <w:szCs w:val="24"/>
                <w:lang w:eastAsia="en-GB"/>
              </w:rPr>
            </w:pPr>
          </w:p>
        </w:tc>
        <w:tc>
          <w:tcPr>
            <w:tcW w:w="2629" w:type="pct"/>
            <w:noWrap/>
            <w:vAlign w:val="bottom"/>
            <w:hideMark/>
          </w:tcPr>
          <w:p w:rsidR="00D23B55" w:rsidRPr="00427BB0" w:rsidRDefault="00D23B55" w:rsidP="00E10ED6">
            <w:pPr>
              <w:keepNext/>
              <w:spacing w:line="300" w:lineRule="atLeast"/>
              <w:contextualSpacing/>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Manufacture of other non-metallic products</w:t>
            </w:r>
          </w:p>
        </w:tc>
      </w:tr>
      <w:tr w:rsidR="00D23B55" w:rsidRPr="00CA47B9" w:rsidTr="00D23B55">
        <w:trPr>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FFFFFF" w:themeColor="background1"/>
              <w:bottom w:val="single" w:sz="4" w:space="0" w:color="FFFFFF" w:themeColor="background1"/>
            </w:tcBorders>
            <w:noWrap/>
            <w:hideMark/>
          </w:tcPr>
          <w:p w:rsidR="00D23B55" w:rsidRPr="00427BB0" w:rsidRDefault="00D23B55" w:rsidP="00E10ED6">
            <w:pPr>
              <w:rPr>
                <w:rFonts w:ascii="Arial Narrow" w:eastAsia="Times New Roman" w:hAnsi="Arial Narrow" w:cstheme="minorHAnsi"/>
                <w:color w:val="000000"/>
                <w:sz w:val="24"/>
                <w:szCs w:val="24"/>
                <w:lang w:eastAsia="en-GB"/>
              </w:rPr>
            </w:pPr>
          </w:p>
        </w:tc>
        <w:tc>
          <w:tcPr>
            <w:tcW w:w="2629" w:type="pct"/>
            <w:noWrap/>
            <w:vAlign w:val="bottom"/>
            <w:hideMark/>
          </w:tcPr>
          <w:p w:rsidR="00D23B55" w:rsidRPr="00427BB0" w:rsidRDefault="00D23B55" w:rsidP="00E10ED6">
            <w:pPr>
              <w:keepNext/>
              <w:spacing w:line="300" w:lineRule="atLeast"/>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Manufacture of basic metals</w:t>
            </w:r>
          </w:p>
        </w:tc>
      </w:tr>
      <w:tr w:rsidR="00D23B55" w:rsidRPr="00CA47B9" w:rsidTr="00D23B5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FFFFFF" w:themeColor="background1"/>
              <w:bottom w:val="single" w:sz="4" w:space="0" w:color="FFFFFF" w:themeColor="background1"/>
            </w:tcBorders>
            <w:shd w:val="clear" w:color="auto" w:fill="auto"/>
            <w:noWrap/>
            <w:hideMark/>
          </w:tcPr>
          <w:p w:rsidR="00D23B55" w:rsidRPr="00427BB0" w:rsidRDefault="00D23B55" w:rsidP="00E10ED6">
            <w:pPr>
              <w:rPr>
                <w:rFonts w:ascii="Arial Narrow" w:eastAsia="Times New Roman" w:hAnsi="Arial Narrow" w:cstheme="minorHAnsi"/>
                <w:color w:val="000000"/>
                <w:sz w:val="24"/>
                <w:szCs w:val="24"/>
                <w:lang w:eastAsia="en-GB"/>
              </w:rPr>
            </w:pPr>
          </w:p>
        </w:tc>
        <w:tc>
          <w:tcPr>
            <w:tcW w:w="2629" w:type="pct"/>
            <w:noWrap/>
            <w:vAlign w:val="bottom"/>
            <w:hideMark/>
          </w:tcPr>
          <w:p w:rsidR="00D23B55" w:rsidRPr="00427BB0" w:rsidRDefault="00D23B55" w:rsidP="00E10ED6">
            <w:pPr>
              <w:keepNext/>
              <w:spacing w:line="300" w:lineRule="atLeast"/>
              <w:contextualSpacing/>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 xml:space="preserve">Manufacture of fabricated metal </w:t>
            </w:r>
          </w:p>
        </w:tc>
      </w:tr>
      <w:tr w:rsidR="00D23B55" w:rsidRPr="00CA47B9" w:rsidTr="00D23B55">
        <w:trPr>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FFFFFF" w:themeColor="background1"/>
              <w:bottom w:val="single" w:sz="4" w:space="0" w:color="FFFFFF" w:themeColor="background1"/>
            </w:tcBorders>
            <w:noWrap/>
            <w:hideMark/>
          </w:tcPr>
          <w:p w:rsidR="00D23B55" w:rsidRPr="00427BB0" w:rsidRDefault="00D23B55" w:rsidP="00E10ED6">
            <w:pPr>
              <w:rPr>
                <w:rFonts w:ascii="Arial Narrow" w:eastAsia="Times New Roman" w:hAnsi="Arial Narrow" w:cstheme="minorHAnsi"/>
                <w:color w:val="000000"/>
                <w:sz w:val="24"/>
                <w:szCs w:val="24"/>
                <w:lang w:eastAsia="en-GB"/>
              </w:rPr>
            </w:pPr>
          </w:p>
        </w:tc>
        <w:tc>
          <w:tcPr>
            <w:tcW w:w="2629" w:type="pct"/>
            <w:noWrap/>
            <w:vAlign w:val="bottom"/>
            <w:hideMark/>
          </w:tcPr>
          <w:p w:rsidR="00D23B55" w:rsidRPr="00427BB0" w:rsidRDefault="00D23B55" w:rsidP="00E10ED6">
            <w:pPr>
              <w:keepNext/>
              <w:spacing w:line="300" w:lineRule="atLeast"/>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Manufacture of computer, electronics</w:t>
            </w:r>
          </w:p>
        </w:tc>
      </w:tr>
      <w:tr w:rsidR="00D23B55" w:rsidRPr="00CA47B9" w:rsidTr="00D23B5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FFFFFF" w:themeColor="background1"/>
              <w:bottom w:val="single" w:sz="4" w:space="0" w:color="FFFFFF" w:themeColor="background1"/>
            </w:tcBorders>
            <w:shd w:val="clear" w:color="auto" w:fill="auto"/>
            <w:noWrap/>
            <w:hideMark/>
          </w:tcPr>
          <w:p w:rsidR="00D23B55" w:rsidRPr="00427BB0" w:rsidRDefault="00D23B55" w:rsidP="00E10ED6">
            <w:pPr>
              <w:rPr>
                <w:rFonts w:ascii="Arial Narrow" w:eastAsia="Times New Roman" w:hAnsi="Arial Narrow" w:cstheme="minorHAnsi"/>
                <w:color w:val="000000"/>
                <w:sz w:val="24"/>
                <w:szCs w:val="24"/>
                <w:lang w:eastAsia="en-GB"/>
              </w:rPr>
            </w:pPr>
          </w:p>
        </w:tc>
        <w:tc>
          <w:tcPr>
            <w:tcW w:w="2629" w:type="pct"/>
            <w:noWrap/>
            <w:vAlign w:val="bottom"/>
            <w:hideMark/>
          </w:tcPr>
          <w:p w:rsidR="00D23B55" w:rsidRPr="00427BB0" w:rsidRDefault="00D23B55" w:rsidP="00E10ED6">
            <w:pPr>
              <w:keepNext/>
              <w:spacing w:line="300" w:lineRule="atLeast"/>
              <w:contextualSpacing/>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Manufacture of electrical equipment</w:t>
            </w:r>
          </w:p>
        </w:tc>
      </w:tr>
      <w:tr w:rsidR="00D23B55" w:rsidRPr="00CA47B9" w:rsidTr="00D23B55">
        <w:trPr>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FFFFFF" w:themeColor="background1"/>
              <w:bottom w:val="single" w:sz="4" w:space="0" w:color="FFFFFF" w:themeColor="background1"/>
            </w:tcBorders>
            <w:noWrap/>
            <w:hideMark/>
          </w:tcPr>
          <w:p w:rsidR="00D23B55" w:rsidRPr="00427BB0" w:rsidRDefault="00D23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D23B55" w:rsidRPr="00427BB0" w:rsidRDefault="00D23B55" w:rsidP="00E10ED6">
            <w:pPr>
              <w:keepNext/>
              <w:spacing w:line="300" w:lineRule="atLeast"/>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Manufacture of machinery and equipment</w:t>
            </w:r>
          </w:p>
        </w:tc>
      </w:tr>
      <w:tr w:rsidR="00D23B55" w:rsidRPr="00CA47B9" w:rsidTr="00D23B5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FFFFFF" w:themeColor="background1"/>
              <w:bottom w:val="single" w:sz="4" w:space="0" w:color="FFFFFF" w:themeColor="background1"/>
            </w:tcBorders>
            <w:shd w:val="clear" w:color="auto" w:fill="auto"/>
            <w:noWrap/>
            <w:hideMark/>
          </w:tcPr>
          <w:p w:rsidR="00D23B55" w:rsidRPr="00427BB0" w:rsidRDefault="00D23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D23B55" w:rsidRPr="00427BB0" w:rsidRDefault="00D23B55" w:rsidP="00E10ED6">
            <w:pPr>
              <w:keepNext/>
              <w:spacing w:line="300" w:lineRule="atLeast"/>
              <w:contextualSpacing/>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Manufacture of motor vehicles</w:t>
            </w:r>
          </w:p>
        </w:tc>
      </w:tr>
      <w:tr w:rsidR="00D23B55" w:rsidRPr="00CA47B9" w:rsidTr="00D23B55">
        <w:trPr>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FFFFFF" w:themeColor="background1"/>
              <w:bottom w:val="single" w:sz="4" w:space="0" w:color="FFFFFF" w:themeColor="background1"/>
            </w:tcBorders>
            <w:noWrap/>
            <w:hideMark/>
          </w:tcPr>
          <w:p w:rsidR="00D23B55" w:rsidRPr="00427BB0" w:rsidRDefault="00D23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D23B55" w:rsidRPr="00427BB0" w:rsidRDefault="00D23B55" w:rsidP="00E10ED6">
            <w:pPr>
              <w:keepNext/>
              <w:spacing w:line="300" w:lineRule="atLeast"/>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Manufacture of other transport equipment</w:t>
            </w:r>
          </w:p>
        </w:tc>
      </w:tr>
      <w:tr w:rsidR="00D23B55" w:rsidRPr="00CA47B9" w:rsidTr="00D23B5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FFFFFF" w:themeColor="background1"/>
              <w:bottom w:val="single" w:sz="4" w:space="0" w:color="FFFFFF" w:themeColor="background1"/>
            </w:tcBorders>
            <w:shd w:val="clear" w:color="auto" w:fill="auto"/>
            <w:noWrap/>
            <w:hideMark/>
          </w:tcPr>
          <w:p w:rsidR="00D23B55" w:rsidRPr="00427BB0" w:rsidRDefault="00D23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D23B55" w:rsidRPr="00427BB0" w:rsidRDefault="00D23B55" w:rsidP="00E10ED6">
            <w:pPr>
              <w:keepNext/>
              <w:spacing w:line="300" w:lineRule="atLeast"/>
              <w:contextualSpacing/>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Manufacture of furniture</w:t>
            </w:r>
          </w:p>
        </w:tc>
      </w:tr>
      <w:tr w:rsidR="00D23B55" w:rsidRPr="00CA47B9" w:rsidTr="00D23B55">
        <w:trPr>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FFFFFF" w:themeColor="background1"/>
              <w:bottom w:val="single" w:sz="4" w:space="0" w:color="FFFFFF" w:themeColor="background1"/>
            </w:tcBorders>
            <w:noWrap/>
            <w:hideMark/>
          </w:tcPr>
          <w:p w:rsidR="00D23B55" w:rsidRPr="00427BB0" w:rsidRDefault="00D23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D23B55" w:rsidRPr="00427BB0" w:rsidRDefault="00D23B55" w:rsidP="00E10ED6">
            <w:pPr>
              <w:keepNext/>
              <w:spacing w:line="300" w:lineRule="atLeast"/>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Other manufacturing</w:t>
            </w:r>
          </w:p>
        </w:tc>
      </w:tr>
      <w:tr w:rsidR="00D23B55" w:rsidRPr="00CA47B9" w:rsidTr="00D23B5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FFFFFF" w:themeColor="background1"/>
            </w:tcBorders>
            <w:shd w:val="clear" w:color="auto" w:fill="auto"/>
            <w:noWrap/>
            <w:hideMark/>
          </w:tcPr>
          <w:p w:rsidR="00D23B55" w:rsidRPr="00427BB0" w:rsidRDefault="00D23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D23B55" w:rsidRPr="00427BB0" w:rsidRDefault="00D23B55" w:rsidP="00E10ED6">
            <w:pPr>
              <w:keepNext/>
              <w:spacing w:line="300" w:lineRule="atLeast"/>
              <w:contextualSpacing/>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Repair and installation of machinery</w:t>
            </w:r>
          </w:p>
        </w:tc>
      </w:tr>
      <w:tr w:rsidR="002B7B55" w:rsidRPr="00CA47B9" w:rsidTr="00E450B4">
        <w:trPr>
          <w:trHeight w:val="20"/>
        </w:trPr>
        <w:tc>
          <w:tcPr>
            <w:cnfStyle w:val="001000000000" w:firstRow="0" w:lastRow="0" w:firstColumn="1" w:lastColumn="0" w:oddVBand="0" w:evenVBand="0" w:oddHBand="0" w:evenHBand="0" w:firstRowFirstColumn="0" w:firstRowLastColumn="0" w:lastRowFirstColumn="0" w:lastRowLastColumn="0"/>
            <w:tcW w:w="2371" w:type="pct"/>
            <w:tcBorders>
              <w:bottom w:val="single" w:sz="4" w:space="0" w:color="C3ECFF" w:themeColor="accent2" w:themeTint="33"/>
            </w:tcBorders>
            <w:shd w:val="clear" w:color="auto" w:fill="C3ECFF"/>
            <w:noWrap/>
            <w:hideMark/>
          </w:tcPr>
          <w:p w:rsidR="002B7B55" w:rsidRPr="00427BB0" w:rsidRDefault="002B7B55" w:rsidP="00E10ED6">
            <w:pPr>
              <w:rPr>
                <w:rFonts w:ascii="Arial Narrow" w:eastAsia="Times New Roman" w:hAnsi="Arial Narrow" w:cstheme="minorHAnsi"/>
                <w:b w:val="0"/>
                <w:color w:val="000000"/>
                <w:sz w:val="24"/>
                <w:szCs w:val="24"/>
                <w:lang w:eastAsia="en-GB"/>
              </w:rPr>
            </w:pPr>
            <w:r w:rsidRPr="00427BB0">
              <w:rPr>
                <w:rFonts w:ascii="Arial Narrow" w:eastAsia="Times New Roman" w:hAnsi="Arial Narrow" w:cstheme="minorHAnsi"/>
                <w:color w:val="000000"/>
                <w:sz w:val="24"/>
                <w:szCs w:val="24"/>
                <w:lang w:eastAsia="en-GB"/>
              </w:rPr>
              <w:t>Utilities</w:t>
            </w:r>
          </w:p>
        </w:tc>
        <w:tc>
          <w:tcPr>
            <w:tcW w:w="2629" w:type="pct"/>
            <w:noWrap/>
            <w:vAlign w:val="bottom"/>
            <w:hideMark/>
          </w:tcPr>
          <w:p w:rsidR="002B7B55" w:rsidRPr="00427BB0" w:rsidRDefault="002B7B55" w:rsidP="00E10ED6">
            <w:pPr>
              <w:keepNext/>
              <w:spacing w:line="300" w:lineRule="atLeast"/>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Electricity,</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gas,</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steam</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and</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air</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conditioning</w:t>
            </w:r>
          </w:p>
        </w:tc>
      </w:tr>
      <w:tr w:rsidR="002B7B55" w:rsidRPr="00CA47B9" w:rsidTr="00E450B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C3ECFF" w:themeColor="accent2" w:themeTint="33"/>
              <w:bottom w:val="single" w:sz="4" w:space="0" w:color="C3ECFF" w:themeColor="accent2" w:themeTint="33"/>
            </w:tcBorders>
            <w:shd w:val="clear" w:color="auto" w:fill="C3ECFF"/>
            <w:noWrap/>
            <w:hideMark/>
          </w:tcPr>
          <w:p w:rsidR="002B7B55" w:rsidRPr="00427BB0" w:rsidRDefault="002B7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2B7B55" w:rsidRPr="00427BB0" w:rsidRDefault="002B7B55" w:rsidP="00E10ED6">
            <w:pPr>
              <w:keepNext/>
              <w:spacing w:line="300" w:lineRule="atLeast"/>
              <w:contextualSpacing/>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Water</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collection,</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treatment</w:t>
            </w:r>
            <w:r w:rsidR="004B41A2" w:rsidRPr="00427BB0">
              <w:rPr>
                <w:rFonts w:ascii="Arial Narrow" w:hAnsi="Arial Narrow" w:cstheme="minorHAnsi"/>
                <w:color w:val="000000"/>
                <w:sz w:val="24"/>
                <w:szCs w:val="24"/>
              </w:rPr>
              <w:t xml:space="preserve"> </w:t>
            </w:r>
          </w:p>
        </w:tc>
      </w:tr>
      <w:tr w:rsidR="002B7B55" w:rsidRPr="00CA47B9" w:rsidTr="00E450B4">
        <w:trPr>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C3ECFF" w:themeColor="accent2" w:themeTint="33"/>
              <w:bottom w:val="single" w:sz="4" w:space="0" w:color="C3ECFF" w:themeColor="accent2" w:themeTint="33"/>
            </w:tcBorders>
            <w:shd w:val="clear" w:color="auto" w:fill="C3ECFF"/>
            <w:noWrap/>
            <w:hideMark/>
          </w:tcPr>
          <w:p w:rsidR="002B7B55" w:rsidRPr="00427BB0" w:rsidRDefault="002B7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2B7B55" w:rsidRPr="00427BB0" w:rsidRDefault="002B7B55" w:rsidP="00E10ED6">
            <w:pPr>
              <w:keepNext/>
              <w:spacing w:line="300" w:lineRule="atLeast"/>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Sewerage</w:t>
            </w:r>
          </w:p>
        </w:tc>
      </w:tr>
      <w:tr w:rsidR="002B7B55" w:rsidRPr="00CA47B9" w:rsidTr="00E450B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C3ECFF" w:themeColor="accent2" w:themeTint="33"/>
            </w:tcBorders>
            <w:shd w:val="clear" w:color="auto" w:fill="C3ECFF"/>
            <w:noWrap/>
            <w:hideMark/>
          </w:tcPr>
          <w:p w:rsidR="002B7B55" w:rsidRPr="00427BB0" w:rsidRDefault="002B7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2B7B55" w:rsidRPr="00427BB0" w:rsidRDefault="002B7B55" w:rsidP="00E10ED6">
            <w:pPr>
              <w:keepNext/>
              <w:spacing w:line="300" w:lineRule="atLeast"/>
              <w:contextualSpacing/>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Waste</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collection,</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treatment</w:t>
            </w:r>
            <w:r w:rsidR="004B41A2" w:rsidRPr="00427BB0">
              <w:rPr>
                <w:rFonts w:ascii="Arial Narrow" w:hAnsi="Arial Narrow" w:cstheme="minorHAnsi"/>
                <w:color w:val="000000"/>
                <w:sz w:val="24"/>
                <w:szCs w:val="24"/>
              </w:rPr>
              <w:t xml:space="preserve"> </w:t>
            </w:r>
          </w:p>
        </w:tc>
      </w:tr>
      <w:tr w:rsidR="002B7B55" w:rsidRPr="00CA47B9" w:rsidTr="00E450B4">
        <w:trPr>
          <w:trHeight w:val="20"/>
        </w:trPr>
        <w:tc>
          <w:tcPr>
            <w:cnfStyle w:val="001000000000" w:firstRow="0" w:lastRow="0" w:firstColumn="1" w:lastColumn="0" w:oddVBand="0" w:evenVBand="0" w:oddHBand="0" w:evenHBand="0" w:firstRowFirstColumn="0" w:firstRowLastColumn="0" w:lastRowFirstColumn="0" w:lastRowLastColumn="0"/>
            <w:tcW w:w="2371" w:type="pct"/>
            <w:tcBorders>
              <w:bottom w:val="single" w:sz="4" w:space="0" w:color="FFFFFF" w:themeColor="background1"/>
            </w:tcBorders>
            <w:noWrap/>
            <w:hideMark/>
          </w:tcPr>
          <w:p w:rsidR="002B7B55" w:rsidRPr="00427BB0" w:rsidRDefault="002B7B55" w:rsidP="00E10ED6">
            <w:pPr>
              <w:rPr>
                <w:rFonts w:ascii="Arial Narrow" w:eastAsia="Times New Roman" w:hAnsi="Arial Narrow" w:cstheme="minorHAnsi"/>
                <w:b w:val="0"/>
                <w:color w:val="000000"/>
                <w:sz w:val="24"/>
                <w:szCs w:val="24"/>
                <w:lang w:eastAsia="en-GB"/>
              </w:rPr>
            </w:pPr>
            <w:r w:rsidRPr="00427BB0">
              <w:rPr>
                <w:rFonts w:ascii="Arial Narrow" w:eastAsia="Times New Roman" w:hAnsi="Arial Narrow" w:cstheme="minorHAnsi"/>
                <w:color w:val="000000"/>
                <w:sz w:val="24"/>
                <w:szCs w:val="24"/>
                <w:lang w:eastAsia="en-GB"/>
              </w:rPr>
              <w:t>Construction</w:t>
            </w:r>
          </w:p>
        </w:tc>
        <w:tc>
          <w:tcPr>
            <w:tcW w:w="2629" w:type="pct"/>
            <w:noWrap/>
            <w:vAlign w:val="bottom"/>
            <w:hideMark/>
          </w:tcPr>
          <w:p w:rsidR="002B7B55" w:rsidRPr="00427BB0" w:rsidRDefault="002B7B55" w:rsidP="00E10ED6">
            <w:pPr>
              <w:keepNext/>
              <w:spacing w:line="300" w:lineRule="atLeast"/>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Remediation</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activities</w:t>
            </w:r>
            <w:r w:rsidR="004B41A2" w:rsidRPr="00427BB0">
              <w:rPr>
                <w:rFonts w:ascii="Arial Narrow" w:hAnsi="Arial Narrow" w:cstheme="minorHAnsi"/>
                <w:color w:val="000000"/>
                <w:sz w:val="24"/>
                <w:szCs w:val="24"/>
              </w:rPr>
              <w:t xml:space="preserve"> </w:t>
            </w:r>
          </w:p>
        </w:tc>
      </w:tr>
      <w:tr w:rsidR="002B7B55" w:rsidRPr="00CA47B9" w:rsidTr="00E450B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FFFFFF" w:themeColor="background1"/>
              <w:bottom w:val="single" w:sz="4" w:space="0" w:color="FFFFFF" w:themeColor="background1"/>
            </w:tcBorders>
            <w:shd w:val="clear" w:color="auto" w:fill="auto"/>
            <w:noWrap/>
            <w:hideMark/>
          </w:tcPr>
          <w:p w:rsidR="002B7B55" w:rsidRPr="00427BB0" w:rsidRDefault="002B7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2B7B55" w:rsidRPr="00427BB0" w:rsidRDefault="002B7B55" w:rsidP="00E10ED6">
            <w:pPr>
              <w:keepNext/>
              <w:spacing w:line="300" w:lineRule="atLeast"/>
              <w:contextualSpacing/>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Construction</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of</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buildings</w:t>
            </w:r>
          </w:p>
        </w:tc>
      </w:tr>
      <w:tr w:rsidR="002B7B55" w:rsidRPr="00CA47B9" w:rsidTr="00E450B4">
        <w:trPr>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FFFFFF" w:themeColor="background1"/>
              <w:bottom w:val="single" w:sz="4" w:space="0" w:color="FFFFFF" w:themeColor="background1"/>
            </w:tcBorders>
            <w:noWrap/>
            <w:hideMark/>
          </w:tcPr>
          <w:p w:rsidR="002B7B55" w:rsidRPr="00427BB0" w:rsidRDefault="002B7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2B7B55" w:rsidRPr="00427BB0" w:rsidRDefault="002B7B55" w:rsidP="00E10ED6">
            <w:pPr>
              <w:keepNext/>
              <w:spacing w:line="300" w:lineRule="atLeast"/>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Civil</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engineering</w:t>
            </w:r>
          </w:p>
        </w:tc>
      </w:tr>
      <w:tr w:rsidR="002B7B55" w:rsidRPr="00CA47B9" w:rsidTr="00E450B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FFFFFF" w:themeColor="background1"/>
            </w:tcBorders>
            <w:shd w:val="clear" w:color="auto" w:fill="auto"/>
            <w:noWrap/>
            <w:hideMark/>
          </w:tcPr>
          <w:p w:rsidR="002B7B55" w:rsidRPr="00427BB0" w:rsidRDefault="002B7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2B7B55" w:rsidRPr="00427BB0" w:rsidRDefault="002B7B55" w:rsidP="00E10ED6">
            <w:pPr>
              <w:keepNext/>
              <w:spacing w:line="300" w:lineRule="atLeast"/>
              <w:contextualSpacing/>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Specialised</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construction</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activities</w:t>
            </w:r>
          </w:p>
        </w:tc>
      </w:tr>
      <w:tr w:rsidR="002B7B55" w:rsidRPr="00CA47B9" w:rsidTr="00A06746">
        <w:trPr>
          <w:trHeight w:val="20"/>
        </w:trPr>
        <w:tc>
          <w:tcPr>
            <w:cnfStyle w:val="001000000000" w:firstRow="0" w:lastRow="0" w:firstColumn="1" w:lastColumn="0" w:oddVBand="0" w:evenVBand="0" w:oddHBand="0" w:evenHBand="0" w:firstRowFirstColumn="0" w:firstRowLastColumn="0" w:lastRowFirstColumn="0" w:lastRowLastColumn="0"/>
            <w:tcW w:w="2371" w:type="pct"/>
            <w:vMerge w:val="restart"/>
            <w:shd w:val="clear" w:color="auto" w:fill="C3ECFF"/>
            <w:noWrap/>
            <w:hideMark/>
          </w:tcPr>
          <w:p w:rsidR="002B7B55" w:rsidRPr="00427BB0" w:rsidRDefault="002B7B55" w:rsidP="00E10ED6">
            <w:pPr>
              <w:rPr>
                <w:rFonts w:ascii="Arial Narrow" w:eastAsia="Times New Roman" w:hAnsi="Arial Narrow" w:cstheme="minorHAnsi"/>
                <w:b w:val="0"/>
                <w:color w:val="000000"/>
                <w:sz w:val="24"/>
                <w:szCs w:val="24"/>
                <w:lang w:eastAsia="en-GB"/>
              </w:rPr>
            </w:pPr>
            <w:r w:rsidRPr="00427BB0">
              <w:rPr>
                <w:rFonts w:ascii="Arial Narrow" w:eastAsia="Times New Roman" w:hAnsi="Arial Narrow" w:cstheme="minorHAnsi"/>
                <w:color w:val="000000"/>
                <w:sz w:val="24"/>
                <w:szCs w:val="24"/>
                <w:lang w:eastAsia="en-GB"/>
              </w:rPr>
              <w:t>Wholesale</w:t>
            </w:r>
            <w:r w:rsidR="004B41A2" w:rsidRPr="00427BB0">
              <w:rPr>
                <w:rFonts w:ascii="Arial Narrow" w:eastAsia="Times New Roman" w:hAnsi="Arial Narrow" w:cstheme="minorHAnsi"/>
                <w:color w:val="000000"/>
                <w:sz w:val="24"/>
                <w:szCs w:val="24"/>
                <w:lang w:eastAsia="en-GB"/>
              </w:rPr>
              <w:t xml:space="preserve"> </w:t>
            </w:r>
            <w:r w:rsidRPr="00427BB0">
              <w:rPr>
                <w:rFonts w:ascii="Arial Narrow" w:eastAsia="Times New Roman" w:hAnsi="Arial Narrow" w:cstheme="minorHAnsi"/>
                <w:color w:val="000000"/>
                <w:sz w:val="24"/>
                <w:szCs w:val="24"/>
                <w:lang w:eastAsia="en-GB"/>
              </w:rPr>
              <w:t>and</w:t>
            </w:r>
            <w:r w:rsidR="004B41A2" w:rsidRPr="00427BB0">
              <w:rPr>
                <w:rFonts w:ascii="Arial Narrow" w:eastAsia="Times New Roman" w:hAnsi="Arial Narrow" w:cstheme="minorHAnsi"/>
                <w:color w:val="000000"/>
                <w:sz w:val="24"/>
                <w:szCs w:val="24"/>
                <w:lang w:eastAsia="en-GB"/>
              </w:rPr>
              <w:t xml:space="preserve"> </w:t>
            </w:r>
            <w:r w:rsidRPr="00427BB0">
              <w:rPr>
                <w:rFonts w:ascii="Arial Narrow" w:eastAsia="Times New Roman" w:hAnsi="Arial Narrow" w:cstheme="minorHAnsi"/>
                <w:color w:val="000000"/>
                <w:sz w:val="24"/>
                <w:szCs w:val="24"/>
                <w:lang w:eastAsia="en-GB"/>
              </w:rPr>
              <w:t>retail</w:t>
            </w:r>
            <w:r w:rsidR="004B41A2" w:rsidRPr="00427BB0">
              <w:rPr>
                <w:rFonts w:ascii="Arial Narrow" w:eastAsia="Times New Roman" w:hAnsi="Arial Narrow" w:cstheme="minorHAnsi"/>
                <w:color w:val="000000"/>
                <w:sz w:val="24"/>
                <w:szCs w:val="24"/>
                <w:lang w:eastAsia="en-GB"/>
              </w:rPr>
              <w:t xml:space="preserve"> </w:t>
            </w:r>
            <w:r w:rsidRPr="00427BB0">
              <w:rPr>
                <w:rFonts w:ascii="Arial Narrow" w:eastAsia="Times New Roman" w:hAnsi="Arial Narrow" w:cstheme="minorHAnsi"/>
                <w:color w:val="000000"/>
                <w:sz w:val="24"/>
                <w:szCs w:val="24"/>
                <w:lang w:eastAsia="en-GB"/>
              </w:rPr>
              <w:t>trade</w:t>
            </w:r>
          </w:p>
        </w:tc>
        <w:tc>
          <w:tcPr>
            <w:tcW w:w="2629" w:type="pct"/>
            <w:noWrap/>
            <w:vAlign w:val="bottom"/>
            <w:hideMark/>
          </w:tcPr>
          <w:p w:rsidR="002B7B55" w:rsidRPr="00427BB0" w:rsidRDefault="002B7B55" w:rsidP="00E10ED6">
            <w:pPr>
              <w:keepNext/>
              <w:spacing w:line="300" w:lineRule="atLeast"/>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Wholesale</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and</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retail</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trade</w:t>
            </w:r>
            <w:r w:rsidR="004B41A2" w:rsidRPr="00427BB0">
              <w:rPr>
                <w:rFonts w:ascii="Arial Narrow" w:hAnsi="Arial Narrow" w:cstheme="minorHAnsi"/>
                <w:color w:val="000000"/>
                <w:sz w:val="24"/>
                <w:szCs w:val="24"/>
              </w:rPr>
              <w:t xml:space="preserve"> </w:t>
            </w:r>
          </w:p>
        </w:tc>
      </w:tr>
      <w:tr w:rsidR="002B7B55" w:rsidRPr="00CA47B9" w:rsidTr="00A0674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1" w:type="pct"/>
            <w:vMerge/>
            <w:shd w:val="clear" w:color="auto" w:fill="C3ECFF"/>
            <w:noWrap/>
            <w:hideMark/>
          </w:tcPr>
          <w:p w:rsidR="002B7B55" w:rsidRPr="00427BB0" w:rsidRDefault="002B7B55">
            <w:pPr>
              <w:rPr>
                <w:rFonts w:ascii="Arial Narrow" w:eastAsia="Times New Roman" w:hAnsi="Arial Narrow" w:cstheme="minorHAnsi"/>
                <w:b w:val="0"/>
                <w:color w:val="000000"/>
                <w:sz w:val="24"/>
                <w:szCs w:val="24"/>
                <w:lang w:eastAsia="en-GB"/>
              </w:rPr>
            </w:pPr>
          </w:p>
        </w:tc>
        <w:tc>
          <w:tcPr>
            <w:tcW w:w="2629" w:type="pct"/>
            <w:noWrap/>
            <w:vAlign w:val="bottom"/>
            <w:hideMark/>
          </w:tcPr>
          <w:p w:rsidR="002B7B55" w:rsidRPr="00427BB0" w:rsidRDefault="002B7B55" w:rsidP="00E10ED6">
            <w:pPr>
              <w:keepNext/>
              <w:spacing w:line="300" w:lineRule="atLeast"/>
              <w:contextualSpacing/>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Wholesale</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trade,</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except</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of</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motor</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vehicles</w:t>
            </w:r>
          </w:p>
        </w:tc>
      </w:tr>
      <w:tr w:rsidR="002B7B55" w:rsidRPr="00CA47B9" w:rsidTr="00A06746">
        <w:trPr>
          <w:trHeight w:val="20"/>
        </w:trPr>
        <w:tc>
          <w:tcPr>
            <w:cnfStyle w:val="001000000000" w:firstRow="0" w:lastRow="0" w:firstColumn="1" w:lastColumn="0" w:oddVBand="0" w:evenVBand="0" w:oddHBand="0" w:evenHBand="0" w:firstRowFirstColumn="0" w:firstRowLastColumn="0" w:lastRowFirstColumn="0" w:lastRowLastColumn="0"/>
            <w:tcW w:w="2371" w:type="pct"/>
            <w:vMerge/>
            <w:shd w:val="clear" w:color="auto" w:fill="C3ECFF"/>
            <w:noWrap/>
            <w:hideMark/>
          </w:tcPr>
          <w:p w:rsidR="002B7B55" w:rsidRPr="00427BB0" w:rsidRDefault="002B7B55">
            <w:pPr>
              <w:rPr>
                <w:rFonts w:ascii="Arial Narrow" w:eastAsia="Times New Roman" w:hAnsi="Arial Narrow" w:cstheme="minorHAnsi"/>
                <w:b w:val="0"/>
                <w:color w:val="000000"/>
                <w:sz w:val="24"/>
                <w:szCs w:val="24"/>
                <w:lang w:eastAsia="en-GB"/>
              </w:rPr>
            </w:pPr>
          </w:p>
        </w:tc>
        <w:tc>
          <w:tcPr>
            <w:tcW w:w="2629" w:type="pct"/>
            <w:noWrap/>
            <w:vAlign w:val="bottom"/>
            <w:hideMark/>
          </w:tcPr>
          <w:p w:rsidR="002B7B55" w:rsidRPr="00427BB0" w:rsidRDefault="002B7B55" w:rsidP="00E10ED6">
            <w:pPr>
              <w:keepNext/>
              <w:spacing w:line="300" w:lineRule="atLeast"/>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Retail</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trade,</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except</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of</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motor</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vehicles</w:t>
            </w:r>
          </w:p>
        </w:tc>
      </w:tr>
      <w:tr w:rsidR="002B7B55" w:rsidRPr="00CA47B9" w:rsidTr="00E450B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1" w:type="pct"/>
            <w:tcBorders>
              <w:bottom w:val="single" w:sz="4" w:space="0" w:color="C3ECFF" w:themeColor="accent2" w:themeTint="33"/>
            </w:tcBorders>
            <w:noWrap/>
            <w:hideMark/>
          </w:tcPr>
          <w:p w:rsidR="002B7B55" w:rsidRPr="00427BB0" w:rsidRDefault="002B7B55" w:rsidP="00E10ED6">
            <w:pPr>
              <w:rPr>
                <w:rFonts w:ascii="Arial Narrow" w:eastAsia="Times New Roman" w:hAnsi="Arial Narrow" w:cstheme="minorHAnsi"/>
                <w:b w:val="0"/>
                <w:color w:val="000000"/>
                <w:sz w:val="24"/>
                <w:szCs w:val="24"/>
                <w:lang w:eastAsia="en-GB"/>
              </w:rPr>
            </w:pPr>
            <w:r w:rsidRPr="00427BB0">
              <w:rPr>
                <w:rFonts w:ascii="Arial Narrow" w:eastAsia="Times New Roman" w:hAnsi="Arial Narrow" w:cstheme="minorHAnsi"/>
                <w:color w:val="000000"/>
                <w:sz w:val="24"/>
                <w:szCs w:val="24"/>
                <w:lang w:eastAsia="en-GB"/>
              </w:rPr>
              <w:t>Transportation</w:t>
            </w:r>
            <w:r w:rsidR="004B41A2" w:rsidRPr="00427BB0">
              <w:rPr>
                <w:rFonts w:ascii="Arial Narrow" w:eastAsia="Times New Roman" w:hAnsi="Arial Narrow" w:cstheme="minorHAnsi"/>
                <w:color w:val="000000"/>
                <w:sz w:val="24"/>
                <w:szCs w:val="24"/>
                <w:lang w:eastAsia="en-GB"/>
              </w:rPr>
              <w:t xml:space="preserve"> </w:t>
            </w:r>
            <w:r w:rsidRPr="00427BB0">
              <w:rPr>
                <w:rFonts w:ascii="Arial Narrow" w:eastAsia="Times New Roman" w:hAnsi="Arial Narrow" w:cstheme="minorHAnsi"/>
                <w:color w:val="000000"/>
                <w:sz w:val="24"/>
                <w:szCs w:val="24"/>
                <w:lang w:eastAsia="en-GB"/>
              </w:rPr>
              <w:t>and</w:t>
            </w:r>
            <w:r w:rsidR="004B41A2" w:rsidRPr="00427BB0">
              <w:rPr>
                <w:rFonts w:ascii="Arial Narrow" w:eastAsia="Times New Roman" w:hAnsi="Arial Narrow" w:cstheme="minorHAnsi"/>
                <w:color w:val="000000"/>
                <w:sz w:val="24"/>
                <w:szCs w:val="24"/>
                <w:lang w:eastAsia="en-GB"/>
              </w:rPr>
              <w:t xml:space="preserve"> </w:t>
            </w:r>
            <w:r w:rsidRPr="00427BB0">
              <w:rPr>
                <w:rFonts w:ascii="Arial Narrow" w:eastAsia="Times New Roman" w:hAnsi="Arial Narrow" w:cstheme="minorHAnsi"/>
                <w:color w:val="000000"/>
                <w:sz w:val="24"/>
                <w:szCs w:val="24"/>
                <w:lang w:eastAsia="en-GB"/>
              </w:rPr>
              <w:t>storage</w:t>
            </w:r>
          </w:p>
        </w:tc>
        <w:tc>
          <w:tcPr>
            <w:tcW w:w="2629" w:type="pct"/>
            <w:noWrap/>
            <w:vAlign w:val="bottom"/>
            <w:hideMark/>
          </w:tcPr>
          <w:p w:rsidR="002B7B55" w:rsidRPr="00427BB0" w:rsidRDefault="002B7B55" w:rsidP="00E10ED6">
            <w:pPr>
              <w:keepNext/>
              <w:spacing w:line="300" w:lineRule="atLeast"/>
              <w:contextualSpacing/>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Land</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transport</w:t>
            </w:r>
          </w:p>
        </w:tc>
      </w:tr>
      <w:tr w:rsidR="002B7B55" w:rsidRPr="00CA47B9" w:rsidTr="00E450B4">
        <w:trPr>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C3ECFF" w:themeColor="accent2" w:themeTint="33"/>
              <w:bottom w:val="single" w:sz="4" w:space="0" w:color="C3ECFF" w:themeColor="accent2" w:themeTint="33"/>
            </w:tcBorders>
            <w:shd w:val="clear" w:color="auto" w:fill="C3ECFF" w:themeFill="accent2" w:themeFillTint="33"/>
            <w:noWrap/>
            <w:hideMark/>
          </w:tcPr>
          <w:p w:rsidR="002B7B55" w:rsidRPr="00427BB0" w:rsidRDefault="002B7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2B7B55" w:rsidRPr="00427BB0" w:rsidRDefault="002B7B55" w:rsidP="00E10ED6">
            <w:pPr>
              <w:keepNext/>
              <w:spacing w:line="300" w:lineRule="atLeast"/>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Water</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transport</w:t>
            </w:r>
          </w:p>
        </w:tc>
      </w:tr>
      <w:tr w:rsidR="002B7B55" w:rsidRPr="00CA47B9" w:rsidTr="00E450B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C3ECFF" w:themeColor="accent2" w:themeTint="33"/>
              <w:bottom w:val="single" w:sz="4" w:space="0" w:color="C3ECFF" w:themeColor="accent2" w:themeTint="33"/>
            </w:tcBorders>
            <w:noWrap/>
            <w:hideMark/>
          </w:tcPr>
          <w:p w:rsidR="002B7B55" w:rsidRPr="00427BB0" w:rsidRDefault="002B7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2B7B55" w:rsidRPr="00427BB0" w:rsidRDefault="002B7B55" w:rsidP="00E10ED6">
            <w:pPr>
              <w:keepNext/>
              <w:spacing w:line="300" w:lineRule="atLeast"/>
              <w:contextualSpacing/>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Air</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transport</w:t>
            </w:r>
          </w:p>
        </w:tc>
      </w:tr>
      <w:tr w:rsidR="002B7B55" w:rsidRPr="00CA47B9" w:rsidTr="00E450B4">
        <w:trPr>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C3ECFF" w:themeColor="accent2" w:themeTint="33"/>
              <w:bottom w:val="single" w:sz="4" w:space="0" w:color="C3ECFF" w:themeColor="accent2" w:themeTint="33"/>
            </w:tcBorders>
            <w:shd w:val="clear" w:color="auto" w:fill="C3ECFF" w:themeFill="accent2" w:themeFillTint="33"/>
            <w:noWrap/>
            <w:hideMark/>
          </w:tcPr>
          <w:p w:rsidR="002B7B55" w:rsidRPr="00427BB0" w:rsidRDefault="002B7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2B7B55" w:rsidRPr="00427BB0" w:rsidRDefault="002B7B55" w:rsidP="00E10ED6">
            <w:pPr>
              <w:keepNext/>
              <w:spacing w:line="300" w:lineRule="atLeast"/>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Warehousing</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and</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support</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activities</w:t>
            </w:r>
            <w:r w:rsidR="004B41A2" w:rsidRPr="00427BB0">
              <w:rPr>
                <w:rFonts w:ascii="Arial Narrow" w:hAnsi="Arial Narrow" w:cstheme="minorHAnsi"/>
                <w:color w:val="000000"/>
                <w:sz w:val="24"/>
                <w:szCs w:val="24"/>
              </w:rPr>
              <w:t xml:space="preserve"> </w:t>
            </w:r>
          </w:p>
        </w:tc>
      </w:tr>
      <w:tr w:rsidR="002B7B55" w:rsidRPr="00CA47B9" w:rsidTr="00E450B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C3ECFF" w:themeColor="accent2" w:themeTint="33"/>
            </w:tcBorders>
            <w:noWrap/>
            <w:hideMark/>
          </w:tcPr>
          <w:p w:rsidR="002B7B55" w:rsidRPr="00427BB0" w:rsidRDefault="002B7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2B7B55" w:rsidRPr="00427BB0" w:rsidRDefault="002B7B55" w:rsidP="00E10ED6">
            <w:pPr>
              <w:keepNext/>
              <w:spacing w:line="300" w:lineRule="atLeast"/>
              <w:contextualSpacing/>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Postal</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and</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courier</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activities</w:t>
            </w:r>
          </w:p>
        </w:tc>
      </w:tr>
      <w:tr w:rsidR="002B7B55" w:rsidRPr="00CA47B9" w:rsidTr="00E450B4">
        <w:trPr>
          <w:trHeight w:val="20"/>
        </w:trPr>
        <w:tc>
          <w:tcPr>
            <w:cnfStyle w:val="001000000000" w:firstRow="0" w:lastRow="0" w:firstColumn="1" w:lastColumn="0" w:oddVBand="0" w:evenVBand="0" w:oddHBand="0" w:evenHBand="0" w:firstRowFirstColumn="0" w:firstRowLastColumn="0" w:lastRowFirstColumn="0" w:lastRowLastColumn="0"/>
            <w:tcW w:w="2371" w:type="pct"/>
            <w:tcBorders>
              <w:bottom w:val="single" w:sz="4" w:space="0" w:color="C3ECFF" w:themeColor="accent2" w:themeTint="33"/>
            </w:tcBorders>
            <w:shd w:val="clear" w:color="auto" w:fill="C3ECFF"/>
            <w:noWrap/>
            <w:hideMark/>
          </w:tcPr>
          <w:p w:rsidR="002B7B55" w:rsidRPr="00427BB0" w:rsidRDefault="002B7B55" w:rsidP="00E10ED6">
            <w:pPr>
              <w:rPr>
                <w:rFonts w:ascii="Arial Narrow" w:eastAsia="Times New Roman" w:hAnsi="Arial Narrow" w:cstheme="minorHAnsi"/>
                <w:b w:val="0"/>
                <w:color w:val="000000"/>
                <w:sz w:val="24"/>
                <w:szCs w:val="24"/>
                <w:lang w:eastAsia="en-GB"/>
              </w:rPr>
            </w:pPr>
            <w:r w:rsidRPr="00427BB0">
              <w:rPr>
                <w:rFonts w:ascii="Arial Narrow" w:eastAsia="Times New Roman" w:hAnsi="Arial Narrow" w:cstheme="minorHAnsi"/>
                <w:color w:val="000000"/>
                <w:sz w:val="24"/>
                <w:szCs w:val="24"/>
                <w:lang w:eastAsia="en-GB"/>
              </w:rPr>
              <w:t>Accommodation</w:t>
            </w:r>
            <w:r w:rsidR="004B41A2" w:rsidRPr="00427BB0">
              <w:rPr>
                <w:rFonts w:ascii="Arial Narrow" w:eastAsia="Times New Roman" w:hAnsi="Arial Narrow" w:cstheme="minorHAnsi"/>
                <w:color w:val="000000"/>
                <w:sz w:val="24"/>
                <w:szCs w:val="24"/>
                <w:lang w:eastAsia="en-GB"/>
              </w:rPr>
              <w:t xml:space="preserve"> </w:t>
            </w:r>
            <w:r w:rsidRPr="00427BB0">
              <w:rPr>
                <w:rFonts w:ascii="Arial Narrow" w:eastAsia="Times New Roman" w:hAnsi="Arial Narrow" w:cstheme="minorHAnsi"/>
                <w:color w:val="000000"/>
                <w:sz w:val="24"/>
                <w:szCs w:val="24"/>
                <w:lang w:eastAsia="en-GB"/>
              </w:rPr>
              <w:t>and</w:t>
            </w:r>
            <w:r w:rsidR="004B41A2" w:rsidRPr="00427BB0">
              <w:rPr>
                <w:rFonts w:ascii="Arial Narrow" w:eastAsia="Times New Roman" w:hAnsi="Arial Narrow" w:cstheme="minorHAnsi"/>
                <w:color w:val="000000"/>
                <w:sz w:val="24"/>
                <w:szCs w:val="24"/>
                <w:lang w:eastAsia="en-GB"/>
              </w:rPr>
              <w:t xml:space="preserve"> </w:t>
            </w:r>
            <w:r w:rsidRPr="00427BB0">
              <w:rPr>
                <w:rFonts w:ascii="Arial Narrow" w:eastAsia="Times New Roman" w:hAnsi="Arial Narrow" w:cstheme="minorHAnsi"/>
                <w:color w:val="000000"/>
                <w:sz w:val="24"/>
                <w:szCs w:val="24"/>
                <w:lang w:eastAsia="en-GB"/>
              </w:rPr>
              <w:t>Food</w:t>
            </w:r>
            <w:r w:rsidR="004B41A2" w:rsidRPr="00427BB0">
              <w:rPr>
                <w:rFonts w:ascii="Arial Narrow" w:eastAsia="Times New Roman" w:hAnsi="Arial Narrow" w:cstheme="minorHAnsi"/>
                <w:color w:val="000000"/>
                <w:sz w:val="24"/>
                <w:szCs w:val="24"/>
                <w:lang w:eastAsia="en-GB"/>
              </w:rPr>
              <w:t xml:space="preserve"> </w:t>
            </w:r>
            <w:r w:rsidRPr="00427BB0">
              <w:rPr>
                <w:rFonts w:ascii="Arial Narrow" w:eastAsia="Times New Roman" w:hAnsi="Arial Narrow" w:cstheme="minorHAnsi"/>
                <w:color w:val="000000"/>
                <w:sz w:val="24"/>
                <w:szCs w:val="24"/>
                <w:lang w:eastAsia="en-GB"/>
              </w:rPr>
              <w:t>services</w:t>
            </w:r>
          </w:p>
        </w:tc>
        <w:tc>
          <w:tcPr>
            <w:tcW w:w="2629" w:type="pct"/>
            <w:noWrap/>
            <w:vAlign w:val="bottom"/>
            <w:hideMark/>
          </w:tcPr>
          <w:p w:rsidR="002B7B55" w:rsidRPr="00427BB0" w:rsidRDefault="002B7B55" w:rsidP="00E10ED6">
            <w:pPr>
              <w:keepNext/>
              <w:spacing w:line="300" w:lineRule="atLeast"/>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Accommodation</w:t>
            </w:r>
          </w:p>
        </w:tc>
      </w:tr>
      <w:tr w:rsidR="002B7B55" w:rsidRPr="00CA47B9" w:rsidTr="00E450B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C3ECFF" w:themeColor="accent2" w:themeTint="33"/>
            </w:tcBorders>
            <w:shd w:val="clear" w:color="auto" w:fill="C3ECFF"/>
            <w:noWrap/>
            <w:hideMark/>
          </w:tcPr>
          <w:p w:rsidR="002B7B55" w:rsidRPr="00427BB0" w:rsidRDefault="002B7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2B7B55" w:rsidRPr="00427BB0" w:rsidRDefault="002B7B55" w:rsidP="00E10ED6">
            <w:pPr>
              <w:keepNext/>
              <w:spacing w:line="300" w:lineRule="atLeast"/>
              <w:contextualSpacing/>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Food</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and</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beverage</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service</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activities</w:t>
            </w:r>
          </w:p>
        </w:tc>
      </w:tr>
      <w:tr w:rsidR="002B7B55" w:rsidRPr="00CA47B9" w:rsidTr="00E450B4">
        <w:trPr>
          <w:trHeight w:val="20"/>
        </w:trPr>
        <w:tc>
          <w:tcPr>
            <w:cnfStyle w:val="001000000000" w:firstRow="0" w:lastRow="0" w:firstColumn="1" w:lastColumn="0" w:oddVBand="0" w:evenVBand="0" w:oddHBand="0" w:evenHBand="0" w:firstRowFirstColumn="0" w:firstRowLastColumn="0" w:lastRowFirstColumn="0" w:lastRowLastColumn="0"/>
            <w:tcW w:w="2371" w:type="pct"/>
            <w:tcBorders>
              <w:bottom w:val="single" w:sz="4" w:space="0" w:color="FFFFFF" w:themeColor="background1"/>
            </w:tcBorders>
            <w:noWrap/>
            <w:hideMark/>
          </w:tcPr>
          <w:p w:rsidR="002B7B55" w:rsidRPr="00427BB0" w:rsidRDefault="002B7B55" w:rsidP="00E10ED6">
            <w:pPr>
              <w:rPr>
                <w:rFonts w:ascii="Arial Narrow" w:eastAsia="Times New Roman" w:hAnsi="Arial Narrow" w:cstheme="minorHAnsi"/>
                <w:b w:val="0"/>
                <w:color w:val="000000"/>
                <w:sz w:val="24"/>
                <w:szCs w:val="24"/>
                <w:lang w:eastAsia="en-GB"/>
              </w:rPr>
            </w:pPr>
            <w:r w:rsidRPr="00427BB0">
              <w:rPr>
                <w:rFonts w:ascii="Arial Narrow" w:eastAsia="Times New Roman" w:hAnsi="Arial Narrow" w:cstheme="minorHAnsi"/>
                <w:color w:val="000000"/>
                <w:sz w:val="24"/>
                <w:szCs w:val="24"/>
                <w:lang w:eastAsia="en-GB"/>
              </w:rPr>
              <w:t>Information</w:t>
            </w:r>
            <w:r w:rsidR="004B41A2" w:rsidRPr="00427BB0">
              <w:rPr>
                <w:rFonts w:ascii="Arial Narrow" w:eastAsia="Times New Roman" w:hAnsi="Arial Narrow" w:cstheme="minorHAnsi"/>
                <w:color w:val="000000"/>
                <w:sz w:val="24"/>
                <w:szCs w:val="24"/>
                <w:lang w:eastAsia="en-GB"/>
              </w:rPr>
              <w:t xml:space="preserve"> </w:t>
            </w:r>
            <w:r w:rsidRPr="00427BB0">
              <w:rPr>
                <w:rFonts w:ascii="Arial Narrow" w:eastAsia="Times New Roman" w:hAnsi="Arial Narrow" w:cstheme="minorHAnsi"/>
                <w:color w:val="000000"/>
                <w:sz w:val="24"/>
                <w:szCs w:val="24"/>
                <w:lang w:eastAsia="en-GB"/>
              </w:rPr>
              <w:t>and</w:t>
            </w:r>
            <w:r w:rsidR="004B41A2" w:rsidRPr="00427BB0">
              <w:rPr>
                <w:rFonts w:ascii="Arial Narrow" w:eastAsia="Times New Roman" w:hAnsi="Arial Narrow" w:cstheme="minorHAnsi"/>
                <w:color w:val="000000"/>
                <w:sz w:val="24"/>
                <w:szCs w:val="24"/>
                <w:lang w:eastAsia="en-GB"/>
              </w:rPr>
              <w:t xml:space="preserve"> </w:t>
            </w:r>
            <w:r w:rsidRPr="00427BB0">
              <w:rPr>
                <w:rFonts w:ascii="Arial Narrow" w:eastAsia="Times New Roman" w:hAnsi="Arial Narrow" w:cstheme="minorHAnsi"/>
                <w:color w:val="000000"/>
                <w:sz w:val="24"/>
                <w:szCs w:val="24"/>
                <w:lang w:eastAsia="en-GB"/>
              </w:rPr>
              <w:t>communication</w:t>
            </w:r>
          </w:p>
        </w:tc>
        <w:tc>
          <w:tcPr>
            <w:tcW w:w="2629" w:type="pct"/>
            <w:noWrap/>
            <w:vAlign w:val="bottom"/>
            <w:hideMark/>
          </w:tcPr>
          <w:p w:rsidR="002B7B55" w:rsidRPr="00427BB0" w:rsidRDefault="002B7B55" w:rsidP="00E10ED6">
            <w:pPr>
              <w:keepNext/>
              <w:spacing w:line="300" w:lineRule="atLeast"/>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Publishing</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activities</w:t>
            </w:r>
          </w:p>
        </w:tc>
      </w:tr>
      <w:tr w:rsidR="002B7B55" w:rsidRPr="00CA47B9" w:rsidTr="00E450B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FFFFFF" w:themeColor="background1"/>
              <w:bottom w:val="single" w:sz="4" w:space="0" w:color="FFFFFF" w:themeColor="background1"/>
            </w:tcBorders>
            <w:shd w:val="clear" w:color="auto" w:fill="auto"/>
            <w:noWrap/>
            <w:hideMark/>
          </w:tcPr>
          <w:p w:rsidR="002B7B55" w:rsidRPr="00427BB0" w:rsidRDefault="002B7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2B7B55" w:rsidRPr="00427BB0" w:rsidRDefault="002B7B55" w:rsidP="00E10ED6">
            <w:pPr>
              <w:keepNext/>
              <w:spacing w:line="300" w:lineRule="atLeast"/>
              <w:contextualSpacing/>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Motion</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picture,</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video</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and</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television</w:t>
            </w:r>
          </w:p>
        </w:tc>
      </w:tr>
      <w:tr w:rsidR="002B7B55" w:rsidRPr="00CA47B9" w:rsidTr="00E450B4">
        <w:trPr>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FFFFFF" w:themeColor="background1"/>
              <w:bottom w:val="single" w:sz="4" w:space="0" w:color="FFFFFF" w:themeColor="background1"/>
            </w:tcBorders>
            <w:noWrap/>
            <w:hideMark/>
          </w:tcPr>
          <w:p w:rsidR="002B7B55" w:rsidRPr="00427BB0" w:rsidRDefault="002B7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2B7B55" w:rsidRPr="00427BB0" w:rsidRDefault="002B7B55" w:rsidP="00E10ED6">
            <w:pPr>
              <w:keepNext/>
              <w:spacing w:line="300" w:lineRule="atLeast"/>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Programming</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and</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broadcasting</w:t>
            </w:r>
            <w:r w:rsidR="004B41A2" w:rsidRPr="00427BB0">
              <w:rPr>
                <w:rFonts w:ascii="Arial Narrow" w:hAnsi="Arial Narrow" w:cstheme="minorHAnsi"/>
                <w:color w:val="000000"/>
                <w:sz w:val="24"/>
                <w:szCs w:val="24"/>
              </w:rPr>
              <w:t xml:space="preserve"> </w:t>
            </w:r>
          </w:p>
        </w:tc>
      </w:tr>
      <w:tr w:rsidR="002B7B55" w:rsidRPr="00CA47B9" w:rsidTr="00E450B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FFFFFF" w:themeColor="background1"/>
              <w:bottom w:val="single" w:sz="4" w:space="0" w:color="FFFFFF" w:themeColor="background1"/>
            </w:tcBorders>
            <w:shd w:val="clear" w:color="auto" w:fill="auto"/>
            <w:noWrap/>
            <w:hideMark/>
          </w:tcPr>
          <w:p w:rsidR="002B7B55" w:rsidRPr="00427BB0" w:rsidRDefault="002B7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2B7B55" w:rsidRPr="00427BB0" w:rsidRDefault="002B7B55" w:rsidP="00E10ED6">
            <w:pPr>
              <w:keepNext/>
              <w:spacing w:line="300" w:lineRule="atLeast"/>
              <w:contextualSpacing/>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Telecommunications</w:t>
            </w:r>
          </w:p>
        </w:tc>
      </w:tr>
      <w:tr w:rsidR="002B7B55" w:rsidRPr="00CA47B9" w:rsidTr="00E450B4">
        <w:trPr>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FFFFFF" w:themeColor="background1"/>
              <w:bottom w:val="single" w:sz="4" w:space="0" w:color="FFFFFF" w:themeColor="background1"/>
            </w:tcBorders>
            <w:noWrap/>
            <w:hideMark/>
          </w:tcPr>
          <w:p w:rsidR="002B7B55" w:rsidRPr="00427BB0" w:rsidRDefault="002B7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2B7B55" w:rsidRPr="00427BB0" w:rsidRDefault="002B7B55" w:rsidP="00E10ED6">
            <w:pPr>
              <w:keepNext/>
              <w:spacing w:line="300" w:lineRule="atLeast"/>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Computer</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programming,</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consultancy</w:t>
            </w:r>
            <w:r w:rsidR="004B41A2" w:rsidRPr="00427BB0">
              <w:rPr>
                <w:rFonts w:ascii="Arial Narrow" w:hAnsi="Arial Narrow" w:cstheme="minorHAnsi"/>
                <w:color w:val="000000"/>
                <w:sz w:val="24"/>
                <w:szCs w:val="24"/>
              </w:rPr>
              <w:t xml:space="preserve"> </w:t>
            </w:r>
          </w:p>
        </w:tc>
      </w:tr>
      <w:tr w:rsidR="002B7B55" w:rsidRPr="00CA47B9" w:rsidTr="00E450B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FFFFFF" w:themeColor="background1"/>
            </w:tcBorders>
            <w:shd w:val="clear" w:color="auto" w:fill="auto"/>
            <w:noWrap/>
            <w:hideMark/>
          </w:tcPr>
          <w:p w:rsidR="002B7B55" w:rsidRPr="00427BB0" w:rsidRDefault="002B7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2B7B55" w:rsidRPr="00427BB0" w:rsidRDefault="002B7B55" w:rsidP="00E10ED6">
            <w:pPr>
              <w:keepNext/>
              <w:spacing w:line="300" w:lineRule="atLeast"/>
              <w:contextualSpacing/>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Information</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service</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activities</w:t>
            </w:r>
          </w:p>
        </w:tc>
      </w:tr>
      <w:tr w:rsidR="002B7B55" w:rsidRPr="00CA47B9" w:rsidTr="00E450B4">
        <w:trPr>
          <w:trHeight w:val="20"/>
        </w:trPr>
        <w:tc>
          <w:tcPr>
            <w:cnfStyle w:val="001000000000" w:firstRow="0" w:lastRow="0" w:firstColumn="1" w:lastColumn="0" w:oddVBand="0" w:evenVBand="0" w:oddHBand="0" w:evenHBand="0" w:firstRowFirstColumn="0" w:firstRowLastColumn="0" w:lastRowFirstColumn="0" w:lastRowLastColumn="0"/>
            <w:tcW w:w="2371" w:type="pct"/>
            <w:tcBorders>
              <w:bottom w:val="single" w:sz="4" w:space="0" w:color="C3ECFF" w:themeColor="accent2" w:themeTint="33"/>
            </w:tcBorders>
            <w:shd w:val="clear" w:color="auto" w:fill="C3ECFF"/>
            <w:noWrap/>
            <w:hideMark/>
          </w:tcPr>
          <w:p w:rsidR="002B7B55" w:rsidRPr="00427BB0" w:rsidRDefault="002B7B55" w:rsidP="00E10ED6">
            <w:pPr>
              <w:rPr>
                <w:rFonts w:ascii="Arial Narrow" w:eastAsia="Times New Roman" w:hAnsi="Arial Narrow" w:cstheme="minorHAnsi"/>
                <w:b w:val="0"/>
                <w:color w:val="000000"/>
                <w:sz w:val="24"/>
                <w:szCs w:val="24"/>
                <w:lang w:eastAsia="en-GB"/>
              </w:rPr>
            </w:pPr>
            <w:r w:rsidRPr="00427BB0">
              <w:rPr>
                <w:rFonts w:ascii="Arial Narrow" w:eastAsia="Times New Roman" w:hAnsi="Arial Narrow" w:cstheme="minorHAnsi"/>
                <w:color w:val="000000"/>
                <w:sz w:val="24"/>
                <w:szCs w:val="24"/>
                <w:lang w:eastAsia="en-GB"/>
              </w:rPr>
              <w:t>Professional,</w:t>
            </w:r>
            <w:r w:rsidR="004B41A2" w:rsidRPr="00427BB0">
              <w:rPr>
                <w:rFonts w:ascii="Arial Narrow" w:eastAsia="Times New Roman" w:hAnsi="Arial Narrow" w:cstheme="minorHAnsi"/>
                <w:color w:val="000000"/>
                <w:sz w:val="24"/>
                <w:szCs w:val="24"/>
                <w:lang w:eastAsia="en-GB"/>
              </w:rPr>
              <w:t xml:space="preserve"> </w:t>
            </w:r>
            <w:r w:rsidRPr="00427BB0">
              <w:rPr>
                <w:rFonts w:ascii="Arial Narrow" w:eastAsia="Times New Roman" w:hAnsi="Arial Narrow" w:cstheme="minorHAnsi"/>
                <w:color w:val="000000"/>
                <w:sz w:val="24"/>
                <w:szCs w:val="24"/>
                <w:lang w:eastAsia="en-GB"/>
              </w:rPr>
              <w:t>scientific</w:t>
            </w:r>
            <w:r w:rsidR="004B41A2" w:rsidRPr="00427BB0">
              <w:rPr>
                <w:rFonts w:ascii="Arial Narrow" w:eastAsia="Times New Roman" w:hAnsi="Arial Narrow" w:cstheme="minorHAnsi"/>
                <w:color w:val="000000"/>
                <w:sz w:val="24"/>
                <w:szCs w:val="24"/>
                <w:lang w:eastAsia="en-GB"/>
              </w:rPr>
              <w:t xml:space="preserve"> </w:t>
            </w:r>
            <w:r w:rsidRPr="00427BB0">
              <w:rPr>
                <w:rFonts w:ascii="Arial Narrow" w:eastAsia="Times New Roman" w:hAnsi="Arial Narrow" w:cstheme="minorHAnsi"/>
                <w:color w:val="000000"/>
                <w:sz w:val="24"/>
                <w:szCs w:val="24"/>
                <w:lang w:eastAsia="en-GB"/>
              </w:rPr>
              <w:t>and</w:t>
            </w:r>
            <w:r w:rsidR="004B41A2" w:rsidRPr="00427BB0">
              <w:rPr>
                <w:rFonts w:ascii="Arial Narrow" w:eastAsia="Times New Roman" w:hAnsi="Arial Narrow" w:cstheme="minorHAnsi"/>
                <w:color w:val="000000"/>
                <w:sz w:val="24"/>
                <w:szCs w:val="24"/>
                <w:lang w:eastAsia="en-GB"/>
              </w:rPr>
              <w:t xml:space="preserve"> </w:t>
            </w:r>
            <w:r w:rsidRPr="00427BB0">
              <w:rPr>
                <w:rFonts w:ascii="Arial Narrow" w:eastAsia="Times New Roman" w:hAnsi="Arial Narrow" w:cstheme="minorHAnsi"/>
                <w:color w:val="000000"/>
                <w:sz w:val="24"/>
                <w:szCs w:val="24"/>
                <w:lang w:eastAsia="en-GB"/>
              </w:rPr>
              <w:t>technical</w:t>
            </w:r>
            <w:r w:rsidR="004B41A2" w:rsidRPr="00427BB0">
              <w:rPr>
                <w:rFonts w:ascii="Arial Narrow" w:eastAsia="Times New Roman" w:hAnsi="Arial Narrow" w:cstheme="minorHAnsi"/>
                <w:color w:val="000000"/>
                <w:sz w:val="24"/>
                <w:szCs w:val="24"/>
                <w:lang w:eastAsia="en-GB"/>
              </w:rPr>
              <w:t xml:space="preserve"> </w:t>
            </w:r>
            <w:r w:rsidRPr="00427BB0">
              <w:rPr>
                <w:rFonts w:ascii="Arial Narrow" w:eastAsia="Times New Roman" w:hAnsi="Arial Narrow" w:cstheme="minorHAnsi"/>
                <w:color w:val="000000"/>
                <w:sz w:val="24"/>
                <w:szCs w:val="24"/>
                <w:lang w:eastAsia="en-GB"/>
              </w:rPr>
              <w:t>activities</w:t>
            </w:r>
          </w:p>
        </w:tc>
        <w:tc>
          <w:tcPr>
            <w:tcW w:w="2629" w:type="pct"/>
            <w:noWrap/>
            <w:vAlign w:val="bottom"/>
            <w:hideMark/>
          </w:tcPr>
          <w:p w:rsidR="002B7B55" w:rsidRPr="00427BB0" w:rsidRDefault="002B7B55" w:rsidP="00E10ED6">
            <w:pPr>
              <w:keepNext/>
              <w:spacing w:line="300" w:lineRule="atLeast"/>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Financial</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service</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activities</w:t>
            </w:r>
          </w:p>
        </w:tc>
      </w:tr>
      <w:tr w:rsidR="002B7B55" w:rsidRPr="00CA47B9" w:rsidTr="00E450B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C3ECFF" w:themeColor="accent2" w:themeTint="33"/>
              <w:bottom w:val="single" w:sz="4" w:space="0" w:color="C3ECFF" w:themeColor="accent2" w:themeTint="33"/>
            </w:tcBorders>
            <w:shd w:val="clear" w:color="auto" w:fill="C3ECFF"/>
            <w:noWrap/>
            <w:hideMark/>
          </w:tcPr>
          <w:p w:rsidR="002B7B55" w:rsidRPr="00427BB0" w:rsidRDefault="002B7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2B7B55" w:rsidRPr="00427BB0" w:rsidRDefault="002B7B55" w:rsidP="00E10ED6">
            <w:pPr>
              <w:keepNext/>
              <w:spacing w:line="300" w:lineRule="atLeast"/>
              <w:contextualSpacing/>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Insurance,</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reinsurance</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and</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pension</w:t>
            </w:r>
            <w:r w:rsidR="004B41A2" w:rsidRPr="00427BB0">
              <w:rPr>
                <w:rFonts w:ascii="Arial Narrow" w:hAnsi="Arial Narrow" w:cstheme="minorHAnsi"/>
                <w:color w:val="000000"/>
                <w:sz w:val="24"/>
                <w:szCs w:val="24"/>
              </w:rPr>
              <w:t xml:space="preserve"> </w:t>
            </w:r>
          </w:p>
        </w:tc>
      </w:tr>
      <w:tr w:rsidR="002B7B55" w:rsidRPr="00CA47B9" w:rsidTr="00E450B4">
        <w:trPr>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C3ECFF" w:themeColor="accent2" w:themeTint="33"/>
              <w:bottom w:val="single" w:sz="4" w:space="0" w:color="C3ECFF" w:themeColor="accent2" w:themeTint="33"/>
            </w:tcBorders>
            <w:shd w:val="clear" w:color="auto" w:fill="C3ECFF"/>
            <w:noWrap/>
            <w:hideMark/>
          </w:tcPr>
          <w:p w:rsidR="002B7B55" w:rsidRPr="00427BB0" w:rsidRDefault="002B7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2B7B55" w:rsidRPr="00427BB0" w:rsidRDefault="002B7B55" w:rsidP="00E10ED6">
            <w:pPr>
              <w:keepNext/>
              <w:spacing w:line="300" w:lineRule="atLeast"/>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Activities</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auxiliary</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to</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financial</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services</w:t>
            </w:r>
          </w:p>
        </w:tc>
      </w:tr>
      <w:tr w:rsidR="002B7B55" w:rsidRPr="00CA47B9" w:rsidTr="00E450B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C3ECFF" w:themeColor="accent2" w:themeTint="33"/>
              <w:bottom w:val="single" w:sz="4" w:space="0" w:color="C3ECFF" w:themeColor="accent2" w:themeTint="33"/>
            </w:tcBorders>
            <w:shd w:val="clear" w:color="auto" w:fill="C3ECFF"/>
            <w:noWrap/>
            <w:hideMark/>
          </w:tcPr>
          <w:p w:rsidR="002B7B55" w:rsidRPr="00427BB0" w:rsidRDefault="002B7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2B7B55" w:rsidRPr="00427BB0" w:rsidRDefault="002B7B55" w:rsidP="00E10ED6">
            <w:pPr>
              <w:keepNext/>
              <w:spacing w:line="300" w:lineRule="atLeast"/>
              <w:contextualSpacing/>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Real</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estate</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activities</w:t>
            </w:r>
          </w:p>
        </w:tc>
      </w:tr>
      <w:tr w:rsidR="002B7B55" w:rsidRPr="00CA47B9" w:rsidTr="00E450B4">
        <w:trPr>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C3ECFF" w:themeColor="accent2" w:themeTint="33"/>
              <w:bottom w:val="single" w:sz="4" w:space="0" w:color="C3ECFF" w:themeColor="accent2" w:themeTint="33"/>
            </w:tcBorders>
            <w:shd w:val="clear" w:color="auto" w:fill="C3ECFF"/>
            <w:noWrap/>
            <w:hideMark/>
          </w:tcPr>
          <w:p w:rsidR="002B7B55" w:rsidRPr="00427BB0" w:rsidRDefault="002B7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2B7B55" w:rsidRPr="00427BB0" w:rsidRDefault="002B7B55" w:rsidP="00E10ED6">
            <w:pPr>
              <w:keepNext/>
              <w:spacing w:line="300" w:lineRule="atLeast"/>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Legal</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and</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accounting</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activities</w:t>
            </w:r>
          </w:p>
        </w:tc>
      </w:tr>
      <w:tr w:rsidR="002B7B55" w:rsidRPr="00CA47B9" w:rsidTr="00E450B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C3ECFF" w:themeColor="accent2" w:themeTint="33"/>
              <w:bottom w:val="single" w:sz="4" w:space="0" w:color="C3ECFF" w:themeColor="accent2" w:themeTint="33"/>
            </w:tcBorders>
            <w:shd w:val="clear" w:color="auto" w:fill="C3ECFF"/>
            <w:noWrap/>
            <w:hideMark/>
          </w:tcPr>
          <w:p w:rsidR="002B7B55" w:rsidRPr="00427BB0" w:rsidRDefault="002B7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2B7B55" w:rsidRPr="00427BB0" w:rsidRDefault="002B7B55" w:rsidP="00E10ED6">
            <w:pPr>
              <w:keepNext/>
              <w:spacing w:line="300" w:lineRule="atLeast"/>
              <w:contextualSpacing/>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Activities</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of</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head</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offices</w:t>
            </w:r>
          </w:p>
        </w:tc>
      </w:tr>
      <w:tr w:rsidR="002B7B55" w:rsidRPr="00CA47B9" w:rsidTr="00E450B4">
        <w:trPr>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C3ECFF" w:themeColor="accent2" w:themeTint="33"/>
              <w:bottom w:val="single" w:sz="4" w:space="0" w:color="C3ECFF" w:themeColor="accent2" w:themeTint="33"/>
            </w:tcBorders>
            <w:shd w:val="clear" w:color="auto" w:fill="C3ECFF"/>
            <w:noWrap/>
            <w:hideMark/>
          </w:tcPr>
          <w:p w:rsidR="002B7B55" w:rsidRPr="00427BB0" w:rsidRDefault="002B7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2B7B55" w:rsidRPr="00427BB0" w:rsidRDefault="002B7B55" w:rsidP="00E10ED6">
            <w:pPr>
              <w:keepNext/>
              <w:spacing w:line="300" w:lineRule="atLeast"/>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Architectural</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and</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engineering</w:t>
            </w:r>
            <w:r w:rsidR="004B41A2" w:rsidRPr="00427BB0">
              <w:rPr>
                <w:rFonts w:ascii="Arial Narrow" w:hAnsi="Arial Narrow" w:cstheme="minorHAnsi"/>
                <w:color w:val="000000"/>
                <w:sz w:val="24"/>
                <w:szCs w:val="24"/>
              </w:rPr>
              <w:t xml:space="preserve"> </w:t>
            </w:r>
          </w:p>
        </w:tc>
      </w:tr>
      <w:tr w:rsidR="002B7B55" w:rsidRPr="00CA47B9" w:rsidTr="00E450B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C3ECFF" w:themeColor="accent2" w:themeTint="33"/>
              <w:bottom w:val="single" w:sz="4" w:space="0" w:color="C3ECFF" w:themeColor="accent2" w:themeTint="33"/>
            </w:tcBorders>
            <w:shd w:val="clear" w:color="auto" w:fill="C3ECFF"/>
            <w:noWrap/>
            <w:hideMark/>
          </w:tcPr>
          <w:p w:rsidR="002B7B55" w:rsidRPr="00427BB0" w:rsidRDefault="002B7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2B7B55" w:rsidRPr="00427BB0" w:rsidRDefault="002B7B55" w:rsidP="00E10ED6">
            <w:pPr>
              <w:keepNext/>
              <w:spacing w:line="300" w:lineRule="atLeast"/>
              <w:contextualSpacing/>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Scientific</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research</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and</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development</w:t>
            </w:r>
          </w:p>
        </w:tc>
      </w:tr>
      <w:tr w:rsidR="002B7B55" w:rsidRPr="00CA47B9" w:rsidTr="00E450B4">
        <w:trPr>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C3ECFF" w:themeColor="accent2" w:themeTint="33"/>
              <w:bottom w:val="single" w:sz="4" w:space="0" w:color="C3ECFF" w:themeColor="accent2" w:themeTint="33"/>
            </w:tcBorders>
            <w:shd w:val="clear" w:color="auto" w:fill="C3ECFF"/>
            <w:noWrap/>
            <w:hideMark/>
          </w:tcPr>
          <w:p w:rsidR="002B7B55" w:rsidRPr="00427BB0" w:rsidRDefault="002B7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2B7B55" w:rsidRPr="00427BB0" w:rsidRDefault="002B7B55" w:rsidP="00E10ED6">
            <w:pPr>
              <w:keepNext/>
              <w:spacing w:line="300" w:lineRule="atLeast"/>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Advertising</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and</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market</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research</w:t>
            </w:r>
          </w:p>
        </w:tc>
      </w:tr>
      <w:tr w:rsidR="002B7B55" w:rsidRPr="00CA47B9" w:rsidTr="00E450B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C3ECFF" w:themeColor="accent2" w:themeTint="33"/>
            </w:tcBorders>
            <w:shd w:val="clear" w:color="auto" w:fill="C3ECFF"/>
            <w:noWrap/>
            <w:hideMark/>
          </w:tcPr>
          <w:p w:rsidR="002B7B55" w:rsidRPr="00427BB0" w:rsidRDefault="002B7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2B7B55" w:rsidRPr="00427BB0" w:rsidRDefault="002B7B55" w:rsidP="00E10ED6">
            <w:pPr>
              <w:keepNext/>
              <w:spacing w:line="300" w:lineRule="atLeast"/>
              <w:contextualSpacing/>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Other</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professional,</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scientific</w:t>
            </w:r>
            <w:r w:rsidR="004B41A2" w:rsidRPr="00427BB0">
              <w:rPr>
                <w:rFonts w:ascii="Arial Narrow" w:hAnsi="Arial Narrow" w:cstheme="minorHAnsi"/>
                <w:color w:val="000000"/>
                <w:sz w:val="24"/>
                <w:szCs w:val="24"/>
              </w:rPr>
              <w:t xml:space="preserve"> </w:t>
            </w:r>
          </w:p>
        </w:tc>
      </w:tr>
      <w:tr w:rsidR="002B7B55" w:rsidRPr="00CA47B9" w:rsidTr="00E450B4">
        <w:trPr>
          <w:trHeight w:val="20"/>
        </w:trPr>
        <w:tc>
          <w:tcPr>
            <w:cnfStyle w:val="001000000000" w:firstRow="0" w:lastRow="0" w:firstColumn="1" w:lastColumn="0" w:oddVBand="0" w:evenVBand="0" w:oddHBand="0" w:evenHBand="0" w:firstRowFirstColumn="0" w:firstRowLastColumn="0" w:lastRowFirstColumn="0" w:lastRowLastColumn="0"/>
            <w:tcW w:w="2371" w:type="pct"/>
            <w:tcBorders>
              <w:bottom w:val="single" w:sz="4" w:space="0" w:color="FFFFFF" w:themeColor="background1"/>
            </w:tcBorders>
            <w:noWrap/>
            <w:hideMark/>
          </w:tcPr>
          <w:p w:rsidR="002B7B55" w:rsidRPr="00427BB0" w:rsidRDefault="002B7B55" w:rsidP="00E10ED6">
            <w:pPr>
              <w:rPr>
                <w:rFonts w:ascii="Arial Narrow" w:eastAsia="Times New Roman" w:hAnsi="Arial Narrow" w:cstheme="minorHAnsi"/>
                <w:b w:val="0"/>
                <w:color w:val="000000"/>
                <w:sz w:val="24"/>
                <w:szCs w:val="24"/>
                <w:lang w:eastAsia="en-GB"/>
              </w:rPr>
            </w:pPr>
            <w:r w:rsidRPr="00427BB0">
              <w:rPr>
                <w:rFonts w:ascii="Arial Narrow" w:eastAsia="Times New Roman" w:hAnsi="Arial Narrow" w:cstheme="minorHAnsi"/>
                <w:color w:val="000000"/>
                <w:sz w:val="24"/>
                <w:szCs w:val="24"/>
                <w:lang w:eastAsia="en-GB"/>
              </w:rPr>
              <w:t>Administrative</w:t>
            </w:r>
            <w:r w:rsidR="004B41A2" w:rsidRPr="00427BB0">
              <w:rPr>
                <w:rFonts w:ascii="Arial Narrow" w:eastAsia="Times New Roman" w:hAnsi="Arial Narrow" w:cstheme="minorHAnsi"/>
                <w:color w:val="000000"/>
                <w:sz w:val="24"/>
                <w:szCs w:val="24"/>
                <w:lang w:eastAsia="en-GB"/>
              </w:rPr>
              <w:t xml:space="preserve"> </w:t>
            </w:r>
            <w:r w:rsidRPr="00427BB0">
              <w:rPr>
                <w:rFonts w:ascii="Arial Narrow" w:eastAsia="Times New Roman" w:hAnsi="Arial Narrow" w:cstheme="minorHAnsi"/>
                <w:color w:val="000000"/>
                <w:sz w:val="24"/>
                <w:szCs w:val="24"/>
                <w:lang w:eastAsia="en-GB"/>
              </w:rPr>
              <w:t>and</w:t>
            </w:r>
            <w:r w:rsidR="004B41A2" w:rsidRPr="00427BB0">
              <w:rPr>
                <w:rFonts w:ascii="Arial Narrow" w:eastAsia="Times New Roman" w:hAnsi="Arial Narrow" w:cstheme="minorHAnsi"/>
                <w:color w:val="000000"/>
                <w:sz w:val="24"/>
                <w:szCs w:val="24"/>
                <w:lang w:eastAsia="en-GB"/>
              </w:rPr>
              <w:t xml:space="preserve"> </w:t>
            </w:r>
            <w:r w:rsidRPr="00427BB0">
              <w:rPr>
                <w:rFonts w:ascii="Arial Narrow" w:eastAsia="Times New Roman" w:hAnsi="Arial Narrow" w:cstheme="minorHAnsi"/>
                <w:color w:val="000000"/>
                <w:sz w:val="24"/>
                <w:szCs w:val="24"/>
                <w:lang w:eastAsia="en-GB"/>
              </w:rPr>
              <w:t>support</w:t>
            </w:r>
            <w:r w:rsidR="004B41A2" w:rsidRPr="00427BB0">
              <w:rPr>
                <w:rFonts w:ascii="Arial Narrow" w:eastAsia="Times New Roman" w:hAnsi="Arial Narrow" w:cstheme="minorHAnsi"/>
                <w:color w:val="000000"/>
                <w:sz w:val="24"/>
                <w:szCs w:val="24"/>
                <w:lang w:eastAsia="en-GB"/>
              </w:rPr>
              <w:t xml:space="preserve"> </w:t>
            </w:r>
            <w:r w:rsidRPr="00427BB0">
              <w:rPr>
                <w:rFonts w:ascii="Arial Narrow" w:eastAsia="Times New Roman" w:hAnsi="Arial Narrow" w:cstheme="minorHAnsi"/>
                <w:color w:val="000000"/>
                <w:sz w:val="24"/>
                <w:szCs w:val="24"/>
                <w:lang w:eastAsia="en-GB"/>
              </w:rPr>
              <w:t>service</w:t>
            </w:r>
            <w:r w:rsidR="004B41A2" w:rsidRPr="00427BB0">
              <w:rPr>
                <w:rFonts w:ascii="Arial Narrow" w:eastAsia="Times New Roman" w:hAnsi="Arial Narrow" w:cstheme="minorHAnsi"/>
                <w:color w:val="000000"/>
                <w:sz w:val="24"/>
                <w:szCs w:val="24"/>
                <w:lang w:eastAsia="en-GB"/>
              </w:rPr>
              <w:t xml:space="preserve"> </w:t>
            </w:r>
            <w:r w:rsidRPr="00427BB0">
              <w:rPr>
                <w:rFonts w:ascii="Arial Narrow" w:eastAsia="Times New Roman" w:hAnsi="Arial Narrow" w:cstheme="minorHAnsi"/>
                <w:color w:val="000000"/>
                <w:sz w:val="24"/>
                <w:szCs w:val="24"/>
                <w:lang w:eastAsia="en-GB"/>
              </w:rPr>
              <w:t>activities</w:t>
            </w:r>
          </w:p>
        </w:tc>
        <w:tc>
          <w:tcPr>
            <w:tcW w:w="2629" w:type="pct"/>
            <w:noWrap/>
            <w:vAlign w:val="bottom"/>
            <w:hideMark/>
          </w:tcPr>
          <w:p w:rsidR="002B7B55" w:rsidRPr="00427BB0" w:rsidRDefault="002B7B55" w:rsidP="00E10ED6">
            <w:pPr>
              <w:keepNext/>
              <w:spacing w:line="300" w:lineRule="atLeast"/>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Veterinary</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activities</w:t>
            </w:r>
          </w:p>
        </w:tc>
      </w:tr>
      <w:tr w:rsidR="002B7B55" w:rsidRPr="00CA47B9" w:rsidTr="00E450B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FFFFFF" w:themeColor="background1"/>
              <w:bottom w:val="single" w:sz="4" w:space="0" w:color="FFFFFF" w:themeColor="background1"/>
            </w:tcBorders>
            <w:shd w:val="clear" w:color="auto" w:fill="auto"/>
            <w:noWrap/>
          </w:tcPr>
          <w:p w:rsidR="002B7B55" w:rsidRPr="00427BB0" w:rsidRDefault="002B7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2B7B55" w:rsidRPr="00427BB0" w:rsidRDefault="002B7B55" w:rsidP="00E10ED6">
            <w:pPr>
              <w:keepNext/>
              <w:spacing w:line="300" w:lineRule="atLeast"/>
              <w:contextualSpacing/>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Rental</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and</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leasing</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activities</w:t>
            </w:r>
          </w:p>
        </w:tc>
      </w:tr>
      <w:tr w:rsidR="002B7B55" w:rsidRPr="00CA47B9" w:rsidTr="00E450B4">
        <w:trPr>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FFFFFF" w:themeColor="background1"/>
              <w:bottom w:val="single" w:sz="4" w:space="0" w:color="FFFFFF" w:themeColor="background1"/>
            </w:tcBorders>
            <w:noWrap/>
          </w:tcPr>
          <w:p w:rsidR="002B7B55" w:rsidRPr="00427BB0" w:rsidRDefault="002B7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2B7B55" w:rsidRPr="00427BB0" w:rsidRDefault="002B7B55" w:rsidP="00E10ED6">
            <w:pPr>
              <w:keepNext/>
              <w:spacing w:line="300" w:lineRule="atLeast"/>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Employment</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activities</w:t>
            </w:r>
          </w:p>
        </w:tc>
      </w:tr>
      <w:tr w:rsidR="002B7B55" w:rsidRPr="00CA47B9" w:rsidTr="00E450B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FFFFFF" w:themeColor="background1"/>
              <w:bottom w:val="single" w:sz="4" w:space="0" w:color="FFFFFF" w:themeColor="background1"/>
            </w:tcBorders>
            <w:shd w:val="clear" w:color="auto" w:fill="auto"/>
            <w:noWrap/>
          </w:tcPr>
          <w:p w:rsidR="002B7B55" w:rsidRPr="00427BB0" w:rsidRDefault="002B7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2B7B55" w:rsidRPr="00427BB0" w:rsidRDefault="002B7B55" w:rsidP="00E10ED6">
            <w:pPr>
              <w:keepNext/>
              <w:spacing w:line="300" w:lineRule="atLeast"/>
              <w:contextualSpacing/>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Travel</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agency,</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tour</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operator</w:t>
            </w:r>
            <w:r w:rsidR="004B41A2" w:rsidRPr="00427BB0">
              <w:rPr>
                <w:rFonts w:ascii="Arial Narrow" w:hAnsi="Arial Narrow" w:cstheme="minorHAnsi"/>
                <w:color w:val="000000"/>
                <w:sz w:val="24"/>
                <w:szCs w:val="24"/>
              </w:rPr>
              <w:t xml:space="preserve"> </w:t>
            </w:r>
          </w:p>
        </w:tc>
      </w:tr>
      <w:tr w:rsidR="002B7B55" w:rsidRPr="00CA47B9" w:rsidTr="00E450B4">
        <w:trPr>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FFFFFF" w:themeColor="background1"/>
              <w:bottom w:val="single" w:sz="4" w:space="0" w:color="FFFFFF" w:themeColor="background1"/>
            </w:tcBorders>
            <w:noWrap/>
          </w:tcPr>
          <w:p w:rsidR="002B7B55" w:rsidRPr="00427BB0" w:rsidRDefault="002B7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2B7B55" w:rsidRPr="00427BB0" w:rsidRDefault="002B7B55" w:rsidP="00E10ED6">
            <w:pPr>
              <w:keepNext/>
              <w:spacing w:line="300" w:lineRule="atLeast"/>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Security</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and</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investigation</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activities</w:t>
            </w:r>
          </w:p>
        </w:tc>
      </w:tr>
      <w:tr w:rsidR="002B7B55" w:rsidRPr="00CA47B9" w:rsidTr="00E450B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FFFFFF" w:themeColor="background1"/>
              <w:bottom w:val="single" w:sz="4" w:space="0" w:color="FFFFFF" w:themeColor="background1"/>
            </w:tcBorders>
            <w:shd w:val="clear" w:color="auto" w:fill="auto"/>
            <w:noWrap/>
          </w:tcPr>
          <w:p w:rsidR="002B7B55" w:rsidRPr="00427BB0" w:rsidRDefault="002B7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2B7B55" w:rsidRPr="00427BB0" w:rsidRDefault="002B7B55" w:rsidP="00E10ED6">
            <w:pPr>
              <w:keepNext/>
              <w:spacing w:line="300" w:lineRule="atLeast"/>
              <w:contextualSpacing/>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Services</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to</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buildings</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and</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landscapes</w:t>
            </w:r>
          </w:p>
        </w:tc>
      </w:tr>
      <w:tr w:rsidR="002B7B55" w:rsidRPr="00CA47B9" w:rsidTr="00E450B4">
        <w:trPr>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FFFFFF" w:themeColor="background1"/>
            </w:tcBorders>
            <w:noWrap/>
          </w:tcPr>
          <w:p w:rsidR="002B7B55" w:rsidRPr="00427BB0" w:rsidRDefault="002B7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2B7B55" w:rsidRPr="00427BB0" w:rsidRDefault="002B7B55" w:rsidP="00E10ED6">
            <w:pPr>
              <w:keepNext/>
              <w:spacing w:line="300" w:lineRule="atLeast"/>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Office</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administrative,</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office</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support</w:t>
            </w:r>
          </w:p>
        </w:tc>
      </w:tr>
      <w:tr w:rsidR="002B7B55" w:rsidRPr="00CA47B9" w:rsidTr="00A0674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1" w:type="pct"/>
            <w:noWrap/>
            <w:hideMark/>
          </w:tcPr>
          <w:p w:rsidR="002B7B55" w:rsidRPr="00427BB0" w:rsidRDefault="002B7B55" w:rsidP="00E10ED6">
            <w:pPr>
              <w:rPr>
                <w:rFonts w:ascii="Arial Narrow" w:eastAsia="Times New Roman" w:hAnsi="Arial Narrow" w:cstheme="minorHAnsi"/>
                <w:b w:val="0"/>
                <w:color w:val="000000"/>
                <w:sz w:val="24"/>
                <w:szCs w:val="24"/>
                <w:lang w:eastAsia="en-GB"/>
              </w:rPr>
            </w:pPr>
            <w:r w:rsidRPr="00427BB0">
              <w:rPr>
                <w:rFonts w:ascii="Arial Narrow" w:eastAsia="Times New Roman" w:hAnsi="Arial Narrow" w:cstheme="minorHAnsi"/>
                <w:color w:val="000000"/>
                <w:sz w:val="24"/>
                <w:szCs w:val="24"/>
                <w:lang w:eastAsia="en-GB"/>
              </w:rPr>
              <w:t>Public</w:t>
            </w:r>
            <w:r w:rsidR="004B41A2" w:rsidRPr="00427BB0">
              <w:rPr>
                <w:rFonts w:ascii="Arial Narrow" w:eastAsia="Times New Roman" w:hAnsi="Arial Narrow" w:cstheme="minorHAnsi"/>
                <w:color w:val="000000"/>
                <w:sz w:val="24"/>
                <w:szCs w:val="24"/>
                <w:lang w:eastAsia="en-GB"/>
              </w:rPr>
              <w:t xml:space="preserve"> </w:t>
            </w:r>
            <w:r w:rsidRPr="00427BB0">
              <w:rPr>
                <w:rFonts w:ascii="Arial Narrow" w:eastAsia="Times New Roman" w:hAnsi="Arial Narrow" w:cstheme="minorHAnsi"/>
                <w:color w:val="000000"/>
                <w:sz w:val="24"/>
                <w:szCs w:val="24"/>
                <w:lang w:eastAsia="en-GB"/>
              </w:rPr>
              <w:t>admin</w:t>
            </w:r>
            <w:r w:rsidR="004B41A2" w:rsidRPr="00427BB0">
              <w:rPr>
                <w:rFonts w:ascii="Arial Narrow" w:eastAsia="Times New Roman" w:hAnsi="Arial Narrow" w:cstheme="minorHAnsi"/>
                <w:color w:val="000000"/>
                <w:sz w:val="24"/>
                <w:szCs w:val="24"/>
                <w:lang w:eastAsia="en-GB"/>
              </w:rPr>
              <w:t xml:space="preserve"> </w:t>
            </w:r>
            <w:r w:rsidRPr="00427BB0">
              <w:rPr>
                <w:rFonts w:ascii="Arial Narrow" w:eastAsia="Times New Roman" w:hAnsi="Arial Narrow" w:cstheme="minorHAnsi"/>
                <w:color w:val="000000"/>
                <w:sz w:val="24"/>
                <w:szCs w:val="24"/>
                <w:lang w:eastAsia="en-GB"/>
              </w:rPr>
              <w:t>and</w:t>
            </w:r>
            <w:r w:rsidR="004B41A2" w:rsidRPr="00427BB0">
              <w:rPr>
                <w:rFonts w:ascii="Arial Narrow" w:eastAsia="Times New Roman" w:hAnsi="Arial Narrow" w:cstheme="minorHAnsi"/>
                <w:color w:val="000000"/>
                <w:sz w:val="24"/>
                <w:szCs w:val="24"/>
                <w:lang w:eastAsia="en-GB"/>
              </w:rPr>
              <w:t xml:space="preserve"> </w:t>
            </w:r>
            <w:r w:rsidRPr="00427BB0">
              <w:rPr>
                <w:rFonts w:ascii="Arial Narrow" w:eastAsia="Times New Roman" w:hAnsi="Arial Narrow" w:cstheme="minorHAnsi"/>
                <w:color w:val="000000"/>
                <w:sz w:val="24"/>
                <w:szCs w:val="24"/>
                <w:lang w:eastAsia="en-GB"/>
              </w:rPr>
              <w:t>defence</w:t>
            </w:r>
          </w:p>
        </w:tc>
        <w:tc>
          <w:tcPr>
            <w:tcW w:w="2629" w:type="pct"/>
            <w:noWrap/>
            <w:vAlign w:val="bottom"/>
            <w:hideMark/>
          </w:tcPr>
          <w:p w:rsidR="002B7B55" w:rsidRPr="00427BB0" w:rsidRDefault="002B7B55" w:rsidP="00E10ED6">
            <w:pPr>
              <w:keepNext/>
              <w:spacing w:line="300" w:lineRule="atLeast"/>
              <w:contextualSpacing/>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Public</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administration</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and</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defence</w:t>
            </w:r>
          </w:p>
        </w:tc>
      </w:tr>
      <w:tr w:rsidR="002B7B55" w:rsidRPr="00CA47B9" w:rsidTr="00A06746">
        <w:trPr>
          <w:trHeight w:val="20"/>
        </w:trPr>
        <w:tc>
          <w:tcPr>
            <w:cnfStyle w:val="001000000000" w:firstRow="0" w:lastRow="0" w:firstColumn="1" w:lastColumn="0" w:oddVBand="0" w:evenVBand="0" w:oddHBand="0" w:evenHBand="0" w:firstRowFirstColumn="0" w:firstRowLastColumn="0" w:lastRowFirstColumn="0" w:lastRowLastColumn="0"/>
            <w:tcW w:w="2371" w:type="pct"/>
            <w:noWrap/>
            <w:hideMark/>
          </w:tcPr>
          <w:p w:rsidR="002B7B55" w:rsidRPr="00427BB0" w:rsidRDefault="002B7B55" w:rsidP="00E10ED6">
            <w:pPr>
              <w:rPr>
                <w:rFonts w:ascii="Arial Narrow" w:eastAsia="Times New Roman" w:hAnsi="Arial Narrow" w:cstheme="minorHAnsi"/>
                <w:b w:val="0"/>
                <w:color w:val="000000"/>
                <w:sz w:val="24"/>
                <w:szCs w:val="24"/>
                <w:lang w:eastAsia="en-GB"/>
              </w:rPr>
            </w:pPr>
            <w:r w:rsidRPr="00427BB0">
              <w:rPr>
                <w:rFonts w:ascii="Arial Narrow" w:eastAsia="Times New Roman" w:hAnsi="Arial Narrow" w:cstheme="minorHAnsi"/>
                <w:color w:val="000000"/>
                <w:sz w:val="24"/>
                <w:szCs w:val="24"/>
                <w:lang w:eastAsia="en-GB"/>
              </w:rPr>
              <w:t>Education</w:t>
            </w:r>
          </w:p>
        </w:tc>
        <w:tc>
          <w:tcPr>
            <w:tcW w:w="2629" w:type="pct"/>
            <w:noWrap/>
            <w:vAlign w:val="bottom"/>
            <w:hideMark/>
          </w:tcPr>
          <w:p w:rsidR="002B7B55" w:rsidRPr="00427BB0" w:rsidRDefault="002B7B55" w:rsidP="00E10ED6">
            <w:pPr>
              <w:keepNext/>
              <w:spacing w:line="300" w:lineRule="atLeast"/>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Education</w:t>
            </w:r>
          </w:p>
        </w:tc>
      </w:tr>
      <w:tr w:rsidR="002B7B55" w:rsidRPr="00CA47B9" w:rsidTr="00C65D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1" w:type="pct"/>
            <w:tcBorders>
              <w:bottom w:val="single" w:sz="4" w:space="0" w:color="C3ECFF" w:themeColor="accent2" w:themeTint="33"/>
            </w:tcBorders>
            <w:noWrap/>
            <w:hideMark/>
          </w:tcPr>
          <w:p w:rsidR="002B7B55" w:rsidRPr="00427BB0" w:rsidRDefault="002B7B55" w:rsidP="00E10ED6">
            <w:pPr>
              <w:rPr>
                <w:rFonts w:ascii="Arial Narrow" w:eastAsia="Times New Roman" w:hAnsi="Arial Narrow" w:cstheme="minorHAnsi"/>
                <w:b w:val="0"/>
                <w:color w:val="000000"/>
                <w:sz w:val="24"/>
                <w:szCs w:val="24"/>
                <w:lang w:eastAsia="en-GB"/>
              </w:rPr>
            </w:pPr>
            <w:r w:rsidRPr="00427BB0">
              <w:rPr>
                <w:rFonts w:ascii="Arial Narrow" w:eastAsia="Times New Roman" w:hAnsi="Arial Narrow" w:cstheme="minorHAnsi"/>
                <w:color w:val="000000"/>
                <w:sz w:val="24"/>
                <w:szCs w:val="24"/>
                <w:lang w:eastAsia="en-GB"/>
              </w:rPr>
              <w:t>Health</w:t>
            </w:r>
            <w:r w:rsidR="004B41A2" w:rsidRPr="00427BB0">
              <w:rPr>
                <w:rFonts w:ascii="Arial Narrow" w:eastAsia="Times New Roman" w:hAnsi="Arial Narrow" w:cstheme="minorHAnsi"/>
                <w:color w:val="000000"/>
                <w:sz w:val="24"/>
                <w:szCs w:val="24"/>
                <w:lang w:eastAsia="en-GB"/>
              </w:rPr>
              <w:t xml:space="preserve"> </w:t>
            </w:r>
            <w:r w:rsidRPr="00427BB0">
              <w:rPr>
                <w:rFonts w:ascii="Arial Narrow" w:eastAsia="Times New Roman" w:hAnsi="Arial Narrow" w:cstheme="minorHAnsi"/>
                <w:color w:val="000000"/>
                <w:sz w:val="24"/>
                <w:szCs w:val="24"/>
                <w:lang w:eastAsia="en-GB"/>
              </w:rPr>
              <w:t>and</w:t>
            </w:r>
            <w:r w:rsidR="004B41A2" w:rsidRPr="00427BB0">
              <w:rPr>
                <w:rFonts w:ascii="Arial Narrow" w:eastAsia="Times New Roman" w:hAnsi="Arial Narrow" w:cstheme="minorHAnsi"/>
                <w:color w:val="000000"/>
                <w:sz w:val="24"/>
                <w:szCs w:val="24"/>
                <w:lang w:eastAsia="en-GB"/>
              </w:rPr>
              <w:t xml:space="preserve"> </w:t>
            </w:r>
            <w:r w:rsidRPr="00427BB0">
              <w:rPr>
                <w:rFonts w:ascii="Arial Narrow" w:eastAsia="Times New Roman" w:hAnsi="Arial Narrow" w:cstheme="minorHAnsi"/>
                <w:color w:val="000000"/>
                <w:sz w:val="24"/>
                <w:szCs w:val="24"/>
                <w:lang w:eastAsia="en-GB"/>
              </w:rPr>
              <w:t>Social</w:t>
            </w:r>
            <w:r w:rsidR="004B41A2" w:rsidRPr="00427BB0">
              <w:rPr>
                <w:rFonts w:ascii="Arial Narrow" w:eastAsia="Times New Roman" w:hAnsi="Arial Narrow" w:cstheme="minorHAnsi"/>
                <w:color w:val="000000"/>
                <w:sz w:val="24"/>
                <w:szCs w:val="24"/>
                <w:lang w:eastAsia="en-GB"/>
              </w:rPr>
              <w:t xml:space="preserve"> </w:t>
            </w:r>
            <w:r w:rsidRPr="00427BB0">
              <w:rPr>
                <w:rFonts w:ascii="Arial Narrow" w:eastAsia="Times New Roman" w:hAnsi="Arial Narrow" w:cstheme="minorHAnsi"/>
                <w:color w:val="000000"/>
                <w:sz w:val="24"/>
                <w:szCs w:val="24"/>
                <w:lang w:eastAsia="en-GB"/>
              </w:rPr>
              <w:t>work</w:t>
            </w:r>
          </w:p>
        </w:tc>
        <w:tc>
          <w:tcPr>
            <w:tcW w:w="2629" w:type="pct"/>
            <w:noWrap/>
            <w:vAlign w:val="bottom"/>
            <w:hideMark/>
          </w:tcPr>
          <w:p w:rsidR="002B7B55" w:rsidRPr="00427BB0" w:rsidRDefault="002B7B55" w:rsidP="00E10ED6">
            <w:pPr>
              <w:keepNext/>
              <w:spacing w:line="300" w:lineRule="atLeast"/>
              <w:contextualSpacing/>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Human</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health</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activities</w:t>
            </w:r>
          </w:p>
        </w:tc>
      </w:tr>
      <w:tr w:rsidR="002B7B55" w:rsidRPr="00CA47B9" w:rsidTr="00C65DBC">
        <w:trPr>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C3ECFF" w:themeColor="accent2" w:themeTint="33"/>
              <w:bottom w:val="single" w:sz="4" w:space="0" w:color="C3ECFF" w:themeColor="accent2" w:themeTint="33"/>
            </w:tcBorders>
            <w:shd w:val="clear" w:color="auto" w:fill="C3ECFF" w:themeFill="accent2" w:themeFillTint="33"/>
            <w:noWrap/>
            <w:hideMark/>
          </w:tcPr>
          <w:p w:rsidR="002B7B55" w:rsidRPr="00427BB0" w:rsidRDefault="002B7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2B7B55" w:rsidRPr="00427BB0" w:rsidRDefault="002B7B55" w:rsidP="00E10ED6">
            <w:pPr>
              <w:keepNext/>
              <w:spacing w:line="300" w:lineRule="atLeast"/>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Residential</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care</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activities</w:t>
            </w:r>
          </w:p>
        </w:tc>
      </w:tr>
      <w:tr w:rsidR="002B7B55" w:rsidRPr="00CA47B9" w:rsidTr="00C65D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C3ECFF" w:themeColor="accent2" w:themeTint="33"/>
            </w:tcBorders>
            <w:noWrap/>
            <w:hideMark/>
          </w:tcPr>
          <w:p w:rsidR="002B7B55" w:rsidRPr="00427BB0" w:rsidRDefault="002B7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2B7B55" w:rsidRPr="00427BB0" w:rsidRDefault="002B7B55" w:rsidP="00E10ED6">
            <w:pPr>
              <w:keepNext/>
              <w:spacing w:line="300" w:lineRule="atLeast"/>
              <w:contextualSpacing/>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Social</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work</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activities</w:t>
            </w:r>
            <w:r w:rsidR="004B41A2" w:rsidRPr="00427BB0">
              <w:rPr>
                <w:rFonts w:ascii="Arial Narrow" w:hAnsi="Arial Narrow" w:cstheme="minorHAnsi"/>
                <w:color w:val="000000"/>
                <w:sz w:val="24"/>
                <w:szCs w:val="24"/>
              </w:rPr>
              <w:t xml:space="preserve"> </w:t>
            </w:r>
          </w:p>
        </w:tc>
      </w:tr>
      <w:tr w:rsidR="002B7B55" w:rsidRPr="00CA47B9" w:rsidTr="00A06746">
        <w:trPr>
          <w:trHeight w:val="20"/>
        </w:trPr>
        <w:tc>
          <w:tcPr>
            <w:cnfStyle w:val="001000000000" w:firstRow="0" w:lastRow="0" w:firstColumn="1" w:lastColumn="0" w:oddVBand="0" w:evenVBand="0" w:oddHBand="0" w:evenHBand="0" w:firstRowFirstColumn="0" w:firstRowLastColumn="0" w:lastRowFirstColumn="0" w:lastRowLastColumn="0"/>
            <w:tcW w:w="2371" w:type="pct"/>
            <w:noWrap/>
            <w:hideMark/>
          </w:tcPr>
          <w:p w:rsidR="002B7B55" w:rsidRPr="00427BB0" w:rsidRDefault="002B7B55" w:rsidP="00E10ED6">
            <w:pPr>
              <w:rPr>
                <w:rFonts w:ascii="Arial Narrow" w:eastAsia="Times New Roman" w:hAnsi="Arial Narrow" w:cstheme="minorHAnsi"/>
                <w:b w:val="0"/>
                <w:color w:val="000000"/>
                <w:sz w:val="24"/>
                <w:szCs w:val="24"/>
                <w:lang w:eastAsia="en-GB"/>
              </w:rPr>
            </w:pPr>
            <w:r w:rsidRPr="00427BB0">
              <w:rPr>
                <w:rFonts w:ascii="Arial Narrow" w:eastAsia="Times New Roman" w:hAnsi="Arial Narrow" w:cstheme="minorHAnsi"/>
                <w:color w:val="000000"/>
                <w:sz w:val="24"/>
                <w:szCs w:val="24"/>
                <w:lang w:eastAsia="en-GB"/>
              </w:rPr>
              <w:t>Arts,</w:t>
            </w:r>
            <w:r w:rsidR="004B41A2" w:rsidRPr="00427BB0">
              <w:rPr>
                <w:rFonts w:ascii="Arial Narrow" w:eastAsia="Times New Roman" w:hAnsi="Arial Narrow" w:cstheme="minorHAnsi"/>
                <w:color w:val="000000"/>
                <w:sz w:val="24"/>
                <w:szCs w:val="24"/>
                <w:lang w:eastAsia="en-GB"/>
              </w:rPr>
              <w:t xml:space="preserve"> </w:t>
            </w:r>
            <w:r w:rsidRPr="00427BB0">
              <w:rPr>
                <w:rFonts w:ascii="Arial Narrow" w:eastAsia="Times New Roman" w:hAnsi="Arial Narrow" w:cstheme="minorHAnsi"/>
                <w:color w:val="000000"/>
                <w:sz w:val="24"/>
                <w:szCs w:val="24"/>
                <w:lang w:eastAsia="en-GB"/>
              </w:rPr>
              <w:t>entertainment</w:t>
            </w:r>
            <w:r w:rsidR="004B41A2" w:rsidRPr="00427BB0">
              <w:rPr>
                <w:rFonts w:ascii="Arial Narrow" w:eastAsia="Times New Roman" w:hAnsi="Arial Narrow" w:cstheme="minorHAnsi"/>
                <w:color w:val="000000"/>
                <w:sz w:val="24"/>
                <w:szCs w:val="24"/>
                <w:lang w:eastAsia="en-GB"/>
              </w:rPr>
              <w:t xml:space="preserve"> </w:t>
            </w:r>
            <w:r w:rsidRPr="00427BB0">
              <w:rPr>
                <w:rFonts w:ascii="Arial Narrow" w:eastAsia="Times New Roman" w:hAnsi="Arial Narrow" w:cstheme="minorHAnsi"/>
                <w:color w:val="000000"/>
                <w:sz w:val="24"/>
                <w:szCs w:val="24"/>
                <w:lang w:eastAsia="en-GB"/>
              </w:rPr>
              <w:t>and</w:t>
            </w:r>
            <w:r w:rsidR="004B41A2" w:rsidRPr="00427BB0">
              <w:rPr>
                <w:rFonts w:ascii="Arial Narrow" w:eastAsia="Times New Roman" w:hAnsi="Arial Narrow" w:cstheme="minorHAnsi"/>
                <w:color w:val="000000"/>
                <w:sz w:val="24"/>
                <w:szCs w:val="24"/>
                <w:lang w:eastAsia="en-GB"/>
              </w:rPr>
              <w:t xml:space="preserve"> </w:t>
            </w:r>
            <w:r w:rsidRPr="00427BB0">
              <w:rPr>
                <w:rFonts w:ascii="Arial Narrow" w:eastAsia="Times New Roman" w:hAnsi="Arial Narrow" w:cstheme="minorHAnsi"/>
                <w:color w:val="000000"/>
                <w:sz w:val="24"/>
                <w:szCs w:val="24"/>
                <w:lang w:eastAsia="en-GB"/>
              </w:rPr>
              <w:t>recreation</w:t>
            </w:r>
          </w:p>
        </w:tc>
        <w:tc>
          <w:tcPr>
            <w:tcW w:w="2629" w:type="pct"/>
            <w:noWrap/>
            <w:vAlign w:val="bottom"/>
            <w:hideMark/>
          </w:tcPr>
          <w:p w:rsidR="002B7B55" w:rsidRPr="00427BB0" w:rsidRDefault="002B7B55" w:rsidP="00E10ED6">
            <w:pPr>
              <w:keepNext/>
              <w:spacing w:line="300" w:lineRule="atLeast"/>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Creative,</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arts</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and</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entertainment</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activities</w:t>
            </w:r>
          </w:p>
        </w:tc>
      </w:tr>
      <w:tr w:rsidR="002B7B55" w:rsidRPr="00CA47B9" w:rsidTr="00EA1FB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1" w:type="pct"/>
            <w:tcBorders>
              <w:bottom w:val="single" w:sz="4" w:space="0" w:color="C3ECFF" w:themeColor="accent2" w:themeTint="33"/>
            </w:tcBorders>
            <w:noWrap/>
            <w:hideMark/>
          </w:tcPr>
          <w:p w:rsidR="002B7B55" w:rsidRPr="00427BB0" w:rsidRDefault="002B7B55" w:rsidP="00E10ED6">
            <w:pPr>
              <w:rPr>
                <w:rFonts w:ascii="Arial Narrow" w:eastAsia="Times New Roman" w:hAnsi="Arial Narrow" w:cstheme="minorHAnsi"/>
                <w:b w:val="0"/>
                <w:color w:val="000000"/>
                <w:sz w:val="24"/>
                <w:szCs w:val="24"/>
                <w:lang w:eastAsia="en-GB"/>
              </w:rPr>
            </w:pPr>
            <w:r w:rsidRPr="00427BB0">
              <w:rPr>
                <w:rFonts w:ascii="Arial Narrow" w:eastAsia="Times New Roman" w:hAnsi="Arial Narrow" w:cstheme="minorHAnsi"/>
                <w:color w:val="000000"/>
                <w:sz w:val="24"/>
                <w:szCs w:val="24"/>
                <w:lang w:eastAsia="en-GB"/>
              </w:rPr>
              <w:t>Other</w:t>
            </w:r>
            <w:r w:rsidR="004B41A2" w:rsidRPr="00427BB0">
              <w:rPr>
                <w:rFonts w:ascii="Arial Narrow" w:eastAsia="Times New Roman" w:hAnsi="Arial Narrow" w:cstheme="minorHAnsi"/>
                <w:color w:val="000000"/>
                <w:sz w:val="24"/>
                <w:szCs w:val="24"/>
                <w:lang w:eastAsia="en-GB"/>
              </w:rPr>
              <w:t xml:space="preserve"> </w:t>
            </w:r>
            <w:r w:rsidRPr="00427BB0">
              <w:rPr>
                <w:rFonts w:ascii="Arial Narrow" w:eastAsia="Times New Roman" w:hAnsi="Arial Narrow" w:cstheme="minorHAnsi"/>
                <w:color w:val="000000"/>
                <w:sz w:val="24"/>
                <w:szCs w:val="24"/>
                <w:lang w:eastAsia="en-GB"/>
              </w:rPr>
              <w:t>service</w:t>
            </w:r>
            <w:r w:rsidR="004B41A2" w:rsidRPr="00427BB0">
              <w:rPr>
                <w:rFonts w:ascii="Arial Narrow" w:eastAsia="Times New Roman" w:hAnsi="Arial Narrow" w:cstheme="minorHAnsi"/>
                <w:color w:val="000000"/>
                <w:sz w:val="24"/>
                <w:szCs w:val="24"/>
                <w:lang w:eastAsia="en-GB"/>
              </w:rPr>
              <w:t xml:space="preserve"> </w:t>
            </w:r>
            <w:r w:rsidRPr="00427BB0">
              <w:rPr>
                <w:rFonts w:ascii="Arial Narrow" w:eastAsia="Times New Roman" w:hAnsi="Arial Narrow" w:cstheme="minorHAnsi"/>
                <w:color w:val="000000"/>
                <w:sz w:val="24"/>
                <w:szCs w:val="24"/>
                <w:lang w:eastAsia="en-GB"/>
              </w:rPr>
              <w:t>activities</w:t>
            </w:r>
          </w:p>
        </w:tc>
        <w:tc>
          <w:tcPr>
            <w:tcW w:w="2629" w:type="pct"/>
            <w:noWrap/>
            <w:vAlign w:val="bottom"/>
            <w:hideMark/>
          </w:tcPr>
          <w:p w:rsidR="002B7B55" w:rsidRPr="00427BB0" w:rsidRDefault="002B7B55" w:rsidP="00E10ED6">
            <w:pPr>
              <w:keepNext/>
              <w:spacing w:line="300" w:lineRule="atLeast"/>
              <w:contextualSpacing/>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Libraries,</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archives,</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museums</w:t>
            </w:r>
            <w:r w:rsidR="004B41A2" w:rsidRPr="00427BB0">
              <w:rPr>
                <w:rFonts w:ascii="Arial Narrow" w:hAnsi="Arial Narrow" w:cstheme="minorHAnsi"/>
                <w:color w:val="000000"/>
                <w:sz w:val="24"/>
                <w:szCs w:val="24"/>
              </w:rPr>
              <w:t xml:space="preserve"> </w:t>
            </w:r>
          </w:p>
        </w:tc>
      </w:tr>
      <w:tr w:rsidR="002B7B55" w:rsidRPr="00CA47B9" w:rsidTr="00EA1FB6">
        <w:trPr>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C3ECFF" w:themeColor="accent2" w:themeTint="33"/>
              <w:bottom w:val="single" w:sz="4" w:space="0" w:color="C3ECFF" w:themeColor="accent2" w:themeTint="33"/>
            </w:tcBorders>
            <w:shd w:val="clear" w:color="auto" w:fill="C3ECFF" w:themeFill="accent2" w:themeFillTint="33"/>
            <w:noWrap/>
            <w:hideMark/>
          </w:tcPr>
          <w:p w:rsidR="002B7B55" w:rsidRPr="00427BB0" w:rsidRDefault="002B7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2B7B55" w:rsidRPr="00427BB0" w:rsidRDefault="002B7B55" w:rsidP="00E10ED6">
            <w:pPr>
              <w:keepNext/>
              <w:spacing w:line="300" w:lineRule="atLeast"/>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Gambling</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and</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betting</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activities</w:t>
            </w:r>
          </w:p>
        </w:tc>
      </w:tr>
      <w:tr w:rsidR="002B7B55" w:rsidRPr="00CA47B9" w:rsidTr="00EA1FB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C3ECFF" w:themeColor="accent2" w:themeTint="33"/>
              <w:bottom w:val="single" w:sz="4" w:space="0" w:color="C3ECFF" w:themeColor="accent2" w:themeTint="33"/>
            </w:tcBorders>
            <w:noWrap/>
            <w:hideMark/>
          </w:tcPr>
          <w:p w:rsidR="002B7B55" w:rsidRPr="00427BB0" w:rsidRDefault="002B7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2B7B55" w:rsidRPr="00427BB0" w:rsidRDefault="002B7B55" w:rsidP="00E10ED6">
            <w:pPr>
              <w:keepNext/>
              <w:spacing w:line="300" w:lineRule="atLeast"/>
              <w:contextualSpacing/>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Sports</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activities</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and</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amusement</w:t>
            </w:r>
            <w:r w:rsidR="004B41A2" w:rsidRPr="00427BB0">
              <w:rPr>
                <w:rFonts w:ascii="Arial Narrow" w:hAnsi="Arial Narrow" w:cstheme="minorHAnsi"/>
                <w:color w:val="000000"/>
                <w:sz w:val="24"/>
                <w:szCs w:val="24"/>
              </w:rPr>
              <w:t xml:space="preserve"> </w:t>
            </w:r>
          </w:p>
        </w:tc>
      </w:tr>
      <w:tr w:rsidR="002B7B55" w:rsidRPr="00CA47B9" w:rsidTr="00EA1FB6">
        <w:trPr>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C3ECFF" w:themeColor="accent2" w:themeTint="33"/>
              <w:bottom w:val="single" w:sz="4" w:space="0" w:color="C3ECFF" w:themeColor="accent2" w:themeTint="33"/>
            </w:tcBorders>
            <w:shd w:val="clear" w:color="auto" w:fill="C3ECFF" w:themeFill="accent2" w:themeFillTint="33"/>
            <w:noWrap/>
            <w:hideMark/>
          </w:tcPr>
          <w:p w:rsidR="002B7B55" w:rsidRPr="00427BB0" w:rsidRDefault="002B7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2B7B55" w:rsidRPr="00427BB0" w:rsidRDefault="002B7B55" w:rsidP="00E10ED6">
            <w:pPr>
              <w:keepNext/>
              <w:spacing w:line="300" w:lineRule="atLeast"/>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Activities</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of</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membership</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organisation</w:t>
            </w:r>
          </w:p>
        </w:tc>
      </w:tr>
      <w:tr w:rsidR="002B7B55" w:rsidRPr="00CA47B9" w:rsidTr="00C65D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1" w:type="pct"/>
            <w:tcBorders>
              <w:top w:val="single" w:sz="4" w:space="0" w:color="C3ECFF" w:themeColor="accent2" w:themeTint="33"/>
            </w:tcBorders>
            <w:noWrap/>
            <w:hideMark/>
          </w:tcPr>
          <w:p w:rsidR="002B7B55" w:rsidRPr="00427BB0" w:rsidRDefault="002B7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2B7B55" w:rsidRPr="00427BB0" w:rsidRDefault="002B7B55" w:rsidP="00E10ED6">
            <w:pPr>
              <w:keepNext/>
              <w:spacing w:line="300" w:lineRule="atLeast"/>
              <w:contextualSpacing/>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Repair</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of</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computers</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and</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personal</w:t>
            </w:r>
            <w:r w:rsidR="004B41A2" w:rsidRPr="00427BB0">
              <w:rPr>
                <w:rFonts w:ascii="Arial Narrow" w:hAnsi="Arial Narrow" w:cstheme="minorHAnsi"/>
                <w:color w:val="000000"/>
                <w:sz w:val="24"/>
                <w:szCs w:val="24"/>
              </w:rPr>
              <w:t xml:space="preserve"> </w:t>
            </w:r>
          </w:p>
        </w:tc>
      </w:tr>
      <w:tr w:rsidR="002B7B55" w:rsidRPr="00CA47B9" w:rsidTr="00EA1FB6">
        <w:trPr>
          <w:trHeight w:val="20"/>
        </w:trPr>
        <w:tc>
          <w:tcPr>
            <w:cnfStyle w:val="001000000000" w:firstRow="0" w:lastRow="0" w:firstColumn="1" w:lastColumn="0" w:oddVBand="0" w:evenVBand="0" w:oddHBand="0" w:evenHBand="0" w:firstRowFirstColumn="0" w:firstRowLastColumn="0" w:lastRowFirstColumn="0" w:lastRowLastColumn="0"/>
            <w:tcW w:w="2371" w:type="pct"/>
            <w:shd w:val="clear" w:color="auto" w:fill="C3ECFF" w:themeFill="accent2" w:themeFillTint="33"/>
            <w:noWrap/>
            <w:hideMark/>
          </w:tcPr>
          <w:p w:rsidR="002B7B55" w:rsidRPr="00427BB0" w:rsidRDefault="002B7B55" w:rsidP="00E10ED6">
            <w:pPr>
              <w:rPr>
                <w:rFonts w:ascii="Arial Narrow" w:eastAsia="Times New Roman" w:hAnsi="Arial Narrow" w:cstheme="minorHAnsi"/>
                <w:b w:val="0"/>
                <w:color w:val="000000"/>
                <w:sz w:val="24"/>
                <w:szCs w:val="24"/>
                <w:lang w:eastAsia="en-GB"/>
              </w:rPr>
            </w:pPr>
          </w:p>
        </w:tc>
        <w:tc>
          <w:tcPr>
            <w:tcW w:w="2629" w:type="pct"/>
            <w:noWrap/>
            <w:vAlign w:val="bottom"/>
            <w:hideMark/>
          </w:tcPr>
          <w:p w:rsidR="002B7B55" w:rsidRPr="00427BB0" w:rsidRDefault="002B7B55" w:rsidP="00E10ED6">
            <w:pPr>
              <w:keepNext/>
              <w:spacing w:line="300" w:lineRule="atLeast"/>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24"/>
                <w:szCs w:val="24"/>
                <w:lang w:eastAsia="en-GB"/>
              </w:rPr>
            </w:pPr>
            <w:r w:rsidRPr="00427BB0">
              <w:rPr>
                <w:rFonts w:ascii="Arial Narrow" w:hAnsi="Arial Narrow" w:cstheme="minorHAnsi"/>
                <w:color w:val="000000"/>
                <w:sz w:val="24"/>
                <w:szCs w:val="24"/>
              </w:rPr>
              <w:t>Other</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personal</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service</w:t>
            </w:r>
            <w:r w:rsidR="004B41A2" w:rsidRPr="00427BB0">
              <w:rPr>
                <w:rFonts w:ascii="Arial Narrow" w:hAnsi="Arial Narrow" w:cstheme="minorHAnsi"/>
                <w:color w:val="000000"/>
                <w:sz w:val="24"/>
                <w:szCs w:val="24"/>
              </w:rPr>
              <w:t xml:space="preserve"> </w:t>
            </w:r>
            <w:r w:rsidRPr="00427BB0">
              <w:rPr>
                <w:rFonts w:ascii="Arial Narrow" w:hAnsi="Arial Narrow" w:cstheme="minorHAnsi"/>
                <w:color w:val="000000"/>
                <w:sz w:val="24"/>
                <w:szCs w:val="24"/>
              </w:rPr>
              <w:t>activities</w:t>
            </w:r>
          </w:p>
        </w:tc>
      </w:tr>
    </w:tbl>
    <w:p w:rsidR="00E10ED6" w:rsidRDefault="00E10ED6" w:rsidP="000E0A28">
      <w:pPr>
        <w:pStyle w:val="Appendices"/>
        <w:numPr>
          <w:ilvl w:val="0"/>
          <w:numId w:val="0"/>
        </w:numPr>
        <w:ind w:left="794"/>
      </w:pPr>
    </w:p>
    <w:p w:rsidR="00666AB4" w:rsidRPr="00427BB0" w:rsidRDefault="00666AB4" w:rsidP="009719FA">
      <w:pPr>
        <w:pStyle w:val="Appendices"/>
        <w:tabs>
          <w:tab w:val="clear" w:pos="794"/>
          <w:tab w:val="num" w:pos="0"/>
        </w:tabs>
        <w:spacing w:after="0"/>
        <w:ind w:left="0" w:firstLine="0"/>
        <w:rPr>
          <w:sz w:val="24"/>
          <w:szCs w:val="32"/>
        </w:rPr>
      </w:pPr>
      <w:r w:rsidRPr="00427BB0">
        <w:rPr>
          <w:sz w:val="24"/>
          <w:szCs w:val="32"/>
        </w:rPr>
        <w:t>Key Tables for 2019-2037 Plan Period</w:t>
      </w:r>
    </w:p>
    <w:p w:rsidR="00427BB0" w:rsidRPr="00860952" w:rsidRDefault="00427BB0" w:rsidP="00427BB0">
      <w:pPr>
        <w:pStyle w:val="Appendices"/>
        <w:numPr>
          <w:ilvl w:val="0"/>
          <w:numId w:val="0"/>
        </w:numPr>
        <w:spacing w:after="0"/>
        <w:ind w:left="794"/>
      </w:pPr>
    </w:p>
    <w:p w:rsidR="00666AB4" w:rsidRPr="004B604F" w:rsidRDefault="00666AB4" w:rsidP="009719FA">
      <w:pPr>
        <w:pStyle w:val="Tableheading"/>
        <w:tabs>
          <w:tab w:val="clear" w:pos="794"/>
          <w:tab w:val="clear" w:pos="1843"/>
          <w:tab w:val="left" w:pos="0"/>
        </w:tabs>
        <w:spacing w:line="240" w:lineRule="auto"/>
        <w:ind w:left="0" w:firstLine="0"/>
      </w:pPr>
      <w:r w:rsidRPr="002F7AD3">
        <w:t xml:space="preserve">Projected population change in LPA and SDNP </w:t>
      </w:r>
    </w:p>
    <w:tbl>
      <w:tblPr>
        <w:tblStyle w:val="TableGrid"/>
        <w:tblW w:w="4894" w:type="pct"/>
        <w:tblInd w:w="108" w:type="dxa"/>
        <w:tblLook w:val="04A0" w:firstRow="1" w:lastRow="0" w:firstColumn="1" w:lastColumn="0" w:noHBand="0" w:noVBand="1"/>
        <w:tblCaption w:val="Table 69: Projected population change in LPA and SDNP "/>
      </w:tblPr>
      <w:tblGrid>
        <w:gridCol w:w="1863"/>
        <w:gridCol w:w="1969"/>
        <w:gridCol w:w="1969"/>
        <w:gridCol w:w="1969"/>
        <w:gridCol w:w="1868"/>
      </w:tblGrid>
      <w:tr w:rsidR="00666AB4" w:rsidRPr="00666AB4" w:rsidTr="009719FA">
        <w:trPr>
          <w:tblHeader/>
        </w:trPr>
        <w:tc>
          <w:tcPr>
            <w:tcW w:w="966" w:type="pct"/>
            <w:tcBorders>
              <w:top w:val="single" w:sz="4" w:space="0" w:color="auto"/>
              <w:left w:val="single" w:sz="4" w:space="0" w:color="auto"/>
              <w:bottom w:val="single" w:sz="4" w:space="0" w:color="auto"/>
              <w:right w:val="single" w:sz="4" w:space="0" w:color="auto"/>
            </w:tcBorders>
            <w:shd w:val="clear" w:color="auto" w:fill="0093D5" w:themeFill="accent2"/>
          </w:tcPr>
          <w:p w:rsidR="00666AB4" w:rsidRPr="00427BB0" w:rsidRDefault="00666AB4" w:rsidP="00427BB0">
            <w:pPr>
              <w:keepNext/>
              <w:tabs>
                <w:tab w:val="left" w:pos="284"/>
              </w:tabs>
              <w:ind w:left="284" w:hanging="284"/>
              <w:rPr>
                <w:rFonts w:ascii="Arial Narrow" w:hAnsi="Arial Narrow"/>
                <w:bCs/>
                <w:color w:val="FFFFFF" w:themeColor="background1"/>
                <w:sz w:val="24"/>
                <w:szCs w:val="24"/>
              </w:rPr>
            </w:pPr>
          </w:p>
        </w:tc>
        <w:tc>
          <w:tcPr>
            <w:tcW w:w="1021" w:type="pct"/>
            <w:tcBorders>
              <w:top w:val="single" w:sz="4" w:space="0" w:color="auto"/>
              <w:left w:val="single" w:sz="4" w:space="0" w:color="auto"/>
              <w:bottom w:val="single" w:sz="4" w:space="0" w:color="auto"/>
              <w:right w:val="single" w:sz="4" w:space="0" w:color="auto"/>
            </w:tcBorders>
            <w:shd w:val="clear" w:color="auto" w:fill="0093D5" w:themeFill="accent2"/>
            <w:hideMark/>
          </w:tcPr>
          <w:p w:rsidR="00666AB4" w:rsidRPr="00427BB0" w:rsidRDefault="00666AB4" w:rsidP="009719FA">
            <w:pPr>
              <w:keepNext/>
              <w:tabs>
                <w:tab w:val="left" w:pos="284"/>
              </w:tabs>
              <w:ind w:left="284" w:hanging="284"/>
              <w:jc w:val="center"/>
              <w:rPr>
                <w:rFonts w:ascii="Arial Narrow" w:hAnsi="Arial Narrow"/>
                <w:bCs/>
                <w:color w:val="FFFFFF" w:themeColor="background1"/>
                <w:sz w:val="24"/>
                <w:szCs w:val="24"/>
              </w:rPr>
            </w:pPr>
            <w:r w:rsidRPr="00427BB0">
              <w:rPr>
                <w:rFonts w:ascii="Arial Narrow" w:hAnsi="Arial Narrow"/>
                <w:bCs/>
                <w:color w:val="FFFFFF" w:themeColor="background1"/>
                <w:sz w:val="24"/>
                <w:szCs w:val="24"/>
              </w:rPr>
              <w:t>Population 2019</w:t>
            </w:r>
          </w:p>
        </w:tc>
        <w:tc>
          <w:tcPr>
            <w:tcW w:w="1021" w:type="pct"/>
            <w:tcBorders>
              <w:top w:val="single" w:sz="4" w:space="0" w:color="auto"/>
              <w:left w:val="single" w:sz="4" w:space="0" w:color="auto"/>
              <w:bottom w:val="single" w:sz="4" w:space="0" w:color="auto"/>
              <w:right w:val="single" w:sz="4" w:space="0" w:color="auto"/>
            </w:tcBorders>
            <w:shd w:val="clear" w:color="auto" w:fill="0093D5" w:themeFill="accent2"/>
            <w:hideMark/>
          </w:tcPr>
          <w:p w:rsidR="00666AB4" w:rsidRPr="00427BB0" w:rsidRDefault="00666AB4" w:rsidP="009719FA">
            <w:pPr>
              <w:keepNext/>
              <w:tabs>
                <w:tab w:val="left" w:pos="284"/>
              </w:tabs>
              <w:ind w:left="284" w:hanging="284"/>
              <w:jc w:val="center"/>
              <w:rPr>
                <w:rFonts w:ascii="Arial Narrow" w:hAnsi="Arial Narrow"/>
                <w:bCs/>
                <w:color w:val="FFFFFF" w:themeColor="background1"/>
                <w:sz w:val="24"/>
                <w:szCs w:val="24"/>
              </w:rPr>
            </w:pPr>
            <w:r w:rsidRPr="00427BB0">
              <w:rPr>
                <w:rFonts w:ascii="Arial Narrow" w:hAnsi="Arial Narrow"/>
                <w:bCs/>
                <w:color w:val="FFFFFF" w:themeColor="background1"/>
                <w:sz w:val="24"/>
                <w:szCs w:val="24"/>
              </w:rPr>
              <w:t>Population 2037</w:t>
            </w:r>
          </w:p>
        </w:tc>
        <w:tc>
          <w:tcPr>
            <w:tcW w:w="1021" w:type="pct"/>
            <w:tcBorders>
              <w:top w:val="single" w:sz="4" w:space="0" w:color="auto"/>
              <w:left w:val="single" w:sz="4" w:space="0" w:color="auto"/>
              <w:bottom w:val="single" w:sz="4" w:space="0" w:color="auto"/>
              <w:right w:val="single" w:sz="4" w:space="0" w:color="auto"/>
            </w:tcBorders>
            <w:shd w:val="clear" w:color="auto" w:fill="0093D5" w:themeFill="accent2"/>
            <w:hideMark/>
          </w:tcPr>
          <w:p w:rsidR="00666AB4" w:rsidRPr="00427BB0" w:rsidRDefault="00666AB4" w:rsidP="009719FA">
            <w:pPr>
              <w:keepNext/>
              <w:tabs>
                <w:tab w:val="left" w:pos="0"/>
              </w:tabs>
              <w:ind w:firstLine="45"/>
              <w:jc w:val="center"/>
              <w:rPr>
                <w:rFonts w:ascii="Arial Narrow" w:hAnsi="Arial Narrow"/>
                <w:bCs/>
                <w:color w:val="FFFFFF" w:themeColor="background1"/>
                <w:sz w:val="24"/>
                <w:szCs w:val="24"/>
              </w:rPr>
            </w:pPr>
            <w:r w:rsidRPr="00427BB0">
              <w:rPr>
                <w:rFonts w:ascii="Arial Narrow" w:hAnsi="Arial Narrow"/>
                <w:bCs/>
                <w:color w:val="FFFFFF" w:themeColor="background1"/>
                <w:sz w:val="24"/>
                <w:szCs w:val="24"/>
              </w:rPr>
              <w:t>Change in population</w:t>
            </w:r>
          </w:p>
        </w:tc>
        <w:tc>
          <w:tcPr>
            <w:tcW w:w="969" w:type="pct"/>
            <w:tcBorders>
              <w:top w:val="single" w:sz="4" w:space="0" w:color="auto"/>
              <w:left w:val="single" w:sz="4" w:space="0" w:color="auto"/>
              <w:bottom w:val="single" w:sz="4" w:space="0" w:color="auto"/>
              <w:right w:val="single" w:sz="4" w:space="0" w:color="auto"/>
            </w:tcBorders>
            <w:shd w:val="clear" w:color="auto" w:fill="0093D5" w:themeFill="accent2"/>
            <w:hideMark/>
          </w:tcPr>
          <w:p w:rsidR="00666AB4" w:rsidRPr="00427BB0" w:rsidRDefault="00666AB4" w:rsidP="009719FA">
            <w:pPr>
              <w:keepNext/>
              <w:tabs>
                <w:tab w:val="left" w:pos="284"/>
              </w:tabs>
              <w:ind w:left="284" w:hanging="284"/>
              <w:jc w:val="center"/>
              <w:rPr>
                <w:rFonts w:ascii="Arial Narrow" w:hAnsi="Arial Narrow"/>
                <w:bCs/>
                <w:color w:val="FFFFFF" w:themeColor="background1"/>
                <w:sz w:val="24"/>
                <w:szCs w:val="24"/>
              </w:rPr>
            </w:pPr>
            <w:r w:rsidRPr="00427BB0">
              <w:rPr>
                <w:rFonts w:ascii="Arial Narrow" w:hAnsi="Arial Narrow"/>
                <w:bCs/>
                <w:color w:val="FFFFFF" w:themeColor="background1"/>
                <w:sz w:val="24"/>
                <w:szCs w:val="24"/>
              </w:rPr>
              <w:t>% change</w:t>
            </w:r>
          </w:p>
        </w:tc>
      </w:tr>
      <w:tr w:rsidR="00666AB4" w:rsidRPr="00666AB4" w:rsidTr="009719FA">
        <w:tc>
          <w:tcPr>
            <w:tcW w:w="966" w:type="pct"/>
            <w:tcBorders>
              <w:top w:val="single" w:sz="4" w:space="0" w:color="auto"/>
              <w:left w:val="single" w:sz="4" w:space="0" w:color="auto"/>
              <w:bottom w:val="single" w:sz="4" w:space="0" w:color="auto"/>
              <w:right w:val="single" w:sz="4" w:space="0" w:color="auto"/>
            </w:tcBorders>
            <w:hideMark/>
          </w:tcPr>
          <w:p w:rsidR="00666AB4" w:rsidRPr="00427BB0" w:rsidRDefault="00666AB4" w:rsidP="00427BB0">
            <w:pPr>
              <w:keepNext/>
              <w:tabs>
                <w:tab w:val="left" w:pos="284"/>
              </w:tabs>
              <w:ind w:left="284" w:hanging="284"/>
              <w:rPr>
                <w:rFonts w:ascii="Arial Narrow" w:hAnsi="Arial Narrow"/>
                <w:bCs/>
                <w:sz w:val="24"/>
                <w:szCs w:val="24"/>
              </w:rPr>
            </w:pPr>
            <w:r w:rsidRPr="00427BB0">
              <w:rPr>
                <w:rFonts w:ascii="Arial Narrow" w:hAnsi="Arial Narrow"/>
                <w:bCs/>
                <w:sz w:val="24"/>
                <w:szCs w:val="24"/>
              </w:rPr>
              <w:t>LPA (650 dpa)</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427BB0" w:rsidRDefault="00666AB4" w:rsidP="009719FA">
            <w:pPr>
              <w:keepNext/>
              <w:tabs>
                <w:tab w:val="left" w:pos="284"/>
              </w:tabs>
              <w:ind w:left="284" w:hanging="284"/>
              <w:jc w:val="center"/>
              <w:rPr>
                <w:rFonts w:ascii="Arial Narrow" w:hAnsi="Arial Narrow"/>
                <w:bCs/>
                <w:sz w:val="24"/>
                <w:szCs w:val="24"/>
              </w:rPr>
            </w:pPr>
            <w:r w:rsidRPr="00427BB0">
              <w:rPr>
                <w:rFonts w:ascii="Arial Narrow" w:hAnsi="Arial Narrow"/>
                <w:color w:val="000000"/>
                <w:sz w:val="24"/>
                <w:szCs w:val="24"/>
              </w:rPr>
              <w:t>89,487</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427BB0" w:rsidRDefault="00666AB4" w:rsidP="009719FA">
            <w:pPr>
              <w:keepNext/>
              <w:tabs>
                <w:tab w:val="left" w:pos="284"/>
              </w:tabs>
              <w:ind w:left="284" w:hanging="284"/>
              <w:jc w:val="center"/>
              <w:rPr>
                <w:rFonts w:ascii="Arial Narrow" w:hAnsi="Arial Narrow"/>
                <w:bCs/>
                <w:sz w:val="24"/>
                <w:szCs w:val="24"/>
              </w:rPr>
            </w:pPr>
            <w:r w:rsidRPr="00427BB0">
              <w:rPr>
                <w:rFonts w:ascii="Arial Narrow" w:hAnsi="Arial Narrow"/>
                <w:color w:val="000000"/>
                <w:sz w:val="24"/>
                <w:szCs w:val="24"/>
              </w:rPr>
              <w:t>108,687</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427BB0" w:rsidRDefault="00666AB4" w:rsidP="009719FA">
            <w:pPr>
              <w:keepNext/>
              <w:tabs>
                <w:tab w:val="left" w:pos="284"/>
              </w:tabs>
              <w:ind w:left="284" w:hanging="284"/>
              <w:jc w:val="center"/>
              <w:rPr>
                <w:rFonts w:ascii="Arial Narrow" w:hAnsi="Arial Narrow"/>
                <w:bCs/>
                <w:sz w:val="24"/>
                <w:szCs w:val="24"/>
              </w:rPr>
            </w:pPr>
            <w:r w:rsidRPr="00427BB0">
              <w:rPr>
                <w:rFonts w:ascii="Arial Narrow" w:hAnsi="Arial Narrow"/>
                <w:color w:val="000000"/>
                <w:sz w:val="24"/>
                <w:szCs w:val="24"/>
              </w:rPr>
              <w:t>19,200</w:t>
            </w:r>
          </w:p>
        </w:tc>
        <w:tc>
          <w:tcPr>
            <w:tcW w:w="969" w:type="pct"/>
            <w:tcBorders>
              <w:top w:val="single" w:sz="4" w:space="0" w:color="auto"/>
              <w:left w:val="single" w:sz="4" w:space="0" w:color="auto"/>
              <w:bottom w:val="single" w:sz="4" w:space="0" w:color="auto"/>
              <w:right w:val="single" w:sz="4" w:space="0" w:color="auto"/>
            </w:tcBorders>
            <w:vAlign w:val="center"/>
            <w:hideMark/>
          </w:tcPr>
          <w:p w:rsidR="00666AB4" w:rsidRPr="00427BB0" w:rsidRDefault="00666AB4" w:rsidP="009719FA">
            <w:pPr>
              <w:keepNext/>
              <w:tabs>
                <w:tab w:val="left" w:pos="284"/>
              </w:tabs>
              <w:ind w:left="284" w:hanging="284"/>
              <w:jc w:val="center"/>
              <w:rPr>
                <w:rFonts w:ascii="Arial Narrow" w:hAnsi="Arial Narrow"/>
                <w:bCs/>
                <w:sz w:val="24"/>
                <w:szCs w:val="24"/>
              </w:rPr>
            </w:pPr>
            <w:r w:rsidRPr="00427BB0">
              <w:rPr>
                <w:rFonts w:ascii="Arial Narrow" w:hAnsi="Arial Narrow"/>
                <w:color w:val="000000"/>
                <w:sz w:val="24"/>
                <w:szCs w:val="24"/>
              </w:rPr>
              <w:t>21.5%</w:t>
            </w:r>
          </w:p>
        </w:tc>
      </w:tr>
      <w:tr w:rsidR="00666AB4" w:rsidRPr="00666AB4" w:rsidTr="009719FA">
        <w:tc>
          <w:tcPr>
            <w:tcW w:w="966" w:type="pct"/>
            <w:tcBorders>
              <w:top w:val="single" w:sz="4" w:space="0" w:color="auto"/>
              <w:left w:val="single" w:sz="4" w:space="0" w:color="auto"/>
              <w:bottom w:val="single" w:sz="4" w:space="0" w:color="auto"/>
              <w:right w:val="single" w:sz="4" w:space="0" w:color="auto"/>
            </w:tcBorders>
            <w:hideMark/>
          </w:tcPr>
          <w:p w:rsidR="00666AB4" w:rsidRPr="00427BB0" w:rsidRDefault="00666AB4" w:rsidP="00427BB0">
            <w:pPr>
              <w:keepNext/>
              <w:tabs>
                <w:tab w:val="left" w:pos="284"/>
              </w:tabs>
              <w:ind w:left="284" w:hanging="284"/>
              <w:rPr>
                <w:rFonts w:ascii="Arial Narrow" w:hAnsi="Arial Narrow"/>
                <w:bCs/>
                <w:sz w:val="24"/>
                <w:szCs w:val="24"/>
              </w:rPr>
            </w:pPr>
            <w:r w:rsidRPr="00427BB0">
              <w:rPr>
                <w:rFonts w:ascii="Arial Narrow" w:hAnsi="Arial Narrow"/>
                <w:bCs/>
                <w:sz w:val="24"/>
                <w:szCs w:val="24"/>
              </w:rPr>
              <w:t>SDNP (81 dpa)</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427BB0" w:rsidRDefault="00666AB4" w:rsidP="009719FA">
            <w:pPr>
              <w:keepNext/>
              <w:tabs>
                <w:tab w:val="left" w:pos="284"/>
              </w:tabs>
              <w:ind w:left="284" w:hanging="284"/>
              <w:jc w:val="center"/>
              <w:rPr>
                <w:rFonts w:ascii="Arial Narrow" w:hAnsi="Arial Narrow"/>
                <w:bCs/>
                <w:sz w:val="24"/>
                <w:szCs w:val="24"/>
              </w:rPr>
            </w:pPr>
            <w:r w:rsidRPr="00427BB0">
              <w:rPr>
                <w:rFonts w:ascii="Arial Narrow" w:hAnsi="Arial Narrow"/>
                <w:color w:val="000000"/>
                <w:sz w:val="24"/>
                <w:szCs w:val="24"/>
              </w:rPr>
              <w:t>32,141</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427BB0" w:rsidRDefault="00666AB4" w:rsidP="009719FA">
            <w:pPr>
              <w:keepNext/>
              <w:tabs>
                <w:tab w:val="left" w:pos="284"/>
              </w:tabs>
              <w:ind w:left="284" w:hanging="284"/>
              <w:jc w:val="center"/>
              <w:rPr>
                <w:rFonts w:ascii="Arial Narrow" w:hAnsi="Arial Narrow"/>
                <w:bCs/>
                <w:sz w:val="24"/>
                <w:szCs w:val="24"/>
              </w:rPr>
            </w:pPr>
            <w:r w:rsidRPr="00427BB0">
              <w:rPr>
                <w:rFonts w:ascii="Arial Narrow" w:hAnsi="Arial Narrow"/>
                <w:color w:val="000000"/>
                <w:sz w:val="24"/>
                <w:szCs w:val="24"/>
              </w:rPr>
              <w:t>32,847</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427BB0" w:rsidRDefault="00666AB4" w:rsidP="009719FA">
            <w:pPr>
              <w:keepNext/>
              <w:tabs>
                <w:tab w:val="left" w:pos="284"/>
              </w:tabs>
              <w:ind w:left="284" w:hanging="284"/>
              <w:jc w:val="center"/>
              <w:rPr>
                <w:rFonts w:ascii="Arial Narrow" w:hAnsi="Arial Narrow"/>
                <w:bCs/>
                <w:sz w:val="24"/>
                <w:szCs w:val="24"/>
              </w:rPr>
            </w:pPr>
            <w:r w:rsidRPr="00427BB0">
              <w:rPr>
                <w:rFonts w:ascii="Arial Narrow" w:hAnsi="Arial Narrow"/>
                <w:color w:val="000000"/>
                <w:sz w:val="24"/>
                <w:szCs w:val="24"/>
              </w:rPr>
              <w:t>706</w:t>
            </w:r>
          </w:p>
        </w:tc>
        <w:tc>
          <w:tcPr>
            <w:tcW w:w="969" w:type="pct"/>
            <w:tcBorders>
              <w:top w:val="single" w:sz="4" w:space="0" w:color="auto"/>
              <w:left w:val="single" w:sz="4" w:space="0" w:color="auto"/>
              <w:bottom w:val="single" w:sz="4" w:space="0" w:color="auto"/>
              <w:right w:val="single" w:sz="4" w:space="0" w:color="auto"/>
            </w:tcBorders>
            <w:vAlign w:val="center"/>
            <w:hideMark/>
          </w:tcPr>
          <w:p w:rsidR="00666AB4" w:rsidRPr="00427BB0" w:rsidRDefault="00666AB4" w:rsidP="009719FA">
            <w:pPr>
              <w:keepNext/>
              <w:tabs>
                <w:tab w:val="left" w:pos="284"/>
              </w:tabs>
              <w:ind w:left="284" w:hanging="284"/>
              <w:jc w:val="center"/>
              <w:rPr>
                <w:rFonts w:ascii="Arial Narrow" w:hAnsi="Arial Narrow"/>
                <w:bCs/>
                <w:sz w:val="24"/>
                <w:szCs w:val="24"/>
              </w:rPr>
            </w:pPr>
            <w:r w:rsidRPr="00427BB0">
              <w:rPr>
                <w:rFonts w:ascii="Arial Narrow" w:hAnsi="Arial Narrow"/>
                <w:color w:val="000000"/>
                <w:sz w:val="24"/>
                <w:szCs w:val="24"/>
              </w:rPr>
              <w:t>2.2%</w:t>
            </w:r>
          </w:p>
        </w:tc>
      </w:tr>
      <w:tr w:rsidR="00666AB4" w:rsidRPr="00666AB4" w:rsidTr="009719FA">
        <w:tc>
          <w:tcPr>
            <w:tcW w:w="966" w:type="pct"/>
            <w:tcBorders>
              <w:top w:val="single" w:sz="4" w:space="0" w:color="auto"/>
              <w:left w:val="single" w:sz="4" w:space="0" w:color="auto"/>
              <w:bottom w:val="single" w:sz="4" w:space="0" w:color="auto"/>
              <w:right w:val="single" w:sz="4" w:space="0" w:color="auto"/>
            </w:tcBorders>
            <w:hideMark/>
          </w:tcPr>
          <w:p w:rsidR="00666AB4" w:rsidRPr="00427BB0" w:rsidRDefault="00666AB4" w:rsidP="00427BB0">
            <w:pPr>
              <w:keepNext/>
              <w:tabs>
                <w:tab w:val="left" w:pos="284"/>
              </w:tabs>
              <w:ind w:left="284" w:hanging="284"/>
              <w:rPr>
                <w:rFonts w:ascii="Arial Narrow" w:hAnsi="Arial Narrow"/>
                <w:bCs/>
                <w:sz w:val="24"/>
                <w:szCs w:val="24"/>
              </w:rPr>
            </w:pPr>
            <w:r w:rsidRPr="00427BB0">
              <w:rPr>
                <w:rFonts w:ascii="Arial Narrow" w:hAnsi="Arial Narrow"/>
                <w:bCs/>
                <w:sz w:val="24"/>
                <w:szCs w:val="24"/>
              </w:rPr>
              <w:t>Total (731 dpa)</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427BB0" w:rsidRDefault="00666AB4" w:rsidP="009719FA">
            <w:pPr>
              <w:keepNext/>
              <w:tabs>
                <w:tab w:val="left" w:pos="284"/>
              </w:tabs>
              <w:ind w:left="284" w:hanging="284"/>
              <w:jc w:val="center"/>
              <w:rPr>
                <w:rFonts w:ascii="Arial Narrow" w:hAnsi="Arial Narrow"/>
                <w:bCs/>
                <w:sz w:val="24"/>
                <w:szCs w:val="24"/>
              </w:rPr>
            </w:pPr>
            <w:r w:rsidRPr="00427BB0">
              <w:rPr>
                <w:rFonts w:ascii="Arial Narrow" w:hAnsi="Arial Narrow"/>
                <w:color w:val="000000"/>
                <w:sz w:val="24"/>
                <w:szCs w:val="24"/>
              </w:rPr>
              <w:t>121,628</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427BB0" w:rsidRDefault="00666AB4" w:rsidP="009719FA">
            <w:pPr>
              <w:keepNext/>
              <w:tabs>
                <w:tab w:val="left" w:pos="284"/>
              </w:tabs>
              <w:ind w:left="284" w:hanging="284"/>
              <w:jc w:val="center"/>
              <w:rPr>
                <w:rFonts w:ascii="Arial Narrow" w:hAnsi="Arial Narrow"/>
                <w:bCs/>
                <w:sz w:val="24"/>
                <w:szCs w:val="24"/>
              </w:rPr>
            </w:pPr>
            <w:r w:rsidRPr="00427BB0">
              <w:rPr>
                <w:rFonts w:ascii="Arial Narrow" w:hAnsi="Arial Narrow"/>
                <w:color w:val="000000"/>
                <w:sz w:val="24"/>
                <w:szCs w:val="24"/>
              </w:rPr>
              <w:t>141,534</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427BB0" w:rsidRDefault="00666AB4" w:rsidP="009719FA">
            <w:pPr>
              <w:keepNext/>
              <w:tabs>
                <w:tab w:val="left" w:pos="284"/>
              </w:tabs>
              <w:ind w:left="284" w:hanging="284"/>
              <w:jc w:val="center"/>
              <w:rPr>
                <w:rFonts w:ascii="Arial Narrow" w:hAnsi="Arial Narrow"/>
                <w:bCs/>
                <w:sz w:val="24"/>
                <w:szCs w:val="24"/>
              </w:rPr>
            </w:pPr>
            <w:r w:rsidRPr="00427BB0">
              <w:rPr>
                <w:rFonts w:ascii="Arial Narrow" w:hAnsi="Arial Narrow"/>
                <w:color w:val="000000"/>
                <w:sz w:val="24"/>
                <w:szCs w:val="24"/>
              </w:rPr>
              <w:t>19,906</w:t>
            </w:r>
          </w:p>
        </w:tc>
        <w:tc>
          <w:tcPr>
            <w:tcW w:w="969" w:type="pct"/>
            <w:tcBorders>
              <w:top w:val="single" w:sz="4" w:space="0" w:color="auto"/>
              <w:left w:val="single" w:sz="4" w:space="0" w:color="auto"/>
              <w:bottom w:val="single" w:sz="4" w:space="0" w:color="auto"/>
              <w:right w:val="single" w:sz="4" w:space="0" w:color="auto"/>
            </w:tcBorders>
            <w:vAlign w:val="center"/>
            <w:hideMark/>
          </w:tcPr>
          <w:p w:rsidR="00666AB4" w:rsidRPr="00427BB0" w:rsidRDefault="00666AB4" w:rsidP="009719FA">
            <w:pPr>
              <w:keepNext/>
              <w:tabs>
                <w:tab w:val="left" w:pos="284"/>
              </w:tabs>
              <w:ind w:left="284" w:hanging="284"/>
              <w:jc w:val="center"/>
              <w:rPr>
                <w:rFonts w:ascii="Arial Narrow" w:hAnsi="Arial Narrow"/>
                <w:bCs/>
                <w:sz w:val="24"/>
                <w:szCs w:val="24"/>
              </w:rPr>
            </w:pPr>
            <w:r w:rsidRPr="00427BB0">
              <w:rPr>
                <w:rFonts w:ascii="Arial Narrow" w:hAnsi="Arial Narrow"/>
                <w:color w:val="000000"/>
                <w:sz w:val="24"/>
                <w:szCs w:val="24"/>
              </w:rPr>
              <w:t>16.4%</w:t>
            </w:r>
          </w:p>
        </w:tc>
      </w:tr>
    </w:tbl>
    <w:p w:rsidR="00666AB4" w:rsidRPr="004B604F" w:rsidRDefault="00666AB4" w:rsidP="00427BB0">
      <w:pPr>
        <w:pStyle w:val="11Bodytext"/>
        <w:numPr>
          <w:ilvl w:val="0"/>
          <w:numId w:val="0"/>
        </w:numPr>
        <w:spacing w:before="0" w:after="0" w:line="240" w:lineRule="auto"/>
        <w:ind w:left="284" w:firstLine="510"/>
      </w:pPr>
      <w:r w:rsidRPr="002F7AD3">
        <w:t xml:space="preserve">Source: GLH modelling </w:t>
      </w:r>
    </w:p>
    <w:p w:rsidR="00666AB4" w:rsidRPr="004B604F" w:rsidRDefault="00666AB4" w:rsidP="002F7AD3">
      <w:pPr>
        <w:tabs>
          <w:tab w:val="left" w:pos="284"/>
        </w:tabs>
        <w:ind w:left="284" w:hanging="284"/>
      </w:pPr>
    </w:p>
    <w:p w:rsidR="00666AB4" w:rsidRPr="004B604F" w:rsidRDefault="00666AB4" w:rsidP="009719FA">
      <w:pPr>
        <w:pStyle w:val="Tableheading"/>
        <w:tabs>
          <w:tab w:val="clear" w:pos="794"/>
          <w:tab w:val="clear" w:pos="1843"/>
          <w:tab w:val="left" w:pos="0"/>
        </w:tabs>
        <w:ind w:left="0" w:firstLine="0"/>
      </w:pPr>
      <w:r w:rsidRPr="004B604F">
        <w:t>Projected population change in Chichester Local Plan Area (linked to 650 dpa)</w:t>
      </w:r>
    </w:p>
    <w:tbl>
      <w:tblPr>
        <w:tblStyle w:val="TableGrid"/>
        <w:tblW w:w="4894" w:type="pct"/>
        <w:tblInd w:w="108" w:type="dxa"/>
        <w:tblLook w:val="04A0" w:firstRow="1" w:lastRow="0" w:firstColumn="1" w:lastColumn="0" w:noHBand="0" w:noVBand="1"/>
        <w:tblCaption w:val="Table 70: Projected population change in Chichester Local Plan Area (linked to 650 dpa)"/>
      </w:tblPr>
      <w:tblGrid>
        <w:gridCol w:w="1863"/>
        <w:gridCol w:w="1969"/>
        <w:gridCol w:w="1969"/>
        <w:gridCol w:w="1969"/>
        <w:gridCol w:w="1868"/>
      </w:tblGrid>
      <w:tr w:rsidR="00666AB4" w:rsidRPr="00666AB4" w:rsidTr="009719FA">
        <w:trPr>
          <w:tblHeader/>
        </w:trPr>
        <w:tc>
          <w:tcPr>
            <w:tcW w:w="966" w:type="pct"/>
            <w:tcBorders>
              <w:top w:val="single" w:sz="4" w:space="0" w:color="auto"/>
              <w:left w:val="single" w:sz="4" w:space="0" w:color="auto"/>
              <w:bottom w:val="single" w:sz="4" w:space="0" w:color="auto"/>
              <w:right w:val="single" w:sz="4" w:space="0" w:color="auto"/>
            </w:tcBorders>
            <w:shd w:val="clear" w:color="auto" w:fill="0093D5" w:themeFill="accent2"/>
            <w:vAlign w:val="center"/>
          </w:tcPr>
          <w:p w:rsidR="00666AB4" w:rsidRPr="001812A7" w:rsidRDefault="00666AB4" w:rsidP="002F7AD3">
            <w:pPr>
              <w:keepNext/>
              <w:tabs>
                <w:tab w:val="left" w:pos="284"/>
              </w:tabs>
              <w:spacing w:line="300" w:lineRule="auto"/>
              <w:ind w:left="284" w:hanging="284"/>
              <w:rPr>
                <w:rFonts w:ascii="Arial Narrow" w:hAnsi="Arial Narrow"/>
                <w:bCs/>
                <w:color w:val="FFFFFF" w:themeColor="background1"/>
                <w:sz w:val="24"/>
                <w:szCs w:val="24"/>
              </w:rPr>
            </w:pPr>
          </w:p>
        </w:tc>
        <w:tc>
          <w:tcPr>
            <w:tcW w:w="1021" w:type="pct"/>
            <w:tcBorders>
              <w:top w:val="single" w:sz="4" w:space="0" w:color="auto"/>
              <w:left w:val="single" w:sz="4" w:space="0" w:color="auto"/>
              <w:bottom w:val="single" w:sz="4" w:space="0" w:color="auto"/>
              <w:right w:val="single" w:sz="4" w:space="0" w:color="auto"/>
            </w:tcBorders>
            <w:shd w:val="clear" w:color="auto" w:fill="0093D5" w:themeFill="accent2"/>
            <w:hideMark/>
          </w:tcPr>
          <w:p w:rsidR="00666AB4" w:rsidRPr="001812A7" w:rsidRDefault="00666AB4" w:rsidP="009719FA">
            <w:pPr>
              <w:keepNext/>
              <w:tabs>
                <w:tab w:val="left" w:pos="284"/>
              </w:tabs>
              <w:spacing w:line="300" w:lineRule="auto"/>
              <w:ind w:left="284" w:hanging="284"/>
              <w:jc w:val="center"/>
              <w:rPr>
                <w:rFonts w:ascii="Arial Narrow" w:hAnsi="Arial Narrow"/>
                <w:bCs/>
                <w:color w:val="FFFFFF" w:themeColor="background1"/>
                <w:sz w:val="24"/>
                <w:szCs w:val="24"/>
              </w:rPr>
            </w:pPr>
            <w:r w:rsidRPr="001812A7">
              <w:rPr>
                <w:rFonts w:ascii="Arial Narrow" w:hAnsi="Arial Narrow"/>
                <w:bCs/>
                <w:color w:val="FFFFFF" w:themeColor="background1"/>
                <w:sz w:val="24"/>
                <w:szCs w:val="24"/>
              </w:rPr>
              <w:t>Population 2019</w:t>
            </w:r>
          </w:p>
        </w:tc>
        <w:tc>
          <w:tcPr>
            <w:tcW w:w="1021" w:type="pct"/>
            <w:tcBorders>
              <w:top w:val="single" w:sz="4" w:space="0" w:color="auto"/>
              <w:left w:val="single" w:sz="4" w:space="0" w:color="auto"/>
              <w:bottom w:val="single" w:sz="4" w:space="0" w:color="auto"/>
              <w:right w:val="single" w:sz="4" w:space="0" w:color="auto"/>
            </w:tcBorders>
            <w:shd w:val="clear" w:color="auto" w:fill="0093D5" w:themeFill="accent2"/>
            <w:hideMark/>
          </w:tcPr>
          <w:p w:rsidR="00666AB4" w:rsidRPr="001812A7" w:rsidRDefault="00666AB4" w:rsidP="009719FA">
            <w:pPr>
              <w:keepNext/>
              <w:tabs>
                <w:tab w:val="left" w:pos="284"/>
              </w:tabs>
              <w:spacing w:line="300" w:lineRule="auto"/>
              <w:ind w:left="284" w:hanging="284"/>
              <w:jc w:val="center"/>
              <w:rPr>
                <w:rFonts w:ascii="Arial Narrow" w:hAnsi="Arial Narrow"/>
                <w:bCs/>
                <w:color w:val="FFFFFF" w:themeColor="background1"/>
                <w:sz w:val="24"/>
                <w:szCs w:val="24"/>
              </w:rPr>
            </w:pPr>
            <w:r w:rsidRPr="001812A7">
              <w:rPr>
                <w:rFonts w:ascii="Arial Narrow" w:hAnsi="Arial Narrow"/>
                <w:bCs/>
                <w:color w:val="FFFFFF" w:themeColor="background1"/>
                <w:sz w:val="24"/>
                <w:szCs w:val="24"/>
              </w:rPr>
              <w:t>Population 2037</w:t>
            </w:r>
          </w:p>
        </w:tc>
        <w:tc>
          <w:tcPr>
            <w:tcW w:w="1021" w:type="pct"/>
            <w:tcBorders>
              <w:top w:val="single" w:sz="4" w:space="0" w:color="auto"/>
              <w:left w:val="single" w:sz="4" w:space="0" w:color="auto"/>
              <w:bottom w:val="single" w:sz="4" w:space="0" w:color="auto"/>
              <w:right w:val="single" w:sz="4" w:space="0" w:color="auto"/>
            </w:tcBorders>
            <w:shd w:val="clear" w:color="auto" w:fill="0093D5" w:themeFill="accent2"/>
            <w:hideMark/>
          </w:tcPr>
          <w:p w:rsidR="00666AB4" w:rsidRPr="001812A7" w:rsidRDefault="009719FA" w:rsidP="009719FA">
            <w:pPr>
              <w:keepNext/>
              <w:tabs>
                <w:tab w:val="left" w:pos="45"/>
              </w:tabs>
              <w:spacing w:line="300" w:lineRule="auto"/>
              <w:jc w:val="center"/>
              <w:rPr>
                <w:rFonts w:ascii="Arial Narrow" w:hAnsi="Arial Narrow"/>
                <w:bCs/>
                <w:color w:val="FFFFFF" w:themeColor="background1"/>
                <w:sz w:val="24"/>
                <w:szCs w:val="24"/>
              </w:rPr>
            </w:pPr>
            <w:r>
              <w:rPr>
                <w:rFonts w:ascii="Arial Narrow" w:hAnsi="Arial Narrow"/>
                <w:bCs/>
                <w:color w:val="FFFFFF" w:themeColor="background1"/>
                <w:sz w:val="24"/>
                <w:szCs w:val="24"/>
              </w:rPr>
              <w:t xml:space="preserve">Change in </w:t>
            </w:r>
            <w:r w:rsidR="00666AB4" w:rsidRPr="001812A7">
              <w:rPr>
                <w:rFonts w:ascii="Arial Narrow" w:hAnsi="Arial Narrow"/>
                <w:bCs/>
                <w:color w:val="FFFFFF" w:themeColor="background1"/>
                <w:sz w:val="24"/>
                <w:szCs w:val="24"/>
              </w:rPr>
              <w:t>population</w:t>
            </w:r>
          </w:p>
        </w:tc>
        <w:tc>
          <w:tcPr>
            <w:tcW w:w="969" w:type="pct"/>
            <w:tcBorders>
              <w:top w:val="single" w:sz="4" w:space="0" w:color="auto"/>
              <w:left w:val="single" w:sz="4" w:space="0" w:color="auto"/>
              <w:bottom w:val="single" w:sz="4" w:space="0" w:color="auto"/>
              <w:right w:val="single" w:sz="4" w:space="0" w:color="auto"/>
            </w:tcBorders>
            <w:shd w:val="clear" w:color="auto" w:fill="0093D5" w:themeFill="accent2"/>
            <w:hideMark/>
          </w:tcPr>
          <w:p w:rsidR="00666AB4" w:rsidRPr="001812A7" w:rsidRDefault="00666AB4" w:rsidP="009719FA">
            <w:pPr>
              <w:keepNext/>
              <w:tabs>
                <w:tab w:val="left" w:pos="284"/>
              </w:tabs>
              <w:spacing w:line="300" w:lineRule="auto"/>
              <w:ind w:left="284" w:hanging="284"/>
              <w:jc w:val="center"/>
              <w:rPr>
                <w:rFonts w:ascii="Arial Narrow" w:hAnsi="Arial Narrow"/>
                <w:bCs/>
                <w:color w:val="FFFFFF" w:themeColor="background1"/>
                <w:sz w:val="24"/>
                <w:szCs w:val="24"/>
              </w:rPr>
            </w:pPr>
            <w:r w:rsidRPr="001812A7">
              <w:rPr>
                <w:rFonts w:ascii="Arial Narrow" w:hAnsi="Arial Narrow"/>
                <w:bCs/>
                <w:color w:val="FFFFFF" w:themeColor="background1"/>
                <w:sz w:val="24"/>
                <w:szCs w:val="24"/>
              </w:rPr>
              <w:t>% change</w:t>
            </w:r>
          </w:p>
        </w:tc>
      </w:tr>
      <w:tr w:rsidR="00666AB4" w:rsidRPr="00666AB4" w:rsidTr="009719FA">
        <w:tc>
          <w:tcPr>
            <w:tcW w:w="966"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rPr>
                <w:rFonts w:ascii="Arial Narrow" w:hAnsi="Arial Narrow"/>
                <w:bCs/>
                <w:sz w:val="24"/>
                <w:szCs w:val="24"/>
              </w:rPr>
            </w:pPr>
            <w:r w:rsidRPr="001812A7">
              <w:rPr>
                <w:rFonts w:ascii="Arial Narrow" w:hAnsi="Arial Narrow"/>
                <w:bCs/>
                <w:color w:val="000000"/>
                <w:sz w:val="24"/>
                <w:szCs w:val="24"/>
              </w:rPr>
              <w:t>0-4</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4,299</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5,142</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844</w:t>
            </w:r>
          </w:p>
        </w:tc>
        <w:tc>
          <w:tcPr>
            <w:tcW w:w="969"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19.6%</w:t>
            </w:r>
          </w:p>
        </w:tc>
      </w:tr>
      <w:tr w:rsidR="00666AB4" w:rsidRPr="00666AB4" w:rsidTr="009719FA">
        <w:tc>
          <w:tcPr>
            <w:tcW w:w="966"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rPr>
                <w:rFonts w:ascii="Arial Narrow" w:hAnsi="Arial Narrow"/>
                <w:bCs/>
                <w:sz w:val="24"/>
                <w:szCs w:val="24"/>
              </w:rPr>
            </w:pPr>
            <w:r w:rsidRPr="001812A7">
              <w:rPr>
                <w:rFonts w:ascii="Arial Narrow" w:hAnsi="Arial Narrow"/>
                <w:bCs/>
                <w:color w:val="000000"/>
                <w:sz w:val="24"/>
                <w:szCs w:val="24"/>
              </w:rPr>
              <w:t>5-9</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4,854</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5,251</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397</w:t>
            </w:r>
          </w:p>
        </w:tc>
        <w:tc>
          <w:tcPr>
            <w:tcW w:w="969"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8.2%</w:t>
            </w:r>
          </w:p>
        </w:tc>
      </w:tr>
      <w:tr w:rsidR="00666AB4" w:rsidRPr="00666AB4" w:rsidTr="009719FA">
        <w:tc>
          <w:tcPr>
            <w:tcW w:w="966"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rPr>
                <w:rFonts w:ascii="Arial Narrow" w:hAnsi="Arial Narrow"/>
                <w:bCs/>
                <w:sz w:val="24"/>
                <w:szCs w:val="24"/>
              </w:rPr>
            </w:pPr>
            <w:r w:rsidRPr="001812A7">
              <w:rPr>
                <w:rFonts w:ascii="Arial Narrow" w:hAnsi="Arial Narrow"/>
                <w:bCs/>
                <w:color w:val="000000"/>
                <w:sz w:val="24"/>
                <w:szCs w:val="24"/>
              </w:rPr>
              <w:t>10-14</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4,610</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5,054</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444</w:t>
            </w:r>
          </w:p>
        </w:tc>
        <w:tc>
          <w:tcPr>
            <w:tcW w:w="969"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9.6%</w:t>
            </w:r>
          </w:p>
        </w:tc>
      </w:tr>
      <w:tr w:rsidR="00666AB4" w:rsidRPr="00666AB4" w:rsidTr="009719FA">
        <w:tc>
          <w:tcPr>
            <w:tcW w:w="966"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rPr>
                <w:rFonts w:ascii="Arial Narrow" w:hAnsi="Arial Narrow"/>
                <w:bCs/>
                <w:sz w:val="24"/>
                <w:szCs w:val="24"/>
              </w:rPr>
            </w:pPr>
            <w:r w:rsidRPr="001812A7">
              <w:rPr>
                <w:rFonts w:ascii="Arial Narrow" w:hAnsi="Arial Narrow"/>
                <w:bCs/>
                <w:color w:val="000000"/>
                <w:sz w:val="24"/>
                <w:szCs w:val="24"/>
              </w:rPr>
              <w:t>15-19</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4,654</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5,672</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1,017</w:t>
            </w:r>
          </w:p>
        </w:tc>
        <w:tc>
          <w:tcPr>
            <w:tcW w:w="969"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21.9%</w:t>
            </w:r>
          </w:p>
        </w:tc>
      </w:tr>
      <w:tr w:rsidR="00666AB4" w:rsidRPr="00666AB4" w:rsidTr="009719FA">
        <w:tc>
          <w:tcPr>
            <w:tcW w:w="966"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rPr>
                <w:rFonts w:ascii="Arial Narrow" w:hAnsi="Arial Narrow"/>
                <w:bCs/>
                <w:sz w:val="24"/>
                <w:szCs w:val="24"/>
              </w:rPr>
            </w:pPr>
            <w:r w:rsidRPr="001812A7">
              <w:rPr>
                <w:rFonts w:ascii="Arial Narrow" w:hAnsi="Arial Narrow"/>
                <w:bCs/>
                <w:color w:val="000000"/>
                <w:sz w:val="24"/>
                <w:szCs w:val="24"/>
              </w:rPr>
              <w:t>20-24</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5,386</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7,441</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2,055</w:t>
            </w:r>
          </w:p>
        </w:tc>
        <w:tc>
          <w:tcPr>
            <w:tcW w:w="969"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38.2%</w:t>
            </w:r>
          </w:p>
        </w:tc>
      </w:tr>
      <w:tr w:rsidR="00666AB4" w:rsidRPr="00666AB4" w:rsidTr="009719FA">
        <w:tc>
          <w:tcPr>
            <w:tcW w:w="966"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rPr>
                <w:rFonts w:ascii="Arial Narrow" w:hAnsi="Arial Narrow"/>
                <w:bCs/>
                <w:sz w:val="24"/>
                <w:szCs w:val="24"/>
              </w:rPr>
            </w:pPr>
            <w:r w:rsidRPr="001812A7">
              <w:rPr>
                <w:rFonts w:ascii="Arial Narrow" w:hAnsi="Arial Narrow"/>
                <w:bCs/>
                <w:color w:val="000000"/>
                <w:sz w:val="24"/>
                <w:szCs w:val="24"/>
              </w:rPr>
              <w:t>25-29</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4,544</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5,887</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1,343</w:t>
            </w:r>
          </w:p>
        </w:tc>
        <w:tc>
          <w:tcPr>
            <w:tcW w:w="969"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29.6%</w:t>
            </w:r>
          </w:p>
        </w:tc>
      </w:tr>
      <w:tr w:rsidR="00666AB4" w:rsidRPr="00666AB4" w:rsidTr="009719FA">
        <w:tc>
          <w:tcPr>
            <w:tcW w:w="966"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rPr>
                <w:rFonts w:ascii="Arial Narrow" w:hAnsi="Arial Narrow"/>
                <w:bCs/>
                <w:sz w:val="24"/>
                <w:szCs w:val="24"/>
              </w:rPr>
            </w:pPr>
            <w:r w:rsidRPr="001812A7">
              <w:rPr>
                <w:rFonts w:ascii="Arial Narrow" w:hAnsi="Arial Narrow"/>
                <w:bCs/>
                <w:color w:val="000000"/>
                <w:sz w:val="24"/>
                <w:szCs w:val="24"/>
              </w:rPr>
              <w:t>30-34</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4,234</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5,121</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888</w:t>
            </w:r>
          </w:p>
        </w:tc>
        <w:tc>
          <w:tcPr>
            <w:tcW w:w="969"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21.0%</w:t>
            </w:r>
          </w:p>
        </w:tc>
      </w:tr>
      <w:tr w:rsidR="00666AB4" w:rsidRPr="00666AB4" w:rsidTr="009719FA">
        <w:tc>
          <w:tcPr>
            <w:tcW w:w="966"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rPr>
                <w:rFonts w:ascii="Arial Narrow" w:hAnsi="Arial Narrow"/>
                <w:bCs/>
                <w:sz w:val="24"/>
                <w:szCs w:val="24"/>
              </w:rPr>
            </w:pPr>
            <w:r w:rsidRPr="001812A7">
              <w:rPr>
                <w:rFonts w:ascii="Arial Narrow" w:hAnsi="Arial Narrow"/>
                <w:bCs/>
                <w:color w:val="000000"/>
                <w:sz w:val="24"/>
                <w:szCs w:val="24"/>
              </w:rPr>
              <w:t>35-39</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4,497</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4,920</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423</w:t>
            </w:r>
          </w:p>
        </w:tc>
        <w:tc>
          <w:tcPr>
            <w:tcW w:w="969"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9.4%</w:t>
            </w:r>
          </w:p>
        </w:tc>
      </w:tr>
      <w:tr w:rsidR="00666AB4" w:rsidRPr="00666AB4" w:rsidTr="009719FA">
        <w:tc>
          <w:tcPr>
            <w:tcW w:w="966"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rPr>
                <w:rFonts w:ascii="Arial Narrow" w:hAnsi="Arial Narrow"/>
                <w:bCs/>
                <w:sz w:val="24"/>
                <w:szCs w:val="24"/>
              </w:rPr>
            </w:pPr>
            <w:r w:rsidRPr="001812A7">
              <w:rPr>
                <w:rFonts w:ascii="Arial Narrow" w:hAnsi="Arial Narrow"/>
                <w:bCs/>
                <w:color w:val="000000"/>
                <w:sz w:val="24"/>
                <w:szCs w:val="24"/>
              </w:rPr>
              <w:t>40-44</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4,442</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5,295</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853</w:t>
            </w:r>
          </w:p>
        </w:tc>
        <w:tc>
          <w:tcPr>
            <w:tcW w:w="969"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19.2%</w:t>
            </w:r>
          </w:p>
        </w:tc>
      </w:tr>
      <w:tr w:rsidR="00666AB4" w:rsidRPr="00666AB4" w:rsidTr="009719FA">
        <w:tc>
          <w:tcPr>
            <w:tcW w:w="966"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rPr>
                <w:rFonts w:ascii="Arial Narrow" w:hAnsi="Arial Narrow"/>
                <w:bCs/>
                <w:sz w:val="24"/>
                <w:szCs w:val="24"/>
              </w:rPr>
            </w:pPr>
            <w:r w:rsidRPr="001812A7">
              <w:rPr>
                <w:rFonts w:ascii="Arial Narrow" w:hAnsi="Arial Narrow"/>
                <w:bCs/>
                <w:color w:val="000000"/>
                <w:sz w:val="24"/>
                <w:szCs w:val="24"/>
              </w:rPr>
              <w:t>45-49</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5,421</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5,711</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290</w:t>
            </w:r>
          </w:p>
        </w:tc>
        <w:tc>
          <w:tcPr>
            <w:tcW w:w="969"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5.4%</w:t>
            </w:r>
          </w:p>
        </w:tc>
      </w:tr>
      <w:tr w:rsidR="00666AB4" w:rsidRPr="00666AB4" w:rsidTr="009719FA">
        <w:tc>
          <w:tcPr>
            <w:tcW w:w="966"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rPr>
                <w:rFonts w:ascii="Arial Narrow" w:hAnsi="Arial Narrow"/>
                <w:bCs/>
                <w:sz w:val="24"/>
                <w:szCs w:val="24"/>
              </w:rPr>
            </w:pPr>
            <w:r w:rsidRPr="001812A7">
              <w:rPr>
                <w:rFonts w:ascii="Arial Narrow" w:hAnsi="Arial Narrow"/>
                <w:bCs/>
                <w:color w:val="000000"/>
                <w:sz w:val="24"/>
                <w:szCs w:val="24"/>
              </w:rPr>
              <w:t>50-54</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6,116</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5,655</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-461</w:t>
            </w:r>
          </w:p>
        </w:tc>
        <w:tc>
          <w:tcPr>
            <w:tcW w:w="969"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-7.5%</w:t>
            </w:r>
          </w:p>
        </w:tc>
      </w:tr>
      <w:tr w:rsidR="00666AB4" w:rsidRPr="00666AB4" w:rsidTr="009719FA">
        <w:tc>
          <w:tcPr>
            <w:tcW w:w="966"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rPr>
                <w:rFonts w:ascii="Arial Narrow" w:hAnsi="Arial Narrow"/>
                <w:bCs/>
                <w:sz w:val="24"/>
                <w:szCs w:val="24"/>
              </w:rPr>
            </w:pPr>
            <w:r w:rsidRPr="001812A7">
              <w:rPr>
                <w:rFonts w:ascii="Arial Narrow" w:hAnsi="Arial Narrow"/>
                <w:bCs/>
                <w:color w:val="000000"/>
                <w:sz w:val="24"/>
                <w:szCs w:val="24"/>
              </w:rPr>
              <w:t>55-59</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6,487</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6,117</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-370</w:t>
            </w:r>
          </w:p>
        </w:tc>
        <w:tc>
          <w:tcPr>
            <w:tcW w:w="969"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-5.7%</w:t>
            </w:r>
          </w:p>
        </w:tc>
      </w:tr>
      <w:tr w:rsidR="00666AB4" w:rsidRPr="00666AB4" w:rsidTr="009719FA">
        <w:tc>
          <w:tcPr>
            <w:tcW w:w="966"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rPr>
                <w:rFonts w:ascii="Arial Narrow" w:hAnsi="Arial Narrow"/>
                <w:bCs/>
                <w:sz w:val="24"/>
                <w:szCs w:val="24"/>
              </w:rPr>
            </w:pPr>
            <w:r w:rsidRPr="001812A7">
              <w:rPr>
                <w:rFonts w:ascii="Arial Narrow" w:hAnsi="Arial Narrow"/>
                <w:bCs/>
                <w:color w:val="000000"/>
                <w:sz w:val="24"/>
                <w:szCs w:val="24"/>
              </w:rPr>
              <w:t>60-64</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5,988</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6,732</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743</w:t>
            </w:r>
          </w:p>
        </w:tc>
        <w:tc>
          <w:tcPr>
            <w:tcW w:w="969"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12.4%</w:t>
            </w:r>
          </w:p>
        </w:tc>
      </w:tr>
      <w:tr w:rsidR="00666AB4" w:rsidRPr="00666AB4" w:rsidTr="009719FA">
        <w:tc>
          <w:tcPr>
            <w:tcW w:w="966"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rPr>
                <w:rFonts w:ascii="Arial Narrow" w:hAnsi="Arial Narrow"/>
                <w:bCs/>
                <w:sz w:val="24"/>
                <w:szCs w:val="24"/>
              </w:rPr>
            </w:pPr>
            <w:r w:rsidRPr="001812A7">
              <w:rPr>
                <w:rFonts w:ascii="Arial Narrow" w:hAnsi="Arial Narrow"/>
                <w:bCs/>
                <w:color w:val="000000"/>
                <w:sz w:val="24"/>
                <w:szCs w:val="24"/>
              </w:rPr>
              <w:t>65-69</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5,619</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7,644</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2,025</w:t>
            </w:r>
          </w:p>
        </w:tc>
        <w:tc>
          <w:tcPr>
            <w:tcW w:w="969"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36.0%</w:t>
            </w:r>
          </w:p>
        </w:tc>
      </w:tr>
      <w:tr w:rsidR="00666AB4" w:rsidRPr="00666AB4" w:rsidTr="009719FA">
        <w:tc>
          <w:tcPr>
            <w:tcW w:w="966"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rPr>
                <w:rFonts w:ascii="Arial Narrow" w:hAnsi="Arial Narrow"/>
                <w:bCs/>
                <w:sz w:val="24"/>
                <w:szCs w:val="24"/>
              </w:rPr>
            </w:pPr>
            <w:r w:rsidRPr="001812A7">
              <w:rPr>
                <w:rFonts w:ascii="Arial Narrow" w:hAnsi="Arial Narrow"/>
                <w:bCs/>
                <w:color w:val="000000"/>
                <w:sz w:val="24"/>
                <w:szCs w:val="24"/>
              </w:rPr>
              <w:t>70-74</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6,339</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8,101</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1,762</w:t>
            </w:r>
          </w:p>
        </w:tc>
        <w:tc>
          <w:tcPr>
            <w:tcW w:w="969"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27.8%</w:t>
            </w:r>
          </w:p>
        </w:tc>
      </w:tr>
      <w:tr w:rsidR="00666AB4" w:rsidRPr="00666AB4" w:rsidTr="009719FA">
        <w:tc>
          <w:tcPr>
            <w:tcW w:w="966"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rPr>
                <w:rFonts w:ascii="Arial Narrow" w:hAnsi="Arial Narrow"/>
                <w:bCs/>
                <w:sz w:val="24"/>
                <w:szCs w:val="24"/>
              </w:rPr>
            </w:pPr>
            <w:r w:rsidRPr="001812A7">
              <w:rPr>
                <w:rFonts w:ascii="Arial Narrow" w:hAnsi="Arial Narrow"/>
                <w:bCs/>
                <w:color w:val="000000"/>
                <w:sz w:val="24"/>
                <w:szCs w:val="24"/>
              </w:rPr>
              <w:t>75-79</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4,654</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6,634</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1,980</w:t>
            </w:r>
          </w:p>
        </w:tc>
        <w:tc>
          <w:tcPr>
            <w:tcW w:w="969"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42.5%</w:t>
            </w:r>
          </w:p>
        </w:tc>
      </w:tr>
      <w:tr w:rsidR="00666AB4" w:rsidRPr="00666AB4" w:rsidTr="009719FA">
        <w:tc>
          <w:tcPr>
            <w:tcW w:w="966"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rPr>
                <w:rFonts w:ascii="Arial Narrow" w:hAnsi="Arial Narrow"/>
                <w:bCs/>
                <w:sz w:val="24"/>
                <w:szCs w:val="24"/>
              </w:rPr>
            </w:pPr>
            <w:r w:rsidRPr="001812A7">
              <w:rPr>
                <w:rFonts w:ascii="Arial Narrow" w:hAnsi="Arial Narrow"/>
                <w:bCs/>
                <w:color w:val="000000"/>
                <w:sz w:val="24"/>
                <w:szCs w:val="24"/>
              </w:rPr>
              <w:t>80-84</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3,501</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5,219</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1,718</w:t>
            </w:r>
          </w:p>
        </w:tc>
        <w:tc>
          <w:tcPr>
            <w:tcW w:w="969"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49.1%</w:t>
            </w:r>
          </w:p>
        </w:tc>
      </w:tr>
      <w:tr w:rsidR="00666AB4" w:rsidRPr="00666AB4" w:rsidTr="009719FA">
        <w:tc>
          <w:tcPr>
            <w:tcW w:w="966"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rPr>
                <w:rFonts w:ascii="Arial Narrow" w:hAnsi="Arial Narrow"/>
                <w:bCs/>
                <w:sz w:val="24"/>
                <w:szCs w:val="24"/>
              </w:rPr>
            </w:pPr>
            <w:r w:rsidRPr="001812A7">
              <w:rPr>
                <w:rFonts w:ascii="Arial Narrow" w:hAnsi="Arial Narrow"/>
                <w:bCs/>
                <w:color w:val="000000"/>
                <w:sz w:val="24"/>
                <w:szCs w:val="24"/>
              </w:rPr>
              <w:t>85 &amp; over</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3,843</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7,091</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3,248</w:t>
            </w:r>
          </w:p>
        </w:tc>
        <w:tc>
          <w:tcPr>
            <w:tcW w:w="969"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84.5%</w:t>
            </w:r>
          </w:p>
        </w:tc>
      </w:tr>
      <w:tr w:rsidR="00666AB4" w:rsidRPr="00666AB4" w:rsidTr="009719FA">
        <w:tc>
          <w:tcPr>
            <w:tcW w:w="966"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rPr>
                <w:rFonts w:ascii="Arial Narrow" w:hAnsi="Arial Narrow"/>
                <w:bCs/>
                <w:sz w:val="24"/>
                <w:szCs w:val="24"/>
              </w:rPr>
            </w:pPr>
            <w:r w:rsidRPr="001812A7">
              <w:rPr>
                <w:rFonts w:ascii="Arial Narrow" w:hAnsi="Arial Narrow"/>
                <w:bCs/>
                <w:color w:val="000000"/>
                <w:sz w:val="24"/>
                <w:szCs w:val="24"/>
              </w:rPr>
              <w:t>Total</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89,487</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108,687</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19,200</w:t>
            </w:r>
          </w:p>
        </w:tc>
        <w:tc>
          <w:tcPr>
            <w:tcW w:w="969"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9719FA">
            <w:pPr>
              <w:keepNext/>
              <w:tabs>
                <w:tab w:val="left" w:pos="284"/>
              </w:tabs>
              <w:spacing w:line="300" w:lineRule="auto"/>
              <w:ind w:left="284" w:hanging="284"/>
              <w:jc w:val="center"/>
              <w:rPr>
                <w:rFonts w:ascii="Arial Narrow" w:hAnsi="Arial Narrow"/>
                <w:bCs/>
                <w:sz w:val="24"/>
                <w:szCs w:val="24"/>
              </w:rPr>
            </w:pPr>
            <w:r w:rsidRPr="001812A7">
              <w:rPr>
                <w:rFonts w:ascii="Arial Narrow" w:hAnsi="Arial Narrow"/>
                <w:color w:val="000000"/>
                <w:sz w:val="24"/>
                <w:szCs w:val="24"/>
              </w:rPr>
              <w:t>21.5%</w:t>
            </w:r>
          </w:p>
        </w:tc>
      </w:tr>
    </w:tbl>
    <w:p w:rsidR="00666AB4" w:rsidRPr="00427BB0" w:rsidRDefault="00666AB4" w:rsidP="009719FA">
      <w:pPr>
        <w:pStyle w:val="Tableheading"/>
        <w:numPr>
          <w:ilvl w:val="0"/>
          <w:numId w:val="0"/>
        </w:numPr>
        <w:tabs>
          <w:tab w:val="clear" w:pos="794"/>
          <w:tab w:val="clear" w:pos="1843"/>
          <w:tab w:val="left" w:pos="0"/>
        </w:tabs>
        <w:rPr>
          <w:b w:val="0"/>
          <w:bCs/>
        </w:rPr>
      </w:pPr>
      <w:r w:rsidRPr="00427BB0">
        <w:rPr>
          <w:b w:val="0"/>
          <w:bCs/>
        </w:rPr>
        <w:t xml:space="preserve">Source: GLH Demographic Projections </w:t>
      </w:r>
    </w:p>
    <w:p w:rsidR="00666AB4" w:rsidRPr="004B604F" w:rsidRDefault="00666AB4" w:rsidP="002F7AD3">
      <w:pPr>
        <w:tabs>
          <w:tab w:val="left" w:pos="284"/>
        </w:tabs>
        <w:spacing w:after="200"/>
        <w:ind w:left="284" w:hanging="284"/>
        <w:rPr>
          <w:b/>
        </w:rPr>
      </w:pPr>
      <w:r w:rsidRPr="004B604F">
        <w:rPr>
          <w:b/>
        </w:rPr>
        <w:br w:type="page"/>
      </w:r>
    </w:p>
    <w:p w:rsidR="00666AB4" w:rsidRPr="004B604F" w:rsidRDefault="00666AB4" w:rsidP="002F7AD3">
      <w:pPr>
        <w:tabs>
          <w:tab w:val="left" w:pos="284"/>
        </w:tabs>
        <w:spacing w:after="200"/>
        <w:ind w:left="284" w:hanging="284"/>
        <w:rPr>
          <w:b/>
        </w:rPr>
      </w:pPr>
    </w:p>
    <w:p w:rsidR="00666AB4" w:rsidRPr="004B604F" w:rsidRDefault="00666AB4" w:rsidP="009719FA">
      <w:pPr>
        <w:pStyle w:val="Tableheading"/>
        <w:tabs>
          <w:tab w:val="clear" w:pos="794"/>
          <w:tab w:val="clear" w:pos="1843"/>
          <w:tab w:val="left" w:pos="0"/>
          <w:tab w:val="left" w:pos="567"/>
        </w:tabs>
        <w:ind w:left="0" w:firstLine="0"/>
      </w:pPr>
      <w:r w:rsidRPr="004B604F">
        <w:t xml:space="preserve">Projected population change in Chichester </w:t>
      </w:r>
      <w:r w:rsidR="008F5270">
        <w:t xml:space="preserve">District </w:t>
      </w:r>
      <w:r w:rsidRPr="004B604F">
        <w:t xml:space="preserve">linked to 731 </w:t>
      </w:r>
      <w:r w:rsidR="002F7AD3">
        <w:t>dpa</w:t>
      </w:r>
      <w:r w:rsidR="00855CA6">
        <w:t xml:space="preserve"> </w:t>
      </w:r>
      <w:r w:rsidRPr="002F7AD3">
        <w:t>(2019-37)</w:t>
      </w:r>
    </w:p>
    <w:tbl>
      <w:tblPr>
        <w:tblStyle w:val="TableGrid"/>
        <w:tblW w:w="4894" w:type="pct"/>
        <w:tblInd w:w="108" w:type="dxa"/>
        <w:tblLook w:val="04A0" w:firstRow="1" w:lastRow="0" w:firstColumn="1" w:lastColumn="0" w:noHBand="0" w:noVBand="1"/>
        <w:tblCaption w:val="Table 71: Projected population change in Chichester District linked to 731 dpa (2019-37)"/>
      </w:tblPr>
      <w:tblGrid>
        <w:gridCol w:w="1863"/>
        <w:gridCol w:w="1969"/>
        <w:gridCol w:w="1969"/>
        <w:gridCol w:w="1969"/>
        <w:gridCol w:w="1868"/>
      </w:tblGrid>
      <w:tr w:rsidR="00666AB4" w:rsidRPr="001812A7" w:rsidTr="009719FA">
        <w:trPr>
          <w:tblHeader/>
        </w:trPr>
        <w:tc>
          <w:tcPr>
            <w:tcW w:w="966" w:type="pct"/>
            <w:tcBorders>
              <w:top w:val="single" w:sz="4" w:space="0" w:color="auto"/>
              <w:left w:val="single" w:sz="4" w:space="0" w:color="auto"/>
              <w:bottom w:val="single" w:sz="4" w:space="0" w:color="auto"/>
              <w:right w:val="single" w:sz="4" w:space="0" w:color="auto"/>
            </w:tcBorders>
            <w:shd w:val="clear" w:color="auto" w:fill="0093D5" w:themeFill="accent2"/>
            <w:vAlign w:val="center"/>
          </w:tcPr>
          <w:p w:rsidR="00666AB4" w:rsidRPr="001812A7" w:rsidRDefault="00666AB4" w:rsidP="002F7AD3">
            <w:pPr>
              <w:keepNext/>
              <w:tabs>
                <w:tab w:val="left" w:pos="284"/>
              </w:tabs>
              <w:spacing w:line="300" w:lineRule="auto"/>
              <w:ind w:left="284" w:hanging="284"/>
              <w:rPr>
                <w:rFonts w:ascii="Arial Narrow" w:hAnsi="Arial Narrow" w:cstheme="minorHAnsi"/>
                <w:color w:val="FFFFFF" w:themeColor="background1"/>
                <w:sz w:val="24"/>
                <w:szCs w:val="24"/>
              </w:rPr>
            </w:pPr>
          </w:p>
        </w:tc>
        <w:tc>
          <w:tcPr>
            <w:tcW w:w="1021" w:type="pct"/>
            <w:tcBorders>
              <w:top w:val="single" w:sz="4" w:space="0" w:color="auto"/>
              <w:left w:val="single" w:sz="4" w:space="0" w:color="auto"/>
              <w:bottom w:val="single" w:sz="4" w:space="0" w:color="auto"/>
              <w:right w:val="single" w:sz="4" w:space="0" w:color="auto"/>
            </w:tcBorders>
            <w:shd w:val="clear" w:color="auto" w:fill="0093D5" w:themeFill="accent2"/>
            <w:hideMark/>
          </w:tcPr>
          <w:p w:rsidR="00666AB4" w:rsidRPr="001812A7" w:rsidRDefault="00666AB4" w:rsidP="009719FA">
            <w:pPr>
              <w:keepNext/>
              <w:tabs>
                <w:tab w:val="left" w:pos="284"/>
              </w:tabs>
              <w:spacing w:line="300" w:lineRule="auto"/>
              <w:ind w:left="284" w:hanging="284"/>
              <w:jc w:val="center"/>
              <w:rPr>
                <w:rFonts w:ascii="Arial Narrow" w:hAnsi="Arial Narrow" w:cstheme="minorHAnsi"/>
                <w:color w:val="FFFFFF" w:themeColor="background1"/>
                <w:sz w:val="24"/>
                <w:szCs w:val="24"/>
              </w:rPr>
            </w:pPr>
            <w:r w:rsidRPr="001812A7">
              <w:rPr>
                <w:rFonts w:ascii="Arial Narrow" w:hAnsi="Arial Narrow" w:cstheme="minorHAnsi"/>
                <w:color w:val="FFFFFF" w:themeColor="background1"/>
                <w:sz w:val="24"/>
                <w:szCs w:val="24"/>
              </w:rPr>
              <w:t>Population 2019</w:t>
            </w:r>
          </w:p>
        </w:tc>
        <w:tc>
          <w:tcPr>
            <w:tcW w:w="1021" w:type="pct"/>
            <w:tcBorders>
              <w:top w:val="single" w:sz="4" w:space="0" w:color="auto"/>
              <w:left w:val="single" w:sz="4" w:space="0" w:color="auto"/>
              <w:bottom w:val="single" w:sz="4" w:space="0" w:color="auto"/>
              <w:right w:val="single" w:sz="4" w:space="0" w:color="auto"/>
            </w:tcBorders>
            <w:shd w:val="clear" w:color="auto" w:fill="0093D5" w:themeFill="accent2"/>
            <w:hideMark/>
          </w:tcPr>
          <w:p w:rsidR="00666AB4" w:rsidRPr="001812A7" w:rsidRDefault="00666AB4" w:rsidP="009719FA">
            <w:pPr>
              <w:keepNext/>
              <w:tabs>
                <w:tab w:val="left" w:pos="284"/>
              </w:tabs>
              <w:spacing w:line="300" w:lineRule="auto"/>
              <w:ind w:left="284" w:hanging="284"/>
              <w:jc w:val="center"/>
              <w:rPr>
                <w:rFonts w:ascii="Arial Narrow" w:hAnsi="Arial Narrow" w:cstheme="minorHAnsi"/>
                <w:color w:val="FFFFFF" w:themeColor="background1"/>
                <w:sz w:val="24"/>
                <w:szCs w:val="24"/>
              </w:rPr>
            </w:pPr>
            <w:r w:rsidRPr="001812A7">
              <w:rPr>
                <w:rFonts w:ascii="Arial Narrow" w:hAnsi="Arial Narrow" w:cstheme="minorHAnsi"/>
                <w:color w:val="FFFFFF" w:themeColor="background1"/>
                <w:sz w:val="24"/>
                <w:szCs w:val="24"/>
              </w:rPr>
              <w:t>Population 2037</w:t>
            </w:r>
          </w:p>
        </w:tc>
        <w:tc>
          <w:tcPr>
            <w:tcW w:w="1021" w:type="pct"/>
            <w:tcBorders>
              <w:top w:val="single" w:sz="4" w:space="0" w:color="auto"/>
              <w:left w:val="single" w:sz="4" w:space="0" w:color="auto"/>
              <w:bottom w:val="single" w:sz="4" w:space="0" w:color="auto"/>
              <w:right w:val="single" w:sz="4" w:space="0" w:color="auto"/>
            </w:tcBorders>
            <w:shd w:val="clear" w:color="auto" w:fill="0093D5" w:themeFill="accent2"/>
            <w:hideMark/>
          </w:tcPr>
          <w:p w:rsidR="00666AB4" w:rsidRPr="001812A7" w:rsidRDefault="00666AB4" w:rsidP="009719FA">
            <w:pPr>
              <w:keepNext/>
              <w:tabs>
                <w:tab w:val="left" w:pos="45"/>
              </w:tabs>
              <w:spacing w:line="300" w:lineRule="auto"/>
              <w:jc w:val="center"/>
              <w:rPr>
                <w:rFonts w:ascii="Arial Narrow" w:hAnsi="Arial Narrow" w:cstheme="minorHAnsi"/>
                <w:color w:val="FFFFFF" w:themeColor="background1"/>
                <w:sz w:val="24"/>
                <w:szCs w:val="24"/>
              </w:rPr>
            </w:pPr>
            <w:r w:rsidRPr="001812A7">
              <w:rPr>
                <w:rFonts w:ascii="Arial Narrow" w:hAnsi="Arial Narrow" w:cstheme="minorHAnsi"/>
                <w:color w:val="FFFFFF" w:themeColor="background1"/>
                <w:sz w:val="24"/>
                <w:szCs w:val="24"/>
              </w:rPr>
              <w:t>Change in population</w:t>
            </w:r>
          </w:p>
        </w:tc>
        <w:tc>
          <w:tcPr>
            <w:tcW w:w="969" w:type="pct"/>
            <w:tcBorders>
              <w:top w:val="single" w:sz="4" w:space="0" w:color="auto"/>
              <w:left w:val="single" w:sz="4" w:space="0" w:color="auto"/>
              <w:bottom w:val="single" w:sz="4" w:space="0" w:color="auto"/>
              <w:right w:val="single" w:sz="4" w:space="0" w:color="auto"/>
            </w:tcBorders>
            <w:shd w:val="clear" w:color="auto" w:fill="0093D5" w:themeFill="accent2"/>
            <w:hideMark/>
          </w:tcPr>
          <w:p w:rsidR="00666AB4" w:rsidRPr="001812A7" w:rsidRDefault="00666AB4" w:rsidP="009719FA">
            <w:pPr>
              <w:keepNext/>
              <w:tabs>
                <w:tab w:val="left" w:pos="284"/>
              </w:tabs>
              <w:spacing w:line="300" w:lineRule="auto"/>
              <w:ind w:left="284" w:hanging="284"/>
              <w:jc w:val="center"/>
              <w:rPr>
                <w:rFonts w:ascii="Arial Narrow" w:hAnsi="Arial Narrow" w:cstheme="minorHAnsi"/>
                <w:color w:val="FFFFFF" w:themeColor="background1"/>
                <w:sz w:val="24"/>
                <w:szCs w:val="24"/>
              </w:rPr>
            </w:pPr>
            <w:r w:rsidRPr="001812A7">
              <w:rPr>
                <w:rFonts w:ascii="Arial Narrow" w:hAnsi="Arial Narrow" w:cstheme="minorHAnsi"/>
                <w:color w:val="FFFFFF" w:themeColor="background1"/>
                <w:sz w:val="24"/>
                <w:szCs w:val="24"/>
              </w:rPr>
              <w:t>% change</w:t>
            </w:r>
          </w:p>
        </w:tc>
      </w:tr>
      <w:tr w:rsidR="00666AB4" w:rsidRPr="001812A7" w:rsidTr="00A06746">
        <w:tc>
          <w:tcPr>
            <w:tcW w:w="966"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2F7AD3">
            <w:pPr>
              <w:keepNext/>
              <w:tabs>
                <w:tab w:val="left" w:pos="284"/>
              </w:tabs>
              <w:spacing w:line="300" w:lineRule="auto"/>
              <w:ind w:left="284" w:hanging="284"/>
              <w:rPr>
                <w:rFonts w:ascii="Arial Narrow" w:hAnsi="Arial Narrow" w:cstheme="minorHAnsi"/>
                <w:sz w:val="24"/>
                <w:szCs w:val="24"/>
              </w:rPr>
            </w:pPr>
            <w:r w:rsidRPr="001812A7">
              <w:rPr>
                <w:rFonts w:ascii="Arial Narrow" w:hAnsi="Arial Narrow" w:cstheme="minorHAnsi"/>
                <w:color w:val="000000"/>
                <w:sz w:val="24"/>
                <w:szCs w:val="24"/>
              </w:rPr>
              <w:t>0-4</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5,661</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6,268</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606</w:t>
            </w:r>
          </w:p>
        </w:tc>
        <w:tc>
          <w:tcPr>
            <w:tcW w:w="969"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10.7%</w:t>
            </w:r>
          </w:p>
        </w:tc>
      </w:tr>
      <w:tr w:rsidR="00666AB4" w:rsidRPr="001812A7" w:rsidTr="00A06746">
        <w:tc>
          <w:tcPr>
            <w:tcW w:w="966"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2F7AD3">
            <w:pPr>
              <w:keepNext/>
              <w:tabs>
                <w:tab w:val="left" w:pos="284"/>
              </w:tabs>
              <w:spacing w:line="300" w:lineRule="auto"/>
              <w:ind w:left="284" w:hanging="284"/>
              <w:rPr>
                <w:rFonts w:ascii="Arial Narrow" w:hAnsi="Arial Narrow" w:cstheme="minorHAnsi"/>
                <w:sz w:val="24"/>
                <w:szCs w:val="24"/>
              </w:rPr>
            </w:pPr>
            <w:r w:rsidRPr="001812A7">
              <w:rPr>
                <w:rFonts w:ascii="Arial Narrow" w:hAnsi="Arial Narrow" w:cstheme="minorHAnsi"/>
                <w:color w:val="000000"/>
                <w:sz w:val="24"/>
                <w:szCs w:val="24"/>
              </w:rPr>
              <w:t>5-9</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6,611</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6,725</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114</w:t>
            </w:r>
          </w:p>
        </w:tc>
        <w:tc>
          <w:tcPr>
            <w:tcW w:w="969"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1.7%</w:t>
            </w:r>
          </w:p>
        </w:tc>
      </w:tr>
      <w:tr w:rsidR="00666AB4" w:rsidRPr="001812A7" w:rsidTr="00A06746">
        <w:tc>
          <w:tcPr>
            <w:tcW w:w="966"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2F7AD3">
            <w:pPr>
              <w:keepNext/>
              <w:tabs>
                <w:tab w:val="left" w:pos="284"/>
              </w:tabs>
              <w:spacing w:line="300" w:lineRule="auto"/>
              <w:ind w:left="284" w:hanging="284"/>
              <w:rPr>
                <w:rFonts w:ascii="Arial Narrow" w:hAnsi="Arial Narrow" w:cstheme="minorHAnsi"/>
                <w:sz w:val="24"/>
                <w:szCs w:val="24"/>
              </w:rPr>
            </w:pPr>
            <w:r w:rsidRPr="001812A7">
              <w:rPr>
                <w:rFonts w:ascii="Arial Narrow" w:hAnsi="Arial Narrow" w:cstheme="minorHAnsi"/>
                <w:color w:val="000000"/>
                <w:sz w:val="24"/>
                <w:szCs w:val="24"/>
              </w:rPr>
              <w:t>10-14</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6,592</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6,884</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292</w:t>
            </w:r>
          </w:p>
        </w:tc>
        <w:tc>
          <w:tcPr>
            <w:tcW w:w="969"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4.4%</w:t>
            </w:r>
          </w:p>
        </w:tc>
      </w:tr>
      <w:tr w:rsidR="00666AB4" w:rsidRPr="001812A7" w:rsidTr="00A06746">
        <w:tc>
          <w:tcPr>
            <w:tcW w:w="966"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2F7AD3">
            <w:pPr>
              <w:keepNext/>
              <w:tabs>
                <w:tab w:val="left" w:pos="284"/>
              </w:tabs>
              <w:spacing w:line="300" w:lineRule="auto"/>
              <w:ind w:left="284" w:hanging="284"/>
              <w:rPr>
                <w:rFonts w:ascii="Arial Narrow" w:hAnsi="Arial Narrow" w:cstheme="minorHAnsi"/>
                <w:sz w:val="24"/>
                <w:szCs w:val="24"/>
              </w:rPr>
            </w:pPr>
            <w:r w:rsidRPr="001812A7">
              <w:rPr>
                <w:rFonts w:ascii="Arial Narrow" w:hAnsi="Arial Narrow" w:cstheme="minorHAnsi"/>
                <w:color w:val="000000"/>
                <w:sz w:val="24"/>
                <w:szCs w:val="24"/>
              </w:rPr>
              <w:t>15-19</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6,226</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7,346</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1,120</w:t>
            </w:r>
          </w:p>
        </w:tc>
        <w:tc>
          <w:tcPr>
            <w:tcW w:w="969"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18.0%</w:t>
            </w:r>
          </w:p>
        </w:tc>
      </w:tr>
      <w:tr w:rsidR="00666AB4" w:rsidRPr="001812A7" w:rsidTr="00A06746">
        <w:tc>
          <w:tcPr>
            <w:tcW w:w="966"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2F7AD3">
            <w:pPr>
              <w:keepNext/>
              <w:tabs>
                <w:tab w:val="left" w:pos="284"/>
              </w:tabs>
              <w:spacing w:line="300" w:lineRule="auto"/>
              <w:ind w:left="284" w:hanging="284"/>
              <w:rPr>
                <w:rFonts w:ascii="Arial Narrow" w:hAnsi="Arial Narrow" w:cstheme="minorHAnsi"/>
                <w:sz w:val="24"/>
                <w:szCs w:val="24"/>
              </w:rPr>
            </w:pPr>
            <w:r w:rsidRPr="001812A7">
              <w:rPr>
                <w:rFonts w:ascii="Arial Narrow" w:hAnsi="Arial Narrow" w:cstheme="minorHAnsi"/>
                <w:color w:val="000000"/>
                <w:sz w:val="24"/>
                <w:szCs w:val="24"/>
              </w:rPr>
              <w:t>20-24</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6,391</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8,535</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2,143</w:t>
            </w:r>
          </w:p>
        </w:tc>
        <w:tc>
          <w:tcPr>
            <w:tcW w:w="969"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33.5%</w:t>
            </w:r>
          </w:p>
        </w:tc>
      </w:tr>
      <w:tr w:rsidR="00666AB4" w:rsidRPr="001812A7" w:rsidTr="00A06746">
        <w:tc>
          <w:tcPr>
            <w:tcW w:w="966"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2F7AD3">
            <w:pPr>
              <w:keepNext/>
              <w:tabs>
                <w:tab w:val="left" w:pos="284"/>
              </w:tabs>
              <w:spacing w:line="300" w:lineRule="auto"/>
              <w:ind w:left="284" w:hanging="284"/>
              <w:rPr>
                <w:rFonts w:ascii="Arial Narrow" w:hAnsi="Arial Narrow" w:cstheme="minorHAnsi"/>
                <w:sz w:val="24"/>
                <w:szCs w:val="24"/>
              </w:rPr>
            </w:pPr>
            <w:r w:rsidRPr="001812A7">
              <w:rPr>
                <w:rFonts w:ascii="Arial Narrow" w:hAnsi="Arial Narrow" w:cstheme="minorHAnsi"/>
                <w:color w:val="000000"/>
                <w:sz w:val="24"/>
                <w:szCs w:val="24"/>
              </w:rPr>
              <w:t>25-29</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5,757</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6,945</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1,188</w:t>
            </w:r>
          </w:p>
        </w:tc>
        <w:tc>
          <w:tcPr>
            <w:tcW w:w="969"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20.6%</w:t>
            </w:r>
          </w:p>
        </w:tc>
      </w:tr>
      <w:tr w:rsidR="00666AB4" w:rsidRPr="001812A7" w:rsidTr="00A06746">
        <w:tc>
          <w:tcPr>
            <w:tcW w:w="966"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2F7AD3">
            <w:pPr>
              <w:keepNext/>
              <w:tabs>
                <w:tab w:val="left" w:pos="284"/>
              </w:tabs>
              <w:spacing w:line="300" w:lineRule="auto"/>
              <w:ind w:left="284" w:hanging="284"/>
              <w:rPr>
                <w:rFonts w:ascii="Arial Narrow" w:hAnsi="Arial Narrow" w:cstheme="minorHAnsi"/>
                <w:sz w:val="24"/>
                <w:szCs w:val="24"/>
              </w:rPr>
            </w:pPr>
            <w:r w:rsidRPr="001812A7">
              <w:rPr>
                <w:rFonts w:ascii="Arial Narrow" w:hAnsi="Arial Narrow" w:cstheme="minorHAnsi"/>
                <w:color w:val="000000"/>
                <w:sz w:val="24"/>
                <w:szCs w:val="24"/>
              </w:rPr>
              <w:t>30-34</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5,427</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6,024</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597</w:t>
            </w:r>
          </w:p>
        </w:tc>
        <w:tc>
          <w:tcPr>
            <w:tcW w:w="969"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11.0%</w:t>
            </w:r>
          </w:p>
        </w:tc>
      </w:tr>
      <w:tr w:rsidR="00666AB4" w:rsidRPr="001812A7" w:rsidTr="00A06746">
        <w:tc>
          <w:tcPr>
            <w:tcW w:w="966"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2F7AD3">
            <w:pPr>
              <w:keepNext/>
              <w:tabs>
                <w:tab w:val="left" w:pos="284"/>
              </w:tabs>
              <w:spacing w:line="300" w:lineRule="auto"/>
              <w:ind w:left="284" w:hanging="284"/>
              <w:rPr>
                <w:rFonts w:ascii="Arial Narrow" w:hAnsi="Arial Narrow" w:cstheme="minorHAnsi"/>
                <w:sz w:val="24"/>
                <w:szCs w:val="24"/>
              </w:rPr>
            </w:pPr>
            <w:r w:rsidRPr="001812A7">
              <w:rPr>
                <w:rFonts w:ascii="Arial Narrow" w:hAnsi="Arial Narrow" w:cstheme="minorHAnsi"/>
                <w:color w:val="000000"/>
                <w:sz w:val="24"/>
                <w:szCs w:val="24"/>
              </w:rPr>
              <w:t>35-39</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5,912</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5,972</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60</w:t>
            </w:r>
          </w:p>
        </w:tc>
        <w:tc>
          <w:tcPr>
            <w:tcW w:w="969"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1.0%</w:t>
            </w:r>
          </w:p>
        </w:tc>
      </w:tr>
      <w:tr w:rsidR="00666AB4" w:rsidRPr="001812A7" w:rsidTr="00A06746">
        <w:tc>
          <w:tcPr>
            <w:tcW w:w="966"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2F7AD3">
            <w:pPr>
              <w:keepNext/>
              <w:tabs>
                <w:tab w:val="left" w:pos="284"/>
              </w:tabs>
              <w:spacing w:line="300" w:lineRule="auto"/>
              <w:ind w:left="284" w:hanging="284"/>
              <w:rPr>
                <w:rFonts w:ascii="Arial Narrow" w:hAnsi="Arial Narrow" w:cstheme="minorHAnsi"/>
                <w:sz w:val="24"/>
                <w:szCs w:val="24"/>
              </w:rPr>
            </w:pPr>
            <w:r w:rsidRPr="001812A7">
              <w:rPr>
                <w:rFonts w:ascii="Arial Narrow" w:hAnsi="Arial Narrow" w:cstheme="minorHAnsi"/>
                <w:color w:val="000000"/>
                <w:sz w:val="24"/>
                <w:szCs w:val="24"/>
              </w:rPr>
              <w:t>40-44</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6,016</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6,787</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772</w:t>
            </w:r>
          </w:p>
        </w:tc>
        <w:tc>
          <w:tcPr>
            <w:tcW w:w="969"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12.8%</w:t>
            </w:r>
          </w:p>
        </w:tc>
      </w:tr>
      <w:tr w:rsidR="00666AB4" w:rsidRPr="001812A7" w:rsidTr="00A06746">
        <w:tc>
          <w:tcPr>
            <w:tcW w:w="966"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2F7AD3">
            <w:pPr>
              <w:keepNext/>
              <w:tabs>
                <w:tab w:val="left" w:pos="284"/>
              </w:tabs>
              <w:spacing w:line="300" w:lineRule="auto"/>
              <w:ind w:left="284" w:hanging="284"/>
              <w:rPr>
                <w:rFonts w:ascii="Arial Narrow" w:hAnsi="Arial Narrow" w:cstheme="minorHAnsi"/>
                <w:sz w:val="24"/>
                <w:szCs w:val="24"/>
              </w:rPr>
            </w:pPr>
            <w:r w:rsidRPr="001812A7">
              <w:rPr>
                <w:rFonts w:ascii="Arial Narrow" w:hAnsi="Arial Narrow" w:cstheme="minorHAnsi"/>
                <w:color w:val="000000"/>
                <w:sz w:val="24"/>
                <w:szCs w:val="24"/>
              </w:rPr>
              <w:t>45-49</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7,611</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7,686</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75</w:t>
            </w:r>
          </w:p>
        </w:tc>
        <w:tc>
          <w:tcPr>
            <w:tcW w:w="969"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1.0%</w:t>
            </w:r>
          </w:p>
        </w:tc>
      </w:tr>
      <w:tr w:rsidR="00666AB4" w:rsidRPr="001812A7" w:rsidTr="00A06746">
        <w:tc>
          <w:tcPr>
            <w:tcW w:w="966"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2F7AD3">
            <w:pPr>
              <w:keepNext/>
              <w:tabs>
                <w:tab w:val="left" w:pos="284"/>
              </w:tabs>
              <w:spacing w:line="300" w:lineRule="auto"/>
              <w:ind w:left="284" w:hanging="284"/>
              <w:rPr>
                <w:rFonts w:ascii="Arial Narrow" w:hAnsi="Arial Narrow" w:cstheme="minorHAnsi"/>
                <w:sz w:val="24"/>
                <w:szCs w:val="24"/>
              </w:rPr>
            </w:pPr>
            <w:r w:rsidRPr="001812A7">
              <w:rPr>
                <w:rFonts w:ascii="Arial Narrow" w:hAnsi="Arial Narrow" w:cstheme="minorHAnsi"/>
                <w:color w:val="000000"/>
                <w:sz w:val="24"/>
                <w:szCs w:val="24"/>
              </w:rPr>
              <w:t>50-54</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8,793</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7,841</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-952</w:t>
            </w:r>
          </w:p>
        </w:tc>
        <w:tc>
          <w:tcPr>
            <w:tcW w:w="969"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-10.8%</w:t>
            </w:r>
          </w:p>
        </w:tc>
      </w:tr>
      <w:tr w:rsidR="00666AB4" w:rsidRPr="001812A7" w:rsidTr="00A06746">
        <w:tc>
          <w:tcPr>
            <w:tcW w:w="966"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2F7AD3">
            <w:pPr>
              <w:keepNext/>
              <w:tabs>
                <w:tab w:val="left" w:pos="284"/>
              </w:tabs>
              <w:spacing w:line="300" w:lineRule="auto"/>
              <w:ind w:left="284" w:hanging="284"/>
              <w:rPr>
                <w:rFonts w:ascii="Arial Narrow" w:hAnsi="Arial Narrow" w:cstheme="minorHAnsi"/>
                <w:sz w:val="24"/>
                <w:szCs w:val="24"/>
              </w:rPr>
            </w:pPr>
            <w:r w:rsidRPr="001812A7">
              <w:rPr>
                <w:rFonts w:ascii="Arial Narrow" w:hAnsi="Arial Narrow" w:cstheme="minorHAnsi"/>
                <w:color w:val="000000"/>
                <w:sz w:val="24"/>
                <w:szCs w:val="24"/>
              </w:rPr>
              <w:t>55-59</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9,054</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8,298</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-755</w:t>
            </w:r>
          </w:p>
        </w:tc>
        <w:tc>
          <w:tcPr>
            <w:tcW w:w="969"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-8.3%</w:t>
            </w:r>
          </w:p>
        </w:tc>
      </w:tr>
      <w:tr w:rsidR="00666AB4" w:rsidRPr="001812A7" w:rsidTr="00A06746">
        <w:tc>
          <w:tcPr>
            <w:tcW w:w="966"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2F7AD3">
            <w:pPr>
              <w:keepNext/>
              <w:tabs>
                <w:tab w:val="left" w:pos="284"/>
              </w:tabs>
              <w:spacing w:line="300" w:lineRule="auto"/>
              <w:ind w:left="284" w:hanging="284"/>
              <w:rPr>
                <w:rFonts w:ascii="Arial Narrow" w:hAnsi="Arial Narrow" w:cstheme="minorHAnsi"/>
                <w:sz w:val="24"/>
                <w:szCs w:val="24"/>
              </w:rPr>
            </w:pPr>
            <w:r w:rsidRPr="001812A7">
              <w:rPr>
                <w:rFonts w:ascii="Arial Narrow" w:hAnsi="Arial Narrow" w:cstheme="minorHAnsi"/>
                <w:color w:val="000000"/>
                <w:sz w:val="24"/>
                <w:szCs w:val="24"/>
              </w:rPr>
              <w:t>60-64</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8,489</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9,294</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805</w:t>
            </w:r>
          </w:p>
        </w:tc>
        <w:tc>
          <w:tcPr>
            <w:tcW w:w="969"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9.5%</w:t>
            </w:r>
          </w:p>
        </w:tc>
      </w:tr>
      <w:tr w:rsidR="00666AB4" w:rsidRPr="001812A7" w:rsidTr="00A06746">
        <w:tc>
          <w:tcPr>
            <w:tcW w:w="966"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2F7AD3">
            <w:pPr>
              <w:keepNext/>
              <w:tabs>
                <w:tab w:val="left" w:pos="284"/>
              </w:tabs>
              <w:spacing w:line="300" w:lineRule="auto"/>
              <w:ind w:left="284" w:hanging="284"/>
              <w:rPr>
                <w:rFonts w:ascii="Arial Narrow" w:hAnsi="Arial Narrow" w:cstheme="minorHAnsi"/>
                <w:sz w:val="24"/>
                <w:szCs w:val="24"/>
              </w:rPr>
            </w:pPr>
            <w:r w:rsidRPr="001812A7">
              <w:rPr>
                <w:rFonts w:ascii="Arial Narrow" w:hAnsi="Arial Narrow" w:cstheme="minorHAnsi"/>
                <w:color w:val="000000"/>
                <w:sz w:val="24"/>
                <w:szCs w:val="24"/>
              </w:rPr>
              <w:t>65-69</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7,974</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10,594</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2,620</w:t>
            </w:r>
          </w:p>
        </w:tc>
        <w:tc>
          <w:tcPr>
            <w:tcW w:w="969"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32.9%</w:t>
            </w:r>
          </w:p>
        </w:tc>
      </w:tr>
      <w:tr w:rsidR="00666AB4" w:rsidRPr="001812A7" w:rsidTr="00A06746">
        <w:tc>
          <w:tcPr>
            <w:tcW w:w="966"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2F7AD3">
            <w:pPr>
              <w:keepNext/>
              <w:tabs>
                <w:tab w:val="left" w:pos="284"/>
              </w:tabs>
              <w:spacing w:line="300" w:lineRule="auto"/>
              <w:ind w:left="284" w:hanging="284"/>
              <w:rPr>
                <w:rFonts w:ascii="Arial Narrow" w:hAnsi="Arial Narrow" w:cstheme="minorHAnsi"/>
                <w:sz w:val="24"/>
                <w:szCs w:val="24"/>
              </w:rPr>
            </w:pPr>
            <w:r w:rsidRPr="001812A7">
              <w:rPr>
                <w:rFonts w:ascii="Arial Narrow" w:hAnsi="Arial Narrow" w:cstheme="minorHAnsi"/>
                <w:color w:val="000000"/>
                <w:sz w:val="24"/>
                <w:szCs w:val="24"/>
              </w:rPr>
              <w:t>70-74</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8,712</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10,916</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2,204</w:t>
            </w:r>
          </w:p>
        </w:tc>
        <w:tc>
          <w:tcPr>
            <w:tcW w:w="969"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25.3%</w:t>
            </w:r>
          </w:p>
        </w:tc>
      </w:tr>
      <w:tr w:rsidR="00666AB4" w:rsidRPr="001812A7" w:rsidTr="00A06746">
        <w:tc>
          <w:tcPr>
            <w:tcW w:w="966"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2F7AD3">
            <w:pPr>
              <w:keepNext/>
              <w:tabs>
                <w:tab w:val="left" w:pos="284"/>
              </w:tabs>
              <w:spacing w:line="300" w:lineRule="auto"/>
              <w:ind w:left="284" w:hanging="284"/>
              <w:rPr>
                <w:rFonts w:ascii="Arial Narrow" w:hAnsi="Arial Narrow" w:cstheme="minorHAnsi"/>
                <w:sz w:val="24"/>
                <w:szCs w:val="24"/>
              </w:rPr>
            </w:pPr>
            <w:r w:rsidRPr="001812A7">
              <w:rPr>
                <w:rFonts w:ascii="Arial Narrow" w:hAnsi="Arial Narrow" w:cstheme="minorHAnsi"/>
                <w:color w:val="000000"/>
                <w:sz w:val="24"/>
                <w:szCs w:val="24"/>
              </w:rPr>
              <w:t>75-79</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6,496</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9,085</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2,590</w:t>
            </w:r>
          </w:p>
        </w:tc>
        <w:tc>
          <w:tcPr>
            <w:tcW w:w="969"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39.9%</w:t>
            </w:r>
          </w:p>
        </w:tc>
      </w:tr>
      <w:tr w:rsidR="00666AB4" w:rsidRPr="001812A7" w:rsidTr="00A06746">
        <w:tc>
          <w:tcPr>
            <w:tcW w:w="966"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2F7AD3">
            <w:pPr>
              <w:keepNext/>
              <w:tabs>
                <w:tab w:val="left" w:pos="284"/>
              </w:tabs>
              <w:spacing w:line="300" w:lineRule="auto"/>
              <w:ind w:left="284" w:hanging="284"/>
              <w:rPr>
                <w:rFonts w:ascii="Arial Narrow" w:hAnsi="Arial Narrow" w:cstheme="minorHAnsi"/>
                <w:sz w:val="24"/>
                <w:szCs w:val="24"/>
              </w:rPr>
            </w:pPr>
            <w:r w:rsidRPr="001812A7">
              <w:rPr>
                <w:rFonts w:ascii="Arial Narrow" w:hAnsi="Arial Narrow" w:cstheme="minorHAnsi"/>
                <w:color w:val="000000"/>
                <w:sz w:val="24"/>
                <w:szCs w:val="24"/>
              </w:rPr>
              <w:t>80-84</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4,754</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6,979</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2,226</w:t>
            </w:r>
          </w:p>
        </w:tc>
        <w:tc>
          <w:tcPr>
            <w:tcW w:w="969"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46.8%</w:t>
            </w:r>
          </w:p>
        </w:tc>
      </w:tr>
      <w:tr w:rsidR="00666AB4" w:rsidRPr="001812A7" w:rsidTr="00A06746">
        <w:tc>
          <w:tcPr>
            <w:tcW w:w="966"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2F7AD3">
            <w:pPr>
              <w:keepNext/>
              <w:tabs>
                <w:tab w:val="left" w:pos="284"/>
              </w:tabs>
              <w:spacing w:line="300" w:lineRule="auto"/>
              <w:ind w:left="284" w:hanging="284"/>
              <w:rPr>
                <w:rFonts w:ascii="Arial Narrow" w:hAnsi="Arial Narrow" w:cstheme="minorHAnsi"/>
                <w:sz w:val="24"/>
                <w:szCs w:val="24"/>
              </w:rPr>
            </w:pPr>
            <w:r w:rsidRPr="001812A7">
              <w:rPr>
                <w:rFonts w:ascii="Arial Narrow" w:hAnsi="Arial Narrow" w:cstheme="minorHAnsi"/>
                <w:color w:val="000000"/>
                <w:sz w:val="24"/>
                <w:szCs w:val="24"/>
              </w:rPr>
              <w:t>85 &amp; over</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5,154</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9,356</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4,201</w:t>
            </w:r>
          </w:p>
        </w:tc>
        <w:tc>
          <w:tcPr>
            <w:tcW w:w="969"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81.5%</w:t>
            </w:r>
          </w:p>
        </w:tc>
      </w:tr>
      <w:tr w:rsidR="00666AB4" w:rsidRPr="001812A7" w:rsidTr="00A06746">
        <w:tc>
          <w:tcPr>
            <w:tcW w:w="966"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2F7AD3">
            <w:pPr>
              <w:keepNext/>
              <w:tabs>
                <w:tab w:val="left" w:pos="284"/>
              </w:tabs>
              <w:spacing w:line="300" w:lineRule="auto"/>
              <w:ind w:left="284" w:hanging="284"/>
              <w:rPr>
                <w:rFonts w:ascii="Arial Narrow" w:hAnsi="Arial Narrow" w:cstheme="minorHAnsi"/>
                <w:sz w:val="24"/>
                <w:szCs w:val="24"/>
              </w:rPr>
            </w:pPr>
            <w:r w:rsidRPr="001812A7">
              <w:rPr>
                <w:rFonts w:ascii="Arial Narrow" w:hAnsi="Arial Narrow" w:cstheme="minorHAnsi"/>
                <w:color w:val="000000"/>
                <w:sz w:val="24"/>
                <w:szCs w:val="24"/>
              </w:rPr>
              <w:t>Total</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121,628</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141,534</w:t>
            </w:r>
          </w:p>
        </w:tc>
        <w:tc>
          <w:tcPr>
            <w:tcW w:w="1021"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19,906</w:t>
            </w:r>
          </w:p>
        </w:tc>
        <w:tc>
          <w:tcPr>
            <w:tcW w:w="969"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theme="minorHAnsi"/>
                <w:sz w:val="24"/>
                <w:szCs w:val="24"/>
              </w:rPr>
            </w:pPr>
            <w:r w:rsidRPr="001812A7">
              <w:rPr>
                <w:rFonts w:ascii="Arial Narrow" w:hAnsi="Arial Narrow" w:cstheme="minorHAnsi"/>
                <w:color w:val="000000"/>
                <w:sz w:val="24"/>
                <w:szCs w:val="24"/>
              </w:rPr>
              <w:t>16.4%</w:t>
            </w:r>
          </w:p>
        </w:tc>
      </w:tr>
    </w:tbl>
    <w:p w:rsidR="00666AB4" w:rsidRPr="008F5270" w:rsidRDefault="001812A7" w:rsidP="002F7AD3">
      <w:pPr>
        <w:tabs>
          <w:tab w:val="left" w:pos="284"/>
        </w:tabs>
        <w:spacing w:line="300" w:lineRule="auto"/>
        <w:ind w:left="284" w:hanging="284"/>
        <w:rPr>
          <w:sz w:val="24"/>
          <w:szCs w:val="24"/>
        </w:rPr>
      </w:pPr>
      <w:r>
        <w:tab/>
      </w:r>
      <w:r w:rsidRPr="008F5270">
        <w:rPr>
          <w:sz w:val="24"/>
          <w:szCs w:val="24"/>
        </w:rPr>
        <w:tab/>
      </w:r>
      <w:r w:rsidR="00666AB4" w:rsidRPr="008F5270">
        <w:rPr>
          <w:sz w:val="24"/>
          <w:szCs w:val="24"/>
        </w:rPr>
        <w:t>Source: Demographic projections</w:t>
      </w:r>
    </w:p>
    <w:p w:rsidR="00666AB4" w:rsidRPr="004B604F" w:rsidRDefault="00666AB4" w:rsidP="002F7AD3">
      <w:pPr>
        <w:tabs>
          <w:tab w:val="left" w:pos="284"/>
        </w:tabs>
        <w:ind w:left="284" w:hanging="284"/>
      </w:pPr>
    </w:p>
    <w:p w:rsidR="00666AB4" w:rsidRPr="004B604F" w:rsidRDefault="00666AB4" w:rsidP="009719FA">
      <w:pPr>
        <w:pStyle w:val="Tableheading"/>
        <w:tabs>
          <w:tab w:val="clear" w:pos="794"/>
          <w:tab w:val="clear" w:pos="1843"/>
          <w:tab w:val="left" w:pos="0"/>
        </w:tabs>
        <w:ind w:left="0" w:firstLine="0"/>
      </w:pPr>
      <w:r w:rsidRPr="004B604F">
        <w:t>Jobs supported by growth in economically active population (2019 – 2037)</w:t>
      </w:r>
    </w:p>
    <w:tbl>
      <w:tblPr>
        <w:tblStyle w:val="TableGridLight1"/>
        <w:tblW w:w="4894" w:type="pct"/>
        <w:tblInd w:w="108" w:type="dxa"/>
        <w:tblLook w:val="04A0" w:firstRow="1" w:lastRow="0" w:firstColumn="1" w:lastColumn="0" w:noHBand="0" w:noVBand="1"/>
        <w:tblCaption w:val="Table 72: Jobs supported by growth in economically active population (2019 – 2037)"/>
      </w:tblPr>
      <w:tblGrid>
        <w:gridCol w:w="2152"/>
        <w:gridCol w:w="2744"/>
        <w:gridCol w:w="2186"/>
        <w:gridCol w:w="2556"/>
      </w:tblGrid>
      <w:tr w:rsidR="00666AB4" w:rsidRPr="001812A7" w:rsidTr="00A06746">
        <w:trPr>
          <w:tblHeader/>
        </w:trPr>
        <w:tc>
          <w:tcPr>
            <w:tcW w:w="1116" w:type="pct"/>
            <w:tcBorders>
              <w:top w:val="single" w:sz="4" w:space="0" w:color="auto"/>
              <w:left w:val="single" w:sz="4" w:space="0" w:color="auto"/>
              <w:bottom w:val="single" w:sz="4" w:space="0" w:color="auto"/>
              <w:right w:val="single" w:sz="4" w:space="0" w:color="auto"/>
            </w:tcBorders>
            <w:shd w:val="clear" w:color="auto" w:fill="0093D5" w:themeFill="accent2"/>
            <w:vAlign w:val="center"/>
          </w:tcPr>
          <w:p w:rsidR="00666AB4" w:rsidRPr="001812A7" w:rsidRDefault="00666AB4" w:rsidP="00A06746">
            <w:pPr>
              <w:keepNext/>
              <w:tabs>
                <w:tab w:val="left" w:pos="284"/>
              </w:tabs>
              <w:spacing w:line="300" w:lineRule="auto"/>
              <w:ind w:left="284" w:hanging="284"/>
              <w:rPr>
                <w:rFonts w:ascii="Arial Narrow" w:hAnsi="Arial Narrow" w:cs="Arial"/>
                <w:b/>
                <w:color w:val="FFFFFF" w:themeColor="background1"/>
                <w:sz w:val="24"/>
                <w:szCs w:val="24"/>
              </w:rPr>
            </w:pPr>
          </w:p>
        </w:tc>
        <w:tc>
          <w:tcPr>
            <w:tcW w:w="1423" w:type="pct"/>
            <w:tcBorders>
              <w:top w:val="single" w:sz="4" w:space="0" w:color="auto"/>
              <w:left w:val="single" w:sz="4" w:space="0" w:color="auto"/>
              <w:bottom w:val="single" w:sz="4" w:space="0" w:color="auto"/>
              <w:right w:val="single" w:sz="4" w:space="0" w:color="auto"/>
            </w:tcBorders>
            <w:shd w:val="clear" w:color="auto" w:fill="0093D5" w:themeFill="accent2"/>
            <w:hideMark/>
          </w:tcPr>
          <w:p w:rsidR="00666AB4" w:rsidRPr="001812A7" w:rsidRDefault="00666AB4" w:rsidP="009719FA">
            <w:pPr>
              <w:keepNext/>
              <w:widowControl w:val="0"/>
              <w:tabs>
                <w:tab w:val="left" w:pos="8"/>
              </w:tabs>
              <w:spacing w:line="300" w:lineRule="auto"/>
              <w:ind w:left="8"/>
              <w:jc w:val="center"/>
              <w:rPr>
                <w:rFonts w:ascii="Arial Narrow" w:hAnsi="Arial Narrow" w:cs="Arial"/>
                <w:b/>
                <w:color w:val="FFFFFF" w:themeColor="background1"/>
                <w:sz w:val="24"/>
                <w:szCs w:val="24"/>
              </w:rPr>
            </w:pPr>
            <w:r w:rsidRPr="001812A7">
              <w:rPr>
                <w:rFonts w:ascii="Arial Narrow" w:hAnsi="Arial Narrow" w:cs="Arial"/>
                <w:b/>
                <w:color w:val="FFFFFF" w:themeColor="background1"/>
                <w:sz w:val="24"/>
                <w:szCs w:val="24"/>
              </w:rPr>
              <w:t>Total change in economically active</w:t>
            </w:r>
          </w:p>
        </w:tc>
        <w:tc>
          <w:tcPr>
            <w:tcW w:w="1134" w:type="pct"/>
            <w:tcBorders>
              <w:top w:val="single" w:sz="4" w:space="0" w:color="auto"/>
              <w:left w:val="single" w:sz="4" w:space="0" w:color="auto"/>
              <w:bottom w:val="single" w:sz="4" w:space="0" w:color="auto"/>
              <w:right w:val="single" w:sz="4" w:space="0" w:color="auto"/>
            </w:tcBorders>
            <w:shd w:val="clear" w:color="auto" w:fill="0093D5" w:themeFill="accent2"/>
            <w:hideMark/>
          </w:tcPr>
          <w:p w:rsidR="00666AB4" w:rsidRPr="001812A7" w:rsidRDefault="00666AB4" w:rsidP="009719FA">
            <w:pPr>
              <w:keepNext/>
              <w:widowControl w:val="0"/>
              <w:tabs>
                <w:tab w:val="left" w:pos="0"/>
              </w:tabs>
              <w:spacing w:line="300" w:lineRule="auto"/>
              <w:jc w:val="center"/>
              <w:rPr>
                <w:rFonts w:ascii="Arial Narrow" w:hAnsi="Arial Narrow" w:cs="Arial"/>
                <w:b/>
                <w:color w:val="FFFFFF" w:themeColor="background1"/>
                <w:sz w:val="24"/>
                <w:szCs w:val="24"/>
              </w:rPr>
            </w:pPr>
            <w:r w:rsidRPr="001812A7">
              <w:rPr>
                <w:rFonts w:ascii="Arial Narrow" w:hAnsi="Arial Narrow" w:cs="Arial"/>
                <w:b/>
                <w:color w:val="FFFFFF" w:themeColor="background1"/>
                <w:sz w:val="24"/>
                <w:szCs w:val="24"/>
              </w:rPr>
              <w:t>Allowance for net commuting</w:t>
            </w:r>
          </w:p>
        </w:tc>
        <w:tc>
          <w:tcPr>
            <w:tcW w:w="1326" w:type="pct"/>
            <w:tcBorders>
              <w:top w:val="single" w:sz="4" w:space="0" w:color="auto"/>
              <w:left w:val="single" w:sz="4" w:space="0" w:color="auto"/>
              <w:bottom w:val="single" w:sz="4" w:space="0" w:color="auto"/>
              <w:right w:val="single" w:sz="4" w:space="0" w:color="auto"/>
            </w:tcBorders>
            <w:shd w:val="clear" w:color="auto" w:fill="0093D5" w:themeFill="accent2"/>
            <w:hideMark/>
          </w:tcPr>
          <w:p w:rsidR="002F7AD3" w:rsidRPr="001812A7" w:rsidRDefault="00666AB4" w:rsidP="009719FA">
            <w:pPr>
              <w:keepNext/>
              <w:widowControl w:val="0"/>
              <w:tabs>
                <w:tab w:val="left" w:pos="40"/>
              </w:tabs>
              <w:spacing w:line="300" w:lineRule="auto"/>
              <w:ind w:left="40" w:hanging="40"/>
              <w:jc w:val="center"/>
              <w:rPr>
                <w:rFonts w:ascii="Arial Narrow" w:hAnsi="Arial Narrow" w:cs="Arial"/>
                <w:b/>
                <w:color w:val="FFFFFF" w:themeColor="background1"/>
                <w:sz w:val="24"/>
                <w:szCs w:val="24"/>
              </w:rPr>
            </w:pPr>
            <w:r w:rsidRPr="001812A7">
              <w:rPr>
                <w:rFonts w:ascii="Arial Narrow" w:hAnsi="Arial Narrow" w:cs="Arial"/>
                <w:b/>
                <w:color w:val="FFFFFF" w:themeColor="background1"/>
                <w:sz w:val="24"/>
                <w:szCs w:val="24"/>
              </w:rPr>
              <w:t>Allowance for double jobbing</w:t>
            </w:r>
          </w:p>
          <w:p w:rsidR="00666AB4" w:rsidRPr="001812A7" w:rsidRDefault="00666AB4" w:rsidP="00A06746">
            <w:pPr>
              <w:keepNext/>
              <w:widowControl w:val="0"/>
              <w:tabs>
                <w:tab w:val="left" w:pos="284"/>
              </w:tabs>
              <w:spacing w:line="300" w:lineRule="auto"/>
              <w:ind w:left="284" w:hanging="284"/>
              <w:jc w:val="center"/>
              <w:rPr>
                <w:rFonts w:ascii="Arial Narrow" w:hAnsi="Arial Narrow" w:cs="Arial"/>
                <w:b/>
                <w:color w:val="FFFFFF" w:themeColor="background1"/>
                <w:sz w:val="24"/>
                <w:szCs w:val="24"/>
              </w:rPr>
            </w:pPr>
            <w:r w:rsidRPr="001812A7">
              <w:rPr>
                <w:rFonts w:ascii="Arial Narrow" w:hAnsi="Arial Narrow" w:cs="Arial"/>
                <w:b/>
                <w:color w:val="FFFFFF" w:themeColor="background1"/>
                <w:sz w:val="24"/>
                <w:szCs w:val="24"/>
              </w:rPr>
              <w:t>(= jobs supported)</w:t>
            </w:r>
          </w:p>
        </w:tc>
      </w:tr>
      <w:tr w:rsidR="00666AB4" w:rsidRPr="001812A7" w:rsidTr="00A06746">
        <w:tc>
          <w:tcPr>
            <w:tcW w:w="1116"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widowControl w:val="0"/>
              <w:tabs>
                <w:tab w:val="left" w:pos="284"/>
              </w:tabs>
              <w:spacing w:line="300" w:lineRule="auto"/>
              <w:ind w:left="284" w:hanging="284"/>
              <w:rPr>
                <w:rFonts w:ascii="Arial Narrow" w:hAnsi="Arial Narrow" w:cs="Arial"/>
                <w:color w:val="000000" w:themeColor="text1"/>
                <w:sz w:val="24"/>
                <w:szCs w:val="24"/>
              </w:rPr>
            </w:pPr>
            <w:r w:rsidRPr="001812A7">
              <w:rPr>
                <w:rFonts w:ascii="Arial Narrow" w:hAnsi="Arial Narrow" w:cs="Arial"/>
                <w:sz w:val="24"/>
                <w:szCs w:val="24"/>
              </w:rPr>
              <w:t>SNPP</w:t>
            </w:r>
          </w:p>
        </w:tc>
        <w:tc>
          <w:tcPr>
            <w:tcW w:w="1423"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Arial"/>
                <w:sz w:val="24"/>
                <w:szCs w:val="24"/>
              </w:rPr>
            </w:pPr>
            <w:r w:rsidRPr="001812A7">
              <w:rPr>
                <w:rFonts w:ascii="Arial Narrow" w:hAnsi="Arial Narrow" w:cs="Arial"/>
                <w:color w:val="000000"/>
                <w:sz w:val="24"/>
                <w:szCs w:val="24"/>
              </w:rPr>
              <w:t>4,448</w:t>
            </w:r>
          </w:p>
        </w:tc>
        <w:tc>
          <w:tcPr>
            <w:tcW w:w="1134"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Arial"/>
                <w:sz w:val="24"/>
                <w:szCs w:val="24"/>
              </w:rPr>
            </w:pPr>
            <w:r w:rsidRPr="001812A7">
              <w:rPr>
                <w:rFonts w:ascii="Arial Narrow" w:hAnsi="Arial Narrow" w:cs="Arial"/>
                <w:color w:val="000000"/>
                <w:sz w:val="24"/>
                <w:szCs w:val="24"/>
              </w:rPr>
              <w:t>5,106</w:t>
            </w:r>
          </w:p>
        </w:tc>
        <w:tc>
          <w:tcPr>
            <w:tcW w:w="1326"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Arial"/>
                <w:sz w:val="24"/>
                <w:szCs w:val="24"/>
              </w:rPr>
            </w:pPr>
            <w:r w:rsidRPr="001812A7">
              <w:rPr>
                <w:rFonts w:ascii="Arial Narrow" w:hAnsi="Arial Narrow" w:cs="Arial"/>
                <w:color w:val="000000"/>
                <w:sz w:val="24"/>
                <w:szCs w:val="24"/>
              </w:rPr>
              <w:t>5,353</w:t>
            </w:r>
          </w:p>
        </w:tc>
      </w:tr>
      <w:tr w:rsidR="00666AB4" w:rsidRPr="001812A7" w:rsidTr="00A06746">
        <w:tc>
          <w:tcPr>
            <w:tcW w:w="1116"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widowControl w:val="0"/>
              <w:tabs>
                <w:tab w:val="left" w:pos="284"/>
              </w:tabs>
              <w:spacing w:line="300" w:lineRule="auto"/>
              <w:ind w:left="284" w:hanging="284"/>
              <w:rPr>
                <w:rFonts w:ascii="Arial Narrow" w:hAnsi="Arial Narrow" w:cs="Arial"/>
                <w:sz w:val="24"/>
                <w:szCs w:val="24"/>
              </w:rPr>
            </w:pPr>
            <w:r w:rsidRPr="001812A7">
              <w:rPr>
                <w:rFonts w:ascii="Arial Narrow" w:hAnsi="Arial Narrow" w:cs="Arial"/>
                <w:sz w:val="24"/>
                <w:szCs w:val="24"/>
              </w:rPr>
              <w:t>SNPP (+MYE)</w:t>
            </w:r>
          </w:p>
        </w:tc>
        <w:tc>
          <w:tcPr>
            <w:tcW w:w="1423"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Arial"/>
                <w:sz w:val="24"/>
                <w:szCs w:val="24"/>
              </w:rPr>
            </w:pPr>
            <w:r w:rsidRPr="001812A7">
              <w:rPr>
                <w:rFonts w:ascii="Arial Narrow" w:hAnsi="Arial Narrow" w:cs="Arial"/>
                <w:color w:val="000000"/>
                <w:sz w:val="24"/>
                <w:szCs w:val="24"/>
              </w:rPr>
              <w:t>4,410</w:t>
            </w:r>
          </w:p>
        </w:tc>
        <w:tc>
          <w:tcPr>
            <w:tcW w:w="1134"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Arial"/>
                <w:sz w:val="24"/>
                <w:szCs w:val="24"/>
              </w:rPr>
            </w:pPr>
            <w:r w:rsidRPr="001812A7">
              <w:rPr>
                <w:rFonts w:ascii="Arial Narrow" w:hAnsi="Arial Narrow" w:cs="Arial"/>
                <w:color w:val="000000"/>
                <w:sz w:val="24"/>
                <w:szCs w:val="24"/>
              </w:rPr>
              <w:t>5,063</w:t>
            </w:r>
          </w:p>
        </w:tc>
        <w:tc>
          <w:tcPr>
            <w:tcW w:w="1326"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Arial"/>
                <w:sz w:val="24"/>
                <w:szCs w:val="24"/>
              </w:rPr>
            </w:pPr>
            <w:r w:rsidRPr="001812A7">
              <w:rPr>
                <w:rFonts w:ascii="Arial Narrow" w:hAnsi="Arial Narrow" w:cs="Arial"/>
                <w:color w:val="000000"/>
                <w:sz w:val="24"/>
                <w:szCs w:val="24"/>
              </w:rPr>
              <w:t>5,308</w:t>
            </w:r>
          </w:p>
        </w:tc>
      </w:tr>
      <w:tr w:rsidR="00666AB4" w:rsidRPr="001812A7" w:rsidTr="00A06746">
        <w:tc>
          <w:tcPr>
            <w:tcW w:w="1116"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widowControl w:val="0"/>
              <w:tabs>
                <w:tab w:val="left" w:pos="284"/>
              </w:tabs>
              <w:spacing w:line="300" w:lineRule="auto"/>
              <w:ind w:left="284" w:hanging="284"/>
              <w:rPr>
                <w:rFonts w:ascii="Arial Narrow" w:hAnsi="Arial Narrow" w:cs="Arial"/>
                <w:sz w:val="24"/>
                <w:szCs w:val="24"/>
              </w:rPr>
            </w:pPr>
            <w:r w:rsidRPr="001812A7">
              <w:rPr>
                <w:rFonts w:ascii="Arial Narrow" w:hAnsi="Arial Narrow" w:cs="Arial"/>
                <w:sz w:val="24"/>
                <w:szCs w:val="24"/>
              </w:rPr>
              <w:t>District (731 dpa)</w:t>
            </w:r>
          </w:p>
        </w:tc>
        <w:tc>
          <w:tcPr>
            <w:tcW w:w="1423"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Arial"/>
                <w:sz w:val="24"/>
                <w:szCs w:val="24"/>
              </w:rPr>
            </w:pPr>
            <w:r w:rsidRPr="001812A7">
              <w:rPr>
                <w:rFonts w:ascii="Arial Narrow" w:hAnsi="Arial Narrow" w:cs="Arial"/>
                <w:color w:val="000000"/>
                <w:sz w:val="24"/>
                <w:szCs w:val="24"/>
              </w:rPr>
              <w:t>8,875</w:t>
            </w:r>
          </w:p>
        </w:tc>
        <w:tc>
          <w:tcPr>
            <w:tcW w:w="1134"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Arial"/>
                <w:sz w:val="24"/>
                <w:szCs w:val="24"/>
              </w:rPr>
            </w:pPr>
            <w:r w:rsidRPr="001812A7">
              <w:rPr>
                <w:rFonts w:ascii="Arial Narrow" w:hAnsi="Arial Narrow" w:cs="Arial"/>
                <w:color w:val="000000"/>
                <w:sz w:val="24"/>
                <w:szCs w:val="24"/>
              </w:rPr>
              <w:t>10,188</w:t>
            </w:r>
          </w:p>
        </w:tc>
        <w:tc>
          <w:tcPr>
            <w:tcW w:w="1326"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keepNext/>
              <w:tabs>
                <w:tab w:val="left" w:pos="284"/>
              </w:tabs>
              <w:spacing w:line="300" w:lineRule="auto"/>
              <w:ind w:left="284" w:hanging="284"/>
              <w:jc w:val="center"/>
              <w:rPr>
                <w:rFonts w:ascii="Arial Narrow" w:hAnsi="Arial Narrow" w:cs="Arial"/>
                <w:sz w:val="24"/>
                <w:szCs w:val="24"/>
              </w:rPr>
            </w:pPr>
            <w:r w:rsidRPr="001812A7">
              <w:rPr>
                <w:rFonts w:ascii="Arial Narrow" w:hAnsi="Arial Narrow" w:cs="Arial"/>
                <w:color w:val="000000"/>
                <w:sz w:val="24"/>
                <w:szCs w:val="24"/>
              </w:rPr>
              <w:t>10,680</w:t>
            </w:r>
          </w:p>
        </w:tc>
      </w:tr>
    </w:tbl>
    <w:p w:rsidR="00666AB4" w:rsidRPr="004B604F" w:rsidRDefault="00666AB4" w:rsidP="009719FA">
      <w:pPr>
        <w:pStyle w:val="Bodytextwithindent"/>
        <w:tabs>
          <w:tab w:val="left" w:pos="0"/>
        </w:tabs>
        <w:spacing w:before="0" w:after="0" w:line="240" w:lineRule="auto"/>
        <w:ind w:left="0"/>
        <w:rPr>
          <w:szCs w:val="20"/>
        </w:rPr>
      </w:pPr>
      <w:r w:rsidRPr="001812A7">
        <w:rPr>
          <w:sz w:val="24"/>
          <w:szCs w:val="24"/>
        </w:rPr>
        <w:t xml:space="preserve">Source: GLH modelling </w:t>
      </w:r>
    </w:p>
    <w:p w:rsidR="00666AB4" w:rsidRPr="004B604F" w:rsidRDefault="00666AB4" w:rsidP="002F7AD3">
      <w:pPr>
        <w:tabs>
          <w:tab w:val="left" w:pos="284"/>
        </w:tabs>
        <w:ind w:left="284" w:hanging="284"/>
      </w:pPr>
    </w:p>
    <w:p w:rsidR="002F7AD3" w:rsidRDefault="002F7AD3">
      <w:pPr>
        <w:spacing w:after="200"/>
        <w:rPr>
          <w:b/>
        </w:rPr>
      </w:pPr>
      <w:r>
        <w:br w:type="page"/>
      </w:r>
    </w:p>
    <w:p w:rsidR="00666AB4" w:rsidRPr="004B604F" w:rsidRDefault="00666AB4" w:rsidP="009719FA">
      <w:pPr>
        <w:pStyle w:val="Tableheading"/>
        <w:tabs>
          <w:tab w:val="clear" w:pos="794"/>
          <w:tab w:val="clear" w:pos="1843"/>
          <w:tab w:val="left" w:pos="0"/>
        </w:tabs>
        <w:ind w:left="0" w:firstLine="0"/>
      </w:pPr>
      <w:r w:rsidRPr="002F7AD3">
        <w:lastRenderedPageBreak/>
        <w:t xml:space="preserve">Estimated level of Social/ Affordable Rented Housing Need per annum </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73: Estimated level of Social/ Affordable Rented Housing Need per annum"/>
      </w:tblPr>
      <w:tblGrid>
        <w:gridCol w:w="1912"/>
        <w:gridCol w:w="1303"/>
        <w:gridCol w:w="1307"/>
        <w:gridCol w:w="1303"/>
        <w:gridCol w:w="1307"/>
        <w:gridCol w:w="1303"/>
        <w:gridCol w:w="1203"/>
      </w:tblGrid>
      <w:tr w:rsidR="00666AB4" w:rsidRPr="001812A7" w:rsidTr="00A06746">
        <w:trPr>
          <w:trHeight w:val="657"/>
        </w:trPr>
        <w:tc>
          <w:tcPr>
            <w:tcW w:w="992" w:type="pct"/>
            <w:shd w:val="clear" w:color="auto" w:fill="0093D5" w:themeFill="accent2"/>
          </w:tcPr>
          <w:p w:rsidR="00666AB4" w:rsidRPr="001812A7" w:rsidRDefault="00666AB4" w:rsidP="003D1D66">
            <w:pPr>
              <w:keepNext/>
              <w:tabs>
                <w:tab w:val="left" w:pos="0"/>
              </w:tabs>
              <w:ind w:left="22"/>
              <w:rPr>
                <w:rFonts w:ascii="Arial Narrow" w:eastAsia="Times New Roman" w:hAnsi="Arial Narrow"/>
                <w:bCs/>
                <w:color w:val="FFFFFF" w:themeColor="background1"/>
                <w:sz w:val="24"/>
                <w:szCs w:val="24"/>
                <w:lang w:eastAsia="en-GB"/>
              </w:rPr>
            </w:pPr>
          </w:p>
        </w:tc>
        <w:tc>
          <w:tcPr>
            <w:tcW w:w="676" w:type="pct"/>
            <w:shd w:val="clear" w:color="auto" w:fill="0093D5" w:themeFill="accent2"/>
            <w:hideMark/>
          </w:tcPr>
          <w:p w:rsidR="00666AB4" w:rsidRPr="001812A7" w:rsidRDefault="00666AB4" w:rsidP="003D1D66">
            <w:pPr>
              <w:keepNext/>
              <w:tabs>
                <w:tab w:val="left" w:pos="0"/>
              </w:tabs>
              <w:ind w:left="22"/>
              <w:jc w:val="center"/>
              <w:rPr>
                <w:rFonts w:ascii="Arial Narrow" w:hAnsi="Arial Narrow"/>
                <w:bCs/>
                <w:color w:val="FFFFFF" w:themeColor="background1"/>
                <w:sz w:val="24"/>
                <w:szCs w:val="24"/>
              </w:rPr>
            </w:pPr>
            <w:r w:rsidRPr="001812A7">
              <w:rPr>
                <w:rFonts w:ascii="Arial Narrow" w:hAnsi="Arial Narrow"/>
                <w:bCs/>
                <w:color w:val="FFFFFF" w:themeColor="background1"/>
                <w:sz w:val="24"/>
                <w:szCs w:val="24"/>
              </w:rPr>
              <w:t>Current need</w:t>
            </w:r>
          </w:p>
        </w:tc>
        <w:tc>
          <w:tcPr>
            <w:tcW w:w="678" w:type="pct"/>
            <w:shd w:val="clear" w:color="auto" w:fill="0093D5" w:themeFill="accent2"/>
            <w:hideMark/>
          </w:tcPr>
          <w:p w:rsidR="00666AB4" w:rsidRPr="001812A7" w:rsidRDefault="00666AB4" w:rsidP="003D1D66">
            <w:pPr>
              <w:keepNext/>
              <w:tabs>
                <w:tab w:val="left" w:pos="0"/>
              </w:tabs>
              <w:ind w:left="22"/>
              <w:jc w:val="center"/>
              <w:rPr>
                <w:rFonts w:ascii="Arial Narrow" w:hAnsi="Arial Narrow"/>
                <w:bCs/>
                <w:color w:val="FFFFFF" w:themeColor="background1"/>
                <w:sz w:val="24"/>
                <w:szCs w:val="24"/>
              </w:rPr>
            </w:pPr>
            <w:r w:rsidRPr="001812A7">
              <w:rPr>
                <w:rFonts w:ascii="Arial Narrow" w:hAnsi="Arial Narrow"/>
                <w:bCs/>
                <w:color w:val="FFFFFF" w:themeColor="background1"/>
                <w:sz w:val="24"/>
                <w:szCs w:val="24"/>
              </w:rPr>
              <w:t>Newly forming households</w:t>
            </w:r>
          </w:p>
        </w:tc>
        <w:tc>
          <w:tcPr>
            <w:tcW w:w="676" w:type="pct"/>
            <w:shd w:val="clear" w:color="auto" w:fill="0093D5" w:themeFill="accent2"/>
            <w:hideMark/>
          </w:tcPr>
          <w:p w:rsidR="00666AB4" w:rsidRPr="001812A7" w:rsidRDefault="00666AB4" w:rsidP="003D1D66">
            <w:pPr>
              <w:keepNext/>
              <w:tabs>
                <w:tab w:val="left" w:pos="0"/>
              </w:tabs>
              <w:ind w:left="22"/>
              <w:jc w:val="center"/>
              <w:rPr>
                <w:rFonts w:ascii="Arial Narrow" w:hAnsi="Arial Narrow"/>
                <w:bCs/>
                <w:color w:val="FFFFFF" w:themeColor="background1"/>
                <w:sz w:val="24"/>
                <w:szCs w:val="24"/>
              </w:rPr>
            </w:pPr>
            <w:r w:rsidRPr="001812A7">
              <w:rPr>
                <w:rFonts w:ascii="Arial Narrow" w:hAnsi="Arial Narrow"/>
                <w:bCs/>
                <w:color w:val="FFFFFF" w:themeColor="background1"/>
                <w:sz w:val="24"/>
                <w:szCs w:val="24"/>
              </w:rPr>
              <w:t>Existing households falling into need</w:t>
            </w:r>
          </w:p>
        </w:tc>
        <w:tc>
          <w:tcPr>
            <w:tcW w:w="678" w:type="pct"/>
            <w:shd w:val="clear" w:color="auto" w:fill="0093D5" w:themeFill="accent2"/>
            <w:hideMark/>
          </w:tcPr>
          <w:p w:rsidR="00666AB4" w:rsidRPr="001812A7" w:rsidRDefault="00666AB4" w:rsidP="003D1D66">
            <w:pPr>
              <w:keepNext/>
              <w:tabs>
                <w:tab w:val="left" w:pos="0"/>
              </w:tabs>
              <w:ind w:left="22"/>
              <w:jc w:val="center"/>
              <w:rPr>
                <w:rFonts w:ascii="Arial Narrow" w:hAnsi="Arial Narrow"/>
                <w:bCs/>
                <w:color w:val="FFFFFF" w:themeColor="background1"/>
                <w:sz w:val="24"/>
                <w:szCs w:val="24"/>
              </w:rPr>
            </w:pPr>
            <w:r w:rsidRPr="001812A7">
              <w:rPr>
                <w:rFonts w:ascii="Arial Narrow" w:hAnsi="Arial Narrow"/>
                <w:bCs/>
                <w:color w:val="FFFFFF" w:themeColor="background1"/>
                <w:sz w:val="24"/>
                <w:szCs w:val="24"/>
              </w:rPr>
              <w:t>Total Gross Need</w:t>
            </w:r>
          </w:p>
        </w:tc>
        <w:tc>
          <w:tcPr>
            <w:tcW w:w="676" w:type="pct"/>
            <w:shd w:val="clear" w:color="auto" w:fill="0093D5" w:themeFill="accent2"/>
            <w:hideMark/>
          </w:tcPr>
          <w:p w:rsidR="00666AB4" w:rsidRPr="001812A7" w:rsidRDefault="00666AB4" w:rsidP="003D1D66">
            <w:pPr>
              <w:keepNext/>
              <w:tabs>
                <w:tab w:val="left" w:pos="0"/>
              </w:tabs>
              <w:ind w:left="22"/>
              <w:jc w:val="center"/>
              <w:rPr>
                <w:rFonts w:ascii="Arial Narrow" w:hAnsi="Arial Narrow"/>
                <w:bCs/>
                <w:color w:val="FFFFFF" w:themeColor="background1"/>
                <w:sz w:val="24"/>
                <w:szCs w:val="24"/>
              </w:rPr>
            </w:pPr>
            <w:r w:rsidRPr="001812A7">
              <w:rPr>
                <w:rFonts w:ascii="Arial Narrow" w:hAnsi="Arial Narrow"/>
                <w:bCs/>
                <w:color w:val="FFFFFF" w:themeColor="background1"/>
                <w:sz w:val="24"/>
                <w:szCs w:val="24"/>
              </w:rPr>
              <w:t>Supply from existing stock</w:t>
            </w:r>
          </w:p>
        </w:tc>
        <w:tc>
          <w:tcPr>
            <w:tcW w:w="624" w:type="pct"/>
            <w:shd w:val="clear" w:color="auto" w:fill="0093D5" w:themeFill="accent2"/>
            <w:hideMark/>
          </w:tcPr>
          <w:p w:rsidR="00666AB4" w:rsidRPr="001812A7" w:rsidRDefault="00666AB4" w:rsidP="003D1D66">
            <w:pPr>
              <w:keepNext/>
              <w:tabs>
                <w:tab w:val="left" w:pos="0"/>
              </w:tabs>
              <w:ind w:left="22"/>
              <w:jc w:val="center"/>
              <w:rPr>
                <w:rFonts w:ascii="Arial Narrow" w:hAnsi="Arial Narrow"/>
                <w:bCs/>
                <w:color w:val="FFFFFF" w:themeColor="background1"/>
                <w:sz w:val="24"/>
                <w:szCs w:val="24"/>
              </w:rPr>
            </w:pPr>
            <w:r w:rsidRPr="001812A7">
              <w:rPr>
                <w:rFonts w:ascii="Arial Narrow" w:hAnsi="Arial Narrow"/>
                <w:bCs/>
                <w:color w:val="FFFFFF" w:themeColor="background1"/>
                <w:sz w:val="24"/>
                <w:szCs w:val="24"/>
              </w:rPr>
              <w:t>Net Need</w:t>
            </w:r>
          </w:p>
        </w:tc>
      </w:tr>
      <w:tr w:rsidR="00666AB4" w:rsidRPr="001812A7" w:rsidTr="00A06746">
        <w:tc>
          <w:tcPr>
            <w:tcW w:w="992" w:type="pct"/>
            <w:vAlign w:val="center"/>
            <w:hideMark/>
          </w:tcPr>
          <w:p w:rsidR="00666AB4" w:rsidRPr="001812A7" w:rsidRDefault="00666AB4" w:rsidP="00A06746">
            <w:pPr>
              <w:keepNext/>
              <w:tabs>
                <w:tab w:val="left" w:pos="0"/>
              </w:tabs>
              <w:ind w:left="22"/>
              <w:rPr>
                <w:rFonts w:ascii="Arial Narrow" w:eastAsia="Times New Roman" w:hAnsi="Arial Narrow"/>
                <w:color w:val="000000"/>
                <w:sz w:val="24"/>
                <w:szCs w:val="24"/>
                <w:lang w:eastAsia="en-GB"/>
              </w:rPr>
            </w:pPr>
            <w:r w:rsidRPr="001812A7">
              <w:rPr>
                <w:rFonts w:ascii="Arial Narrow" w:hAnsi="Arial Narrow"/>
                <w:color w:val="000000"/>
                <w:sz w:val="24"/>
                <w:szCs w:val="24"/>
              </w:rPr>
              <w:t>Chichester City</w:t>
            </w:r>
          </w:p>
        </w:tc>
        <w:tc>
          <w:tcPr>
            <w:tcW w:w="676" w:type="pct"/>
            <w:vAlign w:val="center"/>
            <w:hideMark/>
          </w:tcPr>
          <w:p w:rsidR="00666AB4" w:rsidRPr="001812A7" w:rsidRDefault="00666AB4" w:rsidP="00A06746">
            <w:pPr>
              <w:keepNext/>
              <w:tabs>
                <w:tab w:val="left" w:pos="0"/>
              </w:tabs>
              <w:ind w:left="22"/>
              <w:jc w:val="center"/>
              <w:rPr>
                <w:rFonts w:ascii="Arial Narrow" w:eastAsia="Times New Roman" w:hAnsi="Arial Narrow"/>
                <w:color w:val="000000"/>
                <w:sz w:val="24"/>
                <w:szCs w:val="24"/>
                <w:lang w:eastAsia="en-GB"/>
              </w:rPr>
            </w:pPr>
            <w:r w:rsidRPr="001812A7">
              <w:rPr>
                <w:rFonts w:ascii="Arial Narrow" w:hAnsi="Arial Narrow"/>
                <w:color w:val="000000"/>
                <w:sz w:val="24"/>
                <w:szCs w:val="24"/>
              </w:rPr>
              <w:t>15</w:t>
            </w:r>
          </w:p>
        </w:tc>
        <w:tc>
          <w:tcPr>
            <w:tcW w:w="678" w:type="pct"/>
            <w:vAlign w:val="center"/>
            <w:hideMark/>
          </w:tcPr>
          <w:p w:rsidR="00666AB4" w:rsidRPr="001812A7" w:rsidRDefault="00666AB4" w:rsidP="00A06746">
            <w:pPr>
              <w:keepNext/>
              <w:tabs>
                <w:tab w:val="left" w:pos="0"/>
              </w:tabs>
              <w:ind w:left="22"/>
              <w:jc w:val="center"/>
              <w:rPr>
                <w:rFonts w:ascii="Arial Narrow" w:hAnsi="Arial Narrow"/>
                <w:color w:val="000000"/>
                <w:sz w:val="24"/>
                <w:szCs w:val="24"/>
              </w:rPr>
            </w:pPr>
            <w:r w:rsidRPr="001812A7">
              <w:rPr>
                <w:rFonts w:ascii="Arial Narrow" w:hAnsi="Arial Narrow"/>
                <w:color w:val="000000"/>
                <w:sz w:val="24"/>
                <w:szCs w:val="24"/>
              </w:rPr>
              <w:t>115</w:t>
            </w:r>
          </w:p>
        </w:tc>
        <w:tc>
          <w:tcPr>
            <w:tcW w:w="676" w:type="pct"/>
            <w:vAlign w:val="center"/>
            <w:hideMark/>
          </w:tcPr>
          <w:p w:rsidR="00666AB4" w:rsidRPr="001812A7" w:rsidRDefault="00666AB4" w:rsidP="00A06746">
            <w:pPr>
              <w:keepNext/>
              <w:tabs>
                <w:tab w:val="left" w:pos="0"/>
              </w:tabs>
              <w:ind w:left="22"/>
              <w:jc w:val="center"/>
              <w:rPr>
                <w:rFonts w:ascii="Arial Narrow" w:hAnsi="Arial Narrow"/>
                <w:color w:val="000000"/>
                <w:sz w:val="24"/>
                <w:szCs w:val="24"/>
              </w:rPr>
            </w:pPr>
            <w:r w:rsidRPr="001812A7">
              <w:rPr>
                <w:rFonts w:ascii="Arial Narrow" w:hAnsi="Arial Narrow"/>
                <w:color w:val="000000"/>
                <w:sz w:val="24"/>
                <w:szCs w:val="24"/>
              </w:rPr>
              <w:t>62</w:t>
            </w:r>
          </w:p>
        </w:tc>
        <w:tc>
          <w:tcPr>
            <w:tcW w:w="678" w:type="pct"/>
            <w:vAlign w:val="center"/>
            <w:hideMark/>
          </w:tcPr>
          <w:p w:rsidR="00666AB4" w:rsidRPr="001812A7" w:rsidRDefault="00666AB4" w:rsidP="00A06746">
            <w:pPr>
              <w:keepNext/>
              <w:tabs>
                <w:tab w:val="left" w:pos="0"/>
              </w:tabs>
              <w:ind w:left="22"/>
              <w:jc w:val="center"/>
              <w:rPr>
                <w:rFonts w:ascii="Arial Narrow" w:hAnsi="Arial Narrow"/>
                <w:color w:val="000000"/>
                <w:sz w:val="24"/>
                <w:szCs w:val="24"/>
              </w:rPr>
            </w:pPr>
            <w:r w:rsidRPr="001812A7">
              <w:rPr>
                <w:rFonts w:ascii="Arial Narrow" w:hAnsi="Arial Narrow"/>
                <w:color w:val="000000"/>
                <w:sz w:val="24"/>
                <w:szCs w:val="24"/>
              </w:rPr>
              <w:t>192</w:t>
            </w:r>
          </w:p>
        </w:tc>
        <w:tc>
          <w:tcPr>
            <w:tcW w:w="676" w:type="pct"/>
            <w:vAlign w:val="center"/>
            <w:hideMark/>
          </w:tcPr>
          <w:p w:rsidR="00666AB4" w:rsidRPr="001812A7" w:rsidRDefault="00666AB4" w:rsidP="00A06746">
            <w:pPr>
              <w:keepNext/>
              <w:tabs>
                <w:tab w:val="left" w:pos="0"/>
              </w:tabs>
              <w:ind w:left="22"/>
              <w:jc w:val="center"/>
              <w:rPr>
                <w:rFonts w:ascii="Arial Narrow" w:hAnsi="Arial Narrow"/>
                <w:color w:val="000000"/>
                <w:sz w:val="24"/>
                <w:szCs w:val="24"/>
              </w:rPr>
            </w:pPr>
            <w:r w:rsidRPr="001812A7">
              <w:rPr>
                <w:rFonts w:ascii="Arial Narrow" w:hAnsi="Arial Narrow"/>
                <w:color w:val="000000"/>
                <w:sz w:val="24"/>
                <w:szCs w:val="24"/>
              </w:rPr>
              <w:t>96</w:t>
            </w:r>
          </w:p>
        </w:tc>
        <w:tc>
          <w:tcPr>
            <w:tcW w:w="624" w:type="pct"/>
            <w:vAlign w:val="center"/>
            <w:hideMark/>
          </w:tcPr>
          <w:p w:rsidR="00666AB4" w:rsidRPr="001812A7" w:rsidRDefault="00666AB4" w:rsidP="00A06746">
            <w:pPr>
              <w:keepNext/>
              <w:tabs>
                <w:tab w:val="left" w:pos="0"/>
              </w:tabs>
              <w:ind w:left="22"/>
              <w:jc w:val="center"/>
              <w:rPr>
                <w:rFonts w:ascii="Arial Narrow" w:hAnsi="Arial Narrow"/>
                <w:color w:val="000000"/>
                <w:sz w:val="24"/>
                <w:szCs w:val="24"/>
              </w:rPr>
            </w:pPr>
            <w:r w:rsidRPr="001812A7">
              <w:rPr>
                <w:rFonts w:ascii="Arial Narrow" w:hAnsi="Arial Narrow"/>
                <w:color w:val="000000"/>
                <w:sz w:val="24"/>
                <w:szCs w:val="24"/>
              </w:rPr>
              <w:t>96</w:t>
            </w:r>
          </w:p>
        </w:tc>
      </w:tr>
      <w:tr w:rsidR="00666AB4" w:rsidRPr="001812A7" w:rsidTr="00A06746">
        <w:tc>
          <w:tcPr>
            <w:tcW w:w="992" w:type="pct"/>
            <w:vAlign w:val="center"/>
            <w:hideMark/>
          </w:tcPr>
          <w:p w:rsidR="00666AB4" w:rsidRPr="001812A7" w:rsidRDefault="00666AB4" w:rsidP="00A06746">
            <w:pPr>
              <w:keepNext/>
              <w:tabs>
                <w:tab w:val="left" w:pos="0"/>
              </w:tabs>
              <w:ind w:left="22"/>
              <w:rPr>
                <w:rFonts w:ascii="Arial Narrow" w:hAnsi="Arial Narrow"/>
                <w:color w:val="000000"/>
                <w:sz w:val="24"/>
                <w:szCs w:val="24"/>
              </w:rPr>
            </w:pPr>
            <w:r w:rsidRPr="001812A7">
              <w:rPr>
                <w:rFonts w:ascii="Arial Narrow" w:hAnsi="Arial Narrow"/>
                <w:color w:val="000000"/>
                <w:sz w:val="24"/>
                <w:szCs w:val="24"/>
              </w:rPr>
              <w:t>East-West Corridor</w:t>
            </w:r>
          </w:p>
        </w:tc>
        <w:tc>
          <w:tcPr>
            <w:tcW w:w="676" w:type="pct"/>
            <w:vAlign w:val="center"/>
            <w:hideMark/>
          </w:tcPr>
          <w:p w:rsidR="00666AB4" w:rsidRPr="001812A7" w:rsidRDefault="00666AB4" w:rsidP="00A06746">
            <w:pPr>
              <w:keepNext/>
              <w:tabs>
                <w:tab w:val="left" w:pos="0"/>
              </w:tabs>
              <w:ind w:left="22"/>
              <w:jc w:val="center"/>
              <w:rPr>
                <w:rFonts w:ascii="Arial Narrow" w:hAnsi="Arial Narrow"/>
                <w:color w:val="000000"/>
                <w:sz w:val="24"/>
                <w:szCs w:val="24"/>
              </w:rPr>
            </w:pPr>
            <w:r w:rsidRPr="001812A7">
              <w:rPr>
                <w:rFonts w:ascii="Arial Narrow" w:hAnsi="Arial Narrow"/>
                <w:color w:val="000000"/>
                <w:sz w:val="24"/>
                <w:szCs w:val="24"/>
              </w:rPr>
              <w:t>9</w:t>
            </w:r>
          </w:p>
        </w:tc>
        <w:tc>
          <w:tcPr>
            <w:tcW w:w="678" w:type="pct"/>
            <w:vAlign w:val="center"/>
            <w:hideMark/>
          </w:tcPr>
          <w:p w:rsidR="00666AB4" w:rsidRPr="001812A7" w:rsidRDefault="00666AB4" w:rsidP="00A06746">
            <w:pPr>
              <w:keepNext/>
              <w:tabs>
                <w:tab w:val="left" w:pos="0"/>
              </w:tabs>
              <w:ind w:left="22"/>
              <w:jc w:val="center"/>
              <w:rPr>
                <w:rFonts w:ascii="Arial Narrow" w:hAnsi="Arial Narrow"/>
                <w:color w:val="000000"/>
                <w:sz w:val="24"/>
                <w:szCs w:val="24"/>
              </w:rPr>
            </w:pPr>
            <w:r w:rsidRPr="001812A7">
              <w:rPr>
                <w:rFonts w:ascii="Arial Narrow" w:hAnsi="Arial Narrow"/>
                <w:color w:val="000000"/>
                <w:sz w:val="24"/>
                <w:szCs w:val="24"/>
              </w:rPr>
              <w:t>80</w:t>
            </w:r>
          </w:p>
        </w:tc>
        <w:tc>
          <w:tcPr>
            <w:tcW w:w="676" w:type="pct"/>
            <w:vAlign w:val="center"/>
            <w:hideMark/>
          </w:tcPr>
          <w:p w:rsidR="00666AB4" w:rsidRPr="001812A7" w:rsidRDefault="00666AB4" w:rsidP="00A06746">
            <w:pPr>
              <w:keepNext/>
              <w:tabs>
                <w:tab w:val="left" w:pos="0"/>
              </w:tabs>
              <w:ind w:left="22"/>
              <w:jc w:val="center"/>
              <w:rPr>
                <w:rFonts w:ascii="Arial Narrow" w:hAnsi="Arial Narrow"/>
                <w:color w:val="000000"/>
                <w:sz w:val="24"/>
                <w:szCs w:val="24"/>
              </w:rPr>
            </w:pPr>
            <w:r w:rsidRPr="001812A7">
              <w:rPr>
                <w:rFonts w:ascii="Arial Narrow" w:hAnsi="Arial Narrow"/>
                <w:color w:val="000000"/>
                <w:sz w:val="24"/>
                <w:szCs w:val="24"/>
              </w:rPr>
              <w:t>24</w:t>
            </w:r>
          </w:p>
        </w:tc>
        <w:tc>
          <w:tcPr>
            <w:tcW w:w="678" w:type="pct"/>
            <w:vAlign w:val="center"/>
            <w:hideMark/>
          </w:tcPr>
          <w:p w:rsidR="00666AB4" w:rsidRPr="001812A7" w:rsidRDefault="00666AB4" w:rsidP="00A06746">
            <w:pPr>
              <w:keepNext/>
              <w:tabs>
                <w:tab w:val="left" w:pos="0"/>
              </w:tabs>
              <w:ind w:left="22"/>
              <w:jc w:val="center"/>
              <w:rPr>
                <w:rFonts w:ascii="Arial Narrow" w:hAnsi="Arial Narrow"/>
                <w:color w:val="000000"/>
                <w:sz w:val="24"/>
                <w:szCs w:val="24"/>
              </w:rPr>
            </w:pPr>
            <w:r w:rsidRPr="001812A7">
              <w:rPr>
                <w:rFonts w:ascii="Arial Narrow" w:hAnsi="Arial Narrow"/>
                <w:color w:val="000000"/>
                <w:sz w:val="24"/>
                <w:szCs w:val="24"/>
              </w:rPr>
              <w:t>113</w:t>
            </w:r>
          </w:p>
        </w:tc>
        <w:tc>
          <w:tcPr>
            <w:tcW w:w="676" w:type="pct"/>
            <w:vAlign w:val="center"/>
            <w:hideMark/>
          </w:tcPr>
          <w:p w:rsidR="00666AB4" w:rsidRPr="001812A7" w:rsidRDefault="00666AB4" w:rsidP="00A06746">
            <w:pPr>
              <w:keepNext/>
              <w:tabs>
                <w:tab w:val="left" w:pos="0"/>
              </w:tabs>
              <w:ind w:left="22"/>
              <w:jc w:val="center"/>
              <w:rPr>
                <w:rFonts w:ascii="Arial Narrow" w:hAnsi="Arial Narrow"/>
                <w:color w:val="000000"/>
                <w:sz w:val="24"/>
                <w:szCs w:val="24"/>
              </w:rPr>
            </w:pPr>
            <w:r w:rsidRPr="001812A7">
              <w:rPr>
                <w:rFonts w:ascii="Arial Narrow" w:hAnsi="Arial Narrow"/>
                <w:color w:val="000000"/>
                <w:sz w:val="24"/>
                <w:szCs w:val="24"/>
              </w:rPr>
              <w:t>39</w:t>
            </w:r>
          </w:p>
        </w:tc>
        <w:tc>
          <w:tcPr>
            <w:tcW w:w="624" w:type="pct"/>
            <w:vAlign w:val="center"/>
            <w:hideMark/>
          </w:tcPr>
          <w:p w:rsidR="00666AB4" w:rsidRPr="001812A7" w:rsidRDefault="00666AB4" w:rsidP="00A06746">
            <w:pPr>
              <w:keepNext/>
              <w:tabs>
                <w:tab w:val="left" w:pos="0"/>
              </w:tabs>
              <w:ind w:left="22"/>
              <w:jc w:val="center"/>
              <w:rPr>
                <w:rFonts w:ascii="Arial Narrow" w:hAnsi="Arial Narrow"/>
                <w:color w:val="000000"/>
                <w:sz w:val="24"/>
                <w:szCs w:val="24"/>
              </w:rPr>
            </w:pPr>
            <w:r w:rsidRPr="001812A7">
              <w:rPr>
                <w:rFonts w:ascii="Arial Narrow" w:hAnsi="Arial Narrow"/>
                <w:color w:val="000000"/>
                <w:sz w:val="24"/>
                <w:szCs w:val="24"/>
              </w:rPr>
              <w:t>74</w:t>
            </w:r>
          </w:p>
        </w:tc>
      </w:tr>
      <w:tr w:rsidR="00666AB4" w:rsidRPr="001812A7" w:rsidTr="00A06746">
        <w:tc>
          <w:tcPr>
            <w:tcW w:w="992" w:type="pct"/>
            <w:vAlign w:val="center"/>
            <w:hideMark/>
          </w:tcPr>
          <w:p w:rsidR="00666AB4" w:rsidRPr="001812A7" w:rsidRDefault="00666AB4" w:rsidP="00A06746">
            <w:pPr>
              <w:keepNext/>
              <w:tabs>
                <w:tab w:val="left" w:pos="0"/>
              </w:tabs>
              <w:ind w:left="22"/>
              <w:rPr>
                <w:rFonts w:ascii="Arial Narrow" w:hAnsi="Arial Narrow"/>
                <w:color w:val="000000"/>
                <w:sz w:val="24"/>
                <w:szCs w:val="24"/>
              </w:rPr>
            </w:pPr>
            <w:r w:rsidRPr="001812A7">
              <w:rPr>
                <w:rFonts w:ascii="Arial Narrow" w:hAnsi="Arial Narrow"/>
                <w:color w:val="000000"/>
                <w:sz w:val="24"/>
                <w:szCs w:val="24"/>
              </w:rPr>
              <w:t>Manhood Peninsula</w:t>
            </w:r>
          </w:p>
        </w:tc>
        <w:tc>
          <w:tcPr>
            <w:tcW w:w="676" w:type="pct"/>
            <w:vAlign w:val="center"/>
            <w:hideMark/>
          </w:tcPr>
          <w:p w:rsidR="00666AB4" w:rsidRPr="001812A7" w:rsidRDefault="00666AB4" w:rsidP="00A06746">
            <w:pPr>
              <w:keepNext/>
              <w:tabs>
                <w:tab w:val="left" w:pos="0"/>
              </w:tabs>
              <w:ind w:left="22"/>
              <w:jc w:val="center"/>
              <w:rPr>
                <w:rFonts w:ascii="Arial Narrow" w:hAnsi="Arial Narrow"/>
                <w:color w:val="000000"/>
                <w:sz w:val="24"/>
                <w:szCs w:val="24"/>
              </w:rPr>
            </w:pPr>
            <w:r w:rsidRPr="001812A7">
              <w:rPr>
                <w:rFonts w:ascii="Arial Narrow" w:hAnsi="Arial Narrow"/>
                <w:color w:val="000000"/>
                <w:sz w:val="24"/>
                <w:szCs w:val="24"/>
              </w:rPr>
              <w:t>13</w:t>
            </w:r>
          </w:p>
        </w:tc>
        <w:tc>
          <w:tcPr>
            <w:tcW w:w="678" w:type="pct"/>
            <w:vAlign w:val="center"/>
            <w:hideMark/>
          </w:tcPr>
          <w:p w:rsidR="00666AB4" w:rsidRPr="001812A7" w:rsidRDefault="00666AB4" w:rsidP="00A06746">
            <w:pPr>
              <w:keepNext/>
              <w:tabs>
                <w:tab w:val="left" w:pos="0"/>
              </w:tabs>
              <w:ind w:left="22"/>
              <w:jc w:val="center"/>
              <w:rPr>
                <w:rFonts w:ascii="Arial Narrow" w:hAnsi="Arial Narrow"/>
                <w:color w:val="000000"/>
                <w:sz w:val="24"/>
                <w:szCs w:val="24"/>
              </w:rPr>
            </w:pPr>
            <w:r w:rsidRPr="001812A7">
              <w:rPr>
                <w:rFonts w:ascii="Arial Narrow" w:hAnsi="Arial Narrow"/>
                <w:color w:val="000000"/>
                <w:sz w:val="24"/>
                <w:szCs w:val="24"/>
              </w:rPr>
              <w:t>82</w:t>
            </w:r>
          </w:p>
        </w:tc>
        <w:tc>
          <w:tcPr>
            <w:tcW w:w="676" w:type="pct"/>
            <w:vAlign w:val="center"/>
            <w:hideMark/>
          </w:tcPr>
          <w:p w:rsidR="00666AB4" w:rsidRPr="001812A7" w:rsidRDefault="00666AB4" w:rsidP="00A06746">
            <w:pPr>
              <w:keepNext/>
              <w:tabs>
                <w:tab w:val="left" w:pos="0"/>
              </w:tabs>
              <w:ind w:left="22"/>
              <w:jc w:val="center"/>
              <w:rPr>
                <w:rFonts w:ascii="Arial Narrow" w:hAnsi="Arial Narrow"/>
                <w:color w:val="000000"/>
                <w:sz w:val="24"/>
                <w:szCs w:val="24"/>
              </w:rPr>
            </w:pPr>
            <w:r w:rsidRPr="001812A7">
              <w:rPr>
                <w:rFonts w:ascii="Arial Narrow" w:hAnsi="Arial Narrow"/>
                <w:color w:val="000000"/>
                <w:sz w:val="24"/>
                <w:szCs w:val="24"/>
              </w:rPr>
              <w:t>24</w:t>
            </w:r>
          </w:p>
        </w:tc>
        <w:tc>
          <w:tcPr>
            <w:tcW w:w="678" w:type="pct"/>
            <w:vAlign w:val="center"/>
            <w:hideMark/>
          </w:tcPr>
          <w:p w:rsidR="00666AB4" w:rsidRPr="001812A7" w:rsidRDefault="00666AB4" w:rsidP="00A06746">
            <w:pPr>
              <w:keepNext/>
              <w:tabs>
                <w:tab w:val="left" w:pos="0"/>
              </w:tabs>
              <w:ind w:left="22"/>
              <w:jc w:val="center"/>
              <w:rPr>
                <w:rFonts w:ascii="Arial Narrow" w:hAnsi="Arial Narrow"/>
                <w:color w:val="000000"/>
                <w:sz w:val="24"/>
                <w:szCs w:val="24"/>
              </w:rPr>
            </w:pPr>
            <w:r w:rsidRPr="001812A7">
              <w:rPr>
                <w:rFonts w:ascii="Arial Narrow" w:hAnsi="Arial Narrow"/>
                <w:color w:val="000000"/>
                <w:sz w:val="24"/>
                <w:szCs w:val="24"/>
              </w:rPr>
              <w:t>119</w:t>
            </w:r>
          </w:p>
        </w:tc>
        <w:tc>
          <w:tcPr>
            <w:tcW w:w="676" w:type="pct"/>
            <w:vAlign w:val="center"/>
            <w:hideMark/>
          </w:tcPr>
          <w:p w:rsidR="00666AB4" w:rsidRPr="001812A7" w:rsidRDefault="00666AB4" w:rsidP="00A06746">
            <w:pPr>
              <w:keepNext/>
              <w:tabs>
                <w:tab w:val="left" w:pos="0"/>
              </w:tabs>
              <w:ind w:left="22"/>
              <w:jc w:val="center"/>
              <w:rPr>
                <w:rFonts w:ascii="Arial Narrow" w:hAnsi="Arial Narrow"/>
                <w:color w:val="000000"/>
                <w:sz w:val="24"/>
                <w:szCs w:val="24"/>
              </w:rPr>
            </w:pPr>
            <w:r w:rsidRPr="001812A7">
              <w:rPr>
                <w:rFonts w:ascii="Arial Narrow" w:hAnsi="Arial Narrow"/>
                <w:color w:val="000000"/>
                <w:sz w:val="24"/>
                <w:szCs w:val="24"/>
              </w:rPr>
              <w:t>36</w:t>
            </w:r>
          </w:p>
        </w:tc>
        <w:tc>
          <w:tcPr>
            <w:tcW w:w="624" w:type="pct"/>
            <w:vAlign w:val="center"/>
            <w:hideMark/>
          </w:tcPr>
          <w:p w:rsidR="00666AB4" w:rsidRPr="001812A7" w:rsidRDefault="00666AB4" w:rsidP="00A06746">
            <w:pPr>
              <w:keepNext/>
              <w:tabs>
                <w:tab w:val="left" w:pos="0"/>
              </w:tabs>
              <w:ind w:left="22"/>
              <w:jc w:val="center"/>
              <w:rPr>
                <w:rFonts w:ascii="Arial Narrow" w:hAnsi="Arial Narrow"/>
                <w:color w:val="000000"/>
                <w:sz w:val="24"/>
                <w:szCs w:val="24"/>
              </w:rPr>
            </w:pPr>
            <w:r w:rsidRPr="001812A7">
              <w:rPr>
                <w:rFonts w:ascii="Arial Narrow" w:hAnsi="Arial Narrow"/>
                <w:color w:val="000000"/>
                <w:sz w:val="24"/>
                <w:szCs w:val="24"/>
              </w:rPr>
              <w:t>83</w:t>
            </w:r>
          </w:p>
        </w:tc>
      </w:tr>
      <w:tr w:rsidR="00666AB4" w:rsidRPr="001812A7" w:rsidTr="00A06746">
        <w:tc>
          <w:tcPr>
            <w:tcW w:w="992" w:type="pct"/>
            <w:vAlign w:val="center"/>
            <w:hideMark/>
          </w:tcPr>
          <w:p w:rsidR="00666AB4" w:rsidRPr="001812A7" w:rsidRDefault="00666AB4" w:rsidP="00A06746">
            <w:pPr>
              <w:keepNext/>
              <w:tabs>
                <w:tab w:val="left" w:pos="0"/>
              </w:tabs>
              <w:ind w:left="22"/>
              <w:rPr>
                <w:rFonts w:ascii="Arial Narrow" w:hAnsi="Arial Narrow"/>
                <w:color w:val="000000"/>
                <w:sz w:val="24"/>
                <w:szCs w:val="24"/>
              </w:rPr>
            </w:pPr>
            <w:r w:rsidRPr="001812A7">
              <w:rPr>
                <w:rFonts w:ascii="Arial Narrow" w:hAnsi="Arial Narrow"/>
                <w:color w:val="000000"/>
                <w:sz w:val="24"/>
                <w:szCs w:val="24"/>
              </w:rPr>
              <w:t>Plan Area North</w:t>
            </w:r>
          </w:p>
        </w:tc>
        <w:tc>
          <w:tcPr>
            <w:tcW w:w="676" w:type="pct"/>
            <w:vAlign w:val="center"/>
            <w:hideMark/>
          </w:tcPr>
          <w:p w:rsidR="00666AB4" w:rsidRPr="001812A7" w:rsidRDefault="00666AB4" w:rsidP="00A06746">
            <w:pPr>
              <w:keepNext/>
              <w:tabs>
                <w:tab w:val="left" w:pos="0"/>
              </w:tabs>
              <w:ind w:left="22"/>
              <w:jc w:val="center"/>
              <w:rPr>
                <w:rFonts w:ascii="Arial Narrow" w:hAnsi="Arial Narrow"/>
                <w:color w:val="000000"/>
                <w:sz w:val="24"/>
                <w:szCs w:val="24"/>
              </w:rPr>
            </w:pPr>
            <w:r w:rsidRPr="001812A7">
              <w:rPr>
                <w:rFonts w:ascii="Arial Narrow" w:hAnsi="Arial Narrow"/>
                <w:color w:val="000000"/>
                <w:sz w:val="24"/>
                <w:szCs w:val="24"/>
              </w:rPr>
              <w:t>3</w:t>
            </w:r>
          </w:p>
        </w:tc>
        <w:tc>
          <w:tcPr>
            <w:tcW w:w="678" w:type="pct"/>
            <w:vAlign w:val="center"/>
            <w:hideMark/>
          </w:tcPr>
          <w:p w:rsidR="00666AB4" w:rsidRPr="001812A7" w:rsidRDefault="00666AB4" w:rsidP="00A06746">
            <w:pPr>
              <w:keepNext/>
              <w:tabs>
                <w:tab w:val="left" w:pos="0"/>
              </w:tabs>
              <w:ind w:left="22"/>
              <w:jc w:val="center"/>
              <w:rPr>
                <w:rFonts w:ascii="Arial Narrow" w:hAnsi="Arial Narrow"/>
                <w:color w:val="000000"/>
                <w:sz w:val="24"/>
                <w:szCs w:val="24"/>
              </w:rPr>
            </w:pPr>
            <w:r w:rsidRPr="001812A7">
              <w:rPr>
                <w:rFonts w:ascii="Arial Narrow" w:hAnsi="Arial Narrow"/>
                <w:color w:val="000000"/>
                <w:sz w:val="24"/>
                <w:szCs w:val="24"/>
              </w:rPr>
              <w:t>31</w:t>
            </w:r>
          </w:p>
        </w:tc>
        <w:tc>
          <w:tcPr>
            <w:tcW w:w="676" w:type="pct"/>
            <w:vAlign w:val="center"/>
            <w:hideMark/>
          </w:tcPr>
          <w:p w:rsidR="00666AB4" w:rsidRPr="001812A7" w:rsidRDefault="00666AB4" w:rsidP="00A06746">
            <w:pPr>
              <w:keepNext/>
              <w:tabs>
                <w:tab w:val="left" w:pos="0"/>
              </w:tabs>
              <w:ind w:left="22"/>
              <w:jc w:val="center"/>
              <w:rPr>
                <w:rFonts w:ascii="Arial Narrow" w:hAnsi="Arial Narrow"/>
                <w:color w:val="000000"/>
                <w:sz w:val="24"/>
                <w:szCs w:val="24"/>
              </w:rPr>
            </w:pPr>
            <w:r w:rsidRPr="001812A7">
              <w:rPr>
                <w:rFonts w:ascii="Arial Narrow" w:hAnsi="Arial Narrow"/>
                <w:color w:val="000000"/>
                <w:sz w:val="24"/>
                <w:szCs w:val="24"/>
              </w:rPr>
              <w:t>7</w:t>
            </w:r>
          </w:p>
        </w:tc>
        <w:tc>
          <w:tcPr>
            <w:tcW w:w="678" w:type="pct"/>
            <w:vAlign w:val="center"/>
            <w:hideMark/>
          </w:tcPr>
          <w:p w:rsidR="00666AB4" w:rsidRPr="001812A7" w:rsidRDefault="00666AB4" w:rsidP="00A06746">
            <w:pPr>
              <w:keepNext/>
              <w:tabs>
                <w:tab w:val="left" w:pos="0"/>
              </w:tabs>
              <w:ind w:left="22"/>
              <w:jc w:val="center"/>
              <w:rPr>
                <w:rFonts w:ascii="Arial Narrow" w:hAnsi="Arial Narrow"/>
                <w:color w:val="000000"/>
                <w:sz w:val="24"/>
                <w:szCs w:val="24"/>
              </w:rPr>
            </w:pPr>
            <w:r w:rsidRPr="001812A7">
              <w:rPr>
                <w:rFonts w:ascii="Arial Narrow" w:hAnsi="Arial Narrow"/>
                <w:color w:val="000000"/>
                <w:sz w:val="24"/>
                <w:szCs w:val="24"/>
              </w:rPr>
              <w:t>41</w:t>
            </w:r>
          </w:p>
        </w:tc>
        <w:tc>
          <w:tcPr>
            <w:tcW w:w="676" w:type="pct"/>
            <w:vAlign w:val="center"/>
            <w:hideMark/>
          </w:tcPr>
          <w:p w:rsidR="00666AB4" w:rsidRPr="001812A7" w:rsidRDefault="00666AB4" w:rsidP="00A06746">
            <w:pPr>
              <w:keepNext/>
              <w:tabs>
                <w:tab w:val="left" w:pos="0"/>
              </w:tabs>
              <w:ind w:left="22"/>
              <w:jc w:val="center"/>
              <w:rPr>
                <w:rFonts w:ascii="Arial Narrow" w:hAnsi="Arial Narrow"/>
                <w:color w:val="000000"/>
                <w:sz w:val="24"/>
                <w:szCs w:val="24"/>
              </w:rPr>
            </w:pPr>
            <w:r w:rsidRPr="001812A7">
              <w:rPr>
                <w:rFonts w:ascii="Arial Narrow" w:hAnsi="Arial Narrow"/>
                <w:color w:val="000000"/>
                <w:sz w:val="24"/>
                <w:szCs w:val="24"/>
              </w:rPr>
              <w:t>11</w:t>
            </w:r>
          </w:p>
        </w:tc>
        <w:tc>
          <w:tcPr>
            <w:tcW w:w="624" w:type="pct"/>
            <w:vAlign w:val="center"/>
            <w:hideMark/>
          </w:tcPr>
          <w:p w:rsidR="00666AB4" w:rsidRPr="001812A7" w:rsidRDefault="00666AB4" w:rsidP="00A06746">
            <w:pPr>
              <w:keepNext/>
              <w:tabs>
                <w:tab w:val="left" w:pos="0"/>
              </w:tabs>
              <w:ind w:left="22"/>
              <w:jc w:val="center"/>
              <w:rPr>
                <w:rFonts w:ascii="Arial Narrow" w:hAnsi="Arial Narrow"/>
                <w:color w:val="000000"/>
                <w:sz w:val="24"/>
                <w:szCs w:val="24"/>
              </w:rPr>
            </w:pPr>
            <w:r w:rsidRPr="001812A7">
              <w:rPr>
                <w:rFonts w:ascii="Arial Narrow" w:hAnsi="Arial Narrow"/>
                <w:color w:val="000000"/>
                <w:sz w:val="24"/>
                <w:szCs w:val="24"/>
              </w:rPr>
              <w:t>30</w:t>
            </w:r>
          </w:p>
        </w:tc>
      </w:tr>
      <w:tr w:rsidR="00666AB4" w:rsidRPr="001812A7" w:rsidTr="00A06746">
        <w:tc>
          <w:tcPr>
            <w:tcW w:w="992" w:type="pct"/>
            <w:vAlign w:val="center"/>
            <w:hideMark/>
          </w:tcPr>
          <w:p w:rsidR="00666AB4" w:rsidRPr="001812A7" w:rsidRDefault="00666AB4" w:rsidP="00A06746">
            <w:pPr>
              <w:keepNext/>
              <w:tabs>
                <w:tab w:val="left" w:pos="0"/>
              </w:tabs>
              <w:ind w:left="22"/>
              <w:rPr>
                <w:rFonts w:ascii="Arial Narrow" w:hAnsi="Arial Narrow"/>
                <w:color w:val="000000"/>
                <w:sz w:val="24"/>
                <w:szCs w:val="24"/>
              </w:rPr>
            </w:pPr>
            <w:r w:rsidRPr="001812A7">
              <w:rPr>
                <w:rFonts w:ascii="Arial Narrow" w:hAnsi="Arial Narrow"/>
                <w:color w:val="000000"/>
                <w:sz w:val="24"/>
                <w:szCs w:val="24"/>
              </w:rPr>
              <w:t>SDNP</w:t>
            </w:r>
          </w:p>
        </w:tc>
        <w:tc>
          <w:tcPr>
            <w:tcW w:w="676" w:type="pct"/>
            <w:vAlign w:val="center"/>
            <w:hideMark/>
          </w:tcPr>
          <w:p w:rsidR="00666AB4" w:rsidRPr="001812A7" w:rsidRDefault="00666AB4" w:rsidP="00A06746">
            <w:pPr>
              <w:keepNext/>
              <w:tabs>
                <w:tab w:val="left" w:pos="0"/>
              </w:tabs>
              <w:ind w:left="22"/>
              <w:jc w:val="center"/>
              <w:rPr>
                <w:rFonts w:ascii="Arial Narrow" w:hAnsi="Arial Narrow"/>
                <w:color w:val="000000"/>
                <w:sz w:val="24"/>
                <w:szCs w:val="24"/>
              </w:rPr>
            </w:pPr>
            <w:r w:rsidRPr="001812A7">
              <w:rPr>
                <w:rFonts w:ascii="Arial Narrow" w:hAnsi="Arial Narrow"/>
                <w:color w:val="000000"/>
                <w:sz w:val="24"/>
                <w:szCs w:val="24"/>
              </w:rPr>
              <w:t>12</w:t>
            </w:r>
          </w:p>
        </w:tc>
        <w:tc>
          <w:tcPr>
            <w:tcW w:w="678" w:type="pct"/>
            <w:vAlign w:val="center"/>
            <w:hideMark/>
          </w:tcPr>
          <w:p w:rsidR="00666AB4" w:rsidRPr="001812A7" w:rsidRDefault="00666AB4" w:rsidP="00A06746">
            <w:pPr>
              <w:keepNext/>
              <w:tabs>
                <w:tab w:val="left" w:pos="0"/>
              </w:tabs>
              <w:ind w:left="22"/>
              <w:jc w:val="center"/>
              <w:rPr>
                <w:rFonts w:ascii="Arial Narrow" w:hAnsi="Arial Narrow"/>
                <w:color w:val="000000"/>
                <w:sz w:val="24"/>
                <w:szCs w:val="24"/>
              </w:rPr>
            </w:pPr>
            <w:r w:rsidRPr="001812A7">
              <w:rPr>
                <w:rFonts w:ascii="Arial Narrow" w:hAnsi="Arial Narrow"/>
                <w:color w:val="000000"/>
                <w:sz w:val="24"/>
                <w:szCs w:val="24"/>
              </w:rPr>
              <w:t>75</w:t>
            </w:r>
          </w:p>
        </w:tc>
        <w:tc>
          <w:tcPr>
            <w:tcW w:w="676" w:type="pct"/>
            <w:vAlign w:val="center"/>
            <w:hideMark/>
          </w:tcPr>
          <w:p w:rsidR="00666AB4" w:rsidRPr="001812A7" w:rsidRDefault="00666AB4" w:rsidP="00A06746">
            <w:pPr>
              <w:keepNext/>
              <w:tabs>
                <w:tab w:val="left" w:pos="0"/>
              </w:tabs>
              <w:ind w:left="22"/>
              <w:jc w:val="center"/>
              <w:rPr>
                <w:rFonts w:ascii="Arial Narrow" w:hAnsi="Arial Narrow"/>
                <w:color w:val="000000"/>
                <w:sz w:val="24"/>
                <w:szCs w:val="24"/>
              </w:rPr>
            </w:pPr>
            <w:r w:rsidRPr="001812A7">
              <w:rPr>
                <w:rFonts w:ascii="Arial Narrow" w:hAnsi="Arial Narrow"/>
                <w:color w:val="000000"/>
                <w:sz w:val="24"/>
                <w:szCs w:val="24"/>
              </w:rPr>
              <w:t>49</w:t>
            </w:r>
          </w:p>
        </w:tc>
        <w:tc>
          <w:tcPr>
            <w:tcW w:w="678" w:type="pct"/>
            <w:vAlign w:val="center"/>
            <w:hideMark/>
          </w:tcPr>
          <w:p w:rsidR="00666AB4" w:rsidRPr="001812A7" w:rsidRDefault="00666AB4" w:rsidP="00A06746">
            <w:pPr>
              <w:keepNext/>
              <w:tabs>
                <w:tab w:val="left" w:pos="0"/>
              </w:tabs>
              <w:ind w:left="22"/>
              <w:jc w:val="center"/>
              <w:rPr>
                <w:rFonts w:ascii="Arial Narrow" w:hAnsi="Arial Narrow"/>
                <w:color w:val="000000"/>
                <w:sz w:val="24"/>
                <w:szCs w:val="24"/>
              </w:rPr>
            </w:pPr>
            <w:r w:rsidRPr="001812A7">
              <w:rPr>
                <w:rFonts w:ascii="Arial Narrow" w:hAnsi="Arial Narrow"/>
                <w:color w:val="000000"/>
                <w:sz w:val="24"/>
                <w:szCs w:val="24"/>
              </w:rPr>
              <w:t>137</w:t>
            </w:r>
          </w:p>
        </w:tc>
        <w:tc>
          <w:tcPr>
            <w:tcW w:w="676" w:type="pct"/>
            <w:vAlign w:val="center"/>
            <w:hideMark/>
          </w:tcPr>
          <w:p w:rsidR="00666AB4" w:rsidRPr="001812A7" w:rsidRDefault="00666AB4" w:rsidP="00A06746">
            <w:pPr>
              <w:keepNext/>
              <w:tabs>
                <w:tab w:val="left" w:pos="0"/>
              </w:tabs>
              <w:ind w:left="22"/>
              <w:jc w:val="center"/>
              <w:rPr>
                <w:rFonts w:ascii="Arial Narrow" w:hAnsi="Arial Narrow"/>
                <w:color w:val="000000"/>
                <w:sz w:val="24"/>
                <w:szCs w:val="24"/>
              </w:rPr>
            </w:pPr>
            <w:r w:rsidRPr="001812A7">
              <w:rPr>
                <w:rFonts w:ascii="Arial Narrow" w:hAnsi="Arial Narrow"/>
                <w:color w:val="000000"/>
                <w:sz w:val="24"/>
                <w:szCs w:val="24"/>
              </w:rPr>
              <w:t>75</w:t>
            </w:r>
          </w:p>
        </w:tc>
        <w:tc>
          <w:tcPr>
            <w:tcW w:w="624" w:type="pct"/>
            <w:vAlign w:val="center"/>
            <w:hideMark/>
          </w:tcPr>
          <w:p w:rsidR="00666AB4" w:rsidRPr="001812A7" w:rsidRDefault="00666AB4" w:rsidP="00A06746">
            <w:pPr>
              <w:keepNext/>
              <w:tabs>
                <w:tab w:val="left" w:pos="0"/>
              </w:tabs>
              <w:ind w:left="22"/>
              <w:jc w:val="center"/>
              <w:rPr>
                <w:rFonts w:ascii="Arial Narrow" w:hAnsi="Arial Narrow"/>
                <w:color w:val="000000"/>
                <w:sz w:val="24"/>
                <w:szCs w:val="24"/>
              </w:rPr>
            </w:pPr>
            <w:r w:rsidRPr="001812A7">
              <w:rPr>
                <w:rFonts w:ascii="Arial Narrow" w:hAnsi="Arial Narrow"/>
                <w:color w:val="000000"/>
                <w:sz w:val="24"/>
                <w:szCs w:val="24"/>
              </w:rPr>
              <w:t>61</w:t>
            </w:r>
          </w:p>
        </w:tc>
      </w:tr>
      <w:tr w:rsidR="00666AB4" w:rsidRPr="001812A7" w:rsidTr="00A06746">
        <w:tc>
          <w:tcPr>
            <w:tcW w:w="992" w:type="pct"/>
            <w:vAlign w:val="center"/>
            <w:hideMark/>
          </w:tcPr>
          <w:p w:rsidR="00666AB4" w:rsidRPr="001812A7" w:rsidRDefault="00666AB4" w:rsidP="00A06746">
            <w:pPr>
              <w:keepNext/>
              <w:tabs>
                <w:tab w:val="left" w:pos="0"/>
              </w:tabs>
              <w:ind w:left="22"/>
              <w:rPr>
                <w:rFonts w:ascii="Arial Narrow" w:eastAsia="Times New Roman" w:hAnsi="Arial Narrow"/>
                <w:b/>
                <w:sz w:val="24"/>
                <w:szCs w:val="24"/>
                <w:lang w:eastAsia="en-GB"/>
              </w:rPr>
            </w:pPr>
            <w:r w:rsidRPr="001812A7">
              <w:rPr>
                <w:rFonts w:ascii="Arial Narrow" w:hAnsi="Arial Narrow"/>
                <w:b/>
                <w:sz w:val="24"/>
                <w:szCs w:val="24"/>
              </w:rPr>
              <w:t>Chichester District*</w:t>
            </w:r>
          </w:p>
        </w:tc>
        <w:tc>
          <w:tcPr>
            <w:tcW w:w="676" w:type="pct"/>
            <w:vAlign w:val="center"/>
            <w:hideMark/>
          </w:tcPr>
          <w:p w:rsidR="00666AB4" w:rsidRPr="001812A7" w:rsidRDefault="00666AB4" w:rsidP="00A06746">
            <w:pPr>
              <w:keepNext/>
              <w:tabs>
                <w:tab w:val="left" w:pos="0"/>
              </w:tabs>
              <w:ind w:left="22"/>
              <w:jc w:val="center"/>
              <w:rPr>
                <w:rFonts w:ascii="Arial Narrow" w:hAnsi="Arial Narrow"/>
                <w:b/>
                <w:color w:val="000000"/>
                <w:sz w:val="24"/>
                <w:szCs w:val="24"/>
              </w:rPr>
            </w:pPr>
            <w:r w:rsidRPr="001812A7">
              <w:rPr>
                <w:rFonts w:ascii="Arial Narrow" w:hAnsi="Arial Narrow"/>
                <w:b/>
                <w:color w:val="000000"/>
                <w:sz w:val="24"/>
                <w:szCs w:val="24"/>
              </w:rPr>
              <w:t>52</w:t>
            </w:r>
          </w:p>
        </w:tc>
        <w:tc>
          <w:tcPr>
            <w:tcW w:w="678" w:type="pct"/>
            <w:vAlign w:val="center"/>
            <w:hideMark/>
          </w:tcPr>
          <w:p w:rsidR="00666AB4" w:rsidRPr="001812A7" w:rsidRDefault="00666AB4" w:rsidP="00A06746">
            <w:pPr>
              <w:keepNext/>
              <w:tabs>
                <w:tab w:val="left" w:pos="0"/>
              </w:tabs>
              <w:ind w:left="22"/>
              <w:jc w:val="center"/>
              <w:rPr>
                <w:rFonts w:ascii="Arial Narrow" w:hAnsi="Arial Narrow"/>
                <w:b/>
                <w:color w:val="000000"/>
                <w:sz w:val="24"/>
                <w:szCs w:val="24"/>
              </w:rPr>
            </w:pPr>
            <w:r w:rsidRPr="001812A7">
              <w:rPr>
                <w:rFonts w:ascii="Arial Narrow" w:hAnsi="Arial Narrow"/>
                <w:b/>
                <w:color w:val="000000"/>
                <w:sz w:val="24"/>
                <w:szCs w:val="24"/>
              </w:rPr>
              <w:t>383</w:t>
            </w:r>
          </w:p>
        </w:tc>
        <w:tc>
          <w:tcPr>
            <w:tcW w:w="676" w:type="pct"/>
            <w:vAlign w:val="center"/>
            <w:hideMark/>
          </w:tcPr>
          <w:p w:rsidR="00666AB4" w:rsidRPr="001812A7" w:rsidRDefault="00666AB4" w:rsidP="00A06746">
            <w:pPr>
              <w:keepNext/>
              <w:tabs>
                <w:tab w:val="left" w:pos="0"/>
              </w:tabs>
              <w:ind w:left="22"/>
              <w:jc w:val="center"/>
              <w:rPr>
                <w:rFonts w:ascii="Arial Narrow" w:hAnsi="Arial Narrow"/>
                <w:b/>
                <w:color w:val="000000"/>
                <w:sz w:val="24"/>
                <w:szCs w:val="24"/>
              </w:rPr>
            </w:pPr>
            <w:r w:rsidRPr="001812A7">
              <w:rPr>
                <w:rFonts w:ascii="Arial Narrow" w:hAnsi="Arial Narrow"/>
                <w:b/>
                <w:color w:val="000000"/>
                <w:sz w:val="24"/>
                <w:szCs w:val="24"/>
              </w:rPr>
              <w:t>167</w:t>
            </w:r>
          </w:p>
        </w:tc>
        <w:tc>
          <w:tcPr>
            <w:tcW w:w="678" w:type="pct"/>
            <w:vAlign w:val="center"/>
            <w:hideMark/>
          </w:tcPr>
          <w:p w:rsidR="00666AB4" w:rsidRPr="001812A7" w:rsidRDefault="00666AB4" w:rsidP="00A06746">
            <w:pPr>
              <w:keepNext/>
              <w:tabs>
                <w:tab w:val="left" w:pos="0"/>
              </w:tabs>
              <w:ind w:left="22"/>
              <w:jc w:val="center"/>
              <w:rPr>
                <w:rFonts w:ascii="Arial Narrow" w:hAnsi="Arial Narrow"/>
                <w:b/>
                <w:color w:val="000000"/>
                <w:sz w:val="24"/>
                <w:szCs w:val="24"/>
              </w:rPr>
            </w:pPr>
            <w:r w:rsidRPr="001812A7">
              <w:rPr>
                <w:rFonts w:ascii="Arial Narrow" w:hAnsi="Arial Narrow"/>
                <w:b/>
                <w:color w:val="000000"/>
                <w:sz w:val="24"/>
                <w:szCs w:val="24"/>
              </w:rPr>
              <w:t>602</w:t>
            </w:r>
          </w:p>
        </w:tc>
        <w:tc>
          <w:tcPr>
            <w:tcW w:w="676" w:type="pct"/>
            <w:vAlign w:val="center"/>
            <w:hideMark/>
          </w:tcPr>
          <w:p w:rsidR="00666AB4" w:rsidRPr="001812A7" w:rsidRDefault="00666AB4" w:rsidP="00A06746">
            <w:pPr>
              <w:keepNext/>
              <w:tabs>
                <w:tab w:val="left" w:pos="0"/>
              </w:tabs>
              <w:ind w:left="22"/>
              <w:jc w:val="center"/>
              <w:rPr>
                <w:rFonts w:ascii="Arial Narrow" w:hAnsi="Arial Narrow"/>
                <w:b/>
                <w:color w:val="000000"/>
                <w:sz w:val="24"/>
                <w:szCs w:val="24"/>
              </w:rPr>
            </w:pPr>
            <w:r w:rsidRPr="001812A7">
              <w:rPr>
                <w:rFonts w:ascii="Arial Narrow" w:hAnsi="Arial Narrow"/>
                <w:b/>
                <w:color w:val="000000"/>
                <w:sz w:val="24"/>
                <w:szCs w:val="24"/>
              </w:rPr>
              <w:t>257</w:t>
            </w:r>
          </w:p>
        </w:tc>
        <w:tc>
          <w:tcPr>
            <w:tcW w:w="624" w:type="pct"/>
            <w:vAlign w:val="center"/>
            <w:hideMark/>
          </w:tcPr>
          <w:p w:rsidR="00666AB4" w:rsidRPr="001812A7" w:rsidRDefault="00666AB4" w:rsidP="00A06746">
            <w:pPr>
              <w:keepNext/>
              <w:tabs>
                <w:tab w:val="left" w:pos="0"/>
              </w:tabs>
              <w:ind w:left="22"/>
              <w:jc w:val="center"/>
              <w:rPr>
                <w:rFonts w:ascii="Arial Narrow" w:hAnsi="Arial Narrow"/>
                <w:b/>
                <w:color w:val="000000"/>
                <w:sz w:val="24"/>
                <w:szCs w:val="24"/>
              </w:rPr>
            </w:pPr>
            <w:r w:rsidRPr="001812A7">
              <w:rPr>
                <w:rFonts w:ascii="Arial Narrow" w:hAnsi="Arial Narrow"/>
                <w:b/>
                <w:color w:val="000000"/>
                <w:sz w:val="24"/>
                <w:szCs w:val="24"/>
              </w:rPr>
              <w:t>344</w:t>
            </w:r>
          </w:p>
        </w:tc>
      </w:tr>
    </w:tbl>
    <w:p w:rsidR="00666AB4" w:rsidRPr="008F5270" w:rsidRDefault="00666AB4" w:rsidP="002F7AD3">
      <w:pPr>
        <w:widowControl w:val="0"/>
        <w:tabs>
          <w:tab w:val="left" w:pos="284"/>
        </w:tabs>
        <w:ind w:left="284" w:hanging="284"/>
        <w:rPr>
          <w:sz w:val="24"/>
          <w:szCs w:val="24"/>
        </w:rPr>
      </w:pPr>
      <w:r w:rsidRPr="008F5270">
        <w:rPr>
          <w:sz w:val="24"/>
          <w:szCs w:val="24"/>
        </w:rPr>
        <w:t>Source: Housing Register/Census (2011)/CoRe/Projection Modelling and affordability analysis</w:t>
      </w:r>
    </w:p>
    <w:p w:rsidR="00666AB4" w:rsidRPr="008F5270" w:rsidRDefault="00666AB4" w:rsidP="002F7AD3">
      <w:pPr>
        <w:widowControl w:val="0"/>
        <w:tabs>
          <w:tab w:val="left" w:pos="284"/>
        </w:tabs>
        <w:ind w:left="284" w:hanging="284"/>
        <w:rPr>
          <w:sz w:val="24"/>
          <w:szCs w:val="24"/>
        </w:rPr>
      </w:pPr>
      <w:r w:rsidRPr="008F5270">
        <w:rPr>
          <w:sz w:val="24"/>
          <w:szCs w:val="24"/>
        </w:rPr>
        <w:t xml:space="preserve">*The total District figures are rounded. </w:t>
      </w:r>
    </w:p>
    <w:p w:rsidR="00666AB4" w:rsidRPr="004B604F" w:rsidRDefault="00666AB4" w:rsidP="002F7AD3">
      <w:pPr>
        <w:tabs>
          <w:tab w:val="left" w:pos="284"/>
        </w:tabs>
        <w:ind w:left="284" w:hanging="284"/>
      </w:pPr>
    </w:p>
    <w:p w:rsidR="00666AB4" w:rsidRPr="003D0CB9" w:rsidRDefault="00666AB4" w:rsidP="009719FA">
      <w:pPr>
        <w:pStyle w:val="Tableheading"/>
        <w:tabs>
          <w:tab w:val="clear" w:pos="794"/>
          <w:tab w:val="clear" w:pos="1843"/>
          <w:tab w:val="left" w:pos="0"/>
        </w:tabs>
        <w:ind w:left="0" w:firstLine="0"/>
      </w:pPr>
      <w:r w:rsidRPr="008F021B">
        <w:t xml:space="preserve">Estimated level of Affordable </w:t>
      </w:r>
      <w:r w:rsidR="00451CFA">
        <w:t>Home ownership</w:t>
      </w:r>
      <w:r w:rsidRPr="008F021B">
        <w:t xml:space="preserve"> Need per annum </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74: Estimated level of Affordable Home ownership Need per annum "/>
      </w:tblPr>
      <w:tblGrid>
        <w:gridCol w:w="2069"/>
        <w:gridCol w:w="1096"/>
        <w:gridCol w:w="1373"/>
        <w:gridCol w:w="1741"/>
        <w:gridCol w:w="1160"/>
        <w:gridCol w:w="1303"/>
        <w:gridCol w:w="896"/>
      </w:tblGrid>
      <w:tr w:rsidR="00363436" w:rsidRPr="001812A7" w:rsidTr="00A06746">
        <w:trPr>
          <w:tblHeader/>
        </w:trPr>
        <w:tc>
          <w:tcPr>
            <w:tcW w:w="1073" w:type="pct"/>
            <w:shd w:val="clear" w:color="auto" w:fill="0093D5" w:themeFill="accent2"/>
          </w:tcPr>
          <w:p w:rsidR="00666AB4" w:rsidRPr="001812A7" w:rsidRDefault="00666AB4" w:rsidP="003D1D66">
            <w:pPr>
              <w:keepNext/>
              <w:rPr>
                <w:rFonts w:ascii="Arial Narrow" w:eastAsia="Times New Roman" w:hAnsi="Arial Narrow"/>
                <w:bCs/>
                <w:color w:val="FFFFFF" w:themeColor="background1"/>
                <w:sz w:val="24"/>
                <w:szCs w:val="24"/>
                <w:lang w:eastAsia="en-GB"/>
              </w:rPr>
            </w:pPr>
          </w:p>
        </w:tc>
        <w:tc>
          <w:tcPr>
            <w:tcW w:w="568" w:type="pct"/>
            <w:shd w:val="clear" w:color="auto" w:fill="0093D5" w:themeFill="accent2"/>
            <w:hideMark/>
          </w:tcPr>
          <w:p w:rsidR="00666AB4" w:rsidRPr="001812A7" w:rsidRDefault="00666AB4" w:rsidP="003D1D66">
            <w:pPr>
              <w:keepNext/>
              <w:tabs>
                <w:tab w:val="left" w:pos="0"/>
              </w:tabs>
              <w:jc w:val="center"/>
              <w:rPr>
                <w:rFonts w:ascii="Arial Narrow" w:hAnsi="Arial Narrow"/>
                <w:bCs/>
                <w:color w:val="FFFFFF" w:themeColor="background1"/>
                <w:sz w:val="24"/>
                <w:szCs w:val="24"/>
              </w:rPr>
            </w:pPr>
            <w:r w:rsidRPr="001812A7">
              <w:rPr>
                <w:rFonts w:ascii="Arial Narrow" w:hAnsi="Arial Narrow"/>
                <w:bCs/>
                <w:color w:val="FFFFFF" w:themeColor="background1"/>
                <w:sz w:val="24"/>
                <w:szCs w:val="24"/>
              </w:rPr>
              <w:t>Current need</w:t>
            </w:r>
          </w:p>
        </w:tc>
        <w:tc>
          <w:tcPr>
            <w:tcW w:w="712" w:type="pct"/>
            <w:shd w:val="clear" w:color="auto" w:fill="0093D5" w:themeFill="accent2"/>
            <w:hideMark/>
          </w:tcPr>
          <w:p w:rsidR="00666AB4" w:rsidRPr="001812A7" w:rsidRDefault="00666AB4" w:rsidP="003D1D66">
            <w:pPr>
              <w:keepNext/>
              <w:tabs>
                <w:tab w:val="left" w:pos="0"/>
              </w:tabs>
              <w:jc w:val="center"/>
              <w:rPr>
                <w:rFonts w:ascii="Arial Narrow" w:hAnsi="Arial Narrow"/>
                <w:bCs/>
                <w:color w:val="FFFFFF" w:themeColor="background1"/>
                <w:sz w:val="24"/>
                <w:szCs w:val="24"/>
              </w:rPr>
            </w:pPr>
            <w:r w:rsidRPr="001812A7">
              <w:rPr>
                <w:rFonts w:ascii="Arial Narrow" w:hAnsi="Arial Narrow"/>
                <w:bCs/>
                <w:color w:val="FFFFFF" w:themeColor="background1"/>
                <w:sz w:val="24"/>
                <w:szCs w:val="24"/>
              </w:rPr>
              <w:t>Newly forming households</w:t>
            </w:r>
          </w:p>
        </w:tc>
        <w:tc>
          <w:tcPr>
            <w:tcW w:w="903" w:type="pct"/>
            <w:shd w:val="clear" w:color="auto" w:fill="0093D5" w:themeFill="accent2"/>
            <w:hideMark/>
          </w:tcPr>
          <w:p w:rsidR="00666AB4" w:rsidRPr="001812A7" w:rsidRDefault="00666AB4" w:rsidP="003D1D66">
            <w:pPr>
              <w:keepNext/>
              <w:tabs>
                <w:tab w:val="left" w:pos="0"/>
              </w:tabs>
              <w:jc w:val="center"/>
              <w:rPr>
                <w:rFonts w:ascii="Arial Narrow" w:hAnsi="Arial Narrow"/>
                <w:bCs/>
                <w:color w:val="FFFFFF" w:themeColor="background1"/>
                <w:sz w:val="24"/>
                <w:szCs w:val="24"/>
              </w:rPr>
            </w:pPr>
            <w:r w:rsidRPr="001812A7">
              <w:rPr>
                <w:rFonts w:ascii="Arial Narrow" w:hAnsi="Arial Narrow"/>
                <w:bCs/>
                <w:color w:val="FFFFFF" w:themeColor="background1"/>
                <w:sz w:val="24"/>
                <w:szCs w:val="24"/>
              </w:rPr>
              <w:t>Existing house-holds falling into need</w:t>
            </w:r>
          </w:p>
        </w:tc>
        <w:tc>
          <w:tcPr>
            <w:tcW w:w="602" w:type="pct"/>
            <w:shd w:val="clear" w:color="auto" w:fill="0093D5" w:themeFill="accent2"/>
            <w:hideMark/>
          </w:tcPr>
          <w:p w:rsidR="00666AB4" w:rsidRPr="001812A7" w:rsidRDefault="00666AB4" w:rsidP="003D1D66">
            <w:pPr>
              <w:keepNext/>
              <w:tabs>
                <w:tab w:val="left" w:pos="0"/>
              </w:tabs>
              <w:jc w:val="center"/>
              <w:rPr>
                <w:rFonts w:ascii="Arial Narrow" w:hAnsi="Arial Narrow"/>
                <w:bCs/>
                <w:color w:val="FFFFFF" w:themeColor="background1"/>
                <w:sz w:val="24"/>
                <w:szCs w:val="24"/>
              </w:rPr>
            </w:pPr>
            <w:r w:rsidRPr="001812A7">
              <w:rPr>
                <w:rFonts w:ascii="Arial Narrow" w:hAnsi="Arial Narrow"/>
                <w:bCs/>
                <w:color w:val="FFFFFF" w:themeColor="background1"/>
                <w:sz w:val="24"/>
                <w:szCs w:val="24"/>
              </w:rPr>
              <w:t>Total Gross Need</w:t>
            </w:r>
          </w:p>
        </w:tc>
        <w:tc>
          <w:tcPr>
            <w:tcW w:w="676" w:type="pct"/>
            <w:shd w:val="clear" w:color="auto" w:fill="0093D5" w:themeFill="accent2"/>
            <w:hideMark/>
          </w:tcPr>
          <w:p w:rsidR="00666AB4" w:rsidRPr="001812A7" w:rsidRDefault="00666AB4" w:rsidP="003D1D66">
            <w:pPr>
              <w:keepNext/>
              <w:tabs>
                <w:tab w:val="left" w:pos="0"/>
              </w:tabs>
              <w:jc w:val="center"/>
              <w:rPr>
                <w:rFonts w:ascii="Arial Narrow" w:hAnsi="Arial Narrow"/>
                <w:bCs/>
                <w:color w:val="FFFFFF" w:themeColor="background1"/>
                <w:sz w:val="24"/>
                <w:szCs w:val="24"/>
              </w:rPr>
            </w:pPr>
            <w:r w:rsidRPr="001812A7">
              <w:rPr>
                <w:rFonts w:ascii="Arial Narrow" w:hAnsi="Arial Narrow"/>
                <w:bCs/>
                <w:color w:val="FFFFFF" w:themeColor="background1"/>
                <w:sz w:val="24"/>
                <w:szCs w:val="24"/>
              </w:rPr>
              <w:t>Supply (50% LQ +AHO resales)</w:t>
            </w:r>
          </w:p>
        </w:tc>
        <w:tc>
          <w:tcPr>
            <w:tcW w:w="465" w:type="pct"/>
            <w:shd w:val="clear" w:color="auto" w:fill="0093D5" w:themeFill="accent2"/>
            <w:hideMark/>
          </w:tcPr>
          <w:p w:rsidR="00666AB4" w:rsidRPr="001812A7" w:rsidRDefault="00666AB4" w:rsidP="003D1D66">
            <w:pPr>
              <w:keepNext/>
              <w:tabs>
                <w:tab w:val="left" w:pos="0"/>
              </w:tabs>
              <w:jc w:val="center"/>
              <w:rPr>
                <w:rFonts w:ascii="Arial Narrow" w:hAnsi="Arial Narrow"/>
                <w:bCs/>
                <w:color w:val="FFFFFF" w:themeColor="background1"/>
                <w:sz w:val="24"/>
                <w:szCs w:val="24"/>
              </w:rPr>
            </w:pPr>
            <w:r w:rsidRPr="001812A7">
              <w:rPr>
                <w:rFonts w:ascii="Arial Narrow" w:hAnsi="Arial Narrow"/>
                <w:bCs/>
                <w:color w:val="FFFFFF" w:themeColor="background1"/>
                <w:sz w:val="24"/>
                <w:szCs w:val="24"/>
              </w:rPr>
              <w:t>Net Need</w:t>
            </w:r>
          </w:p>
        </w:tc>
      </w:tr>
      <w:tr w:rsidR="00363436" w:rsidRPr="001812A7" w:rsidTr="00A06746">
        <w:tc>
          <w:tcPr>
            <w:tcW w:w="1073" w:type="pct"/>
            <w:vAlign w:val="center"/>
            <w:hideMark/>
          </w:tcPr>
          <w:p w:rsidR="00666AB4" w:rsidRPr="001812A7" w:rsidRDefault="00666AB4" w:rsidP="00A06746">
            <w:pPr>
              <w:keepNext/>
              <w:rPr>
                <w:rFonts w:ascii="Arial Narrow" w:eastAsia="Times New Roman" w:hAnsi="Arial Narrow"/>
                <w:color w:val="000000"/>
                <w:sz w:val="24"/>
                <w:szCs w:val="24"/>
                <w:lang w:eastAsia="en-GB"/>
              </w:rPr>
            </w:pPr>
            <w:r w:rsidRPr="001812A7">
              <w:rPr>
                <w:rFonts w:ascii="Arial Narrow" w:hAnsi="Arial Narrow"/>
                <w:color w:val="000000"/>
                <w:sz w:val="24"/>
                <w:szCs w:val="24"/>
              </w:rPr>
              <w:t>Chichester City</w:t>
            </w:r>
          </w:p>
        </w:tc>
        <w:tc>
          <w:tcPr>
            <w:tcW w:w="568" w:type="pct"/>
            <w:vAlign w:val="center"/>
            <w:hideMark/>
          </w:tcPr>
          <w:p w:rsidR="00666AB4" w:rsidRPr="001812A7" w:rsidRDefault="00666AB4" w:rsidP="00A06746">
            <w:pPr>
              <w:keepNext/>
              <w:tabs>
                <w:tab w:val="left" w:pos="284"/>
              </w:tabs>
              <w:ind w:left="284" w:hanging="284"/>
              <w:jc w:val="center"/>
              <w:rPr>
                <w:rFonts w:ascii="Arial Narrow" w:eastAsia="Times New Roman" w:hAnsi="Arial Narrow"/>
                <w:color w:val="000000"/>
                <w:sz w:val="24"/>
                <w:szCs w:val="24"/>
                <w:lang w:eastAsia="en-GB"/>
              </w:rPr>
            </w:pPr>
            <w:r w:rsidRPr="001812A7">
              <w:rPr>
                <w:rFonts w:ascii="Arial Narrow" w:hAnsi="Arial Narrow"/>
                <w:color w:val="000000"/>
                <w:sz w:val="24"/>
                <w:szCs w:val="24"/>
              </w:rPr>
              <w:t>8</w:t>
            </w:r>
          </w:p>
        </w:tc>
        <w:tc>
          <w:tcPr>
            <w:tcW w:w="712" w:type="pct"/>
            <w:vAlign w:val="center"/>
            <w:hideMark/>
          </w:tcPr>
          <w:p w:rsidR="00666AB4" w:rsidRPr="001812A7" w:rsidRDefault="00666AB4" w:rsidP="00A06746">
            <w:pPr>
              <w:keepNext/>
              <w:tabs>
                <w:tab w:val="left" w:pos="284"/>
              </w:tabs>
              <w:ind w:left="284" w:hanging="284"/>
              <w:jc w:val="center"/>
              <w:rPr>
                <w:rFonts w:ascii="Arial Narrow" w:hAnsi="Arial Narrow"/>
                <w:color w:val="000000"/>
                <w:sz w:val="24"/>
                <w:szCs w:val="24"/>
              </w:rPr>
            </w:pPr>
            <w:r w:rsidRPr="001812A7">
              <w:rPr>
                <w:rFonts w:ascii="Arial Narrow" w:hAnsi="Arial Narrow"/>
                <w:color w:val="000000"/>
                <w:sz w:val="24"/>
                <w:szCs w:val="24"/>
              </w:rPr>
              <w:t>83</w:t>
            </w:r>
          </w:p>
        </w:tc>
        <w:tc>
          <w:tcPr>
            <w:tcW w:w="903" w:type="pct"/>
            <w:vAlign w:val="center"/>
            <w:hideMark/>
          </w:tcPr>
          <w:p w:rsidR="00666AB4" w:rsidRPr="001812A7" w:rsidRDefault="00666AB4" w:rsidP="00A06746">
            <w:pPr>
              <w:keepNext/>
              <w:tabs>
                <w:tab w:val="left" w:pos="284"/>
              </w:tabs>
              <w:ind w:left="284" w:hanging="284"/>
              <w:jc w:val="center"/>
              <w:rPr>
                <w:rFonts w:ascii="Arial Narrow" w:hAnsi="Arial Narrow"/>
                <w:color w:val="000000"/>
                <w:sz w:val="24"/>
                <w:szCs w:val="24"/>
              </w:rPr>
            </w:pPr>
            <w:r w:rsidRPr="001812A7">
              <w:rPr>
                <w:rFonts w:ascii="Arial Narrow" w:hAnsi="Arial Narrow"/>
                <w:color w:val="000000"/>
                <w:sz w:val="24"/>
                <w:szCs w:val="24"/>
              </w:rPr>
              <w:t>24</w:t>
            </w:r>
          </w:p>
        </w:tc>
        <w:tc>
          <w:tcPr>
            <w:tcW w:w="602" w:type="pct"/>
            <w:vAlign w:val="center"/>
            <w:hideMark/>
          </w:tcPr>
          <w:p w:rsidR="00666AB4" w:rsidRPr="001812A7" w:rsidRDefault="00666AB4" w:rsidP="00A06746">
            <w:pPr>
              <w:keepNext/>
              <w:tabs>
                <w:tab w:val="left" w:pos="284"/>
              </w:tabs>
              <w:ind w:left="284" w:hanging="284"/>
              <w:jc w:val="center"/>
              <w:rPr>
                <w:rFonts w:ascii="Arial Narrow" w:hAnsi="Arial Narrow"/>
                <w:color w:val="000000"/>
                <w:sz w:val="24"/>
                <w:szCs w:val="24"/>
              </w:rPr>
            </w:pPr>
            <w:r w:rsidRPr="001812A7">
              <w:rPr>
                <w:rFonts w:ascii="Arial Narrow" w:hAnsi="Arial Narrow"/>
                <w:color w:val="000000"/>
                <w:sz w:val="24"/>
                <w:szCs w:val="24"/>
              </w:rPr>
              <w:t>115</w:t>
            </w:r>
          </w:p>
        </w:tc>
        <w:tc>
          <w:tcPr>
            <w:tcW w:w="676" w:type="pct"/>
            <w:vAlign w:val="center"/>
            <w:hideMark/>
          </w:tcPr>
          <w:p w:rsidR="00666AB4" w:rsidRPr="001812A7" w:rsidRDefault="00666AB4" w:rsidP="00A06746">
            <w:pPr>
              <w:keepNext/>
              <w:tabs>
                <w:tab w:val="left" w:pos="284"/>
              </w:tabs>
              <w:ind w:left="284" w:hanging="284"/>
              <w:jc w:val="center"/>
              <w:rPr>
                <w:rFonts w:ascii="Arial Narrow" w:hAnsi="Arial Narrow"/>
                <w:color w:val="000000"/>
                <w:sz w:val="24"/>
                <w:szCs w:val="24"/>
              </w:rPr>
            </w:pPr>
            <w:r w:rsidRPr="001812A7">
              <w:rPr>
                <w:rFonts w:ascii="Arial Narrow" w:hAnsi="Arial Narrow"/>
                <w:color w:val="000000"/>
                <w:sz w:val="24"/>
                <w:szCs w:val="24"/>
              </w:rPr>
              <w:t>63</w:t>
            </w:r>
          </w:p>
        </w:tc>
        <w:tc>
          <w:tcPr>
            <w:tcW w:w="465" w:type="pct"/>
            <w:vAlign w:val="center"/>
            <w:hideMark/>
          </w:tcPr>
          <w:p w:rsidR="00666AB4" w:rsidRPr="001812A7" w:rsidRDefault="00666AB4" w:rsidP="00A06746">
            <w:pPr>
              <w:keepNext/>
              <w:tabs>
                <w:tab w:val="left" w:pos="284"/>
              </w:tabs>
              <w:ind w:left="284" w:hanging="284"/>
              <w:jc w:val="center"/>
              <w:rPr>
                <w:rFonts w:ascii="Arial Narrow" w:hAnsi="Arial Narrow"/>
                <w:color w:val="000000"/>
                <w:sz w:val="24"/>
                <w:szCs w:val="24"/>
              </w:rPr>
            </w:pPr>
            <w:r w:rsidRPr="001812A7">
              <w:rPr>
                <w:rFonts w:ascii="Arial Narrow" w:hAnsi="Arial Narrow"/>
                <w:color w:val="000000"/>
                <w:sz w:val="24"/>
                <w:szCs w:val="24"/>
              </w:rPr>
              <w:t>53</w:t>
            </w:r>
          </w:p>
        </w:tc>
      </w:tr>
      <w:tr w:rsidR="00363436" w:rsidRPr="001812A7" w:rsidTr="00A06746">
        <w:tc>
          <w:tcPr>
            <w:tcW w:w="1073" w:type="pct"/>
            <w:vAlign w:val="center"/>
            <w:hideMark/>
          </w:tcPr>
          <w:p w:rsidR="00666AB4" w:rsidRPr="001812A7" w:rsidRDefault="00666AB4" w:rsidP="00A06746">
            <w:pPr>
              <w:keepNext/>
              <w:rPr>
                <w:rFonts w:ascii="Arial Narrow" w:hAnsi="Arial Narrow"/>
                <w:color w:val="000000"/>
                <w:sz w:val="24"/>
                <w:szCs w:val="24"/>
              </w:rPr>
            </w:pPr>
            <w:r w:rsidRPr="001812A7">
              <w:rPr>
                <w:rFonts w:ascii="Arial Narrow" w:hAnsi="Arial Narrow"/>
                <w:color w:val="000000"/>
                <w:sz w:val="24"/>
                <w:szCs w:val="24"/>
              </w:rPr>
              <w:t>East-West Corridor</w:t>
            </w:r>
          </w:p>
        </w:tc>
        <w:tc>
          <w:tcPr>
            <w:tcW w:w="568" w:type="pct"/>
            <w:vAlign w:val="center"/>
            <w:hideMark/>
          </w:tcPr>
          <w:p w:rsidR="00666AB4" w:rsidRPr="001812A7" w:rsidRDefault="00666AB4" w:rsidP="00A06746">
            <w:pPr>
              <w:keepNext/>
              <w:tabs>
                <w:tab w:val="left" w:pos="284"/>
              </w:tabs>
              <w:ind w:left="284" w:hanging="284"/>
              <w:jc w:val="center"/>
              <w:rPr>
                <w:rFonts w:ascii="Arial Narrow" w:hAnsi="Arial Narrow"/>
                <w:color w:val="000000"/>
                <w:sz w:val="24"/>
                <w:szCs w:val="24"/>
              </w:rPr>
            </w:pPr>
            <w:r w:rsidRPr="001812A7">
              <w:rPr>
                <w:rFonts w:ascii="Arial Narrow" w:hAnsi="Arial Narrow"/>
                <w:color w:val="000000"/>
                <w:sz w:val="24"/>
                <w:szCs w:val="24"/>
              </w:rPr>
              <w:t>4</w:t>
            </w:r>
          </w:p>
        </w:tc>
        <w:tc>
          <w:tcPr>
            <w:tcW w:w="712" w:type="pct"/>
            <w:vAlign w:val="center"/>
            <w:hideMark/>
          </w:tcPr>
          <w:p w:rsidR="00666AB4" w:rsidRPr="001812A7" w:rsidRDefault="00666AB4" w:rsidP="00A06746">
            <w:pPr>
              <w:keepNext/>
              <w:tabs>
                <w:tab w:val="left" w:pos="284"/>
              </w:tabs>
              <w:ind w:left="284" w:hanging="284"/>
              <w:jc w:val="center"/>
              <w:rPr>
                <w:rFonts w:ascii="Arial Narrow" w:hAnsi="Arial Narrow"/>
                <w:color w:val="000000"/>
                <w:sz w:val="24"/>
                <w:szCs w:val="24"/>
              </w:rPr>
            </w:pPr>
            <w:r w:rsidRPr="001812A7">
              <w:rPr>
                <w:rFonts w:ascii="Arial Narrow" w:hAnsi="Arial Narrow"/>
                <w:color w:val="000000"/>
                <w:sz w:val="24"/>
                <w:szCs w:val="24"/>
              </w:rPr>
              <w:t>65</w:t>
            </w:r>
          </w:p>
        </w:tc>
        <w:tc>
          <w:tcPr>
            <w:tcW w:w="903" w:type="pct"/>
            <w:vAlign w:val="center"/>
            <w:hideMark/>
          </w:tcPr>
          <w:p w:rsidR="00666AB4" w:rsidRPr="001812A7" w:rsidRDefault="00666AB4" w:rsidP="00A06746">
            <w:pPr>
              <w:keepNext/>
              <w:tabs>
                <w:tab w:val="left" w:pos="284"/>
              </w:tabs>
              <w:ind w:left="284" w:hanging="284"/>
              <w:jc w:val="center"/>
              <w:rPr>
                <w:rFonts w:ascii="Arial Narrow" w:hAnsi="Arial Narrow"/>
                <w:color w:val="000000"/>
                <w:sz w:val="24"/>
                <w:szCs w:val="24"/>
              </w:rPr>
            </w:pPr>
            <w:r w:rsidRPr="001812A7">
              <w:rPr>
                <w:rFonts w:ascii="Arial Narrow" w:hAnsi="Arial Narrow"/>
                <w:color w:val="000000"/>
                <w:sz w:val="24"/>
                <w:szCs w:val="24"/>
              </w:rPr>
              <w:t>13</w:t>
            </w:r>
          </w:p>
        </w:tc>
        <w:tc>
          <w:tcPr>
            <w:tcW w:w="602" w:type="pct"/>
            <w:vAlign w:val="center"/>
            <w:hideMark/>
          </w:tcPr>
          <w:p w:rsidR="00666AB4" w:rsidRPr="001812A7" w:rsidRDefault="00666AB4" w:rsidP="00A06746">
            <w:pPr>
              <w:keepNext/>
              <w:tabs>
                <w:tab w:val="left" w:pos="284"/>
              </w:tabs>
              <w:ind w:left="284" w:hanging="284"/>
              <w:jc w:val="center"/>
              <w:rPr>
                <w:rFonts w:ascii="Arial Narrow" w:hAnsi="Arial Narrow"/>
                <w:color w:val="000000"/>
                <w:sz w:val="24"/>
                <w:szCs w:val="24"/>
              </w:rPr>
            </w:pPr>
            <w:r w:rsidRPr="001812A7">
              <w:rPr>
                <w:rFonts w:ascii="Arial Narrow" w:hAnsi="Arial Narrow"/>
                <w:color w:val="000000"/>
                <w:sz w:val="24"/>
                <w:szCs w:val="24"/>
              </w:rPr>
              <w:t>82</w:t>
            </w:r>
          </w:p>
        </w:tc>
        <w:tc>
          <w:tcPr>
            <w:tcW w:w="676" w:type="pct"/>
            <w:vAlign w:val="center"/>
            <w:hideMark/>
          </w:tcPr>
          <w:p w:rsidR="00666AB4" w:rsidRPr="001812A7" w:rsidRDefault="00666AB4" w:rsidP="00A06746">
            <w:pPr>
              <w:keepNext/>
              <w:tabs>
                <w:tab w:val="left" w:pos="284"/>
              </w:tabs>
              <w:ind w:left="284" w:hanging="284"/>
              <w:jc w:val="center"/>
              <w:rPr>
                <w:rFonts w:ascii="Arial Narrow" w:hAnsi="Arial Narrow"/>
                <w:color w:val="000000"/>
                <w:sz w:val="24"/>
                <w:szCs w:val="24"/>
              </w:rPr>
            </w:pPr>
            <w:r w:rsidRPr="001812A7">
              <w:rPr>
                <w:rFonts w:ascii="Arial Narrow" w:hAnsi="Arial Narrow"/>
                <w:color w:val="000000"/>
                <w:sz w:val="24"/>
                <w:szCs w:val="24"/>
              </w:rPr>
              <w:t>61</w:t>
            </w:r>
          </w:p>
        </w:tc>
        <w:tc>
          <w:tcPr>
            <w:tcW w:w="465" w:type="pct"/>
            <w:vAlign w:val="center"/>
            <w:hideMark/>
          </w:tcPr>
          <w:p w:rsidR="00666AB4" w:rsidRPr="001812A7" w:rsidRDefault="00666AB4" w:rsidP="00A06746">
            <w:pPr>
              <w:keepNext/>
              <w:tabs>
                <w:tab w:val="left" w:pos="284"/>
              </w:tabs>
              <w:ind w:left="284" w:hanging="284"/>
              <w:jc w:val="center"/>
              <w:rPr>
                <w:rFonts w:ascii="Arial Narrow" w:hAnsi="Arial Narrow"/>
                <w:color w:val="000000"/>
                <w:sz w:val="24"/>
                <w:szCs w:val="24"/>
              </w:rPr>
            </w:pPr>
            <w:r w:rsidRPr="001812A7">
              <w:rPr>
                <w:rFonts w:ascii="Arial Narrow" w:hAnsi="Arial Narrow"/>
                <w:color w:val="000000"/>
                <w:sz w:val="24"/>
                <w:szCs w:val="24"/>
              </w:rPr>
              <w:t>21</w:t>
            </w:r>
          </w:p>
        </w:tc>
      </w:tr>
      <w:tr w:rsidR="00363436" w:rsidRPr="001812A7" w:rsidTr="00A06746">
        <w:tc>
          <w:tcPr>
            <w:tcW w:w="1073" w:type="pct"/>
            <w:vAlign w:val="center"/>
            <w:hideMark/>
          </w:tcPr>
          <w:p w:rsidR="00666AB4" w:rsidRPr="001812A7" w:rsidRDefault="00666AB4" w:rsidP="00A06746">
            <w:pPr>
              <w:keepNext/>
              <w:rPr>
                <w:rFonts w:ascii="Arial Narrow" w:hAnsi="Arial Narrow"/>
                <w:color w:val="000000"/>
                <w:sz w:val="24"/>
                <w:szCs w:val="24"/>
              </w:rPr>
            </w:pPr>
            <w:r w:rsidRPr="001812A7">
              <w:rPr>
                <w:rFonts w:ascii="Arial Narrow" w:hAnsi="Arial Narrow"/>
                <w:color w:val="000000"/>
                <w:sz w:val="24"/>
                <w:szCs w:val="24"/>
              </w:rPr>
              <w:t>Manhood Peninsula</w:t>
            </w:r>
          </w:p>
        </w:tc>
        <w:tc>
          <w:tcPr>
            <w:tcW w:w="568" w:type="pct"/>
            <w:vAlign w:val="center"/>
            <w:hideMark/>
          </w:tcPr>
          <w:p w:rsidR="00666AB4" w:rsidRPr="001812A7" w:rsidRDefault="00666AB4" w:rsidP="00A06746">
            <w:pPr>
              <w:keepNext/>
              <w:tabs>
                <w:tab w:val="left" w:pos="284"/>
              </w:tabs>
              <w:ind w:left="284" w:hanging="284"/>
              <w:jc w:val="center"/>
              <w:rPr>
                <w:rFonts w:ascii="Arial Narrow" w:hAnsi="Arial Narrow"/>
                <w:color w:val="000000"/>
                <w:sz w:val="24"/>
                <w:szCs w:val="24"/>
              </w:rPr>
            </w:pPr>
            <w:r w:rsidRPr="001812A7">
              <w:rPr>
                <w:rFonts w:ascii="Arial Narrow" w:hAnsi="Arial Narrow"/>
                <w:color w:val="000000"/>
                <w:sz w:val="24"/>
                <w:szCs w:val="24"/>
              </w:rPr>
              <w:t>5</w:t>
            </w:r>
          </w:p>
        </w:tc>
        <w:tc>
          <w:tcPr>
            <w:tcW w:w="712" w:type="pct"/>
            <w:vAlign w:val="center"/>
            <w:hideMark/>
          </w:tcPr>
          <w:p w:rsidR="00666AB4" w:rsidRPr="001812A7" w:rsidRDefault="00666AB4" w:rsidP="00A06746">
            <w:pPr>
              <w:keepNext/>
              <w:tabs>
                <w:tab w:val="left" w:pos="284"/>
              </w:tabs>
              <w:ind w:left="284" w:hanging="284"/>
              <w:jc w:val="center"/>
              <w:rPr>
                <w:rFonts w:ascii="Arial Narrow" w:hAnsi="Arial Narrow"/>
                <w:color w:val="000000"/>
                <w:sz w:val="24"/>
                <w:szCs w:val="24"/>
              </w:rPr>
            </w:pPr>
            <w:r w:rsidRPr="001812A7">
              <w:rPr>
                <w:rFonts w:ascii="Arial Narrow" w:hAnsi="Arial Narrow"/>
                <w:color w:val="000000"/>
                <w:sz w:val="24"/>
                <w:szCs w:val="24"/>
              </w:rPr>
              <w:t>57</w:t>
            </w:r>
          </w:p>
        </w:tc>
        <w:tc>
          <w:tcPr>
            <w:tcW w:w="903" w:type="pct"/>
            <w:vAlign w:val="center"/>
            <w:hideMark/>
          </w:tcPr>
          <w:p w:rsidR="00666AB4" w:rsidRPr="001812A7" w:rsidRDefault="00666AB4" w:rsidP="00A06746">
            <w:pPr>
              <w:keepNext/>
              <w:tabs>
                <w:tab w:val="left" w:pos="284"/>
              </w:tabs>
              <w:ind w:left="284" w:hanging="284"/>
              <w:jc w:val="center"/>
              <w:rPr>
                <w:rFonts w:ascii="Arial Narrow" w:hAnsi="Arial Narrow"/>
                <w:color w:val="000000"/>
                <w:sz w:val="24"/>
                <w:szCs w:val="24"/>
              </w:rPr>
            </w:pPr>
            <w:r w:rsidRPr="001812A7">
              <w:rPr>
                <w:rFonts w:ascii="Arial Narrow" w:hAnsi="Arial Narrow"/>
                <w:color w:val="000000"/>
                <w:sz w:val="24"/>
                <w:szCs w:val="24"/>
              </w:rPr>
              <w:t>14</w:t>
            </w:r>
          </w:p>
        </w:tc>
        <w:tc>
          <w:tcPr>
            <w:tcW w:w="602" w:type="pct"/>
            <w:vAlign w:val="center"/>
            <w:hideMark/>
          </w:tcPr>
          <w:p w:rsidR="00666AB4" w:rsidRPr="001812A7" w:rsidRDefault="00666AB4" w:rsidP="00A06746">
            <w:pPr>
              <w:keepNext/>
              <w:tabs>
                <w:tab w:val="left" w:pos="284"/>
              </w:tabs>
              <w:ind w:left="284" w:hanging="284"/>
              <w:jc w:val="center"/>
              <w:rPr>
                <w:rFonts w:ascii="Arial Narrow" w:hAnsi="Arial Narrow"/>
                <w:color w:val="000000"/>
                <w:sz w:val="24"/>
                <w:szCs w:val="24"/>
              </w:rPr>
            </w:pPr>
            <w:r w:rsidRPr="001812A7">
              <w:rPr>
                <w:rFonts w:ascii="Arial Narrow" w:hAnsi="Arial Narrow"/>
                <w:color w:val="000000"/>
                <w:sz w:val="24"/>
                <w:szCs w:val="24"/>
              </w:rPr>
              <w:t>75</w:t>
            </w:r>
          </w:p>
        </w:tc>
        <w:tc>
          <w:tcPr>
            <w:tcW w:w="676" w:type="pct"/>
            <w:vAlign w:val="center"/>
            <w:hideMark/>
          </w:tcPr>
          <w:p w:rsidR="00666AB4" w:rsidRPr="001812A7" w:rsidRDefault="00666AB4" w:rsidP="00A06746">
            <w:pPr>
              <w:keepNext/>
              <w:tabs>
                <w:tab w:val="left" w:pos="284"/>
              </w:tabs>
              <w:ind w:left="284" w:hanging="284"/>
              <w:jc w:val="center"/>
              <w:rPr>
                <w:rFonts w:ascii="Arial Narrow" w:hAnsi="Arial Narrow"/>
                <w:color w:val="000000"/>
                <w:sz w:val="24"/>
                <w:szCs w:val="24"/>
              </w:rPr>
            </w:pPr>
            <w:r w:rsidRPr="001812A7">
              <w:rPr>
                <w:rFonts w:ascii="Arial Narrow" w:hAnsi="Arial Narrow"/>
                <w:color w:val="000000"/>
                <w:sz w:val="24"/>
                <w:szCs w:val="24"/>
              </w:rPr>
              <w:t>63</w:t>
            </w:r>
          </w:p>
        </w:tc>
        <w:tc>
          <w:tcPr>
            <w:tcW w:w="465" w:type="pct"/>
            <w:vAlign w:val="center"/>
            <w:hideMark/>
          </w:tcPr>
          <w:p w:rsidR="00666AB4" w:rsidRPr="001812A7" w:rsidRDefault="00666AB4" w:rsidP="00A06746">
            <w:pPr>
              <w:keepNext/>
              <w:tabs>
                <w:tab w:val="left" w:pos="284"/>
              </w:tabs>
              <w:ind w:left="284" w:hanging="284"/>
              <w:jc w:val="center"/>
              <w:rPr>
                <w:rFonts w:ascii="Arial Narrow" w:hAnsi="Arial Narrow"/>
                <w:color w:val="000000"/>
                <w:sz w:val="24"/>
                <w:szCs w:val="24"/>
              </w:rPr>
            </w:pPr>
            <w:r w:rsidRPr="001812A7">
              <w:rPr>
                <w:rFonts w:ascii="Arial Narrow" w:hAnsi="Arial Narrow"/>
                <w:color w:val="000000"/>
                <w:sz w:val="24"/>
                <w:szCs w:val="24"/>
              </w:rPr>
              <w:t>13</w:t>
            </w:r>
          </w:p>
        </w:tc>
      </w:tr>
      <w:tr w:rsidR="00363436" w:rsidRPr="001812A7" w:rsidTr="00A06746">
        <w:tc>
          <w:tcPr>
            <w:tcW w:w="1073" w:type="pct"/>
            <w:vAlign w:val="center"/>
            <w:hideMark/>
          </w:tcPr>
          <w:p w:rsidR="00666AB4" w:rsidRPr="001812A7" w:rsidRDefault="00666AB4" w:rsidP="00A06746">
            <w:pPr>
              <w:keepNext/>
              <w:rPr>
                <w:rFonts w:ascii="Arial Narrow" w:hAnsi="Arial Narrow"/>
                <w:color w:val="000000"/>
                <w:sz w:val="24"/>
                <w:szCs w:val="24"/>
              </w:rPr>
            </w:pPr>
            <w:r w:rsidRPr="001812A7">
              <w:rPr>
                <w:rFonts w:ascii="Arial Narrow" w:hAnsi="Arial Narrow"/>
                <w:color w:val="000000"/>
                <w:sz w:val="24"/>
                <w:szCs w:val="24"/>
              </w:rPr>
              <w:t>Plan Area North</w:t>
            </w:r>
          </w:p>
        </w:tc>
        <w:tc>
          <w:tcPr>
            <w:tcW w:w="568" w:type="pct"/>
            <w:vAlign w:val="center"/>
            <w:hideMark/>
          </w:tcPr>
          <w:p w:rsidR="00666AB4" w:rsidRPr="001812A7" w:rsidRDefault="00666AB4" w:rsidP="00A06746">
            <w:pPr>
              <w:keepNext/>
              <w:tabs>
                <w:tab w:val="left" w:pos="284"/>
              </w:tabs>
              <w:ind w:left="284" w:hanging="284"/>
              <w:jc w:val="center"/>
              <w:rPr>
                <w:rFonts w:ascii="Arial Narrow" w:hAnsi="Arial Narrow"/>
                <w:color w:val="000000"/>
                <w:sz w:val="24"/>
                <w:szCs w:val="24"/>
              </w:rPr>
            </w:pPr>
            <w:r w:rsidRPr="001812A7">
              <w:rPr>
                <w:rFonts w:ascii="Arial Narrow" w:hAnsi="Arial Narrow"/>
                <w:color w:val="000000"/>
                <w:sz w:val="24"/>
                <w:szCs w:val="24"/>
              </w:rPr>
              <w:t>1</w:t>
            </w:r>
          </w:p>
        </w:tc>
        <w:tc>
          <w:tcPr>
            <w:tcW w:w="712" w:type="pct"/>
            <w:vAlign w:val="center"/>
            <w:hideMark/>
          </w:tcPr>
          <w:p w:rsidR="00666AB4" w:rsidRPr="001812A7" w:rsidRDefault="00666AB4" w:rsidP="00A06746">
            <w:pPr>
              <w:keepNext/>
              <w:tabs>
                <w:tab w:val="left" w:pos="284"/>
              </w:tabs>
              <w:ind w:left="284" w:hanging="284"/>
              <w:jc w:val="center"/>
              <w:rPr>
                <w:rFonts w:ascii="Arial Narrow" w:hAnsi="Arial Narrow"/>
                <w:color w:val="000000"/>
                <w:sz w:val="24"/>
                <w:szCs w:val="24"/>
              </w:rPr>
            </w:pPr>
            <w:r w:rsidRPr="001812A7">
              <w:rPr>
                <w:rFonts w:ascii="Arial Narrow" w:hAnsi="Arial Narrow"/>
                <w:color w:val="000000"/>
                <w:sz w:val="24"/>
                <w:szCs w:val="24"/>
              </w:rPr>
              <w:t>21</w:t>
            </w:r>
          </w:p>
        </w:tc>
        <w:tc>
          <w:tcPr>
            <w:tcW w:w="903" w:type="pct"/>
            <w:vAlign w:val="center"/>
            <w:hideMark/>
          </w:tcPr>
          <w:p w:rsidR="00666AB4" w:rsidRPr="001812A7" w:rsidRDefault="00666AB4" w:rsidP="00A06746">
            <w:pPr>
              <w:keepNext/>
              <w:tabs>
                <w:tab w:val="left" w:pos="284"/>
              </w:tabs>
              <w:ind w:left="284" w:hanging="284"/>
              <w:jc w:val="center"/>
              <w:rPr>
                <w:rFonts w:ascii="Arial Narrow" w:hAnsi="Arial Narrow"/>
                <w:color w:val="000000"/>
                <w:sz w:val="24"/>
                <w:szCs w:val="24"/>
              </w:rPr>
            </w:pPr>
            <w:r w:rsidRPr="001812A7">
              <w:rPr>
                <w:rFonts w:ascii="Arial Narrow" w:hAnsi="Arial Narrow"/>
                <w:color w:val="000000"/>
                <w:sz w:val="24"/>
                <w:szCs w:val="24"/>
              </w:rPr>
              <w:t>3</w:t>
            </w:r>
          </w:p>
        </w:tc>
        <w:tc>
          <w:tcPr>
            <w:tcW w:w="602" w:type="pct"/>
            <w:vAlign w:val="center"/>
            <w:hideMark/>
          </w:tcPr>
          <w:p w:rsidR="00666AB4" w:rsidRPr="001812A7" w:rsidRDefault="00666AB4" w:rsidP="00A06746">
            <w:pPr>
              <w:keepNext/>
              <w:tabs>
                <w:tab w:val="left" w:pos="284"/>
              </w:tabs>
              <w:ind w:left="284" w:hanging="284"/>
              <w:jc w:val="center"/>
              <w:rPr>
                <w:rFonts w:ascii="Arial Narrow" w:hAnsi="Arial Narrow"/>
                <w:color w:val="000000"/>
                <w:sz w:val="24"/>
                <w:szCs w:val="24"/>
              </w:rPr>
            </w:pPr>
            <w:r w:rsidRPr="001812A7">
              <w:rPr>
                <w:rFonts w:ascii="Arial Narrow" w:hAnsi="Arial Narrow"/>
                <w:color w:val="000000"/>
                <w:sz w:val="24"/>
                <w:szCs w:val="24"/>
              </w:rPr>
              <w:t>24</w:t>
            </w:r>
          </w:p>
        </w:tc>
        <w:tc>
          <w:tcPr>
            <w:tcW w:w="676" w:type="pct"/>
            <w:vAlign w:val="center"/>
            <w:hideMark/>
          </w:tcPr>
          <w:p w:rsidR="00666AB4" w:rsidRPr="001812A7" w:rsidRDefault="00666AB4" w:rsidP="00A06746">
            <w:pPr>
              <w:keepNext/>
              <w:tabs>
                <w:tab w:val="left" w:pos="284"/>
              </w:tabs>
              <w:ind w:left="284" w:hanging="284"/>
              <w:jc w:val="center"/>
              <w:rPr>
                <w:rFonts w:ascii="Arial Narrow" w:hAnsi="Arial Narrow"/>
                <w:color w:val="000000"/>
                <w:sz w:val="24"/>
                <w:szCs w:val="24"/>
              </w:rPr>
            </w:pPr>
            <w:r w:rsidRPr="001812A7">
              <w:rPr>
                <w:rFonts w:ascii="Arial Narrow" w:hAnsi="Arial Narrow"/>
                <w:color w:val="000000"/>
                <w:sz w:val="24"/>
                <w:szCs w:val="24"/>
              </w:rPr>
              <w:t>18</w:t>
            </w:r>
          </w:p>
        </w:tc>
        <w:tc>
          <w:tcPr>
            <w:tcW w:w="465" w:type="pct"/>
            <w:vAlign w:val="center"/>
            <w:hideMark/>
          </w:tcPr>
          <w:p w:rsidR="00666AB4" w:rsidRPr="001812A7" w:rsidRDefault="00666AB4" w:rsidP="00A06746">
            <w:pPr>
              <w:keepNext/>
              <w:tabs>
                <w:tab w:val="left" w:pos="284"/>
              </w:tabs>
              <w:ind w:left="284" w:hanging="284"/>
              <w:jc w:val="center"/>
              <w:rPr>
                <w:rFonts w:ascii="Arial Narrow" w:hAnsi="Arial Narrow"/>
                <w:color w:val="000000"/>
                <w:sz w:val="24"/>
                <w:szCs w:val="24"/>
              </w:rPr>
            </w:pPr>
            <w:r w:rsidRPr="001812A7">
              <w:rPr>
                <w:rFonts w:ascii="Arial Narrow" w:hAnsi="Arial Narrow"/>
                <w:color w:val="000000"/>
                <w:sz w:val="24"/>
                <w:szCs w:val="24"/>
              </w:rPr>
              <w:t>6</w:t>
            </w:r>
          </w:p>
        </w:tc>
      </w:tr>
      <w:tr w:rsidR="00363436" w:rsidRPr="001812A7" w:rsidTr="00A06746">
        <w:tc>
          <w:tcPr>
            <w:tcW w:w="1073" w:type="pct"/>
            <w:vAlign w:val="center"/>
            <w:hideMark/>
          </w:tcPr>
          <w:p w:rsidR="00666AB4" w:rsidRPr="001812A7" w:rsidRDefault="00666AB4" w:rsidP="00A06746">
            <w:pPr>
              <w:keepNext/>
              <w:rPr>
                <w:rFonts w:ascii="Arial Narrow" w:hAnsi="Arial Narrow"/>
                <w:color w:val="000000"/>
                <w:sz w:val="24"/>
                <w:szCs w:val="24"/>
              </w:rPr>
            </w:pPr>
            <w:r w:rsidRPr="001812A7">
              <w:rPr>
                <w:rFonts w:ascii="Arial Narrow" w:hAnsi="Arial Narrow"/>
                <w:color w:val="000000"/>
                <w:sz w:val="24"/>
                <w:szCs w:val="24"/>
              </w:rPr>
              <w:t>SDNP</w:t>
            </w:r>
          </w:p>
        </w:tc>
        <w:tc>
          <w:tcPr>
            <w:tcW w:w="568" w:type="pct"/>
            <w:vAlign w:val="center"/>
            <w:hideMark/>
          </w:tcPr>
          <w:p w:rsidR="00666AB4" w:rsidRPr="001812A7" w:rsidRDefault="00666AB4" w:rsidP="00A06746">
            <w:pPr>
              <w:keepNext/>
              <w:tabs>
                <w:tab w:val="left" w:pos="284"/>
              </w:tabs>
              <w:ind w:left="284" w:hanging="284"/>
              <w:jc w:val="center"/>
              <w:rPr>
                <w:rFonts w:ascii="Arial Narrow" w:hAnsi="Arial Narrow"/>
                <w:color w:val="000000"/>
                <w:sz w:val="24"/>
                <w:szCs w:val="24"/>
              </w:rPr>
            </w:pPr>
            <w:r w:rsidRPr="001812A7">
              <w:rPr>
                <w:rFonts w:ascii="Arial Narrow" w:hAnsi="Arial Narrow"/>
                <w:color w:val="000000"/>
                <w:sz w:val="24"/>
                <w:szCs w:val="24"/>
              </w:rPr>
              <w:t>7</w:t>
            </w:r>
          </w:p>
        </w:tc>
        <w:tc>
          <w:tcPr>
            <w:tcW w:w="712" w:type="pct"/>
            <w:vAlign w:val="center"/>
            <w:hideMark/>
          </w:tcPr>
          <w:p w:rsidR="00666AB4" w:rsidRPr="001812A7" w:rsidRDefault="00666AB4" w:rsidP="00A06746">
            <w:pPr>
              <w:keepNext/>
              <w:tabs>
                <w:tab w:val="left" w:pos="284"/>
              </w:tabs>
              <w:ind w:left="284" w:hanging="284"/>
              <w:jc w:val="center"/>
              <w:rPr>
                <w:rFonts w:ascii="Arial Narrow" w:hAnsi="Arial Narrow"/>
                <w:color w:val="000000"/>
                <w:sz w:val="24"/>
                <w:szCs w:val="24"/>
              </w:rPr>
            </w:pPr>
            <w:r w:rsidRPr="001812A7">
              <w:rPr>
                <w:rFonts w:ascii="Arial Narrow" w:hAnsi="Arial Narrow"/>
                <w:color w:val="000000"/>
                <w:sz w:val="24"/>
                <w:szCs w:val="24"/>
              </w:rPr>
              <w:t>55</w:t>
            </w:r>
          </w:p>
        </w:tc>
        <w:tc>
          <w:tcPr>
            <w:tcW w:w="903" w:type="pct"/>
            <w:vAlign w:val="center"/>
            <w:hideMark/>
          </w:tcPr>
          <w:p w:rsidR="00666AB4" w:rsidRPr="001812A7" w:rsidRDefault="00666AB4" w:rsidP="00A06746">
            <w:pPr>
              <w:keepNext/>
              <w:tabs>
                <w:tab w:val="left" w:pos="284"/>
              </w:tabs>
              <w:ind w:left="284" w:hanging="284"/>
              <w:jc w:val="center"/>
              <w:rPr>
                <w:rFonts w:ascii="Arial Narrow" w:hAnsi="Arial Narrow"/>
                <w:color w:val="000000"/>
                <w:sz w:val="24"/>
                <w:szCs w:val="24"/>
              </w:rPr>
            </w:pPr>
            <w:r w:rsidRPr="001812A7">
              <w:rPr>
                <w:rFonts w:ascii="Arial Narrow" w:hAnsi="Arial Narrow"/>
                <w:color w:val="000000"/>
                <w:sz w:val="24"/>
                <w:szCs w:val="24"/>
              </w:rPr>
              <w:t>21</w:t>
            </w:r>
          </w:p>
        </w:tc>
        <w:tc>
          <w:tcPr>
            <w:tcW w:w="602" w:type="pct"/>
            <w:vAlign w:val="center"/>
            <w:hideMark/>
          </w:tcPr>
          <w:p w:rsidR="00666AB4" w:rsidRPr="001812A7" w:rsidRDefault="00666AB4" w:rsidP="00A06746">
            <w:pPr>
              <w:keepNext/>
              <w:tabs>
                <w:tab w:val="left" w:pos="284"/>
              </w:tabs>
              <w:ind w:left="284" w:hanging="284"/>
              <w:jc w:val="center"/>
              <w:rPr>
                <w:rFonts w:ascii="Arial Narrow" w:hAnsi="Arial Narrow"/>
                <w:color w:val="000000"/>
                <w:sz w:val="24"/>
                <w:szCs w:val="24"/>
              </w:rPr>
            </w:pPr>
            <w:r w:rsidRPr="001812A7">
              <w:rPr>
                <w:rFonts w:ascii="Arial Narrow" w:hAnsi="Arial Narrow"/>
                <w:color w:val="000000"/>
                <w:sz w:val="24"/>
                <w:szCs w:val="24"/>
              </w:rPr>
              <w:t>82</w:t>
            </w:r>
          </w:p>
        </w:tc>
        <w:tc>
          <w:tcPr>
            <w:tcW w:w="676" w:type="pct"/>
            <w:vAlign w:val="center"/>
            <w:hideMark/>
          </w:tcPr>
          <w:p w:rsidR="00666AB4" w:rsidRPr="001812A7" w:rsidRDefault="00666AB4" w:rsidP="00A06746">
            <w:pPr>
              <w:keepNext/>
              <w:tabs>
                <w:tab w:val="left" w:pos="284"/>
              </w:tabs>
              <w:ind w:left="284" w:hanging="284"/>
              <w:jc w:val="center"/>
              <w:rPr>
                <w:rFonts w:ascii="Arial Narrow" w:hAnsi="Arial Narrow"/>
                <w:color w:val="000000"/>
                <w:sz w:val="24"/>
                <w:szCs w:val="24"/>
              </w:rPr>
            </w:pPr>
            <w:r w:rsidRPr="001812A7">
              <w:rPr>
                <w:rFonts w:ascii="Arial Narrow" w:hAnsi="Arial Narrow"/>
                <w:color w:val="000000"/>
                <w:sz w:val="24"/>
                <w:szCs w:val="24"/>
              </w:rPr>
              <w:t>51</w:t>
            </w:r>
          </w:p>
        </w:tc>
        <w:tc>
          <w:tcPr>
            <w:tcW w:w="465" w:type="pct"/>
            <w:vAlign w:val="center"/>
            <w:hideMark/>
          </w:tcPr>
          <w:p w:rsidR="00666AB4" w:rsidRPr="001812A7" w:rsidRDefault="00666AB4" w:rsidP="00A06746">
            <w:pPr>
              <w:keepNext/>
              <w:tabs>
                <w:tab w:val="left" w:pos="284"/>
              </w:tabs>
              <w:ind w:left="284" w:hanging="284"/>
              <w:jc w:val="center"/>
              <w:rPr>
                <w:rFonts w:ascii="Arial Narrow" w:hAnsi="Arial Narrow"/>
                <w:color w:val="000000"/>
                <w:sz w:val="24"/>
                <w:szCs w:val="24"/>
              </w:rPr>
            </w:pPr>
            <w:r w:rsidRPr="001812A7">
              <w:rPr>
                <w:rFonts w:ascii="Arial Narrow" w:hAnsi="Arial Narrow"/>
                <w:color w:val="000000"/>
                <w:sz w:val="24"/>
                <w:szCs w:val="24"/>
              </w:rPr>
              <w:t>31</w:t>
            </w:r>
          </w:p>
        </w:tc>
      </w:tr>
      <w:tr w:rsidR="00363436" w:rsidRPr="001812A7" w:rsidTr="00A06746">
        <w:tc>
          <w:tcPr>
            <w:tcW w:w="1073" w:type="pct"/>
            <w:vAlign w:val="center"/>
            <w:hideMark/>
          </w:tcPr>
          <w:p w:rsidR="00666AB4" w:rsidRPr="001812A7" w:rsidRDefault="00666AB4" w:rsidP="00A06746">
            <w:pPr>
              <w:keepNext/>
              <w:rPr>
                <w:rFonts w:ascii="Arial Narrow" w:eastAsia="Times New Roman" w:hAnsi="Arial Narrow"/>
                <w:b/>
                <w:sz w:val="24"/>
                <w:szCs w:val="24"/>
                <w:lang w:eastAsia="en-GB"/>
              </w:rPr>
            </w:pPr>
            <w:r w:rsidRPr="001812A7">
              <w:rPr>
                <w:rFonts w:ascii="Arial Narrow" w:hAnsi="Arial Narrow"/>
                <w:b/>
                <w:sz w:val="24"/>
                <w:szCs w:val="24"/>
              </w:rPr>
              <w:t>Chichester District</w:t>
            </w:r>
          </w:p>
        </w:tc>
        <w:tc>
          <w:tcPr>
            <w:tcW w:w="568" w:type="pct"/>
            <w:vAlign w:val="center"/>
            <w:hideMark/>
          </w:tcPr>
          <w:p w:rsidR="00666AB4" w:rsidRPr="001812A7" w:rsidRDefault="00666AB4" w:rsidP="00A06746">
            <w:pPr>
              <w:keepNext/>
              <w:tabs>
                <w:tab w:val="left" w:pos="284"/>
              </w:tabs>
              <w:ind w:left="284" w:hanging="284"/>
              <w:jc w:val="center"/>
              <w:rPr>
                <w:rFonts w:ascii="Arial Narrow" w:hAnsi="Arial Narrow"/>
                <w:b/>
                <w:color w:val="000000"/>
                <w:sz w:val="24"/>
                <w:szCs w:val="24"/>
              </w:rPr>
            </w:pPr>
            <w:r w:rsidRPr="001812A7">
              <w:rPr>
                <w:rFonts w:ascii="Arial Narrow" w:hAnsi="Arial Narrow"/>
                <w:b/>
                <w:color w:val="000000"/>
                <w:sz w:val="24"/>
                <w:szCs w:val="24"/>
              </w:rPr>
              <w:t>25</w:t>
            </w:r>
          </w:p>
        </w:tc>
        <w:tc>
          <w:tcPr>
            <w:tcW w:w="712" w:type="pct"/>
            <w:vAlign w:val="center"/>
            <w:hideMark/>
          </w:tcPr>
          <w:p w:rsidR="00666AB4" w:rsidRPr="001812A7" w:rsidRDefault="00666AB4" w:rsidP="00A06746">
            <w:pPr>
              <w:keepNext/>
              <w:tabs>
                <w:tab w:val="left" w:pos="284"/>
              </w:tabs>
              <w:ind w:left="284" w:hanging="284"/>
              <w:jc w:val="center"/>
              <w:rPr>
                <w:rFonts w:ascii="Arial Narrow" w:hAnsi="Arial Narrow"/>
                <w:b/>
                <w:color w:val="000000"/>
                <w:sz w:val="24"/>
                <w:szCs w:val="24"/>
              </w:rPr>
            </w:pPr>
            <w:r w:rsidRPr="001812A7">
              <w:rPr>
                <w:rFonts w:ascii="Arial Narrow" w:hAnsi="Arial Narrow"/>
                <w:b/>
                <w:color w:val="000000"/>
                <w:sz w:val="24"/>
                <w:szCs w:val="24"/>
              </w:rPr>
              <w:t>280</w:t>
            </w:r>
          </w:p>
        </w:tc>
        <w:tc>
          <w:tcPr>
            <w:tcW w:w="903" w:type="pct"/>
            <w:vAlign w:val="center"/>
            <w:hideMark/>
          </w:tcPr>
          <w:p w:rsidR="00666AB4" w:rsidRPr="001812A7" w:rsidRDefault="00666AB4" w:rsidP="00A06746">
            <w:pPr>
              <w:keepNext/>
              <w:tabs>
                <w:tab w:val="left" w:pos="284"/>
              </w:tabs>
              <w:ind w:left="284" w:hanging="284"/>
              <w:jc w:val="center"/>
              <w:rPr>
                <w:rFonts w:ascii="Arial Narrow" w:hAnsi="Arial Narrow"/>
                <w:b/>
                <w:color w:val="000000"/>
                <w:sz w:val="24"/>
                <w:szCs w:val="24"/>
              </w:rPr>
            </w:pPr>
            <w:r w:rsidRPr="001812A7">
              <w:rPr>
                <w:rFonts w:ascii="Arial Narrow" w:hAnsi="Arial Narrow"/>
                <w:b/>
                <w:color w:val="000000"/>
                <w:sz w:val="24"/>
                <w:szCs w:val="24"/>
              </w:rPr>
              <w:t>75</w:t>
            </w:r>
          </w:p>
        </w:tc>
        <w:tc>
          <w:tcPr>
            <w:tcW w:w="602" w:type="pct"/>
            <w:vAlign w:val="center"/>
            <w:hideMark/>
          </w:tcPr>
          <w:p w:rsidR="00666AB4" w:rsidRPr="001812A7" w:rsidRDefault="00666AB4" w:rsidP="00A06746">
            <w:pPr>
              <w:keepNext/>
              <w:tabs>
                <w:tab w:val="left" w:pos="284"/>
              </w:tabs>
              <w:ind w:left="284" w:hanging="284"/>
              <w:jc w:val="center"/>
              <w:rPr>
                <w:rFonts w:ascii="Arial Narrow" w:hAnsi="Arial Narrow"/>
                <w:b/>
                <w:color w:val="000000"/>
                <w:sz w:val="24"/>
                <w:szCs w:val="24"/>
              </w:rPr>
            </w:pPr>
            <w:r w:rsidRPr="001812A7">
              <w:rPr>
                <w:rFonts w:ascii="Arial Narrow" w:hAnsi="Arial Narrow"/>
                <w:b/>
                <w:color w:val="000000"/>
                <w:sz w:val="24"/>
                <w:szCs w:val="24"/>
              </w:rPr>
              <w:t>379</w:t>
            </w:r>
          </w:p>
        </w:tc>
        <w:tc>
          <w:tcPr>
            <w:tcW w:w="676" w:type="pct"/>
            <w:vAlign w:val="center"/>
            <w:hideMark/>
          </w:tcPr>
          <w:p w:rsidR="00666AB4" w:rsidRPr="001812A7" w:rsidRDefault="00666AB4" w:rsidP="00A06746">
            <w:pPr>
              <w:keepNext/>
              <w:tabs>
                <w:tab w:val="left" w:pos="284"/>
              </w:tabs>
              <w:ind w:left="284" w:hanging="284"/>
              <w:jc w:val="center"/>
              <w:rPr>
                <w:rFonts w:ascii="Arial Narrow" w:hAnsi="Arial Narrow"/>
                <w:b/>
                <w:color w:val="000000"/>
                <w:sz w:val="24"/>
                <w:szCs w:val="24"/>
              </w:rPr>
            </w:pPr>
            <w:r w:rsidRPr="001812A7">
              <w:rPr>
                <w:rFonts w:ascii="Arial Narrow" w:hAnsi="Arial Narrow"/>
                <w:b/>
                <w:color w:val="000000"/>
                <w:sz w:val="24"/>
                <w:szCs w:val="24"/>
              </w:rPr>
              <w:t>255</w:t>
            </w:r>
          </w:p>
        </w:tc>
        <w:tc>
          <w:tcPr>
            <w:tcW w:w="465" w:type="pct"/>
            <w:vAlign w:val="center"/>
            <w:hideMark/>
          </w:tcPr>
          <w:p w:rsidR="00666AB4" w:rsidRPr="001812A7" w:rsidRDefault="00666AB4" w:rsidP="00A06746">
            <w:pPr>
              <w:keepNext/>
              <w:tabs>
                <w:tab w:val="left" w:pos="284"/>
              </w:tabs>
              <w:ind w:left="284" w:hanging="284"/>
              <w:jc w:val="center"/>
              <w:rPr>
                <w:rFonts w:ascii="Arial Narrow" w:hAnsi="Arial Narrow"/>
                <w:b/>
                <w:color w:val="000000"/>
                <w:sz w:val="24"/>
                <w:szCs w:val="24"/>
              </w:rPr>
            </w:pPr>
            <w:r w:rsidRPr="001812A7">
              <w:rPr>
                <w:rFonts w:ascii="Arial Narrow" w:hAnsi="Arial Narrow"/>
                <w:b/>
                <w:color w:val="000000"/>
                <w:sz w:val="24"/>
                <w:szCs w:val="24"/>
              </w:rPr>
              <w:t>124</w:t>
            </w:r>
          </w:p>
        </w:tc>
      </w:tr>
    </w:tbl>
    <w:p w:rsidR="00666AB4" w:rsidRPr="008F5270" w:rsidRDefault="00666AB4" w:rsidP="009719FA">
      <w:pPr>
        <w:widowControl w:val="0"/>
        <w:tabs>
          <w:tab w:val="left" w:pos="284"/>
        </w:tabs>
        <w:spacing w:after="120"/>
        <w:ind w:left="284" w:hanging="284"/>
        <w:rPr>
          <w:sz w:val="24"/>
          <w:szCs w:val="24"/>
        </w:rPr>
      </w:pPr>
      <w:r w:rsidRPr="008F5270">
        <w:rPr>
          <w:sz w:val="24"/>
          <w:szCs w:val="24"/>
        </w:rPr>
        <w:t>Source: Housing Register/Census (2011)/CoRe/Projection Modelling and affordability analysis</w:t>
      </w:r>
    </w:p>
    <w:p w:rsidR="00666AB4" w:rsidRPr="004B604F" w:rsidRDefault="00666AB4" w:rsidP="001812A7">
      <w:pPr>
        <w:tabs>
          <w:tab w:val="left" w:pos="284"/>
        </w:tabs>
        <w:ind w:left="284" w:hanging="284"/>
      </w:pPr>
    </w:p>
    <w:p w:rsidR="00666AB4" w:rsidRPr="004B604F" w:rsidRDefault="00666AB4" w:rsidP="009719FA">
      <w:pPr>
        <w:pStyle w:val="Tableheading"/>
        <w:tabs>
          <w:tab w:val="clear" w:pos="794"/>
          <w:tab w:val="clear" w:pos="1843"/>
          <w:tab w:val="left" w:pos="0"/>
        </w:tabs>
        <w:spacing w:line="240" w:lineRule="auto"/>
        <w:ind w:left="0" w:firstLine="0"/>
      </w:pPr>
      <w:r w:rsidRPr="004B604F">
        <w:t>Older Person’s Dwelling and Care Bedspace Requirements 2019 - 2037</w:t>
      </w:r>
    </w:p>
    <w:tbl>
      <w:tblPr>
        <w:tblStyle w:val="ListTable3-Accent21"/>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75: Older Person’s Dwelling and Care Bedspace Requirements 2019 - 2037"/>
      </w:tblPr>
      <w:tblGrid>
        <w:gridCol w:w="1336"/>
        <w:gridCol w:w="1164"/>
        <w:gridCol w:w="1471"/>
        <w:gridCol w:w="993"/>
        <w:gridCol w:w="1014"/>
        <w:gridCol w:w="1158"/>
        <w:gridCol w:w="1301"/>
        <w:gridCol w:w="1201"/>
      </w:tblGrid>
      <w:tr w:rsidR="00666AB4" w:rsidRPr="001812A7" w:rsidTr="00A067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93" w:type="pct"/>
            <w:tcBorders>
              <w:top w:val="single" w:sz="4" w:space="0" w:color="auto"/>
              <w:left w:val="single" w:sz="4" w:space="0" w:color="auto"/>
              <w:bottom w:val="single" w:sz="4" w:space="0" w:color="auto"/>
              <w:right w:val="single" w:sz="4" w:space="0" w:color="auto"/>
            </w:tcBorders>
            <w:vAlign w:val="center"/>
          </w:tcPr>
          <w:p w:rsidR="00666AB4" w:rsidRPr="001812A7" w:rsidRDefault="00666AB4" w:rsidP="00A06746">
            <w:pPr>
              <w:keepNext/>
              <w:tabs>
                <w:tab w:val="left" w:pos="284"/>
              </w:tabs>
              <w:ind w:left="284" w:hanging="284"/>
              <w:jc w:val="center"/>
              <w:rPr>
                <w:rFonts w:ascii="Arial Narrow" w:hAnsi="Arial Narrow"/>
                <w:b w:val="0"/>
                <w:bCs w:val="0"/>
                <w:sz w:val="24"/>
                <w:szCs w:val="24"/>
              </w:rPr>
            </w:pPr>
          </w:p>
        </w:tc>
        <w:tc>
          <w:tcPr>
            <w:tcW w:w="604" w:type="pct"/>
            <w:tcBorders>
              <w:top w:val="single" w:sz="4" w:space="0" w:color="auto"/>
              <w:left w:val="single" w:sz="4" w:space="0" w:color="auto"/>
              <w:bottom w:val="single" w:sz="4" w:space="0" w:color="auto"/>
              <w:right w:val="single" w:sz="4" w:space="0" w:color="auto"/>
            </w:tcBorders>
            <w:vAlign w:val="center"/>
          </w:tcPr>
          <w:p w:rsidR="00666AB4" w:rsidRPr="001812A7" w:rsidRDefault="00666AB4" w:rsidP="00A06746">
            <w:pPr>
              <w:pStyle w:val="11Bodytext"/>
              <w:numPr>
                <w:ilvl w:val="0"/>
                <w:numId w:val="0"/>
              </w:numPr>
              <w:spacing w:before="0" w:after="0" w:line="240" w:lineRule="auto"/>
              <w:ind w:left="284"/>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p>
        </w:tc>
        <w:tc>
          <w:tcPr>
            <w:tcW w:w="763" w:type="pct"/>
            <w:tcBorders>
              <w:top w:val="single" w:sz="4" w:space="0" w:color="auto"/>
              <w:left w:val="single" w:sz="4" w:space="0" w:color="auto"/>
              <w:bottom w:val="single" w:sz="4" w:space="0" w:color="auto"/>
              <w:right w:val="single" w:sz="4" w:space="0" w:color="auto"/>
            </w:tcBorders>
            <w:hideMark/>
          </w:tcPr>
          <w:p w:rsidR="00666AB4" w:rsidRPr="001812A7" w:rsidRDefault="00666AB4" w:rsidP="00A06746">
            <w:pPr>
              <w:pStyle w:val="11Bodytext"/>
              <w:numPr>
                <w:ilvl w:val="0"/>
                <w:numId w:val="0"/>
              </w:num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1812A7">
              <w:rPr>
                <w:rFonts w:ascii="Arial Narrow" w:hAnsi="Arial Narrow"/>
              </w:rPr>
              <w:t>Housing demand per 1,000 75+</w:t>
            </w:r>
          </w:p>
        </w:tc>
        <w:tc>
          <w:tcPr>
            <w:tcW w:w="515" w:type="pct"/>
            <w:tcBorders>
              <w:top w:val="single" w:sz="4" w:space="0" w:color="auto"/>
              <w:left w:val="single" w:sz="4" w:space="0" w:color="auto"/>
              <w:bottom w:val="single" w:sz="4" w:space="0" w:color="auto"/>
              <w:right w:val="single" w:sz="4" w:space="0" w:color="auto"/>
            </w:tcBorders>
            <w:hideMark/>
          </w:tcPr>
          <w:p w:rsidR="00666AB4" w:rsidRPr="001812A7" w:rsidRDefault="00666AB4" w:rsidP="00A06746">
            <w:pPr>
              <w:pStyle w:val="11Bodytext"/>
              <w:numPr>
                <w:ilvl w:val="0"/>
                <w:numId w:val="0"/>
              </w:num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1812A7">
              <w:rPr>
                <w:rFonts w:ascii="Arial Narrow" w:hAnsi="Arial Narrow"/>
              </w:rPr>
              <w:t>Current supply</w:t>
            </w:r>
          </w:p>
        </w:tc>
        <w:tc>
          <w:tcPr>
            <w:tcW w:w="526" w:type="pct"/>
            <w:tcBorders>
              <w:top w:val="single" w:sz="4" w:space="0" w:color="auto"/>
              <w:left w:val="single" w:sz="4" w:space="0" w:color="auto"/>
              <w:bottom w:val="single" w:sz="4" w:space="0" w:color="auto"/>
              <w:right w:val="single" w:sz="4" w:space="0" w:color="auto"/>
            </w:tcBorders>
            <w:hideMark/>
          </w:tcPr>
          <w:p w:rsidR="00666AB4" w:rsidRPr="001812A7" w:rsidRDefault="00666AB4" w:rsidP="00A06746">
            <w:pPr>
              <w:pStyle w:val="11Bodytext"/>
              <w:numPr>
                <w:ilvl w:val="0"/>
                <w:numId w:val="0"/>
              </w:num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1812A7">
              <w:rPr>
                <w:rFonts w:ascii="Arial Narrow" w:hAnsi="Arial Narrow"/>
              </w:rPr>
              <w:t>2019 Demand</w:t>
            </w:r>
          </w:p>
        </w:tc>
        <w:tc>
          <w:tcPr>
            <w:tcW w:w="601" w:type="pct"/>
            <w:tcBorders>
              <w:top w:val="single" w:sz="4" w:space="0" w:color="auto"/>
              <w:left w:val="single" w:sz="4" w:space="0" w:color="auto"/>
              <w:bottom w:val="single" w:sz="4" w:space="0" w:color="auto"/>
              <w:right w:val="single" w:sz="4" w:space="0" w:color="auto"/>
            </w:tcBorders>
            <w:hideMark/>
          </w:tcPr>
          <w:p w:rsidR="00666AB4" w:rsidRPr="001812A7" w:rsidRDefault="00666AB4" w:rsidP="00A06746">
            <w:pPr>
              <w:pStyle w:val="11Bodytext"/>
              <w:numPr>
                <w:ilvl w:val="0"/>
                <w:numId w:val="0"/>
              </w:num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1812A7">
              <w:rPr>
                <w:rFonts w:ascii="Arial Narrow" w:hAnsi="Arial Narrow"/>
              </w:rPr>
              <w:t>Current shortfall/ (surplus)</w:t>
            </w:r>
          </w:p>
        </w:tc>
        <w:tc>
          <w:tcPr>
            <w:tcW w:w="675" w:type="pct"/>
            <w:tcBorders>
              <w:top w:val="single" w:sz="4" w:space="0" w:color="auto"/>
              <w:left w:val="single" w:sz="4" w:space="0" w:color="auto"/>
              <w:bottom w:val="single" w:sz="4" w:space="0" w:color="auto"/>
              <w:right w:val="single" w:sz="4" w:space="0" w:color="auto"/>
            </w:tcBorders>
            <w:hideMark/>
          </w:tcPr>
          <w:p w:rsidR="00666AB4" w:rsidRPr="001812A7" w:rsidRDefault="00666AB4" w:rsidP="00A06746">
            <w:pPr>
              <w:pStyle w:val="11Bodytext"/>
              <w:numPr>
                <w:ilvl w:val="0"/>
                <w:numId w:val="0"/>
              </w:num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1812A7">
              <w:rPr>
                <w:rFonts w:ascii="Arial Narrow" w:hAnsi="Arial Narrow"/>
                <w:spacing w:val="-2"/>
              </w:rPr>
              <w:t>Additional</w:t>
            </w:r>
            <w:r w:rsidRPr="001812A7">
              <w:rPr>
                <w:rFonts w:ascii="Arial Narrow" w:hAnsi="Arial Narrow"/>
              </w:rPr>
              <w:t xml:space="preserve"> demand to 2037</w:t>
            </w:r>
          </w:p>
        </w:tc>
        <w:tc>
          <w:tcPr>
            <w:tcW w:w="624" w:type="pct"/>
            <w:tcBorders>
              <w:top w:val="single" w:sz="4" w:space="0" w:color="auto"/>
              <w:left w:val="single" w:sz="4" w:space="0" w:color="auto"/>
              <w:bottom w:val="single" w:sz="4" w:space="0" w:color="auto"/>
              <w:right w:val="single" w:sz="4" w:space="0" w:color="auto"/>
            </w:tcBorders>
            <w:hideMark/>
          </w:tcPr>
          <w:p w:rsidR="00666AB4" w:rsidRPr="001812A7" w:rsidRDefault="00666AB4" w:rsidP="00A06746">
            <w:pPr>
              <w:pStyle w:val="11Bodytext"/>
              <w:numPr>
                <w:ilvl w:val="0"/>
                <w:numId w:val="0"/>
              </w:num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1812A7">
              <w:rPr>
                <w:rFonts w:ascii="Arial Narrow" w:hAnsi="Arial Narrow"/>
              </w:rPr>
              <w:t>Shortfall/ (surplus) by 2037</w:t>
            </w:r>
          </w:p>
        </w:tc>
      </w:tr>
      <w:tr w:rsidR="00666AB4" w:rsidRPr="001812A7" w:rsidTr="00A067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pct"/>
            <w:vMerge w:val="restart"/>
            <w:tcBorders>
              <w:left w:val="single" w:sz="4" w:space="0" w:color="auto"/>
              <w:bottom w:val="single" w:sz="4" w:space="0" w:color="auto"/>
            </w:tcBorders>
            <w:vAlign w:val="center"/>
            <w:hideMark/>
          </w:tcPr>
          <w:p w:rsidR="00666AB4" w:rsidRPr="001812A7" w:rsidRDefault="00666AB4" w:rsidP="00A06746">
            <w:pPr>
              <w:pStyle w:val="11Bodytext"/>
              <w:numPr>
                <w:ilvl w:val="0"/>
                <w:numId w:val="0"/>
              </w:numPr>
              <w:spacing w:before="0" w:after="0" w:line="240" w:lineRule="auto"/>
              <w:jc w:val="left"/>
              <w:rPr>
                <w:rFonts w:ascii="Arial Narrow" w:hAnsi="Arial Narrow"/>
              </w:rPr>
            </w:pPr>
            <w:r w:rsidRPr="001812A7">
              <w:rPr>
                <w:rFonts w:ascii="Arial Narrow" w:hAnsi="Arial Narrow"/>
              </w:rPr>
              <w:t>Housing with support</w:t>
            </w:r>
          </w:p>
        </w:tc>
        <w:tc>
          <w:tcPr>
            <w:tcW w:w="604" w:type="pct"/>
            <w:tcBorders>
              <w:left w:val="single" w:sz="4" w:space="0" w:color="auto"/>
              <w:right w:val="single" w:sz="4" w:space="0" w:color="auto"/>
            </w:tcBorders>
            <w:vAlign w:val="center"/>
            <w:hideMark/>
          </w:tcPr>
          <w:p w:rsidR="00666AB4" w:rsidRPr="001812A7" w:rsidRDefault="00666AB4" w:rsidP="00A06746">
            <w:pPr>
              <w:pStyle w:val="11Bodytext"/>
              <w:numPr>
                <w:ilvl w:val="0"/>
                <w:numId w:val="0"/>
              </w:numPr>
              <w:spacing w:before="0" w:after="0" w:line="240" w:lineRule="auto"/>
              <w:ind w:left="13"/>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812A7">
              <w:rPr>
                <w:rFonts w:ascii="Arial Narrow" w:hAnsi="Arial Narrow"/>
              </w:rPr>
              <w:t>Rented</w:t>
            </w:r>
          </w:p>
        </w:tc>
        <w:tc>
          <w:tcPr>
            <w:tcW w:w="7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6AB4" w:rsidRPr="001812A7" w:rsidRDefault="00666AB4" w:rsidP="00A06746">
            <w:pPr>
              <w:keepNext/>
              <w:tabs>
                <w:tab w:val="left" w:pos="284"/>
              </w:tabs>
              <w:ind w:left="284" w:hanging="284"/>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1812A7">
              <w:rPr>
                <w:rFonts w:ascii="Arial Narrow" w:eastAsia="Times New Roman" w:hAnsi="Arial Narrow"/>
                <w:color w:val="000000"/>
                <w:sz w:val="24"/>
                <w:szCs w:val="24"/>
                <w:lang w:eastAsia="en-GB"/>
              </w:rPr>
              <w:t>40</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6AB4" w:rsidRPr="001812A7" w:rsidRDefault="00666AB4" w:rsidP="00A06746">
            <w:pPr>
              <w:keepNext/>
              <w:tabs>
                <w:tab w:val="left" w:pos="284"/>
              </w:tabs>
              <w:ind w:left="284" w:hanging="284"/>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1812A7">
              <w:rPr>
                <w:rFonts w:ascii="Arial Narrow" w:hAnsi="Arial Narrow"/>
                <w:color w:val="000000"/>
                <w:sz w:val="24"/>
                <w:szCs w:val="24"/>
              </w:rPr>
              <w:t>599</w:t>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6AB4" w:rsidRPr="001812A7" w:rsidRDefault="00666AB4" w:rsidP="00A06746">
            <w:pPr>
              <w:keepNext/>
              <w:tabs>
                <w:tab w:val="left" w:pos="284"/>
              </w:tabs>
              <w:ind w:left="284" w:hanging="284"/>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1812A7">
              <w:rPr>
                <w:rFonts w:ascii="Arial Narrow" w:hAnsi="Arial Narrow"/>
                <w:color w:val="000000"/>
                <w:sz w:val="24"/>
                <w:szCs w:val="24"/>
              </w:rPr>
              <w:t>652</w:t>
            </w:r>
          </w:p>
        </w:tc>
        <w:tc>
          <w:tcPr>
            <w:tcW w:w="6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6AB4" w:rsidRPr="001812A7" w:rsidRDefault="00666AB4" w:rsidP="00A06746">
            <w:pPr>
              <w:keepNext/>
              <w:tabs>
                <w:tab w:val="left" w:pos="284"/>
              </w:tabs>
              <w:ind w:left="284" w:hanging="284"/>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1812A7">
              <w:rPr>
                <w:rFonts w:ascii="Arial Narrow" w:hAnsi="Arial Narrow"/>
                <w:color w:val="000000"/>
                <w:sz w:val="24"/>
                <w:szCs w:val="24"/>
              </w:rPr>
              <w:t>53</w:t>
            </w:r>
          </w:p>
        </w:tc>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6AB4" w:rsidRPr="001812A7" w:rsidRDefault="00666AB4" w:rsidP="00A06746">
            <w:pPr>
              <w:keepNext/>
              <w:tabs>
                <w:tab w:val="left" w:pos="284"/>
              </w:tabs>
              <w:ind w:left="284" w:hanging="284"/>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1812A7">
              <w:rPr>
                <w:rFonts w:ascii="Arial Narrow" w:hAnsi="Arial Narrow"/>
                <w:color w:val="000000"/>
                <w:sz w:val="24"/>
                <w:szCs w:val="24"/>
              </w:rPr>
              <w:t>387</w:t>
            </w:r>
          </w:p>
        </w:tc>
        <w:tc>
          <w:tcPr>
            <w:tcW w:w="6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6AB4" w:rsidRPr="001812A7" w:rsidRDefault="00666AB4" w:rsidP="00A06746">
            <w:pPr>
              <w:keepNext/>
              <w:tabs>
                <w:tab w:val="left" w:pos="284"/>
              </w:tabs>
              <w:ind w:left="284" w:hanging="284"/>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1812A7">
              <w:rPr>
                <w:rFonts w:ascii="Arial Narrow" w:hAnsi="Arial Narrow"/>
                <w:color w:val="000000"/>
                <w:sz w:val="24"/>
                <w:szCs w:val="24"/>
              </w:rPr>
              <w:t>439</w:t>
            </w:r>
          </w:p>
        </w:tc>
      </w:tr>
      <w:tr w:rsidR="00666AB4" w:rsidRPr="001812A7" w:rsidTr="00A06746">
        <w:tc>
          <w:tcPr>
            <w:cnfStyle w:val="001000000000" w:firstRow="0" w:lastRow="0" w:firstColumn="1" w:lastColumn="0" w:oddVBand="0" w:evenVBand="0" w:oddHBand="0" w:evenHBand="0" w:firstRowFirstColumn="0" w:firstRowLastColumn="0" w:lastRowFirstColumn="0" w:lastRowLastColumn="0"/>
            <w:tcW w:w="693" w:type="pct"/>
            <w:vMerge/>
            <w:tcBorders>
              <w:top w:val="single" w:sz="4" w:space="0" w:color="0093D5" w:themeColor="accent2"/>
              <w:left w:val="single" w:sz="4" w:space="0" w:color="auto"/>
              <w:bottom w:val="single" w:sz="4" w:space="0" w:color="auto"/>
            </w:tcBorders>
            <w:vAlign w:val="center"/>
            <w:hideMark/>
          </w:tcPr>
          <w:p w:rsidR="00666AB4" w:rsidRPr="001812A7" w:rsidRDefault="00666AB4" w:rsidP="00A06746">
            <w:pPr>
              <w:tabs>
                <w:tab w:val="left" w:pos="284"/>
              </w:tabs>
              <w:ind w:left="284" w:hanging="284"/>
              <w:rPr>
                <w:rFonts w:ascii="Arial Narrow" w:hAnsi="Arial Narrow"/>
                <w:sz w:val="24"/>
                <w:szCs w:val="24"/>
                <w:lang w:val="en-US"/>
              </w:rPr>
            </w:pPr>
          </w:p>
        </w:tc>
        <w:tc>
          <w:tcPr>
            <w:tcW w:w="604"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pStyle w:val="11Bodytext"/>
              <w:numPr>
                <w:ilvl w:val="0"/>
                <w:numId w:val="0"/>
              </w:numPr>
              <w:spacing w:before="0" w:after="0" w:line="240" w:lineRule="auto"/>
              <w:ind w:left="13"/>
              <w:jc w:val="lef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1812A7">
              <w:rPr>
                <w:rFonts w:ascii="Arial Narrow" w:hAnsi="Arial Narrow"/>
              </w:rPr>
              <w:t>Leasehold</w:t>
            </w:r>
          </w:p>
        </w:tc>
        <w:tc>
          <w:tcPr>
            <w:tcW w:w="7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6AB4" w:rsidRPr="001812A7" w:rsidRDefault="00666AB4" w:rsidP="00A06746">
            <w:pPr>
              <w:keepNext/>
              <w:tabs>
                <w:tab w:val="left" w:pos="284"/>
              </w:tabs>
              <w:ind w:left="284" w:hanging="284"/>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1812A7">
              <w:rPr>
                <w:rFonts w:ascii="Arial Narrow" w:eastAsia="Times New Roman" w:hAnsi="Arial Narrow"/>
                <w:color w:val="000000"/>
                <w:sz w:val="24"/>
                <w:szCs w:val="24"/>
                <w:lang w:eastAsia="en-GB"/>
              </w:rPr>
              <w:t>65</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6AB4" w:rsidRPr="001812A7" w:rsidRDefault="00666AB4" w:rsidP="00A06746">
            <w:pPr>
              <w:keepNext/>
              <w:tabs>
                <w:tab w:val="left" w:pos="284"/>
              </w:tabs>
              <w:ind w:left="284" w:hanging="284"/>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1812A7">
              <w:rPr>
                <w:rFonts w:ascii="Arial Narrow" w:hAnsi="Arial Narrow"/>
                <w:color w:val="000000"/>
                <w:sz w:val="24"/>
                <w:szCs w:val="24"/>
              </w:rPr>
              <w:t>742</w:t>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6AB4" w:rsidRPr="001812A7" w:rsidRDefault="00666AB4" w:rsidP="00A06746">
            <w:pPr>
              <w:keepNext/>
              <w:tabs>
                <w:tab w:val="left" w:pos="284"/>
              </w:tabs>
              <w:ind w:left="284" w:hanging="284"/>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1812A7">
              <w:rPr>
                <w:rFonts w:ascii="Arial Narrow" w:hAnsi="Arial Narrow"/>
                <w:color w:val="000000"/>
                <w:sz w:val="24"/>
                <w:szCs w:val="24"/>
              </w:rPr>
              <w:t>1,065</w:t>
            </w:r>
          </w:p>
        </w:tc>
        <w:tc>
          <w:tcPr>
            <w:tcW w:w="6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6AB4" w:rsidRPr="001812A7" w:rsidRDefault="00666AB4" w:rsidP="00A06746">
            <w:pPr>
              <w:keepNext/>
              <w:tabs>
                <w:tab w:val="left" w:pos="284"/>
              </w:tabs>
              <w:ind w:left="284" w:hanging="284"/>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1812A7">
              <w:rPr>
                <w:rFonts w:ascii="Arial Narrow" w:hAnsi="Arial Narrow"/>
                <w:color w:val="000000"/>
                <w:sz w:val="24"/>
                <w:szCs w:val="24"/>
              </w:rPr>
              <w:t>323</w:t>
            </w:r>
          </w:p>
        </w:tc>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6AB4" w:rsidRPr="001812A7" w:rsidRDefault="00666AB4" w:rsidP="00A06746">
            <w:pPr>
              <w:keepNext/>
              <w:tabs>
                <w:tab w:val="left" w:pos="284"/>
              </w:tabs>
              <w:ind w:left="284" w:hanging="284"/>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1812A7">
              <w:rPr>
                <w:rFonts w:ascii="Arial Narrow" w:hAnsi="Arial Narrow"/>
                <w:color w:val="000000"/>
                <w:sz w:val="24"/>
                <w:szCs w:val="24"/>
              </w:rPr>
              <w:t>632</w:t>
            </w:r>
          </w:p>
        </w:tc>
        <w:tc>
          <w:tcPr>
            <w:tcW w:w="6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6AB4" w:rsidRPr="001812A7" w:rsidRDefault="00666AB4" w:rsidP="00A06746">
            <w:pPr>
              <w:keepNext/>
              <w:tabs>
                <w:tab w:val="left" w:pos="284"/>
              </w:tabs>
              <w:ind w:left="284" w:hanging="284"/>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1812A7">
              <w:rPr>
                <w:rFonts w:ascii="Arial Narrow" w:hAnsi="Arial Narrow"/>
                <w:color w:val="000000"/>
                <w:sz w:val="24"/>
                <w:szCs w:val="24"/>
              </w:rPr>
              <w:t>955</w:t>
            </w:r>
          </w:p>
        </w:tc>
      </w:tr>
      <w:tr w:rsidR="00666AB4" w:rsidRPr="001812A7" w:rsidTr="00A067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pct"/>
            <w:vMerge w:val="restart"/>
            <w:tcBorders>
              <w:left w:val="single" w:sz="4" w:space="0" w:color="auto"/>
              <w:bottom w:val="single" w:sz="4" w:space="0" w:color="auto"/>
            </w:tcBorders>
            <w:vAlign w:val="center"/>
            <w:hideMark/>
          </w:tcPr>
          <w:p w:rsidR="00666AB4" w:rsidRPr="001812A7" w:rsidRDefault="00666AB4" w:rsidP="00A06746">
            <w:pPr>
              <w:pStyle w:val="11Bodytext"/>
              <w:numPr>
                <w:ilvl w:val="0"/>
                <w:numId w:val="0"/>
              </w:numPr>
              <w:spacing w:before="0" w:after="0" w:line="240" w:lineRule="auto"/>
              <w:jc w:val="left"/>
              <w:rPr>
                <w:rFonts w:ascii="Arial Narrow" w:hAnsi="Arial Narrow"/>
              </w:rPr>
            </w:pPr>
            <w:r w:rsidRPr="001812A7">
              <w:rPr>
                <w:rFonts w:ascii="Arial Narrow" w:hAnsi="Arial Narrow"/>
              </w:rPr>
              <w:t>Housing with care</w:t>
            </w:r>
          </w:p>
        </w:tc>
        <w:tc>
          <w:tcPr>
            <w:tcW w:w="604" w:type="pct"/>
            <w:tcBorders>
              <w:left w:val="single" w:sz="4" w:space="0" w:color="auto"/>
              <w:right w:val="single" w:sz="4" w:space="0" w:color="auto"/>
            </w:tcBorders>
            <w:vAlign w:val="center"/>
            <w:hideMark/>
          </w:tcPr>
          <w:p w:rsidR="00666AB4" w:rsidRPr="001812A7" w:rsidRDefault="00666AB4" w:rsidP="00A06746">
            <w:pPr>
              <w:pStyle w:val="11Bodytext"/>
              <w:numPr>
                <w:ilvl w:val="0"/>
                <w:numId w:val="0"/>
              </w:numPr>
              <w:spacing w:before="0" w:after="0" w:line="240" w:lineRule="auto"/>
              <w:ind w:left="13"/>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812A7">
              <w:rPr>
                <w:rFonts w:ascii="Arial Narrow" w:hAnsi="Arial Narrow"/>
              </w:rPr>
              <w:t>Rented</w:t>
            </w:r>
          </w:p>
        </w:tc>
        <w:tc>
          <w:tcPr>
            <w:tcW w:w="7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6AB4" w:rsidRPr="001812A7" w:rsidRDefault="00666AB4" w:rsidP="00A06746">
            <w:pPr>
              <w:keepNext/>
              <w:tabs>
                <w:tab w:val="left" w:pos="284"/>
              </w:tabs>
              <w:ind w:left="284" w:hanging="284"/>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1812A7">
              <w:rPr>
                <w:rFonts w:ascii="Arial Narrow" w:eastAsia="Times New Roman" w:hAnsi="Arial Narrow"/>
                <w:color w:val="000000"/>
                <w:sz w:val="24"/>
                <w:szCs w:val="24"/>
                <w:lang w:eastAsia="en-GB"/>
              </w:rPr>
              <w:t>17</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6AB4" w:rsidRPr="001812A7" w:rsidRDefault="00666AB4" w:rsidP="00A06746">
            <w:pPr>
              <w:keepNext/>
              <w:tabs>
                <w:tab w:val="left" w:pos="284"/>
              </w:tabs>
              <w:ind w:left="284" w:hanging="284"/>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1812A7">
              <w:rPr>
                <w:rFonts w:ascii="Arial Narrow" w:hAnsi="Arial Narrow"/>
                <w:color w:val="000000"/>
                <w:sz w:val="24"/>
                <w:szCs w:val="24"/>
              </w:rPr>
              <w:t>99</w:t>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6AB4" w:rsidRPr="001812A7" w:rsidRDefault="00666AB4" w:rsidP="00A06746">
            <w:pPr>
              <w:keepNext/>
              <w:tabs>
                <w:tab w:val="left" w:pos="284"/>
              </w:tabs>
              <w:ind w:left="284" w:hanging="284"/>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1812A7">
              <w:rPr>
                <w:rFonts w:ascii="Arial Narrow" w:hAnsi="Arial Narrow"/>
                <w:color w:val="000000"/>
                <w:sz w:val="24"/>
                <w:szCs w:val="24"/>
              </w:rPr>
              <w:t>281</w:t>
            </w:r>
          </w:p>
        </w:tc>
        <w:tc>
          <w:tcPr>
            <w:tcW w:w="6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6AB4" w:rsidRPr="001812A7" w:rsidRDefault="00666AB4" w:rsidP="00A06746">
            <w:pPr>
              <w:keepNext/>
              <w:tabs>
                <w:tab w:val="left" w:pos="284"/>
              </w:tabs>
              <w:ind w:left="284" w:hanging="284"/>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1812A7">
              <w:rPr>
                <w:rFonts w:ascii="Arial Narrow" w:hAnsi="Arial Narrow"/>
                <w:color w:val="000000"/>
                <w:sz w:val="24"/>
                <w:szCs w:val="24"/>
              </w:rPr>
              <w:t>182</w:t>
            </w:r>
          </w:p>
        </w:tc>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6AB4" w:rsidRPr="001812A7" w:rsidRDefault="00666AB4" w:rsidP="00A06746">
            <w:pPr>
              <w:keepNext/>
              <w:tabs>
                <w:tab w:val="left" w:pos="284"/>
              </w:tabs>
              <w:ind w:left="284" w:hanging="284"/>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1812A7">
              <w:rPr>
                <w:rFonts w:ascii="Arial Narrow" w:hAnsi="Arial Narrow"/>
                <w:color w:val="000000"/>
                <w:sz w:val="24"/>
                <w:szCs w:val="24"/>
              </w:rPr>
              <w:t>167</w:t>
            </w:r>
          </w:p>
        </w:tc>
        <w:tc>
          <w:tcPr>
            <w:tcW w:w="6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6AB4" w:rsidRPr="001812A7" w:rsidRDefault="00666AB4" w:rsidP="00A06746">
            <w:pPr>
              <w:keepNext/>
              <w:tabs>
                <w:tab w:val="left" w:pos="284"/>
              </w:tabs>
              <w:ind w:left="284" w:hanging="284"/>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1812A7">
              <w:rPr>
                <w:rFonts w:ascii="Arial Narrow" w:hAnsi="Arial Narrow"/>
                <w:color w:val="000000"/>
                <w:sz w:val="24"/>
                <w:szCs w:val="24"/>
              </w:rPr>
              <w:t>349</w:t>
            </w:r>
          </w:p>
        </w:tc>
      </w:tr>
      <w:tr w:rsidR="00666AB4" w:rsidRPr="001812A7" w:rsidTr="00A06746">
        <w:tc>
          <w:tcPr>
            <w:cnfStyle w:val="001000000000" w:firstRow="0" w:lastRow="0" w:firstColumn="1" w:lastColumn="0" w:oddVBand="0" w:evenVBand="0" w:oddHBand="0" w:evenHBand="0" w:firstRowFirstColumn="0" w:firstRowLastColumn="0" w:lastRowFirstColumn="0" w:lastRowLastColumn="0"/>
            <w:tcW w:w="693" w:type="pct"/>
            <w:vMerge/>
            <w:tcBorders>
              <w:top w:val="single" w:sz="4" w:space="0" w:color="0093D5" w:themeColor="accent2"/>
              <w:left w:val="single" w:sz="4" w:space="0" w:color="auto"/>
              <w:bottom w:val="single" w:sz="4" w:space="0" w:color="auto"/>
            </w:tcBorders>
            <w:vAlign w:val="center"/>
            <w:hideMark/>
          </w:tcPr>
          <w:p w:rsidR="00666AB4" w:rsidRPr="001812A7" w:rsidRDefault="00666AB4" w:rsidP="00A06746">
            <w:pPr>
              <w:tabs>
                <w:tab w:val="left" w:pos="284"/>
              </w:tabs>
              <w:ind w:left="284" w:hanging="284"/>
              <w:rPr>
                <w:rFonts w:ascii="Arial Narrow" w:hAnsi="Arial Narrow"/>
                <w:sz w:val="24"/>
                <w:szCs w:val="24"/>
                <w:lang w:val="en-US"/>
              </w:rPr>
            </w:pPr>
          </w:p>
        </w:tc>
        <w:tc>
          <w:tcPr>
            <w:tcW w:w="604" w:type="pct"/>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pStyle w:val="11Bodytext"/>
              <w:numPr>
                <w:ilvl w:val="0"/>
                <w:numId w:val="0"/>
              </w:numPr>
              <w:spacing w:before="0" w:after="0" w:line="240" w:lineRule="auto"/>
              <w:ind w:left="13"/>
              <w:jc w:val="lef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1812A7">
              <w:rPr>
                <w:rFonts w:ascii="Arial Narrow" w:hAnsi="Arial Narrow"/>
              </w:rPr>
              <w:t>Leasehold</w:t>
            </w:r>
          </w:p>
        </w:tc>
        <w:tc>
          <w:tcPr>
            <w:tcW w:w="7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6AB4" w:rsidRPr="001812A7" w:rsidRDefault="00666AB4" w:rsidP="00A06746">
            <w:pPr>
              <w:keepNext/>
              <w:tabs>
                <w:tab w:val="left" w:pos="284"/>
              </w:tabs>
              <w:ind w:left="284" w:hanging="284"/>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1812A7">
              <w:rPr>
                <w:rFonts w:ascii="Arial Narrow" w:eastAsia="Times New Roman" w:hAnsi="Arial Narrow"/>
                <w:color w:val="000000"/>
                <w:sz w:val="24"/>
                <w:szCs w:val="24"/>
                <w:lang w:eastAsia="en-GB"/>
              </w:rPr>
              <w:t>21</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6AB4" w:rsidRPr="001812A7" w:rsidRDefault="00666AB4" w:rsidP="00A06746">
            <w:pPr>
              <w:keepNext/>
              <w:tabs>
                <w:tab w:val="left" w:pos="284"/>
              </w:tabs>
              <w:ind w:left="284" w:hanging="284"/>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1812A7">
              <w:rPr>
                <w:rFonts w:ascii="Arial Narrow" w:hAnsi="Arial Narrow"/>
                <w:color w:val="000000"/>
                <w:sz w:val="24"/>
                <w:szCs w:val="24"/>
              </w:rPr>
              <w:t>34</w:t>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6AB4" w:rsidRPr="001812A7" w:rsidRDefault="00666AB4" w:rsidP="00A06746">
            <w:pPr>
              <w:keepNext/>
              <w:tabs>
                <w:tab w:val="left" w:pos="284"/>
              </w:tabs>
              <w:ind w:left="284" w:hanging="284"/>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1812A7">
              <w:rPr>
                <w:rFonts w:ascii="Arial Narrow" w:hAnsi="Arial Narrow"/>
                <w:color w:val="000000"/>
                <w:sz w:val="24"/>
                <w:szCs w:val="24"/>
              </w:rPr>
              <w:t>337</w:t>
            </w:r>
          </w:p>
        </w:tc>
        <w:tc>
          <w:tcPr>
            <w:tcW w:w="6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6AB4" w:rsidRPr="001812A7" w:rsidRDefault="00666AB4" w:rsidP="00A06746">
            <w:pPr>
              <w:keepNext/>
              <w:tabs>
                <w:tab w:val="left" w:pos="284"/>
              </w:tabs>
              <w:ind w:left="284" w:hanging="284"/>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1812A7">
              <w:rPr>
                <w:rFonts w:ascii="Arial Narrow" w:hAnsi="Arial Narrow"/>
                <w:color w:val="000000"/>
                <w:sz w:val="24"/>
                <w:szCs w:val="24"/>
              </w:rPr>
              <w:t>303</w:t>
            </w:r>
          </w:p>
        </w:tc>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6AB4" w:rsidRPr="001812A7" w:rsidRDefault="00666AB4" w:rsidP="00A06746">
            <w:pPr>
              <w:keepNext/>
              <w:tabs>
                <w:tab w:val="left" w:pos="284"/>
              </w:tabs>
              <w:ind w:left="284" w:hanging="284"/>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1812A7">
              <w:rPr>
                <w:rFonts w:ascii="Arial Narrow" w:hAnsi="Arial Narrow"/>
                <w:color w:val="000000"/>
                <w:sz w:val="24"/>
                <w:szCs w:val="24"/>
              </w:rPr>
              <w:t>200</w:t>
            </w:r>
          </w:p>
        </w:tc>
        <w:tc>
          <w:tcPr>
            <w:tcW w:w="6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6AB4" w:rsidRPr="001812A7" w:rsidRDefault="00666AB4" w:rsidP="00A06746">
            <w:pPr>
              <w:keepNext/>
              <w:tabs>
                <w:tab w:val="left" w:pos="284"/>
              </w:tabs>
              <w:ind w:left="284" w:hanging="284"/>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1812A7">
              <w:rPr>
                <w:rFonts w:ascii="Arial Narrow" w:hAnsi="Arial Narrow"/>
                <w:color w:val="000000"/>
                <w:sz w:val="24"/>
                <w:szCs w:val="24"/>
              </w:rPr>
              <w:t>502</w:t>
            </w:r>
          </w:p>
        </w:tc>
      </w:tr>
      <w:tr w:rsidR="00666AB4" w:rsidRPr="001812A7" w:rsidTr="00A067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pct"/>
            <w:gridSpan w:val="2"/>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pStyle w:val="11Bodytext"/>
              <w:numPr>
                <w:ilvl w:val="0"/>
                <w:numId w:val="0"/>
              </w:numPr>
              <w:spacing w:before="0" w:after="0" w:line="240" w:lineRule="auto"/>
              <w:jc w:val="left"/>
              <w:rPr>
                <w:rFonts w:ascii="Arial Narrow" w:hAnsi="Arial Narrow"/>
              </w:rPr>
            </w:pPr>
            <w:r w:rsidRPr="001812A7">
              <w:rPr>
                <w:rFonts w:ascii="Arial Narrow" w:hAnsi="Arial Narrow"/>
              </w:rPr>
              <w:t>Total (dwellings)</w:t>
            </w:r>
          </w:p>
        </w:tc>
        <w:tc>
          <w:tcPr>
            <w:tcW w:w="7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6AB4" w:rsidRPr="001812A7" w:rsidRDefault="00666AB4" w:rsidP="00A06746">
            <w:pPr>
              <w:keepNext/>
              <w:tabs>
                <w:tab w:val="left" w:pos="284"/>
              </w:tabs>
              <w:ind w:left="284" w:hanging="284"/>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1812A7">
              <w:rPr>
                <w:rFonts w:ascii="Arial Narrow" w:eastAsia="Times New Roman" w:hAnsi="Arial Narrow"/>
                <w:color w:val="000000"/>
                <w:sz w:val="24"/>
                <w:szCs w:val="24"/>
                <w:lang w:eastAsia="en-GB"/>
              </w:rPr>
              <w:t>142</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6AB4" w:rsidRPr="001812A7" w:rsidRDefault="00666AB4" w:rsidP="00A06746">
            <w:pPr>
              <w:keepNext/>
              <w:tabs>
                <w:tab w:val="left" w:pos="284"/>
              </w:tabs>
              <w:ind w:left="284" w:hanging="284"/>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1812A7">
              <w:rPr>
                <w:rFonts w:ascii="Arial Narrow" w:hAnsi="Arial Narrow"/>
                <w:color w:val="000000"/>
                <w:sz w:val="24"/>
                <w:szCs w:val="24"/>
              </w:rPr>
              <w:t>1,474</w:t>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6AB4" w:rsidRPr="001812A7" w:rsidRDefault="00666AB4" w:rsidP="00A06746">
            <w:pPr>
              <w:keepNext/>
              <w:tabs>
                <w:tab w:val="left" w:pos="284"/>
              </w:tabs>
              <w:ind w:left="284" w:hanging="284"/>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1812A7">
              <w:rPr>
                <w:rFonts w:ascii="Arial Narrow" w:hAnsi="Arial Narrow"/>
                <w:color w:val="000000"/>
                <w:sz w:val="24"/>
                <w:szCs w:val="24"/>
              </w:rPr>
              <w:t>2,335</w:t>
            </w:r>
          </w:p>
        </w:tc>
        <w:tc>
          <w:tcPr>
            <w:tcW w:w="6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6AB4" w:rsidRPr="001812A7" w:rsidRDefault="00666AB4" w:rsidP="00A06746">
            <w:pPr>
              <w:keepNext/>
              <w:tabs>
                <w:tab w:val="left" w:pos="284"/>
              </w:tabs>
              <w:ind w:left="284" w:hanging="284"/>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1812A7">
              <w:rPr>
                <w:rFonts w:ascii="Arial Narrow" w:hAnsi="Arial Narrow"/>
                <w:color w:val="000000"/>
                <w:sz w:val="24"/>
                <w:szCs w:val="24"/>
              </w:rPr>
              <w:t>861</w:t>
            </w:r>
          </w:p>
        </w:tc>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6AB4" w:rsidRPr="001812A7" w:rsidRDefault="00666AB4" w:rsidP="00A06746">
            <w:pPr>
              <w:keepNext/>
              <w:tabs>
                <w:tab w:val="left" w:pos="284"/>
              </w:tabs>
              <w:ind w:left="284" w:hanging="284"/>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1812A7">
              <w:rPr>
                <w:rFonts w:ascii="Arial Narrow" w:hAnsi="Arial Narrow"/>
                <w:color w:val="000000"/>
                <w:sz w:val="24"/>
                <w:szCs w:val="24"/>
              </w:rPr>
              <w:t>1,385</w:t>
            </w:r>
          </w:p>
        </w:tc>
        <w:tc>
          <w:tcPr>
            <w:tcW w:w="6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6AB4" w:rsidRPr="001812A7" w:rsidRDefault="00666AB4" w:rsidP="00A06746">
            <w:pPr>
              <w:keepNext/>
              <w:tabs>
                <w:tab w:val="left" w:pos="284"/>
              </w:tabs>
              <w:ind w:left="284" w:hanging="284"/>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1812A7">
              <w:rPr>
                <w:rFonts w:ascii="Arial Narrow" w:hAnsi="Arial Narrow"/>
                <w:color w:val="000000"/>
                <w:sz w:val="24"/>
                <w:szCs w:val="24"/>
              </w:rPr>
              <w:t>2,246</w:t>
            </w:r>
          </w:p>
        </w:tc>
      </w:tr>
      <w:tr w:rsidR="00666AB4" w:rsidRPr="001812A7" w:rsidTr="00A06746">
        <w:tc>
          <w:tcPr>
            <w:cnfStyle w:val="001000000000" w:firstRow="0" w:lastRow="0" w:firstColumn="1" w:lastColumn="0" w:oddVBand="0" w:evenVBand="0" w:oddHBand="0" w:evenHBand="0" w:firstRowFirstColumn="0" w:firstRowLastColumn="0" w:lastRowFirstColumn="0" w:lastRowLastColumn="0"/>
            <w:tcW w:w="1296" w:type="pct"/>
            <w:gridSpan w:val="2"/>
            <w:tcBorders>
              <w:top w:val="single" w:sz="4" w:space="0" w:color="auto"/>
              <w:left w:val="single" w:sz="4" w:space="0" w:color="auto"/>
              <w:bottom w:val="single" w:sz="4" w:space="0" w:color="auto"/>
              <w:right w:val="single" w:sz="4" w:space="0" w:color="auto"/>
            </w:tcBorders>
            <w:vAlign w:val="center"/>
            <w:hideMark/>
          </w:tcPr>
          <w:p w:rsidR="00666AB4" w:rsidRPr="001812A7" w:rsidRDefault="00666AB4" w:rsidP="00A06746">
            <w:pPr>
              <w:pStyle w:val="11Bodytext"/>
              <w:numPr>
                <w:ilvl w:val="0"/>
                <w:numId w:val="0"/>
              </w:numPr>
              <w:spacing w:before="0" w:after="0" w:line="240" w:lineRule="auto"/>
              <w:jc w:val="left"/>
              <w:rPr>
                <w:rFonts w:ascii="Arial Narrow" w:hAnsi="Arial Narrow"/>
              </w:rPr>
            </w:pPr>
            <w:r w:rsidRPr="001812A7">
              <w:rPr>
                <w:rFonts w:ascii="Arial Narrow" w:hAnsi="Arial Narrow"/>
              </w:rPr>
              <w:t>Care bedspaces</w:t>
            </w:r>
          </w:p>
        </w:tc>
        <w:tc>
          <w:tcPr>
            <w:tcW w:w="7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6AB4" w:rsidRPr="001812A7" w:rsidRDefault="00666AB4" w:rsidP="00A06746">
            <w:pPr>
              <w:keepNext/>
              <w:tabs>
                <w:tab w:val="left" w:pos="284"/>
              </w:tabs>
              <w:ind w:left="284" w:hanging="284"/>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1812A7">
              <w:rPr>
                <w:rFonts w:ascii="Arial Narrow" w:eastAsia="Times New Roman" w:hAnsi="Arial Narrow"/>
                <w:color w:val="000000"/>
                <w:sz w:val="24"/>
                <w:szCs w:val="24"/>
                <w:lang w:eastAsia="en-GB"/>
              </w:rPr>
              <w:t>92</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6AB4" w:rsidRPr="001812A7" w:rsidRDefault="00666AB4" w:rsidP="00A06746">
            <w:pPr>
              <w:keepNext/>
              <w:tabs>
                <w:tab w:val="left" w:pos="284"/>
              </w:tabs>
              <w:ind w:left="284" w:hanging="284"/>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1812A7">
              <w:rPr>
                <w:rFonts w:ascii="Arial Narrow" w:hAnsi="Arial Narrow"/>
                <w:color w:val="000000"/>
                <w:sz w:val="24"/>
                <w:szCs w:val="24"/>
              </w:rPr>
              <w:t>1,502</w:t>
            </w:r>
          </w:p>
        </w:tc>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6AB4" w:rsidRPr="001812A7" w:rsidRDefault="00666AB4" w:rsidP="00A06746">
            <w:pPr>
              <w:keepNext/>
              <w:tabs>
                <w:tab w:val="left" w:pos="284"/>
              </w:tabs>
              <w:ind w:left="284" w:hanging="284"/>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1812A7">
              <w:rPr>
                <w:rFonts w:ascii="Arial Narrow" w:hAnsi="Arial Narrow"/>
                <w:color w:val="000000"/>
                <w:sz w:val="24"/>
                <w:szCs w:val="24"/>
              </w:rPr>
              <w:t>1,511</w:t>
            </w:r>
          </w:p>
        </w:tc>
        <w:tc>
          <w:tcPr>
            <w:tcW w:w="6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6AB4" w:rsidRPr="001812A7" w:rsidRDefault="00666AB4" w:rsidP="00A06746">
            <w:pPr>
              <w:keepNext/>
              <w:tabs>
                <w:tab w:val="left" w:pos="284"/>
              </w:tabs>
              <w:ind w:left="284" w:hanging="284"/>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1812A7">
              <w:rPr>
                <w:rFonts w:ascii="Arial Narrow" w:hAnsi="Arial Narrow"/>
                <w:color w:val="000000"/>
                <w:sz w:val="24"/>
                <w:szCs w:val="24"/>
              </w:rPr>
              <w:t>9</w:t>
            </w:r>
          </w:p>
        </w:tc>
        <w:tc>
          <w:tcPr>
            <w:tcW w:w="6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6AB4" w:rsidRPr="001812A7" w:rsidRDefault="00666AB4" w:rsidP="00A06746">
            <w:pPr>
              <w:keepNext/>
              <w:tabs>
                <w:tab w:val="left" w:pos="284"/>
              </w:tabs>
              <w:ind w:left="284" w:hanging="284"/>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1812A7">
              <w:rPr>
                <w:rFonts w:ascii="Arial Narrow" w:hAnsi="Arial Narrow"/>
                <w:color w:val="000000"/>
                <w:sz w:val="24"/>
                <w:szCs w:val="24"/>
              </w:rPr>
              <w:t>896</w:t>
            </w:r>
          </w:p>
        </w:tc>
        <w:tc>
          <w:tcPr>
            <w:tcW w:w="6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6AB4" w:rsidRPr="001812A7" w:rsidRDefault="00666AB4" w:rsidP="00A06746">
            <w:pPr>
              <w:keepNext/>
              <w:tabs>
                <w:tab w:val="left" w:pos="284"/>
              </w:tabs>
              <w:ind w:left="284" w:hanging="284"/>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1812A7">
              <w:rPr>
                <w:rFonts w:ascii="Arial Narrow" w:hAnsi="Arial Narrow"/>
                <w:color w:val="000000"/>
                <w:sz w:val="24"/>
                <w:szCs w:val="24"/>
              </w:rPr>
              <w:t>905</w:t>
            </w:r>
          </w:p>
        </w:tc>
      </w:tr>
    </w:tbl>
    <w:p w:rsidR="00666AB4" w:rsidRPr="00860952" w:rsidRDefault="00666AB4" w:rsidP="009719FA">
      <w:pPr>
        <w:pStyle w:val="11Bodytext"/>
        <w:numPr>
          <w:ilvl w:val="0"/>
          <w:numId w:val="0"/>
        </w:numPr>
        <w:spacing w:before="0" w:after="0" w:line="240" w:lineRule="auto"/>
      </w:pPr>
      <w:r w:rsidRPr="00860952">
        <w:t>Source: Derived from demographic projections and Housing LIN/HOPSR/EAC</w:t>
      </w:r>
    </w:p>
    <w:p w:rsidR="00D57B54" w:rsidRDefault="00D57B54" w:rsidP="000E0A28">
      <w:pPr>
        <w:pStyle w:val="Appendices"/>
        <w:numPr>
          <w:ilvl w:val="0"/>
          <w:numId w:val="0"/>
        </w:numPr>
        <w:ind w:left="794"/>
      </w:pPr>
    </w:p>
    <w:p w:rsidR="00D57B54" w:rsidRPr="00042374" w:rsidRDefault="00D57B54" w:rsidP="009719FA">
      <w:pPr>
        <w:pStyle w:val="Tableheading"/>
        <w:tabs>
          <w:tab w:val="clear" w:pos="794"/>
          <w:tab w:val="clear" w:pos="1843"/>
          <w:tab w:val="left" w:pos="0"/>
        </w:tabs>
        <w:spacing w:line="240" w:lineRule="auto"/>
        <w:ind w:left="0" w:firstLine="0"/>
      </w:pPr>
      <w:r w:rsidRPr="00042374">
        <w:lastRenderedPageBreak/>
        <w:t>Employment requirements 2019-2037 – CLP Area</w:t>
      </w:r>
    </w:p>
    <w:tbl>
      <w:tblPr>
        <w:tblStyle w:val="GLHearntable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76: Employment requirements 2019-2037 – CLP Area"/>
      </w:tblPr>
      <w:tblGrid>
        <w:gridCol w:w="1320"/>
        <w:gridCol w:w="854"/>
        <w:gridCol w:w="851"/>
        <w:gridCol w:w="851"/>
        <w:gridCol w:w="851"/>
        <w:gridCol w:w="1327"/>
        <w:gridCol w:w="754"/>
        <w:gridCol w:w="3039"/>
      </w:tblGrid>
      <w:tr w:rsidR="00D57B54" w:rsidRPr="001812A7" w:rsidTr="00C15BDF">
        <w:trPr>
          <w:cnfStyle w:val="100000000000" w:firstRow="1" w:lastRow="0" w:firstColumn="0" w:lastColumn="0" w:oddVBand="0" w:evenVBand="0" w:oddHBand="0" w:evenHBand="0" w:firstRowFirstColumn="0" w:firstRowLastColumn="0" w:lastRowFirstColumn="0" w:lastRowLastColumn="0"/>
          <w:trHeight w:val="416"/>
          <w:tblHeader/>
        </w:trPr>
        <w:tc>
          <w:tcPr>
            <w:cnfStyle w:val="001000000000" w:firstRow="0" w:lastRow="0" w:firstColumn="1" w:lastColumn="0" w:oddVBand="0" w:evenVBand="0" w:oddHBand="0" w:evenHBand="0" w:firstRowFirstColumn="0" w:firstRowLastColumn="0" w:lastRowFirstColumn="0" w:lastRowLastColumn="0"/>
            <w:tcW w:w="670" w:type="pct"/>
          </w:tcPr>
          <w:p w:rsidR="00D57B54" w:rsidRPr="001812A7" w:rsidRDefault="00D57B54" w:rsidP="001812A7">
            <w:pPr>
              <w:pStyle w:val="TableBodytext"/>
              <w:keepNext/>
              <w:spacing w:before="0" w:after="0" w:line="240" w:lineRule="auto"/>
              <w:rPr>
                <w:rFonts w:ascii="Arial Narrow" w:hAnsi="Arial Narrow"/>
                <w:sz w:val="24"/>
                <w:szCs w:val="24"/>
              </w:rPr>
            </w:pPr>
            <w:r w:rsidRPr="001812A7">
              <w:rPr>
                <w:rFonts w:ascii="Arial Narrow" w:hAnsi="Arial Narrow"/>
                <w:sz w:val="24"/>
                <w:szCs w:val="24"/>
              </w:rPr>
              <w:t>Use Class</w:t>
            </w:r>
          </w:p>
        </w:tc>
        <w:tc>
          <w:tcPr>
            <w:tcW w:w="433" w:type="pct"/>
          </w:tcPr>
          <w:p w:rsidR="00D57B54" w:rsidRPr="001812A7" w:rsidRDefault="00D57B54" w:rsidP="001812A7">
            <w:pPr>
              <w:pStyle w:val="TableBodytext"/>
              <w:keepNext/>
              <w:spacing w:before="0" w:after="0" w:line="240" w:lineRule="auto"/>
              <w:ind w:hanging="73"/>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1812A7">
              <w:rPr>
                <w:rFonts w:ascii="Arial Narrow" w:hAnsi="Arial Narrow"/>
                <w:sz w:val="24"/>
                <w:szCs w:val="24"/>
              </w:rPr>
              <w:t>19-2</w:t>
            </w:r>
            <w:r w:rsidR="00042374" w:rsidRPr="001812A7">
              <w:rPr>
                <w:rFonts w:ascii="Arial Narrow" w:hAnsi="Arial Narrow"/>
                <w:sz w:val="24"/>
                <w:szCs w:val="24"/>
              </w:rPr>
              <w:t>4</w:t>
            </w:r>
          </w:p>
        </w:tc>
        <w:tc>
          <w:tcPr>
            <w:tcW w:w="432" w:type="pct"/>
          </w:tcPr>
          <w:p w:rsidR="00D57B54" w:rsidRPr="001812A7" w:rsidRDefault="00042374" w:rsidP="001812A7">
            <w:pPr>
              <w:pStyle w:val="TableBodytext"/>
              <w:keepNext/>
              <w:spacing w:before="0" w:after="0" w:line="240" w:lineRule="auto"/>
              <w:ind w:hanging="73"/>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1812A7">
              <w:rPr>
                <w:rFonts w:ascii="Arial Narrow" w:hAnsi="Arial Narrow"/>
                <w:sz w:val="24"/>
                <w:szCs w:val="24"/>
              </w:rPr>
              <w:t>24-29</w:t>
            </w:r>
          </w:p>
        </w:tc>
        <w:tc>
          <w:tcPr>
            <w:tcW w:w="432" w:type="pct"/>
          </w:tcPr>
          <w:p w:rsidR="00D57B54" w:rsidRPr="001812A7" w:rsidRDefault="00042374" w:rsidP="001812A7">
            <w:pPr>
              <w:pStyle w:val="TableBodytext"/>
              <w:keepNext/>
              <w:spacing w:before="0" w:after="0" w:line="240" w:lineRule="auto"/>
              <w:ind w:hanging="73"/>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1812A7">
              <w:rPr>
                <w:rFonts w:ascii="Arial Narrow" w:hAnsi="Arial Narrow"/>
                <w:sz w:val="24"/>
                <w:szCs w:val="24"/>
              </w:rPr>
              <w:t>29-34</w:t>
            </w:r>
          </w:p>
        </w:tc>
        <w:tc>
          <w:tcPr>
            <w:tcW w:w="432" w:type="pct"/>
          </w:tcPr>
          <w:p w:rsidR="00D57B54" w:rsidRPr="001812A7" w:rsidRDefault="00042374" w:rsidP="001812A7">
            <w:pPr>
              <w:pStyle w:val="TableBodytext"/>
              <w:keepNext/>
              <w:spacing w:before="0" w:after="0" w:line="240" w:lineRule="auto"/>
              <w:ind w:hanging="73"/>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1812A7">
              <w:rPr>
                <w:rFonts w:ascii="Arial Narrow" w:hAnsi="Arial Narrow"/>
                <w:sz w:val="24"/>
                <w:szCs w:val="24"/>
              </w:rPr>
              <w:t>34-37</w:t>
            </w:r>
          </w:p>
        </w:tc>
        <w:tc>
          <w:tcPr>
            <w:tcW w:w="674" w:type="pct"/>
          </w:tcPr>
          <w:p w:rsidR="00D57B54" w:rsidRPr="001812A7" w:rsidRDefault="00D57B54" w:rsidP="001812A7">
            <w:pPr>
              <w:pStyle w:val="TableBodytext"/>
              <w:keepNext/>
              <w:spacing w:before="0" w:after="0" w:line="240" w:lineRule="auto"/>
              <w:ind w:hanging="73"/>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1812A7">
              <w:rPr>
                <w:rFonts w:ascii="Arial Narrow" w:hAnsi="Arial Narrow"/>
                <w:sz w:val="24"/>
                <w:szCs w:val="24"/>
              </w:rPr>
              <w:t>Total Floorspace (sqm)</w:t>
            </w:r>
          </w:p>
        </w:tc>
        <w:tc>
          <w:tcPr>
            <w:tcW w:w="383" w:type="pct"/>
          </w:tcPr>
          <w:p w:rsidR="00D57B54" w:rsidRPr="001812A7" w:rsidRDefault="00D57B54" w:rsidP="001812A7">
            <w:pPr>
              <w:pStyle w:val="TableBodytext"/>
              <w:keepNext/>
              <w:spacing w:before="0" w:after="0" w:line="240" w:lineRule="auto"/>
              <w:ind w:hanging="73"/>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1812A7">
              <w:rPr>
                <w:rFonts w:ascii="Arial Narrow" w:hAnsi="Arial Narrow"/>
                <w:sz w:val="24"/>
                <w:szCs w:val="24"/>
              </w:rPr>
              <w:t>Land (ha)</w:t>
            </w:r>
          </w:p>
        </w:tc>
        <w:tc>
          <w:tcPr>
            <w:tcW w:w="1543" w:type="pct"/>
          </w:tcPr>
          <w:p w:rsidR="00D57B54" w:rsidRPr="001812A7" w:rsidRDefault="00D57B54" w:rsidP="001812A7">
            <w:pPr>
              <w:pStyle w:val="TableBodytext"/>
              <w:keepNext/>
              <w:spacing w:before="0" w:after="0" w:line="240" w:lineRule="auto"/>
              <w:ind w:hanging="73"/>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1812A7">
              <w:rPr>
                <w:rFonts w:ascii="Arial Narrow" w:hAnsi="Arial Narrow"/>
                <w:sz w:val="24"/>
                <w:szCs w:val="24"/>
              </w:rPr>
              <w:t>Scenario Chosen</w:t>
            </w:r>
          </w:p>
        </w:tc>
      </w:tr>
      <w:tr w:rsidR="00CD0F31" w:rsidRPr="001812A7" w:rsidTr="001F0D6B">
        <w:trPr>
          <w:trHeight w:val="292"/>
        </w:trPr>
        <w:tc>
          <w:tcPr>
            <w:cnfStyle w:val="001000000000" w:firstRow="0" w:lastRow="0" w:firstColumn="1" w:lastColumn="0" w:oddVBand="0" w:evenVBand="0" w:oddHBand="0" w:evenHBand="0" w:firstRowFirstColumn="0" w:firstRowLastColumn="0" w:lastRowFirstColumn="0" w:lastRowLastColumn="0"/>
            <w:tcW w:w="670" w:type="pct"/>
            <w:shd w:val="clear" w:color="auto" w:fill="FFFFFF" w:themeFill="background1"/>
            <w:vAlign w:val="center"/>
          </w:tcPr>
          <w:p w:rsidR="00CD0F31" w:rsidRPr="001812A7" w:rsidRDefault="00CD0F31" w:rsidP="00CD0F31">
            <w:pPr>
              <w:pStyle w:val="TableBodytext"/>
              <w:keepNext/>
              <w:spacing w:before="0" w:after="0" w:line="240" w:lineRule="auto"/>
              <w:ind w:hanging="73"/>
              <w:rPr>
                <w:rFonts w:ascii="Arial Narrow" w:hAnsi="Arial Narrow"/>
                <w:b w:val="0"/>
                <w:color w:val="auto"/>
                <w:sz w:val="24"/>
                <w:szCs w:val="24"/>
              </w:rPr>
            </w:pPr>
            <w:r w:rsidRPr="001812A7">
              <w:rPr>
                <w:rFonts w:ascii="Arial Narrow" w:hAnsi="Arial Narrow"/>
                <w:color w:val="auto"/>
                <w:sz w:val="24"/>
                <w:szCs w:val="24"/>
              </w:rPr>
              <w:t>B1a/b</w:t>
            </w:r>
          </w:p>
        </w:tc>
        <w:tc>
          <w:tcPr>
            <w:tcW w:w="433" w:type="pct"/>
            <w:shd w:val="clear" w:color="auto" w:fill="FFFFFF" w:themeFill="background1"/>
            <w:vAlign w:val="center"/>
          </w:tcPr>
          <w:p w:rsidR="00CD0F31" w:rsidRPr="001812A7" w:rsidRDefault="00CD0F31" w:rsidP="00CD0F31">
            <w:pPr>
              <w:keepNext/>
              <w:spacing w:line="240" w:lineRule="auto"/>
              <w:ind w:hanging="73"/>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CD0F31">
              <w:rPr>
                <w:rFonts w:ascii="Arial Narrow" w:hAnsi="Arial Narrow"/>
                <w:sz w:val="24"/>
                <w:szCs w:val="24"/>
              </w:rPr>
              <w:t>13,900</w:t>
            </w:r>
          </w:p>
        </w:tc>
        <w:tc>
          <w:tcPr>
            <w:tcW w:w="432" w:type="pct"/>
            <w:shd w:val="clear" w:color="auto" w:fill="FFFFFF" w:themeFill="background1"/>
            <w:vAlign w:val="center"/>
          </w:tcPr>
          <w:p w:rsidR="00CD0F31" w:rsidRPr="001812A7" w:rsidRDefault="00CD0F31" w:rsidP="00CD0F31">
            <w:pPr>
              <w:keepNext/>
              <w:spacing w:line="240" w:lineRule="auto"/>
              <w:ind w:hanging="73"/>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CD0F31">
              <w:rPr>
                <w:rFonts w:ascii="Arial Narrow" w:hAnsi="Arial Narrow"/>
                <w:sz w:val="24"/>
                <w:szCs w:val="24"/>
              </w:rPr>
              <w:t>10,700</w:t>
            </w:r>
          </w:p>
        </w:tc>
        <w:tc>
          <w:tcPr>
            <w:tcW w:w="432" w:type="pct"/>
            <w:shd w:val="clear" w:color="auto" w:fill="FFFFFF" w:themeFill="background1"/>
            <w:vAlign w:val="center"/>
          </w:tcPr>
          <w:p w:rsidR="00CD0F31" w:rsidRPr="00CD0F31" w:rsidRDefault="00CD0F31" w:rsidP="00CD0F31">
            <w:pPr>
              <w:keepNext/>
              <w:spacing w:line="240" w:lineRule="auto"/>
              <w:ind w:hanging="73"/>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CD0F31">
              <w:rPr>
                <w:rFonts w:ascii="Arial Narrow" w:hAnsi="Arial Narrow"/>
                <w:sz w:val="24"/>
                <w:szCs w:val="24"/>
              </w:rPr>
              <w:t>11,200</w:t>
            </w:r>
          </w:p>
        </w:tc>
        <w:tc>
          <w:tcPr>
            <w:tcW w:w="432" w:type="pct"/>
            <w:shd w:val="clear" w:color="auto" w:fill="FFFFFF" w:themeFill="background1"/>
            <w:vAlign w:val="center"/>
          </w:tcPr>
          <w:p w:rsidR="00CD0F31" w:rsidRPr="00CD0F31" w:rsidRDefault="00F22C0A" w:rsidP="00CD0F31">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Pr>
                <w:rFonts w:ascii="Arial Narrow" w:hAnsi="Arial Narrow"/>
                <w:sz w:val="24"/>
                <w:szCs w:val="24"/>
              </w:rPr>
              <w:t>6,100</w:t>
            </w:r>
          </w:p>
        </w:tc>
        <w:tc>
          <w:tcPr>
            <w:tcW w:w="674" w:type="pct"/>
            <w:shd w:val="clear" w:color="auto" w:fill="FFFFFF" w:themeFill="background1"/>
            <w:vAlign w:val="center"/>
          </w:tcPr>
          <w:p w:rsidR="00CD0F31" w:rsidRPr="00CD0F31" w:rsidRDefault="00CD0F31" w:rsidP="00CD0F31">
            <w:pPr>
              <w:keepNext/>
              <w:spacing w:line="240" w:lineRule="auto"/>
              <w:ind w:hanging="73"/>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CD0F31">
              <w:rPr>
                <w:rFonts w:ascii="Arial Narrow" w:hAnsi="Arial Narrow"/>
                <w:sz w:val="24"/>
                <w:szCs w:val="24"/>
              </w:rPr>
              <w:t>41,900</w:t>
            </w:r>
          </w:p>
        </w:tc>
        <w:tc>
          <w:tcPr>
            <w:tcW w:w="383" w:type="pct"/>
            <w:shd w:val="clear" w:color="auto" w:fill="FFFFFF" w:themeFill="background1"/>
            <w:vAlign w:val="center"/>
          </w:tcPr>
          <w:p w:rsidR="00CD0F31" w:rsidRPr="00CD0F31" w:rsidRDefault="00CD0F31" w:rsidP="00CD0F31">
            <w:pPr>
              <w:keepNext/>
              <w:spacing w:line="240" w:lineRule="auto"/>
              <w:ind w:hanging="73"/>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CD0F31">
              <w:rPr>
                <w:rFonts w:ascii="Arial Narrow" w:hAnsi="Arial Narrow"/>
                <w:sz w:val="24"/>
                <w:szCs w:val="24"/>
              </w:rPr>
              <w:t>5.6</w:t>
            </w:r>
          </w:p>
        </w:tc>
        <w:tc>
          <w:tcPr>
            <w:tcW w:w="1543" w:type="pct"/>
            <w:shd w:val="clear" w:color="auto" w:fill="FFFFFF" w:themeFill="background1"/>
          </w:tcPr>
          <w:p w:rsidR="00CD0F31" w:rsidRPr="001812A7" w:rsidRDefault="00CD0F31" w:rsidP="00CD0F31">
            <w:pPr>
              <w:keepNext/>
              <w:spacing w:line="240" w:lineRule="auto"/>
              <w:ind w:hanging="73"/>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sz w:val="24"/>
                <w:szCs w:val="24"/>
              </w:rPr>
            </w:pPr>
            <w:r w:rsidRPr="001812A7">
              <w:rPr>
                <w:rFonts w:ascii="Arial Narrow" w:hAnsi="Arial Narrow"/>
                <w:bCs/>
                <w:color w:val="000000"/>
                <w:sz w:val="24"/>
                <w:szCs w:val="24"/>
              </w:rPr>
              <w:t xml:space="preserve">Labour Demand Growth Scenario X 0.85 </w:t>
            </w:r>
            <w:r w:rsidRPr="001812A7">
              <w:rPr>
                <w:rFonts w:ascii="Arial Narrow" w:hAnsi="Arial Narrow"/>
                <w:bCs/>
                <w:color w:val="000000"/>
                <w:sz w:val="24"/>
                <w:szCs w:val="24"/>
              </w:rPr>
              <w:br/>
              <w:t>(to account for 15% reduction from Plan Area)</w:t>
            </w:r>
          </w:p>
        </w:tc>
      </w:tr>
      <w:tr w:rsidR="00042374" w:rsidRPr="001812A7" w:rsidTr="001F0D6B">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670" w:type="pct"/>
            <w:shd w:val="clear" w:color="auto" w:fill="FFFFFF" w:themeFill="background1"/>
            <w:vAlign w:val="center"/>
          </w:tcPr>
          <w:p w:rsidR="00042374" w:rsidRPr="001812A7" w:rsidRDefault="00042374" w:rsidP="001812A7">
            <w:pPr>
              <w:pStyle w:val="TableBodytext"/>
              <w:keepNext/>
              <w:spacing w:before="0" w:after="0" w:line="240" w:lineRule="auto"/>
              <w:ind w:hanging="73"/>
              <w:rPr>
                <w:rFonts w:ascii="Arial Narrow" w:hAnsi="Arial Narrow"/>
                <w:b w:val="0"/>
                <w:color w:val="auto"/>
                <w:sz w:val="24"/>
                <w:szCs w:val="24"/>
              </w:rPr>
            </w:pPr>
            <w:r w:rsidRPr="001812A7">
              <w:rPr>
                <w:rFonts w:ascii="Arial Narrow" w:hAnsi="Arial Narrow"/>
                <w:color w:val="auto"/>
                <w:sz w:val="24"/>
                <w:szCs w:val="24"/>
              </w:rPr>
              <w:t>B1c/B2</w:t>
            </w:r>
          </w:p>
        </w:tc>
        <w:tc>
          <w:tcPr>
            <w:tcW w:w="433" w:type="pct"/>
            <w:shd w:val="clear" w:color="auto" w:fill="FFFFFF" w:themeFill="background1"/>
            <w:vAlign w:val="center"/>
          </w:tcPr>
          <w:p w:rsidR="00042374" w:rsidRPr="001812A7" w:rsidRDefault="00C412ED" w:rsidP="001812A7">
            <w:pPr>
              <w:keepNext/>
              <w:spacing w:line="240" w:lineRule="auto"/>
              <w:ind w:hanging="73"/>
              <w:jc w:val="center"/>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4"/>
                <w:szCs w:val="24"/>
              </w:rPr>
            </w:pPr>
            <w:r>
              <w:rPr>
                <w:rFonts w:ascii="Arial Narrow" w:hAnsi="Arial Narrow"/>
                <w:sz w:val="24"/>
                <w:szCs w:val="24"/>
              </w:rPr>
              <w:t>10,700</w:t>
            </w:r>
          </w:p>
        </w:tc>
        <w:tc>
          <w:tcPr>
            <w:tcW w:w="432" w:type="pct"/>
            <w:shd w:val="clear" w:color="auto" w:fill="FFFFFF" w:themeFill="background1"/>
            <w:vAlign w:val="center"/>
          </w:tcPr>
          <w:p w:rsidR="00042374" w:rsidRPr="001812A7" w:rsidRDefault="00C412ED" w:rsidP="001812A7">
            <w:pPr>
              <w:keepNext/>
              <w:spacing w:line="240" w:lineRule="auto"/>
              <w:ind w:hanging="73"/>
              <w:jc w:val="center"/>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4"/>
                <w:szCs w:val="24"/>
              </w:rPr>
            </w:pPr>
            <w:r>
              <w:rPr>
                <w:rFonts w:ascii="Arial Narrow" w:hAnsi="Arial Narrow"/>
                <w:sz w:val="24"/>
                <w:szCs w:val="24"/>
              </w:rPr>
              <w:t>10,700</w:t>
            </w:r>
          </w:p>
        </w:tc>
        <w:tc>
          <w:tcPr>
            <w:tcW w:w="432" w:type="pct"/>
            <w:shd w:val="clear" w:color="auto" w:fill="FFFFFF" w:themeFill="background1"/>
            <w:vAlign w:val="center"/>
          </w:tcPr>
          <w:p w:rsidR="00042374" w:rsidRPr="001812A7" w:rsidRDefault="00C412ED" w:rsidP="001812A7">
            <w:pPr>
              <w:keepNext/>
              <w:spacing w:line="240" w:lineRule="auto"/>
              <w:ind w:hanging="73"/>
              <w:jc w:val="center"/>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4"/>
                <w:szCs w:val="24"/>
              </w:rPr>
            </w:pPr>
            <w:r>
              <w:rPr>
                <w:rFonts w:ascii="Arial Narrow" w:hAnsi="Arial Narrow"/>
                <w:sz w:val="24"/>
                <w:szCs w:val="24"/>
              </w:rPr>
              <w:t>10,700</w:t>
            </w:r>
          </w:p>
        </w:tc>
        <w:tc>
          <w:tcPr>
            <w:tcW w:w="432" w:type="pct"/>
            <w:shd w:val="clear" w:color="auto" w:fill="FFFFFF" w:themeFill="background1"/>
            <w:vAlign w:val="center"/>
          </w:tcPr>
          <w:p w:rsidR="00042374" w:rsidRPr="001812A7" w:rsidRDefault="00C412ED" w:rsidP="001812A7">
            <w:pPr>
              <w:keepNext/>
              <w:spacing w:line="240" w:lineRule="auto"/>
              <w:ind w:hanging="73"/>
              <w:jc w:val="center"/>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4"/>
                <w:szCs w:val="24"/>
              </w:rPr>
            </w:pPr>
            <w:r>
              <w:rPr>
                <w:rFonts w:ascii="Arial Narrow" w:hAnsi="Arial Narrow"/>
                <w:color w:val="000000"/>
                <w:sz w:val="24"/>
                <w:szCs w:val="24"/>
              </w:rPr>
              <w:t>6,400</w:t>
            </w:r>
          </w:p>
        </w:tc>
        <w:tc>
          <w:tcPr>
            <w:tcW w:w="674" w:type="pct"/>
            <w:shd w:val="clear" w:color="auto" w:fill="FFFFFF" w:themeFill="background1"/>
            <w:vAlign w:val="center"/>
          </w:tcPr>
          <w:p w:rsidR="00042374" w:rsidRPr="001812A7" w:rsidRDefault="00CD0F31" w:rsidP="001812A7">
            <w:pPr>
              <w:keepNext/>
              <w:spacing w:line="240" w:lineRule="auto"/>
              <w:ind w:hanging="73"/>
              <w:jc w:val="center"/>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4"/>
                <w:szCs w:val="24"/>
              </w:rPr>
            </w:pPr>
            <w:r>
              <w:rPr>
                <w:rFonts w:ascii="Arial Narrow" w:hAnsi="Arial Narrow"/>
                <w:color w:val="000000"/>
                <w:sz w:val="24"/>
                <w:szCs w:val="24"/>
              </w:rPr>
              <w:t>38,400</w:t>
            </w:r>
          </w:p>
        </w:tc>
        <w:tc>
          <w:tcPr>
            <w:tcW w:w="383" w:type="pct"/>
            <w:shd w:val="clear" w:color="auto" w:fill="FFFFFF" w:themeFill="background1"/>
            <w:vAlign w:val="center"/>
          </w:tcPr>
          <w:p w:rsidR="00042374" w:rsidRPr="001812A7" w:rsidRDefault="00CD0F31" w:rsidP="001812A7">
            <w:pPr>
              <w:keepNext/>
              <w:spacing w:line="240" w:lineRule="auto"/>
              <w:ind w:hanging="73"/>
              <w:jc w:val="center"/>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4"/>
                <w:szCs w:val="24"/>
              </w:rPr>
            </w:pPr>
            <w:r>
              <w:rPr>
                <w:rFonts w:ascii="Arial Narrow" w:hAnsi="Arial Narrow"/>
                <w:sz w:val="24"/>
                <w:szCs w:val="24"/>
              </w:rPr>
              <w:t>9.6</w:t>
            </w:r>
          </w:p>
        </w:tc>
        <w:tc>
          <w:tcPr>
            <w:tcW w:w="1543" w:type="pct"/>
            <w:shd w:val="clear" w:color="auto" w:fill="FFFFFF" w:themeFill="background1"/>
          </w:tcPr>
          <w:p w:rsidR="00042374" w:rsidRPr="001812A7" w:rsidRDefault="00042374" w:rsidP="001812A7">
            <w:pPr>
              <w:keepNext/>
              <w:spacing w:line="240" w:lineRule="auto"/>
              <w:ind w:hanging="73"/>
              <w:jc w:val="center"/>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4"/>
                <w:szCs w:val="24"/>
              </w:rPr>
            </w:pPr>
            <w:r w:rsidRPr="001812A7">
              <w:rPr>
                <w:rFonts w:ascii="Arial Narrow" w:hAnsi="Arial Narrow"/>
                <w:bCs/>
                <w:color w:val="000000"/>
                <w:sz w:val="24"/>
                <w:szCs w:val="24"/>
              </w:rPr>
              <w:t>Net Completions Trend</w:t>
            </w:r>
          </w:p>
        </w:tc>
      </w:tr>
      <w:tr w:rsidR="00042374" w:rsidRPr="001812A7" w:rsidTr="001F0D6B">
        <w:trPr>
          <w:trHeight w:val="317"/>
        </w:trPr>
        <w:tc>
          <w:tcPr>
            <w:cnfStyle w:val="001000000000" w:firstRow="0" w:lastRow="0" w:firstColumn="1" w:lastColumn="0" w:oddVBand="0" w:evenVBand="0" w:oddHBand="0" w:evenHBand="0" w:firstRowFirstColumn="0" w:firstRowLastColumn="0" w:lastRowFirstColumn="0" w:lastRowLastColumn="0"/>
            <w:tcW w:w="670" w:type="pct"/>
            <w:shd w:val="clear" w:color="auto" w:fill="FFFFFF" w:themeFill="background1"/>
            <w:vAlign w:val="center"/>
          </w:tcPr>
          <w:p w:rsidR="00042374" w:rsidRPr="001812A7" w:rsidRDefault="00042374" w:rsidP="001812A7">
            <w:pPr>
              <w:pStyle w:val="TableBodytext"/>
              <w:keepNext/>
              <w:spacing w:before="0" w:after="0" w:line="240" w:lineRule="auto"/>
              <w:ind w:hanging="73"/>
              <w:rPr>
                <w:rFonts w:ascii="Arial Narrow" w:hAnsi="Arial Narrow"/>
                <w:b w:val="0"/>
                <w:color w:val="auto"/>
                <w:sz w:val="24"/>
                <w:szCs w:val="24"/>
              </w:rPr>
            </w:pPr>
            <w:r w:rsidRPr="001812A7">
              <w:rPr>
                <w:rFonts w:ascii="Arial Narrow" w:hAnsi="Arial Narrow"/>
                <w:color w:val="auto"/>
                <w:sz w:val="24"/>
                <w:szCs w:val="24"/>
              </w:rPr>
              <w:t>B8</w:t>
            </w:r>
          </w:p>
        </w:tc>
        <w:tc>
          <w:tcPr>
            <w:tcW w:w="433" w:type="pct"/>
            <w:shd w:val="clear" w:color="auto" w:fill="FFFFFF" w:themeFill="background1"/>
            <w:vAlign w:val="center"/>
          </w:tcPr>
          <w:p w:rsidR="00042374" w:rsidRPr="001812A7" w:rsidRDefault="00C412ED" w:rsidP="001812A7">
            <w:pPr>
              <w:keepNext/>
              <w:spacing w:line="240" w:lineRule="auto"/>
              <w:ind w:hanging="73"/>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sz w:val="24"/>
                <w:szCs w:val="24"/>
              </w:rPr>
            </w:pPr>
            <w:r>
              <w:rPr>
                <w:rFonts w:ascii="Arial Narrow" w:hAnsi="Arial Narrow"/>
                <w:sz w:val="24"/>
                <w:szCs w:val="24"/>
              </w:rPr>
              <w:t>16,300</w:t>
            </w:r>
          </w:p>
        </w:tc>
        <w:tc>
          <w:tcPr>
            <w:tcW w:w="432" w:type="pct"/>
            <w:shd w:val="clear" w:color="auto" w:fill="FFFFFF" w:themeFill="background1"/>
            <w:vAlign w:val="center"/>
          </w:tcPr>
          <w:p w:rsidR="00042374" w:rsidRPr="001812A7" w:rsidRDefault="00C412ED" w:rsidP="001812A7">
            <w:pPr>
              <w:keepNext/>
              <w:spacing w:line="240" w:lineRule="auto"/>
              <w:ind w:hanging="73"/>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sz w:val="24"/>
                <w:szCs w:val="24"/>
              </w:rPr>
            </w:pPr>
            <w:r>
              <w:rPr>
                <w:rFonts w:ascii="Arial Narrow" w:hAnsi="Arial Narrow"/>
                <w:sz w:val="24"/>
                <w:szCs w:val="24"/>
              </w:rPr>
              <w:t>16,300</w:t>
            </w:r>
          </w:p>
        </w:tc>
        <w:tc>
          <w:tcPr>
            <w:tcW w:w="432" w:type="pct"/>
            <w:shd w:val="clear" w:color="auto" w:fill="FFFFFF" w:themeFill="background1"/>
            <w:vAlign w:val="center"/>
          </w:tcPr>
          <w:p w:rsidR="00042374" w:rsidRPr="001812A7" w:rsidRDefault="00C412ED" w:rsidP="001812A7">
            <w:pPr>
              <w:keepNext/>
              <w:spacing w:line="240" w:lineRule="auto"/>
              <w:ind w:hanging="73"/>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sz w:val="24"/>
                <w:szCs w:val="24"/>
              </w:rPr>
            </w:pPr>
            <w:r>
              <w:rPr>
                <w:rFonts w:ascii="Arial Narrow" w:hAnsi="Arial Narrow"/>
                <w:sz w:val="24"/>
                <w:szCs w:val="24"/>
              </w:rPr>
              <w:t>16,300</w:t>
            </w:r>
          </w:p>
        </w:tc>
        <w:tc>
          <w:tcPr>
            <w:tcW w:w="432" w:type="pct"/>
            <w:shd w:val="clear" w:color="auto" w:fill="FFFFFF" w:themeFill="background1"/>
            <w:vAlign w:val="center"/>
          </w:tcPr>
          <w:p w:rsidR="00042374" w:rsidRPr="001812A7" w:rsidRDefault="00C412ED" w:rsidP="001812A7">
            <w:pPr>
              <w:keepNext/>
              <w:spacing w:line="240" w:lineRule="auto"/>
              <w:ind w:hanging="73"/>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sz w:val="24"/>
                <w:szCs w:val="24"/>
              </w:rPr>
            </w:pPr>
            <w:r>
              <w:rPr>
                <w:rFonts w:ascii="Arial Narrow" w:hAnsi="Arial Narrow"/>
                <w:color w:val="000000"/>
                <w:sz w:val="24"/>
                <w:szCs w:val="24"/>
              </w:rPr>
              <w:t>9,800</w:t>
            </w:r>
          </w:p>
        </w:tc>
        <w:tc>
          <w:tcPr>
            <w:tcW w:w="674" w:type="pct"/>
            <w:shd w:val="clear" w:color="auto" w:fill="FFFFFF" w:themeFill="background1"/>
            <w:vAlign w:val="center"/>
          </w:tcPr>
          <w:p w:rsidR="00042374" w:rsidRPr="001812A7" w:rsidRDefault="00CD0F31" w:rsidP="001812A7">
            <w:pPr>
              <w:keepNext/>
              <w:spacing w:line="240" w:lineRule="auto"/>
              <w:ind w:hanging="73"/>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sz w:val="24"/>
                <w:szCs w:val="24"/>
              </w:rPr>
            </w:pPr>
            <w:r>
              <w:rPr>
                <w:rFonts w:ascii="Arial Narrow" w:hAnsi="Arial Narrow"/>
                <w:color w:val="000000"/>
                <w:sz w:val="24"/>
                <w:szCs w:val="24"/>
              </w:rPr>
              <w:t>58,800</w:t>
            </w:r>
          </w:p>
        </w:tc>
        <w:tc>
          <w:tcPr>
            <w:tcW w:w="383" w:type="pct"/>
            <w:shd w:val="clear" w:color="auto" w:fill="FFFFFF" w:themeFill="background1"/>
            <w:vAlign w:val="center"/>
          </w:tcPr>
          <w:p w:rsidR="00042374" w:rsidRPr="001812A7" w:rsidRDefault="00042374" w:rsidP="001812A7">
            <w:pPr>
              <w:keepNext/>
              <w:spacing w:line="240" w:lineRule="auto"/>
              <w:ind w:hanging="73"/>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sz w:val="24"/>
                <w:szCs w:val="24"/>
              </w:rPr>
            </w:pPr>
            <w:r w:rsidRPr="001812A7">
              <w:rPr>
                <w:rFonts w:ascii="Arial Narrow" w:hAnsi="Arial Narrow" w:cstheme="minorHAnsi"/>
                <w:sz w:val="24"/>
                <w:szCs w:val="24"/>
              </w:rPr>
              <w:t>11.8</w:t>
            </w:r>
          </w:p>
        </w:tc>
        <w:tc>
          <w:tcPr>
            <w:tcW w:w="1543" w:type="pct"/>
            <w:shd w:val="clear" w:color="auto" w:fill="FFFFFF" w:themeFill="background1"/>
          </w:tcPr>
          <w:p w:rsidR="00042374" w:rsidRPr="001812A7" w:rsidRDefault="00042374" w:rsidP="001812A7">
            <w:pPr>
              <w:keepNext/>
              <w:spacing w:line="240" w:lineRule="auto"/>
              <w:ind w:hanging="73"/>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sz w:val="24"/>
                <w:szCs w:val="24"/>
              </w:rPr>
            </w:pPr>
            <w:r w:rsidRPr="001812A7">
              <w:rPr>
                <w:rFonts w:ascii="Arial Narrow" w:hAnsi="Arial Narrow"/>
                <w:bCs/>
                <w:color w:val="000000"/>
                <w:sz w:val="24"/>
                <w:szCs w:val="24"/>
              </w:rPr>
              <w:t>Net Completions Trend</w:t>
            </w:r>
          </w:p>
        </w:tc>
      </w:tr>
      <w:tr w:rsidR="00042374" w:rsidRPr="001812A7" w:rsidTr="001F0D6B">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70" w:type="pct"/>
            <w:shd w:val="clear" w:color="auto" w:fill="FFFFFF" w:themeFill="background1"/>
            <w:vAlign w:val="center"/>
          </w:tcPr>
          <w:p w:rsidR="00042374" w:rsidRPr="001812A7" w:rsidRDefault="00042374" w:rsidP="001812A7">
            <w:pPr>
              <w:pStyle w:val="TableBodytext"/>
              <w:keepNext/>
              <w:spacing w:before="0" w:after="0" w:line="240" w:lineRule="auto"/>
              <w:ind w:hanging="73"/>
              <w:rPr>
                <w:rFonts w:ascii="Arial Narrow" w:hAnsi="Arial Narrow"/>
                <w:color w:val="auto"/>
                <w:sz w:val="24"/>
                <w:szCs w:val="24"/>
              </w:rPr>
            </w:pPr>
            <w:r w:rsidRPr="001812A7">
              <w:rPr>
                <w:rFonts w:ascii="Arial Narrow" w:hAnsi="Arial Narrow"/>
                <w:color w:val="auto"/>
                <w:sz w:val="24"/>
                <w:szCs w:val="24"/>
              </w:rPr>
              <w:t>Total</w:t>
            </w:r>
          </w:p>
        </w:tc>
        <w:tc>
          <w:tcPr>
            <w:tcW w:w="433" w:type="pct"/>
            <w:shd w:val="clear" w:color="auto" w:fill="FFFFFF" w:themeFill="background1"/>
            <w:vAlign w:val="center"/>
          </w:tcPr>
          <w:p w:rsidR="00042374" w:rsidRPr="001812A7" w:rsidRDefault="00F22C0A" w:rsidP="001812A7">
            <w:pPr>
              <w:keepNext/>
              <w:spacing w:line="240" w:lineRule="auto"/>
              <w:ind w:hanging="73"/>
              <w:jc w:val="center"/>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sz w:val="24"/>
                <w:szCs w:val="24"/>
              </w:rPr>
            </w:pPr>
            <w:r>
              <w:rPr>
                <w:rFonts w:ascii="Arial Narrow" w:hAnsi="Arial Narrow"/>
                <w:sz w:val="24"/>
                <w:szCs w:val="24"/>
              </w:rPr>
              <w:t>40,900</w:t>
            </w:r>
          </w:p>
        </w:tc>
        <w:tc>
          <w:tcPr>
            <w:tcW w:w="432" w:type="pct"/>
            <w:shd w:val="clear" w:color="auto" w:fill="FFFFFF" w:themeFill="background1"/>
            <w:vAlign w:val="center"/>
          </w:tcPr>
          <w:p w:rsidR="00042374" w:rsidRPr="001812A7" w:rsidRDefault="00F22C0A" w:rsidP="001812A7">
            <w:pPr>
              <w:keepNext/>
              <w:spacing w:line="240" w:lineRule="auto"/>
              <w:ind w:hanging="73"/>
              <w:jc w:val="center"/>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sz w:val="24"/>
                <w:szCs w:val="24"/>
              </w:rPr>
            </w:pPr>
            <w:r>
              <w:rPr>
                <w:rFonts w:ascii="Arial Narrow" w:hAnsi="Arial Narrow"/>
                <w:sz w:val="24"/>
                <w:szCs w:val="24"/>
              </w:rPr>
              <w:t>37,700</w:t>
            </w:r>
          </w:p>
        </w:tc>
        <w:tc>
          <w:tcPr>
            <w:tcW w:w="432" w:type="pct"/>
            <w:shd w:val="clear" w:color="auto" w:fill="FFFFFF" w:themeFill="background1"/>
            <w:vAlign w:val="center"/>
          </w:tcPr>
          <w:p w:rsidR="00042374" w:rsidRPr="001812A7" w:rsidRDefault="00F22C0A" w:rsidP="001812A7">
            <w:pPr>
              <w:keepNext/>
              <w:spacing w:line="240" w:lineRule="auto"/>
              <w:ind w:hanging="73"/>
              <w:jc w:val="center"/>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sz w:val="24"/>
                <w:szCs w:val="24"/>
              </w:rPr>
            </w:pPr>
            <w:r>
              <w:rPr>
                <w:rFonts w:ascii="Arial Narrow" w:hAnsi="Arial Narrow"/>
                <w:sz w:val="24"/>
                <w:szCs w:val="24"/>
              </w:rPr>
              <w:t>38,200</w:t>
            </w:r>
          </w:p>
        </w:tc>
        <w:tc>
          <w:tcPr>
            <w:tcW w:w="432" w:type="pct"/>
            <w:shd w:val="clear" w:color="auto" w:fill="FFFFFF" w:themeFill="background1"/>
            <w:vAlign w:val="center"/>
          </w:tcPr>
          <w:p w:rsidR="00042374" w:rsidRPr="001812A7" w:rsidRDefault="00F22C0A" w:rsidP="001812A7">
            <w:pPr>
              <w:keepNext/>
              <w:spacing w:line="240" w:lineRule="auto"/>
              <w:ind w:hanging="73"/>
              <w:jc w:val="center"/>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sz w:val="24"/>
                <w:szCs w:val="24"/>
              </w:rPr>
            </w:pPr>
            <w:r>
              <w:rPr>
                <w:rFonts w:ascii="Arial Narrow" w:hAnsi="Arial Narrow"/>
                <w:color w:val="000000"/>
                <w:sz w:val="24"/>
                <w:szCs w:val="24"/>
              </w:rPr>
              <w:t>22,300</w:t>
            </w:r>
          </w:p>
        </w:tc>
        <w:tc>
          <w:tcPr>
            <w:tcW w:w="674" w:type="pct"/>
            <w:shd w:val="clear" w:color="auto" w:fill="FFFFFF" w:themeFill="background1"/>
            <w:vAlign w:val="bottom"/>
          </w:tcPr>
          <w:p w:rsidR="00042374" w:rsidRPr="001812A7" w:rsidRDefault="00C97A0A" w:rsidP="001812A7">
            <w:pPr>
              <w:keepNext/>
              <w:spacing w:line="240" w:lineRule="auto"/>
              <w:ind w:hanging="73"/>
              <w:jc w:val="center"/>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sz w:val="24"/>
                <w:szCs w:val="24"/>
              </w:rPr>
            </w:pPr>
            <w:r>
              <w:rPr>
                <w:rFonts w:ascii="Arial Narrow" w:hAnsi="Arial Narrow"/>
                <w:b/>
                <w:bCs/>
                <w:color w:val="000000"/>
                <w:sz w:val="24"/>
                <w:szCs w:val="24"/>
              </w:rPr>
              <w:t>139,100</w:t>
            </w:r>
          </w:p>
        </w:tc>
        <w:tc>
          <w:tcPr>
            <w:tcW w:w="383" w:type="pct"/>
            <w:shd w:val="clear" w:color="auto" w:fill="FFFFFF" w:themeFill="background1"/>
            <w:vAlign w:val="bottom"/>
          </w:tcPr>
          <w:p w:rsidR="00042374" w:rsidRPr="001812A7" w:rsidRDefault="00CD0F31" w:rsidP="001812A7">
            <w:pPr>
              <w:keepNext/>
              <w:spacing w:line="240" w:lineRule="auto"/>
              <w:ind w:hanging="73"/>
              <w:jc w:val="center"/>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sz w:val="24"/>
                <w:szCs w:val="24"/>
              </w:rPr>
            </w:pPr>
            <w:r>
              <w:rPr>
                <w:rFonts w:ascii="Arial Narrow" w:hAnsi="Arial Narrow" w:cstheme="minorHAnsi"/>
                <w:b/>
                <w:bCs/>
                <w:color w:val="000000"/>
                <w:sz w:val="24"/>
                <w:szCs w:val="24"/>
              </w:rPr>
              <w:t>26.9</w:t>
            </w:r>
          </w:p>
        </w:tc>
        <w:tc>
          <w:tcPr>
            <w:tcW w:w="1543" w:type="pct"/>
            <w:shd w:val="clear" w:color="auto" w:fill="FFFFFF" w:themeFill="background1"/>
          </w:tcPr>
          <w:p w:rsidR="00042374" w:rsidRPr="001812A7" w:rsidRDefault="00042374" w:rsidP="001812A7">
            <w:pPr>
              <w:keepNext/>
              <w:spacing w:line="240" w:lineRule="auto"/>
              <w:ind w:hanging="73"/>
              <w:jc w:val="center"/>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4"/>
                <w:szCs w:val="24"/>
              </w:rPr>
            </w:pPr>
          </w:p>
        </w:tc>
      </w:tr>
    </w:tbl>
    <w:p w:rsidR="00D57B54" w:rsidRDefault="00D57B54" w:rsidP="009719FA">
      <w:pPr>
        <w:pStyle w:val="11Bodytext"/>
        <w:numPr>
          <w:ilvl w:val="0"/>
          <w:numId w:val="0"/>
        </w:numPr>
        <w:spacing w:before="0" w:after="0" w:line="240" w:lineRule="auto"/>
      </w:pPr>
      <w:r w:rsidRPr="00CA47B9">
        <w:t>Source: GL Hearn based on Oxford Economics and Chichester District Council data</w:t>
      </w:r>
    </w:p>
    <w:p w:rsidR="001812A7" w:rsidRDefault="001812A7" w:rsidP="001812A7">
      <w:pPr>
        <w:pStyle w:val="11Bodytext"/>
        <w:numPr>
          <w:ilvl w:val="0"/>
          <w:numId w:val="0"/>
        </w:numPr>
        <w:spacing w:before="0" w:after="0" w:line="240" w:lineRule="auto"/>
        <w:ind w:left="794"/>
      </w:pPr>
    </w:p>
    <w:p w:rsidR="00A6174E" w:rsidRPr="00CA47B9" w:rsidRDefault="00A6174E" w:rsidP="009719FA">
      <w:pPr>
        <w:pStyle w:val="Tableheading"/>
        <w:tabs>
          <w:tab w:val="clear" w:pos="794"/>
          <w:tab w:val="clear" w:pos="1843"/>
          <w:tab w:val="left" w:pos="0"/>
        </w:tabs>
        <w:spacing w:line="240" w:lineRule="auto"/>
        <w:ind w:left="0" w:firstLine="0"/>
      </w:pPr>
      <w:r>
        <w:t>Future Horticultural Floorspace and Plot (Land) Needs 2019-3</w:t>
      </w:r>
      <w:r w:rsidR="009F018A">
        <w:t>7</w:t>
      </w:r>
      <w:r>
        <w:t xml:space="preserve"> (ha) </w:t>
      </w:r>
    </w:p>
    <w:tbl>
      <w:tblPr>
        <w:tblStyle w:val="GLHearntable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77: Future Horticultural Floorspace and Plot (Land) Needs 2019-37 (ha) "/>
      </w:tblPr>
      <w:tblGrid>
        <w:gridCol w:w="3203"/>
        <w:gridCol w:w="777"/>
        <w:gridCol w:w="1266"/>
        <w:gridCol w:w="774"/>
        <w:gridCol w:w="1266"/>
        <w:gridCol w:w="1280"/>
        <w:gridCol w:w="1281"/>
      </w:tblGrid>
      <w:tr w:rsidR="00A6174E" w:rsidRPr="001812A7" w:rsidTr="00C15BDF">
        <w:trPr>
          <w:cnfStyle w:val="100000000000" w:firstRow="1" w:lastRow="0" w:firstColumn="0" w:lastColumn="0" w:oddVBand="0" w:evenVBand="0" w:oddHBand="0" w:evenHBand="0" w:firstRowFirstColumn="0" w:firstRowLastColumn="0" w:lastRowFirstColumn="0" w:lastRowLastColumn="0"/>
          <w:trHeight w:val="297"/>
          <w:tblHeader/>
        </w:trPr>
        <w:tc>
          <w:tcPr>
            <w:cnfStyle w:val="001000000000" w:firstRow="0" w:lastRow="0" w:firstColumn="1" w:lastColumn="0" w:oddVBand="0" w:evenVBand="0" w:oddHBand="0" w:evenHBand="0" w:firstRowFirstColumn="0" w:firstRowLastColumn="0" w:lastRowFirstColumn="0" w:lastRowLastColumn="0"/>
            <w:tcW w:w="1209" w:type="pct"/>
            <w:noWrap/>
          </w:tcPr>
          <w:p w:rsidR="00A6174E" w:rsidRPr="001812A7" w:rsidRDefault="00A6174E" w:rsidP="001812A7">
            <w:pPr>
              <w:keepNext/>
              <w:spacing w:line="240" w:lineRule="auto"/>
              <w:rPr>
                <w:rFonts w:ascii="Arial Narrow" w:hAnsi="Arial Narrow"/>
                <w:b w:val="0"/>
                <w:bCs/>
                <w:sz w:val="24"/>
                <w:szCs w:val="24"/>
              </w:rPr>
            </w:pPr>
          </w:p>
        </w:tc>
        <w:tc>
          <w:tcPr>
            <w:tcW w:w="547" w:type="pct"/>
          </w:tcPr>
          <w:p w:rsidR="00A6174E" w:rsidRPr="001812A7" w:rsidRDefault="00A6174E" w:rsidP="001812A7">
            <w:pPr>
              <w:keepN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Cs/>
                <w:sz w:val="24"/>
                <w:szCs w:val="24"/>
              </w:rPr>
            </w:pPr>
            <w:r w:rsidRPr="001812A7">
              <w:rPr>
                <w:rFonts w:ascii="Arial Narrow" w:hAnsi="Arial Narrow"/>
                <w:bCs/>
                <w:sz w:val="24"/>
                <w:szCs w:val="24"/>
              </w:rPr>
              <w:t>Plot ratio</w:t>
            </w:r>
          </w:p>
        </w:tc>
        <w:tc>
          <w:tcPr>
            <w:tcW w:w="547" w:type="pct"/>
          </w:tcPr>
          <w:p w:rsidR="00A6174E" w:rsidRPr="001812A7" w:rsidRDefault="00A6174E" w:rsidP="001812A7">
            <w:pPr>
              <w:keepN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sz w:val="24"/>
                <w:szCs w:val="24"/>
              </w:rPr>
            </w:pPr>
            <w:r w:rsidRPr="001812A7">
              <w:rPr>
                <w:rFonts w:ascii="Arial Narrow" w:hAnsi="Arial Narrow"/>
                <w:bCs/>
                <w:sz w:val="24"/>
                <w:szCs w:val="24"/>
              </w:rPr>
              <w:t>Floorspace</w:t>
            </w:r>
          </w:p>
          <w:p w:rsidR="00A6174E" w:rsidRPr="001812A7" w:rsidRDefault="00A6174E" w:rsidP="001812A7">
            <w:pPr>
              <w:keepN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Cs/>
                <w:sz w:val="24"/>
                <w:szCs w:val="24"/>
              </w:rPr>
            </w:pPr>
            <w:r w:rsidRPr="001812A7">
              <w:rPr>
                <w:rFonts w:ascii="Arial Narrow" w:hAnsi="Arial Narrow"/>
                <w:bCs/>
                <w:sz w:val="24"/>
                <w:szCs w:val="24"/>
              </w:rPr>
              <w:t>(HDA)</w:t>
            </w:r>
          </w:p>
        </w:tc>
        <w:tc>
          <w:tcPr>
            <w:tcW w:w="545" w:type="pct"/>
          </w:tcPr>
          <w:p w:rsidR="00A6174E" w:rsidRPr="001812A7" w:rsidRDefault="00A6174E" w:rsidP="001812A7">
            <w:pPr>
              <w:keepN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Cs/>
                <w:sz w:val="24"/>
                <w:szCs w:val="24"/>
              </w:rPr>
            </w:pPr>
            <w:r w:rsidRPr="001812A7">
              <w:rPr>
                <w:rFonts w:ascii="Arial Narrow" w:hAnsi="Arial Narrow"/>
                <w:bCs/>
                <w:sz w:val="24"/>
                <w:szCs w:val="24"/>
              </w:rPr>
              <w:t>Plot (HDA)</w:t>
            </w:r>
          </w:p>
        </w:tc>
        <w:tc>
          <w:tcPr>
            <w:tcW w:w="545" w:type="pct"/>
          </w:tcPr>
          <w:p w:rsidR="00A6174E" w:rsidRPr="001812A7" w:rsidRDefault="00A6174E" w:rsidP="001812A7">
            <w:pPr>
              <w:keepN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sz w:val="24"/>
                <w:szCs w:val="24"/>
              </w:rPr>
            </w:pPr>
            <w:r w:rsidRPr="001812A7">
              <w:rPr>
                <w:rFonts w:ascii="Arial Narrow" w:hAnsi="Arial Narrow"/>
                <w:bCs/>
                <w:sz w:val="24"/>
                <w:szCs w:val="24"/>
              </w:rPr>
              <w:t xml:space="preserve">Floorspace </w:t>
            </w:r>
          </w:p>
          <w:p w:rsidR="00A6174E" w:rsidRPr="001812A7" w:rsidRDefault="00A6174E" w:rsidP="001812A7">
            <w:pPr>
              <w:keepN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Cs/>
                <w:sz w:val="24"/>
                <w:szCs w:val="24"/>
              </w:rPr>
            </w:pPr>
            <w:r w:rsidRPr="001812A7">
              <w:rPr>
                <w:rFonts w:ascii="Arial Narrow" w:hAnsi="Arial Narrow"/>
                <w:bCs/>
                <w:sz w:val="24"/>
                <w:szCs w:val="24"/>
              </w:rPr>
              <w:t>(Non HDA)</w:t>
            </w:r>
          </w:p>
        </w:tc>
        <w:tc>
          <w:tcPr>
            <w:tcW w:w="803" w:type="pct"/>
          </w:tcPr>
          <w:p w:rsidR="00A6174E" w:rsidRPr="001812A7" w:rsidRDefault="00A6174E" w:rsidP="001812A7">
            <w:pPr>
              <w:keepN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Cs/>
                <w:sz w:val="24"/>
                <w:szCs w:val="24"/>
              </w:rPr>
            </w:pPr>
            <w:r w:rsidRPr="001812A7">
              <w:rPr>
                <w:rFonts w:ascii="Arial Narrow" w:hAnsi="Arial Narrow"/>
                <w:bCs/>
                <w:sz w:val="24"/>
                <w:szCs w:val="24"/>
              </w:rPr>
              <w:t>Plot (Non HDA)</w:t>
            </w:r>
          </w:p>
        </w:tc>
        <w:tc>
          <w:tcPr>
            <w:tcW w:w="803" w:type="pct"/>
          </w:tcPr>
          <w:p w:rsidR="00A6174E" w:rsidRPr="001812A7" w:rsidRDefault="00A6174E" w:rsidP="001812A7">
            <w:pPr>
              <w:keepN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Cs/>
                <w:sz w:val="24"/>
                <w:szCs w:val="24"/>
              </w:rPr>
            </w:pPr>
            <w:r w:rsidRPr="001812A7">
              <w:rPr>
                <w:rFonts w:ascii="Arial Narrow" w:hAnsi="Arial Narrow"/>
                <w:bCs/>
                <w:sz w:val="24"/>
                <w:szCs w:val="24"/>
              </w:rPr>
              <w:t>Total Plot (sum)</w:t>
            </w:r>
          </w:p>
        </w:tc>
      </w:tr>
      <w:tr w:rsidR="00A6174E" w:rsidRPr="001812A7" w:rsidTr="001F0D6B">
        <w:trPr>
          <w:trHeight w:val="325"/>
        </w:trPr>
        <w:tc>
          <w:tcPr>
            <w:cnfStyle w:val="001000000000" w:firstRow="0" w:lastRow="0" w:firstColumn="1" w:lastColumn="0" w:oddVBand="0" w:evenVBand="0" w:oddHBand="0" w:evenHBand="0" w:firstRowFirstColumn="0" w:firstRowLastColumn="0" w:lastRowFirstColumn="0" w:lastRowLastColumn="0"/>
            <w:tcW w:w="1209" w:type="pct"/>
            <w:shd w:val="clear" w:color="auto" w:fill="FFFFFF" w:themeFill="background1"/>
            <w:noWrap/>
            <w:vAlign w:val="center"/>
            <w:hideMark/>
          </w:tcPr>
          <w:p w:rsidR="00A6174E" w:rsidRPr="001812A7" w:rsidRDefault="00A6174E" w:rsidP="001812A7">
            <w:pPr>
              <w:keepNext/>
              <w:spacing w:line="240" w:lineRule="auto"/>
              <w:rPr>
                <w:rFonts w:ascii="Arial Narrow" w:hAnsi="Arial Narrow"/>
                <w:b w:val="0"/>
                <w:bCs/>
                <w:color w:val="000000"/>
                <w:sz w:val="24"/>
                <w:szCs w:val="24"/>
              </w:rPr>
            </w:pPr>
            <w:r w:rsidRPr="001812A7">
              <w:rPr>
                <w:rFonts w:ascii="Arial Narrow" w:hAnsi="Arial Narrow"/>
                <w:b w:val="0"/>
                <w:bCs/>
                <w:color w:val="000000"/>
                <w:sz w:val="24"/>
                <w:szCs w:val="24"/>
              </w:rPr>
              <w:t>Glasshouse net</w:t>
            </w:r>
          </w:p>
        </w:tc>
        <w:tc>
          <w:tcPr>
            <w:tcW w:w="547" w:type="pct"/>
            <w:shd w:val="clear" w:color="auto" w:fill="FFFFFF" w:themeFill="background1"/>
            <w:vAlign w:val="center"/>
          </w:tcPr>
          <w:p w:rsidR="00A6174E" w:rsidRPr="001812A7" w:rsidRDefault="00A6174E" w:rsidP="001812A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sz w:val="24"/>
                <w:szCs w:val="24"/>
              </w:rPr>
            </w:pPr>
            <w:r w:rsidRPr="001812A7">
              <w:rPr>
                <w:rFonts w:ascii="Arial Narrow" w:hAnsi="Arial Narrow"/>
                <w:bCs/>
                <w:color w:val="000000"/>
                <w:sz w:val="24"/>
                <w:szCs w:val="24"/>
              </w:rPr>
              <w:t>0.62</w:t>
            </w:r>
          </w:p>
        </w:tc>
        <w:tc>
          <w:tcPr>
            <w:tcW w:w="547" w:type="pct"/>
            <w:shd w:val="clear" w:color="auto" w:fill="FFFFFF" w:themeFill="background1"/>
            <w:vAlign w:val="center"/>
          </w:tcPr>
          <w:p w:rsidR="00A6174E" w:rsidRPr="001812A7" w:rsidRDefault="00A6174E" w:rsidP="001812A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sz w:val="24"/>
                <w:szCs w:val="24"/>
              </w:rPr>
            </w:pPr>
            <w:r w:rsidRPr="001812A7">
              <w:rPr>
                <w:rFonts w:ascii="Arial Narrow" w:hAnsi="Arial Narrow"/>
                <w:bCs/>
                <w:color w:val="000000"/>
                <w:sz w:val="24"/>
                <w:szCs w:val="24"/>
              </w:rPr>
              <w:t>26.5</w:t>
            </w:r>
          </w:p>
        </w:tc>
        <w:tc>
          <w:tcPr>
            <w:tcW w:w="545" w:type="pct"/>
            <w:shd w:val="clear" w:color="auto" w:fill="FFFFFF" w:themeFill="background1"/>
            <w:vAlign w:val="center"/>
          </w:tcPr>
          <w:p w:rsidR="00A6174E" w:rsidRPr="001812A7" w:rsidRDefault="00A6174E" w:rsidP="001812A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sz w:val="24"/>
                <w:szCs w:val="24"/>
              </w:rPr>
            </w:pPr>
            <w:r w:rsidRPr="001812A7">
              <w:rPr>
                <w:rFonts w:ascii="Arial Narrow" w:hAnsi="Arial Narrow"/>
                <w:bCs/>
                <w:color w:val="000000"/>
                <w:sz w:val="24"/>
                <w:szCs w:val="24"/>
              </w:rPr>
              <w:t>42.7</w:t>
            </w:r>
          </w:p>
        </w:tc>
        <w:tc>
          <w:tcPr>
            <w:tcW w:w="545" w:type="pct"/>
            <w:shd w:val="clear" w:color="auto" w:fill="FFFFFF" w:themeFill="background1"/>
            <w:vAlign w:val="center"/>
          </w:tcPr>
          <w:p w:rsidR="00A6174E" w:rsidRPr="001812A7" w:rsidRDefault="00A6174E" w:rsidP="001812A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sz w:val="24"/>
                <w:szCs w:val="24"/>
              </w:rPr>
            </w:pPr>
            <w:r w:rsidRPr="001812A7">
              <w:rPr>
                <w:rFonts w:ascii="Arial Narrow" w:hAnsi="Arial Narrow"/>
                <w:bCs/>
                <w:color w:val="000000"/>
                <w:sz w:val="24"/>
                <w:szCs w:val="24"/>
              </w:rPr>
              <w:t>2.5</w:t>
            </w:r>
          </w:p>
        </w:tc>
        <w:tc>
          <w:tcPr>
            <w:tcW w:w="803" w:type="pct"/>
            <w:shd w:val="clear" w:color="auto" w:fill="FFFFFF" w:themeFill="background1"/>
            <w:vAlign w:val="center"/>
          </w:tcPr>
          <w:p w:rsidR="00A6174E" w:rsidRPr="001812A7" w:rsidRDefault="00A6174E" w:rsidP="001812A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sz w:val="24"/>
                <w:szCs w:val="24"/>
              </w:rPr>
            </w:pPr>
            <w:r w:rsidRPr="001812A7">
              <w:rPr>
                <w:rFonts w:ascii="Arial Narrow" w:hAnsi="Arial Narrow"/>
                <w:bCs/>
                <w:color w:val="000000"/>
                <w:sz w:val="24"/>
                <w:szCs w:val="24"/>
              </w:rPr>
              <w:t>4.0</w:t>
            </w:r>
          </w:p>
        </w:tc>
        <w:tc>
          <w:tcPr>
            <w:tcW w:w="803" w:type="pct"/>
            <w:shd w:val="clear" w:color="auto" w:fill="FFFFFF" w:themeFill="background1"/>
            <w:vAlign w:val="center"/>
          </w:tcPr>
          <w:p w:rsidR="00A6174E" w:rsidRPr="001812A7" w:rsidRDefault="00A6174E" w:rsidP="001812A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sz w:val="24"/>
                <w:szCs w:val="24"/>
              </w:rPr>
            </w:pPr>
            <w:r w:rsidRPr="001812A7">
              <w:rPr>
                <w:rFonts w:ascii="Arial Narrow" w:hAnsi="Arial Narrow"/>
                <w:bCs/>
                <w:color w:val="000000"/>
                <w:sz w:val="24"/>
                <w:szCs w:val="24"/>
              </w:rPr>
              <w:t>46.7</w:t>
            </w:r>
          </w:p>
        </w:tc>
      </w:tr>
      <w:tr w:rsidR="00A6174E" w:rsidRPr="001812A7" w:rsidTr="001F0D6B">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209" w:type="pct"/>
            <w:shd w:val="clear" w:color="auto" w:fill="FFFFFF" w:themeFill="background1"/>
            <w:noWrap/>
            <w:vAlign w:val="center"/>
            <w:hideMark/>
          </w:tcPr>
          <w:p w:rsidR="00A6174E" w:rsidRPr="001812A7" w:rsidRDefault="00A6174E" w:rsidP="001812A7">
            <w:pPr>
              <w:keepNext/>
              <w:spacing w:line="240" w:lineRule="auto"/>
              <w:rPr>
                <w:rFonts w:ascii="Arial Narrow" w:hAnsi="Arial Narrow"/>
                <w:b w:val="0"/>
                <w:bCs/>
                <w:color w:val="000000"/>
                <w:sz w:val="24"/>
                <w:szCs w:val="24"/>
              </w:rPr>
            </w:pPr>
            <w:r w:rsidRPr="001812A7">
              <w:rPr>
                <w:rFonts w:ascii="Arial Narrow" w:hAnsi="Arial Narrow"/>
                <w:b w:val="0"/>
                <w:bCs/>
                <w:color w:val="000000"/>
                <w:sz w:val="24"/>
                <w:szCs w:val="24"/>
              </w:rPr>
              <w:t>Polytunnel / greenhouse</w:t>
            </w:r>
          </w:p>
        </w:tc>
        <w:tc>
          <w:tcPr>
            <w:tcW w:w="547" w:type="pct"/>
            <w:shd w:val="clear" w:color="auto" w:fill="FFFFFF" w:themeFill="background1"/>
            <w:vAlign w:val="center"/>
          </w:tcPr>
          <w:p w:rsidR="00A6174E" w:rsidRPr="001812A7" w:rsidRDefault="00A6174E" w:rsidP="001812A7">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4"/>
                <w:szCs w:val="24"/>
              </w:rPr>
            </w:pPr>
            <w:r w:rsidRPr="001812A7">
              <w:rPr>
                <w:rFonts w:ascii="Arial Narrow" w:hAnsi="Arial Narrow"/>
                <w:bCs/>
                <w:color w:val="000000"/>
                <w:sz w:val="24"/>
                <w:szCs w:val="24"/>
              </w:rPr>
              <w:t>0.51</w:t>
            </w:r>
          </w:p>
        </w:tc>
        <w:tc>
          <w:tcPr>
            <w:tcW w:w="547" w:type="pct"/>
            <w:shd w:val="clear" w:color="auto" w:fill="FFFFFF" w:themeFill="background1"/>
            <w:vAlign w:val="center"/>
          </w:tcPr>
          <w:p w:rsidR="00A6174E" w:rsidRPr="001812A7" w:rsidRDefault="00A6174E" w:rsidP="001812A7">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4"/>
                <w:szCs w:val="24"/>
              </w:rPr>
            </w:pPr>
            <w:r w:rsidRPr="001812A7">
              <w:rPr>
                <w:rFonts w:ascii="Arial Narrow" w:hAnsi="Arial Narrow"/>
                <w:bCs/>
                <w:color w:val="000000"/>
                <w:sz w:val="24"/>
                <w:szCs w:val="24"/>
              </w:rPr>
              <w:t>5.5</w:t>
            </w:r>
          </w:p>
        </w:tc>
        <w:tc>
          <w:tcPr>
            <w:tcW w:w="545" w:type="pct"/>
            <w:shd w:val="clear" w:color="auto" w:fill="FFFFFF" w:themeFill="background1"/>
            <w:vAlign w:val="center"/>
          </w:tcPr>
          <w:p w:rsidR="00A6174E" w:rsidRPr="001812A7" w:rsidRDefault="00A6174E" w:rsidP="001812A7">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4"/>
                <w:szCs w:val="24"/>
              </w:rPr>
            </w:pPr>
            <w:r w:rsidRPr="001812A7">
              <w:rPr>
                <w:rFonts w:ascii="Arial Narrow" w:hAnsi="Arial Narrow"/>
                <w:bCs/>
                <w:color w:val="000000"/>
                <w:sz w:val="24"/>
                <w:szCs w:val="24"/>
              </w:rPr>
              <w:t>10.8</w:t>
            </w:r>
          </w:p>
        </w:tc>
        <w:tc>
          <w:tcPr>
            <w:tcW w:w="545" w:type="pct"/>
            <w:shd w:val="clear" w:color="auto" w:fill="FFFFFF" w:themeFill="background1"/>
            <w:vAlign w:val="center"/>
          </w:tcPr>
          <w:p w:rsidR="00A6174E" w:rsidRPr="001812A7" w:rsidRDefault="00A6174E" w:rsidP="001812A7">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4"/>
                <w:szCs w:val="24"/>
              </w:rPr>
            </w:pPr>
            <w:r w:rsidRPr="001812A7">
              <w:rPr>
                <w:rFonts w:ascii="Arial Narrow" w:hAnsi="Arial Narrow"/>
                <w:bCs/>
                <w:color w:val="000000"/>
                <w:sz w:val="24"/>
                <w:szCs w:val="24"/>
              </w:rPr>
              <w:t>66.6</w:t>
            </w:r>
          </w:p>
        </w:tc>
        <w:tc>
          <w:tcPr>
            <w:tcW w:w="803" w:type="pct"/>
            <w:shd w:val="clear" w:color="auto" w:fill="FFFFFF" w:themeFill="background1"/>
            <w:vAlign w:val="center"/>
          </w:tcPr>
          <w:p w:rsidR="00A6174E" w:rsidRPr="001812A7" w:rsidRDefault="00A6174E" w:rsidP="001812A7">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4"/>
                <w:szCs w:val="24"/>
              </w:rPr>
            </w:pPr>
            <w:r w:rsidRPr="001812A7">
              <w:rPr>
                <w:rFonts w:ascii="Arial Narrow" w:hAnsi="Arial Narrow"/>
                <w:bCs/>
                <w:color w:val="000000"/>
                <w:sz w:val="24"/>
                <w:szCs w:val="24"/>
              </w:rPr>
              <w:t>130.6</w:t>
            </w:r>
          </w:p>
        </w:tc>
        <w:tc>
          <w:tcPr>
            <w:tcW w:w="803" w:type="pct"/>
            <w:shd w:val="clear" w:color="auto" w:fill="FFFFFF" w:themeFill="background1"/>
            <w:vAlign w:val="center"/>
          </w:tcPr>
          <w:p w:rsidR="00A6174E" w:rsidRPr="001812A7" w:rsidRDefault="00A6174E" w:rsidP="001812A7">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4"/>
                <w:szCs w:val="24"/>
              </w:rPr>
            </w:pPr>
            <w:r w:rsidRPr="001812A7">
              <w:rPr>
                <w:rFonts w:ascii="Arial Narrow" w:hAnsi="Arial Narrow"/>
                <w:bCs/>
                <w:color w:val="000000"/>
                <w:sz w:val="24"/>
                <w:szCs w:val="24"/>
              </w:rPr>
              <w:t>141.4</w:t>
            </w:r>
          </w:p>
        </w:tc>
      </w:tr>
      <w:tr w:rsidR="00A6174E" w:rsidRPr="001812A7" w:rsidTr="001F0D6B">
        <w:trPr>
          <w:trHeight w:val="281"/>
        </w:trPr>
        <w:tc>
          <w:tcPr>
            <w:cnfStyle w:val="001000000000" w:firstRow="0" w:lastRow="0" w:firstColumn="1" w:lastColumn="0" w:oddVBand="0" w:evenVBand="0" w:oddHBand="0" w:evenHBand="0" w:firstRowFirstColumn="0" w:firstRowLastColumn="0" w:lastRowFirstColumn="0" w:lastRowLastColumn="0"/>
            <w:tcW w:w="1209" w:type="pct"/>
            <w:shd w:val="clear" w:color="auto" w:fill="FFFFFF" w:themeFill="background1"/>
            <w:noWrap/>
            <w:vAlign w:val="center"/>
          </w:tcPr>
          <w:p w:rsidR="00A6174E" w:rsidRPr="001812A7" w:rsidRDefault="00A6174E" w:rsidP="001812A7">
            <w:pPr>
              <w:keepNext/>
              <w:spacing w:line="240" w:lineRule="auto"/>
              <w:rPr>
                <w:rFonts w:ascii="Arial Narrow" w:hAnsi="Arial Narrow"/>
                <w:b w:val="0"/>
                <w:bCs/>
                <w:color w:val="000000"/>
                <w:sz w:val="24"/>
                <w:szCs w:val="24"/>
              </w:rPr>
            </w:pPr>
            <w:r w:rsidRPr="001812A7">
              <w:rPr>
                <w:rFonts w:ascii="Arial Narrow" w:hAnsi="Arial Narrow"/>
                <w:b w:val="0"/>
                <w:bCs/>
                <w:color w:val="000000"/>
                <w:sz w:val="24"/>
                <w:szCs w:val="24"/>
              </w:rPr>
              <w:t>Storage, distribution or packhouse</w:t>
            </w:r>
          </w:p>
        </w:tc>
        <w:tc>
          <w:tcPr>
            <w:tcW w:w="547" w:type="pct"/>
            <w:shd w:val="clear" w:color="auto" w:fill="FFFFFF" w:themeFill="background1"/>
            <w:vAlign w:val="center"/>
          </w:tcPr>
          <w:p w:rsidR="00A6174E" w:rsidRPr="001812A7" w:rsidRDefault="00A6174E" w:rsidP="001812A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sz w:val="24"/>
                <w:szCs w:val="24"/>
              </w:rPr>
            </w:pPr>
            <w:r w:rsidRPr="001812A7">
              <w:rPr>
                <w:rFonts w:ascii="Arial Narrow" w:hAnsi="Arial Narrow"/>
                <w:bCs/>
                <w:color w:val="000000"/>
                <w:sz w:val="24"/>
                <w:szCs w:val="24"/>
              </w:rPr>
              <w:t>0.50</w:t>
            </w:r>
          </w:p>
        </w:tc>
        <w:tc>
          <w:tcPr>
            <w:tcW w:w="547" w:type="pct"/>
            <w:shd w:val="clear" w:color="auto" w:fill="FFFFFF" w:themeFill="background1"/>
            <w:vAlign w:val="center"/>
          </w:tcPr>
          <w:p w:rsidR="00A6174E" w:rsidRPr="001812A7" w:rsidRDefault="00A6174E" w:rsidP="001812A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sz w:val="24"/>
                <w:szCs w:val="24"/>
              </w:rPr>
            </w:pPr>
            <w:r w:rsidRPr="001812A7">
              <w:rPr>
                <w:rFonts w:ascii="Arial Narrow" w:hAnsi="Arial Narrow"/>
                <w:bCs/>
                <w:color w:val="000000"/>
                <w:sz w:val="24"/>
                <w:szCs w:val="24"/>
              </w:rPr>
              <w:t>5.3</w:t>
            </w:r>
          </w:p>
        </w:tc>
        <w:tc>
          <w:tcPr>
            <w:tcW w:w="545" w:type="pct"/>
            <w:shd w:val="clear" w:color="auto" w:fill="FFFFFF" w:themeFill="background1"/>
            <w:vAlign w:val="center"/>
          </w:tcPr>
          <w:p w:rsidR="00A6174E" w:rsidRPr="001812A7" w:rsidRDefault="00A6174E" w:rsidP="001812A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sz w:val="24"/>
                <w:szCs w:val="24"/>
              </w:rPr>
            </w:pPr>
            <w:r w:rsidRPr="001812A7">
              <w:rPr>
                <w:rFonts w:ascii="Arial Narrow" w:hAnsi="Arial Narrow"/>
                <w:bCs/>
                <w:color w:val="000000"/>
                <w:sz w:val="24"/>
                <w:szCs w:val="24"/>
              </w:rPr>
              <w:t>10.6</w:t>
            </w:r>
          </w:p>
        </w:tc>
        <w:tc>
          <w:tcPr>
            <w:tcW w:w="545" w:type="pct"/>
            <w:shd w:val="clear" w:color="auto" w:fill="FFFFFF" w:themeFill="background1"/>
            <w:vAlign w:val="center"/>
          </w:tcPr>
          <w:p w:rsidR="00A6174E" w:rsidRPr="001812A7" w:rsidRDefault="00A6174E" w:rsidP="001812A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sz w:val="24"/>
                <w:szCs w:val="24"/>
              </w:rPr>
            </w:pPr>
            <w:r w:rsidRPr="001812A7">
              <w:rPr>
                <w:rFonts w:ascii="Arial Narrow" w:hAnsi="Arial Narrow"/>
                <w:bCs/>
                <w:color w:val="000000"/>
                <w:sz w:val="24"/>
                <w:szCs w:val="24"/>
              </w:rPr>
              <w:t>1.4</w:t>
            </w:r>
          </w:p>
        </w:tc>
        <w:tc>
          <w:tcPr>
            <w:tcW w:w="803" w:type="pct"/>
            <w:shd w:val="clear" w:color="auto" w:fill="FFFFFF" w:themeFill="background1"/>
            <w:vAlign w:val="center"/>
          </w:tcPr>
          <w:p w:rsidR="00A6174E" w:rsidRPr="001812A7" w:rsidRDefault="00A6174E" w:rsidP="001812A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sz w:val="24"/>
                <w:szCs w:val="24"/>
              </w:rPr>
            </w:pPr>
            <w:r w:rsidRPr="001812A7">
              <w:rPr>
                <w:rFonts w:ascii="Arial Narrow" w:hAnsi="Arial Narrow"/>
                <w:bCs/>
                <w:color w:val="000000"/>
                <w:sz w:val="24"/>
                <w:szCs w:val="24"/>
              </w:rPr>
              <w:t>2.8</w:t>
            </w:r>
          </w:p>
        </w:tc>
        <w:tc>
          <w:tcPr>
            <w:tcW w:w="803" w:type="pct"/>
            <w:shd w:val="clear" w:color="auto" w:fill="FFFFFF" w:themeFill="background1"/>
            <w:vAlign w:val="center"/>
          </w:tcPr>
          <w:p w:rsidR="00A6174E" w:rsidRPr="001812A7" w:rsidRDefault="00A6174E" w:rsidP="001812A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Cs/>
                <w:color w:val="000000"/>
                <w:sz w:val="24"/>
                <w:szCs w:val="24"/>
              </w:rPr>
            </w:pPr>
            <w:r w:rsidRPr="001812A7">
              <w:rPr>
                <w:rFonts w:ascii="Arial Narrow" w:hAnsi="Arial Narrow"/>
                <w:bCs/>
                <w:color w:val="000000"/>
                <w:sz w:val="24"/>
                <w:szCs w:val="24"/>
              </w:rPr>
              <w:t>13.4*</w:t>
            </w:r>
          </w:p>
        </w:tc>
      </w:tr>
      <w:tr w:rsidR="00A6174E" w:rsidRPr="001812A7" w:rsidTr="001F0D6B">
        <w:trPr>
          <w:cnfStyle w:val="000000010000" w:firstRow="0" w:lastRow="0" w:firstColumn="0" w:lastColumn="0" w:oddVBand="0" w:evenVBand="0" w:oddHBand="0" w:evenHBand="1"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1209" w:type="pct"/>
            <w:shd w:val="clear" w:color="auto" w:fill="FFFFFF" w:themeFill="background1"/>
            <w:noWrap/>
            <w:vAlign w:val="center"/>
          </w:tcPr>
          <w:p w:rsidR="00A6174E" w:rsidRPr="001812A7" w:rsidRDefault="00A6174E" w:rsidP="001812A7">
            <w:pPr>
              <w:keepNext/>
              <w:spacing w:line="240" w:lineRule="auto"/>
              <w:rPr>
                <w:rFonts w:ascii="Arial Narrow" w:hAnsi="Arial Narrow"/>
                <w:b w:val="0"/>
                <w:bCs/>
                <w:color w:val="000000"/>
                <w:sz w:val="24"/>
                <w:szCs w:val="24"/>
              </w:rPr>
            </w:pPr>
            <w:r w:rsidRPr="001812A7">
              <w:rPr>
                <w:rFonts w:ascii="Arial Narrow" w:hAnsi="Arial Narrow"/>
                <w:b w:val="0"/>
                <w:bCs/>
                <w:color w:val="000000"/>
                <w:sz w:val="24"/>
                <w:szCs w:val="24"/>
              </w:rPr>
              <w:t xml:space="preserve">Total </w:t>
            </w:r>
          </w:p>
        </w:tc>
        <w:tc>
          <w:tcPr>
            <w:tcW w:w="547" w:type="pct"/>
            <w:shd w:val="clear" w:color="auto" w:fill="FFFFFF" w:themeFill="background1"/>
          </w:tcPr>
          <w:p w:rsidR="00A6174E" w:rsidRPr="001812A7" w:rsidRDefault="00A6174E" w:rsidP="001812A7">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4"/>
                <w:szCs w:val="24"/>
              </w:rPr>
            </w:pPr>
          </w:p>
        </w:tc>
        <w:tc>
          <w:tcPr>
            <w:tcW w:w="547" w:type="pct"/>
            <w:shd w:val="clear" w:color="auto" w:fill="FFFFFF" w:themeFill="background1"/>
            <w:vAlign w:val="center"/>
          </w:tcPr>
          <w:p w:rsidR="00A6174E" w:rsidRPr="001812A7" w:rsidRDefault="00A6174E" w:rsidP="001812A7">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4"/>
                <w:szCs w:val="24"/>
              </w:rPr>
            </w:pPr>
            <w:r w:rsidRPr="001812A7">
              <w:rPr>
                <w:rFonts w:ascii="Arial Narrow" w:hAnsi="Arial Narrow"/>
                <w:bCs/>
                <w:color w:val="000000"/>
                <w:sz w:val="24"/>
                <w:szCs w:val="24"/>
              </w:rPr>
              <w:t>37.4</w:t>
            </w:r>
          </w:p>
        </w:tc>
        <w:tc>
          <w:tcPr>
            <w:tcW w:w="545" w:type="pct"/>
            <w:shd w:val="clear" w:color="auto" w:fill="FFFFFF" w:themeFill="background1"/>
            <w:vAlign w:val="center"/>
          </w:tcPr>
          <w:p w:rsidR="00A6174E" w:rsidRPr="001812A7" w:rsidRDefault="00625519" w:rsidP="001812A7">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b/>
                <w:color w:val="000000"/>
                <w:sz w:val="24"/>
                <w:szCs w:val="24"/>
              </w:rPr>
            </w:pPr>
            <w:r>
              <w:rPr>
                <w:rFonts w:ascii="Arial Narrow" w:hAnsi="Arial Narrow"/>
                <w:b/>
                <w:color w:val="000000"/>
                <w:sz w:val="24"/>
                <w:szCs w:val="24"/>
              </w:rPr>
              <w:t>64.1</w:t>
            </w:r>
          </w:p>
        </w:tc>
        <w:tc>
          <w:tcPr>
            <w:tcW w:w="545" w:type="pct"/>
            <w:shd w:val="clear" w:color="auto" w:fill="FFFFFF" w:themeFill="background1"/>
            <w:vAlign w:val="center"/>
          </w:tcPr>
          <w:p w:rsidR="00A6174E" w:rsidRPr="001812A7" w:rsidRDefault="00625519" w:rsidP="001812A7">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 w:val="24"/>
                <w:szCs w:val="24"/>
              </w:rPr>
            </w:pPr>
            <w:r>
              <w:rPr>
                <w:rFonts w:ascii="Arial Narrow" w:hAnsi="Arial Narrow"/>
                <w:bCs/>
                <w:color w:val="000000"/>
                <w:sz w:val="24"/>
                <w:szCs w:val="24"/>
              </w:rPr>
              <w:t>70.5</w:t>
            </w:r>
          </w:p>
        </w:tc>
        <w:tc>
          <w:tcPr>
            <w:tcW w:w="803" w:type="pct"/>
            <w:shd w:val="clear" w:color="auto" w:fill="FFFFFF" w:themeFill="background1"/>
            <w:vAlign w:val="center"/>
          </w:tcPr>
          <w:p w:rsidR="00A6174E" w:rsidRPr="001812A7" w:rsidRDefault="00625519" w:rsidP="001812A7">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b/>
                <w:color w:val="000000"/>
                <w:sz w:val="24"/>
                <w:szCs w:val="24"/>
              </w:rPr>
            </w:pPr>
            <w:r>
              <w:rPr>
                <w:rFonts w:ascii="Arial Narrow" w:hAnsi="Arial Narrow"/>
                <w:b/>
                <w:color w:val="000000"/>
                <w:sz w:val="24"/>
                <w:szCs w:val="24"/>
              </w:rPr>
              <w:t>137.4</w:t>
            </w:r>
          </w:p>
        </w:tc>
        <w:tc>
          <w:tcPr>
            <w:tcW w:w="803" w:type="pct"/>
            <w:shd w:val="clear" w:color="auto" w:fill="FFFFFF" w:themeFill="background1"/>
            <w:vAlign w:val="center"/>
          </w:tcPr>
          <w:p w:rsidR="00A6174E" w:rsidRPr="001812A7" w:rsidRDefault="00625519" w:rsidP="001812A7">
            <w:pPr>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b/>
                <w:color w:val="000000"/>
                <w:sz w:val="24"/>
                <w:szCs w:val="24"/>
              </w:rPr>
            </w:pPr>
            <w:r>
              <w:rPr>
                <w:rFonts w:ascii="Arial Narrow" w:hAnsi="Arial Narrow"/>
                <w:b/>
                <w:color w:val="000000"/>
                <w:sz w:val="24"/>
                <w:szCs w:val="24"/>
              </w:rPr>
              <w:t>201.5</w:t>
            </w:r>
          </w:p>
        </w:tc>
      </w:tr>
    </w:tbl>
    <w:p w:rsidR="00A6174E" w:rsidRDefault="00A6174E" w:rsidP="009719FA">
      <w:pPr>
        <w:pStyle w:val="11Bodytext"/>
        <w:numPr>
          <w:ilvl w:val="0"/>
          <w:numId w:val="0"/>
        </w:numPr>
        <w:spacing w:before="0" w:after="0" w:line="240" w:lineRule="auto"/>
      </w:pPr>
      <w:r>
        <w:t xml:space="preserve">* Around 50% or 6.8 ha </w:t>
      </w:r>
      <w:proofErr w:type="gramStart"/>
      <w:r>
        <w:t>is</w:t>
      </w:r>
      <w:proofErr w:type="gramEnd"/>
      <w:r>
        <w:t xml:space="preserve"> considered to be double counted with general B8 needs. </w:t>
      </w:r>
    </w:p>
    <w:p w:rsidR="001A6B7D" w:rsidRPr="00CA47B9" w:rsidRDefault="001A6B7D" w:rsidP="000E0A28">
      <w:pPr>
        <w:pStyle w:val="Appendices"/>
        <w:numPr>
          <w:ilvl w:val="0"/>
          <w:numId w:val="0"/>
        </w:numPr>
        <w:ind w:left="794"/>
      </w:pPr>
    </w:p>
    <w:sectPr w:rsidR="001A6B7D" w:rsidRPr="00CA47B9" w:rsidSect="008B43C6">
      <w:pgSz w:w="11900" w:h="16840"/>
      <w:pgMar w:top="1668" w:right="851" w:bottom="1418" w:left="1418" w:header="709" w:footer="709" w:gutter="0"/>
      <w:cols w:space="720"/>
      <w:formProt w:val="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E538B08" w15:done="0"/>
  <w15:commentEx w15:paraId="26098C92" w15:done="0"/>
  <w15:commentEx w15:paraId="57628EA3" w15:done="0"/>
  <w15:commentEx w15:paraId="7B06D5A2" w15:done="0"/>
  <w15:commentEx w15:paraId="503EA08F" w15:done="0"/>
  <w15:commentEx w15:paraId="0DA27FC5" w15:done="0"/>
  <w15:commentEx w15:paraId="2E0C58AC" w15:done="0"/>
  <w15:commentEx w15:paraId="2AB2897D" w15:done="0"/>
  <w15:commentEx w15:paraId="1E51536F" w15:done="0"/>
  <w15:commentEx w15:paraId="30FA86B1" w15:done="0"/>
  <w15:commentEx w15:paraId="160E0514" w15:done="0"/>
  <w15:commentEx w15:paraId="32E57C66" w15:done="0"/>
  <w15:commentEx w15:paraId="28E22E5F" w15:done="0"/>
  <w15:commentEx w15:paraId="0819B9C6" w15:done="0"/>
  <w15:commentEx w15:paraId="5DF88A70" w15:done="0"/>
  <w15:commentEx w15:paraId="22E3DCA8" w15:done="0"/>
  <w15:commentEx w15:paraId="1A94D713" w15:done="0"/>
  <w15:commentEx w15:paraId="5B0BB6AA" w15:done="0"/>
  <w15:commentEx w15:paraId="6B6B6B86" w15:done="0"/>
  <w15:commentEx w15:paraId="1308F6BB" w15:done="0"/>
  <w15:commentEx w15:paraId="59EE31EF" w15:done="0"/>
  <w15:commentEx w15:paraId="21FE7B0A" w15:done="0"/>
  <w15:commentEx w15:paraId="3AC2E09C" w15:done="0"/>
  <w15:commentEx w15:paraId="612FA06E" w15:done="0"/>
  <w15:commentEx w15:paraId="7B2A7B0B" w15:done="0"/>
  <w15:commentEx w15:paraId="27BF4218" w15:done="0"/>
  <w15:commentEx w15:paraId="29F15D56" w15:paraIdParent="27BF4218" w15:done="0"/>
  <w15:commentEx w15:paraId="04DE9ECD" w15:done="0"/>
  <w15:commentEx w15:paraId="6B7EDA0A" w15:done="0"/>
  <w15:commentEx w15:paraId="7C7F9AFB" w15:done="0"/>
  <w15:commentEx w15:paraId="46697802" w15:done="0"/>
  <w15:commentEx w15:paraId="572DC30F" w15:done="0"/>
  <w15:commentEx w15:paraId="11A10A97" w15:done="0"/>
  <w15:commentEx w15:paraId="6A200B29" w15:done="0"/>
  <w15:commentEx w15:paraId="6A590899" w15:done="0"/>
  <w15:commentEx w15:paraId="74ABB437" w15:done="0"/>
  <w15:commentEx w15:paraId="7A2D8BA0" w15:done="0"/>
  <w15:commentEx w15:paraId="40527DD3" w15:done="0"/>
  <w15:commentEx w15:paraId="37B1D581" w15:done="0"/>
  <w15:commentEx w15:paraId="3C588523" w15:done="0"/>
  <w15:commentEx w15:paraId="2AF8704D" w15:done="0"/>
  <w15:commentEx w15:paraId="17F8F29F" w15:done="0"/>
  <w15:commentEx w15:paraId="1313D5D7" w15:done="0"/>
  <w15:commentEx w15:paraId="17B29A5A" w15:paraIdParent="1313D5D7" w15:done="0"/>
  <w15:commentEx w15:paraId="44807D87" w15:done="0"/>
  <w15:commentEx w15:paraId="105C6DA0" w15:done="0"/>
  <w15:commentEx w15:paraId="44E654D6" w15:done="0"/>
  <w15:commentEx w15:paraId="53517B0B" w15:done="0"/>
  <w15:commentEx w15:paraId="77EA4503" w15:done="0"/>
  <w15:commentEx w15:paraId="71667322" w15:done="0"/>
  <w15:commentEx w15:paraId="025BC0B0" w15:done="0"/>
  <w15:commentEx w15:paraId="14FBD19E" w15:done="0"/>
  <w15:commentEx w15:paraId="1BA55E4A" w15:done="0"/>
  <w15:commentEx w15:paraId="321EF6BB" w15:done="0"/>
  <w15:commentEx w15:paraId="68EC2019" w15:done="0"/>
  <w15:commentEx w15:paraId="459859D1" w15:done="0"/>
  <w15:commentEx w15:paraId="00BA6EA3" w15:done="0"/>
  <w15:commentEx w15:paraId="0B33102D" w15:done="0"/>
  <w15:commentEx w15:paraId="4100413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2B70A" w16cex:dateUtc="2020-10-15T10:54:00Z"/>
  <w16cex:commentExtensible w16cex:durableId="2332B86E" w16cex:dateUtc="2020-10-15T11: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E538B08" w16cid:durableId="2330052A"/>
  <w16cid:commentId w16cid:paraId="26098C92" w16cid:durableId="2330052B"/>
  <w16cid:commentId w16cid:paraId="57628EA3" w16cid:durableId="2330052C"/>
  <w16cid:commentId w16cid:paraId="7B06D5A2" w16cid:durableId="2330052D"/>
  <w16cid:commentId w16cid:paraId="503EA08F" w16cid:durableId="2330052E"/>
  <w16cid:commentId w16cid:paraId="0DA27FC5" w16cid:durableId="2330052F"/>
  <w16cid:commentId w16cid:paraId="2E0C58AC" w16cid:durableId="23300530"/>
  <w16cid:commentId w16cid:paraId="2AB2897D" w16cid:durableId="23300531"/>
  <w16cid:commentId w16cid:paraId="1E51536F" w16cid:durableId="23300532"/>
  <w16cid:commentId w16cid:paraId="30FA86B1" w16cid:durableId="23300533"/>
  <w16cid:commentId w16cid:paraId="160E0514" w16cid:durableId="23300534"/>
  <w16cid:commentId w16cid:paraId="32E57C66" w16cid:durableId="23300535"/>
  <w16cid:commentId w16cid:paraId="28E22E5F" w16cid:durableId="23300536"/>
  <w16cid:commentId w16cid:paraId="0819B9C6" w16cid:durableId="23300537"/>
  <w16cid:commentId w16cid:paraId="5DF88A70" w16cid:durableId="23300538"/>
  <w16cid:commentId w16cid:paraId="22E3DCA8" w16cid:durableId="23300539"/>
  <w16cid:commentId w16cid:paraId="1A94D713" w16cid:durableId="2330053A"/>
  <w16cid:commentId w16cid:paraId="5B0BB6AA" w16cid:durableId="2330053B"/>
  <w16cid:commentId w16cid:paraId="6B6B6B86" w16cid:durableId="2330053C"/>
  <w16cid:commentId w16cid:paraId="1308F6BB" w16cid:durableId="2330053D"/>
  <w16cid:commentId w16cid:paraId="59EE31EF" w16cid:durableId="2330053E"/>
  <w16cid:commentId w16cid:paraId="21FE7B0A" w16cid:durableId="2330053F"/>
  <w16cid:commentId w16cid:paraId="3AC2E09C" w16cid:durableId="23300540"/>
  <w16cid:commentId w16cid:paraId="612FA06E" w16cid:durableId="23300541"/>
  <w16cid:commentId w16cid:paraId="7B2A7B0B" w16cid:durableId="23300542"/>
  <w16cid:commentId w16cid:paraId="27BF4218" w16cid:durableId="23300543"/>
  <w16cid:commentId w16cid:paraId="29F15D56" w16cid:durableId="233043A3"/>
  <w16cid:commentId w16cid:paraId="04DE9ECD" w16cid:durableId="23300545"/>
  <w16cid:commentId w16cid:paraId="6B7EDA0A" w16cid:durableId="23300546"/>
  <w16cid:commentId w16cid:paraId="7C7F9AFB" w16cid:durableId="23300547"/>
  <w16cid:commentId w16cid:paraId="46697802" w16cid:durableId="23300548"/>
  <w16cid:commentId w16cid:paraId="572DC30F" w16cid:durableId="23300549"/>
  <w16cid:commentId w16cid:paraId="11A10A97" w16cid:durableId="2330054A"/>
  <w16cid:commentId w16cid:paraId="6A200B29" w16cid:durableId="2330054B"/>
  <w16cid:commentId w16cid:paraId="6A590899" w16cid:durableId="2330054C"/>
  <w16cid:commentId w16cid:paraId="74ABB437" w16cid:durableId="2330054D"/>
  <w16cid:commentId w16cid:paraId="7A2D8BA0" w16cid:durableId="2330054E"/>
  <w16cid:commentId w16cid:paraId="40527DD3" w16cid:durableId="2330054F"/>
  <w16cid:commentId w16cid:paraId="37B1D581" w16cid:durableId="23300550"/>
  <w16cid:commentId w16cid:paraId="3C588523" w16cid:durableId="23300551"/>
  <w16cid:commentId w16cid:paraId="2AF8704D" w16cid:durableId="23300552"/>
  <w16cid:commentId w16cid:paraId="17F8F29F" w16cid:durableId="23300553"/>
  <w16cid:commentId w16cid:paraId="1313D5D7" w16cid:durableId="2332B70A"/>
  <w16cid:commentId w16cid:paraId="17B29A5A" w16cid:durableId="2332B86E"/>
  <w16cid:commentId w16cid:paraId="44807D87" w16cid:durableId="23300554"/>
  <w16cid:commentId w16cid:paraId="105C6DA0" w16cid:durableId="23300555"/>
  <w16cid:commentId w16cid:paraId="44E654D6" w16cid:durableId="23300556"/>
  <w16cid:commentId w16cid:paraId="53517B0B" w16cid:durableId="23300557"/>
  <w16cid:commentId w16cid:paraId="77EA4503" w16cid:durableId="23300558"/>
  <w16cid:commentId w16cid:paraId="71667322" w16cid:durableId="23300559"/>
  <w16cid:commentId w16cid:paraId="025BC0B0" w16cid:durableId="2330055A"/>
  <w16cid:commentId w16cid:paraId="14FBD19E" w16cid:durableId="2330055B"/>
  <w16cid:commentId w16cid:paraId="1BA55E4A" w16cid:durableId="2330055C"/>
  <w16cid:commentId w16cid:paraId="321EF6BB" w16cid:durableId="2330055D"/>
  <w16cid:commentId w16cid:paraId="68EC2019" w16cid:durableId="2330055E"/>
  <w16cid:commentId w16cid:paraId="459859D1" w16cid:durableId="2330055F"/>
  <w16cid:commentId w16cid:paraId="00BA6EA3" w16cid:durableId="23300560"/>
  <w16cid:commentId w16cid:paraId="0B33102D" w16cid:durableId="23300561"/>
  <w16cid:commentId w16cid:paraId="4100413A" w16cid:durableId="2330056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3B55" w:rsidRDefault="00D23B55" w:rsidP="005D7DE1">
      <w:r>
        <w:separator/>
      </w:r>
    </w:p>
    <w:p w:rsidR="00D23B55" w:rsidRDefault="00D23B55"/>
    <w:p w:rsidR="00D23B55" w:rsidRDefault="00D23B55" w:rsidP="00A54ECA"/>
  </w:endnote>
  <w:endnote w:type="continuationSeparator" w:id="0">
    <w:p w:rsidR="00D23B55" w:rsidRDefault="00D23B55" w:rsidP="005D7DE1">
      <w:r>
        <w:continuationSeparator/>
      </w:r>
    </w:p>
    <w:p w:rsidR="00D23B55" w:rsidRDefault="00D23B55"/>
    <w:p w:rsidR="00D23B55" w:rsidRDefault="00D23B55" w:rsidP="00A54ECA"/>
  </w:endnote>
  <w:endnote w:type="continuationNotice" w:id="1">
    <w:p w:rsidR="00D23B55" w:rsidRDefault="00D23B55"/>
    <w:p w:rsidR="00D23B55" w:rsidRDefault="00D23B55"/>
    <w:p w:rsidR="00D23B55" w:rsidRDefault="00D23B55" w:rsidP="00A54E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MinionPro-Regular">
    <w:altName w:val="Arial"/>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BoldMT">
    <w:altName w:val="Times New Roman"/>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Gill Sans MT">
    <w:charset w:val="00"/>
    <w:family w:val="swiss"/>
    <w:pitch w:val="variable"/>
    <w:sig w:usb0="00000007" w:usb1="00000000" w:usb2="00000000" w:usb3="00000000" w:csb0="00000003" w:csb1="00000000"/>
  </w:font>
  <w:font w:name="Book Antiqua">
    <w:panose1 w:val="02040602050305030304"/>
    <w:charset w:val="00"/>
    <w:family w:val="roman"/>
    <w:pitch w:val="variable"/>
    <w:sig w:usb0="00000287" w:usb1="00000000" w:usb2="00000000" w:usb3="00000000" w:csb0="0000009F" w:csb1="00000000"/>
  </w:font>
  <w:font w:name="Houschka Pro Light">
    <w:altName w:val="Houschka Pro Light"/>
    <w:panose1 w:val="00000000000000000000"/>
    <w:charset w:val="00"/>
    <w:family w:val="swiss"/>
    <w:notTrueType/>
    <w:pitch w:val="default"/>
    <w:sig w:usb0="00000003" w:usb1="00000000" w:usb2="00000000" w:usb3="00000000" w:csb0="00000001" w:csb1="00000000"/>
  </w:font>
  <w:font w:name="Gotham">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B55" w:rsidRDefault="00D23B55" w:rsidP="00E15CE9">
    <w:pPr>
      <w:pStyle w:val="FooterPortrait"/>
      <w:framePr w:wrap="around"/>
    </w:pPr>
    <w:r w:rsidRPr="00361E00">
      <w:t>GL</w:t>
    </w:r>
    <w:r>
      <w:t xml:space="preserve"> </w:t>
    </w:r>
    <w:r w:rsidRPr="00361E00">
      <w:t>Hearn</w:t>
    </w:r>
    <w:r>
      <w:rPr>
        <w:rStyle w:val="PageNumber"/>
      </w:rPr>
      <w:tab/>
    </w:r>
    <w:r w:rsidRPr="001D5D96">
      <w:t>Page</w:t>
    </w:r>
    <w:r>
      <w:t xml:space="preserve"> </w:t>
    </w:r>
    <w:r w:rsidRPr="001D5D96">
      <w:fldChar w:fldCharType="begin"/>
    </w:r>
    <w:r w:rsidRPr="001D5D96">
      <w:instrText xml:space="preserve"> PAGE </w:instrText>
    </w:r>
    <w:r w:rsidRPr="001D5D96">
      <w:fldChar w:fldCharType="separate"/>
    </w:r>
    <w:r>
      <w:rPr>
        <w:noProof/>
      </w:rPr>
      <w:t>2</w:t>
    </w:r>
    <w:r w:rsidRPr="001D5D96">
      <w:fldChar w:fldCharType="end"/>
    </w:r>
    <w:r>
      <w:t xml:space="preserve"> </w:t>
    </w:r>
    <w:r w:rsidRPr="001D5D96">
      <w:t>of</w:t>
    </w:r>
    <w:r>
      <w:t xml:space="preserve"> </w:t>
    </w:r>
    <w:r>
      <w:fldChar w:fldCharType="begin"/>
    </w:r>
    <w:r>
      <w:instrText xml:space="preserve"> NUMPAGES </w:instrText>
    </w:r>
    <w:r>
      <w:fldChar w:fldCharType="separate"/>
    </w:r>
    <w:r>
      <w:rPr>
        <w:noProof/>
      </w:rPr>
      <w:t>247</w:t>
    </w:r>
    <w:r>
      <w:fldChar w:fldCharType="end"/>
    </w:r>
  </w:p>
  <w:p w:rsidR="00D23B55" w:rsidRPr="00E15CE9" w:rsidRDefault="00D23B55" w:rsidP="00E15CE9">
    <w:pPr>
      <w:pStyle w:val="FooterPortrait"/>
      <w:framePr w:wrap="around"/>
      <w:rPr>
        <w:rStyle w:val="Filelocation6pt"/>
      </w:rPr>
    </w:pPr>
    <w:r w:rsidRPr="00E15CE9">
      <w:rPr>
        <w:rStyle w:val="Filelocation6pt"/>
      </w:rPr>
      <w:fldChar w:fldCharType="begin"/>
    </w:r>
    <w:r w:rsidRPr="00E15CE9">
      <w:rPr>
        <w:rStyle w:val="Filelocation6pt"/>
      </w:rPr>
      <w:instrText xml:space="preserve"> FILENAME  \p  \* MERGEFORMAT </w:instrText>
    </w:r>
    <w:r w:rsidRPr="00E15CE9">
      <w:rPr>
        <w:rStyle w:val="Filelocation6pt"/>
      </w:rPr>
      <w:fldChar w:fldCharType="separate"/>
    </w:r>
    <w:r>
      <w:rPr>
        <w:rStyle w:val="Filelocation6pt"/>
        <w:noProof/>
      </w:rPr>
      <w:t>C:\Users\mkinghan\Desktop\Chichester\Chichester HEDNA August 2020 CL Accessible OCT FINAL.docx</w:t>
    </w:r>
    <w:r w:rsidRPr="00E15CE9">
      <w:rPr>
        <w:rStyle w:val="Filelocation6pt"/>
      </w:rPr>
      <w:fldChar w:fldCharType="end"/>
    </w:r>
  </w:p>
  <w:p w:rsidR="00D23B55" w:rsidRPr="00FC196C" w:rsidRDefault="00D23B55" w:rsidP="00BE0DF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B55" w:rsidRDefault="00D23B55" w:rsidP="00A10F6F">
    <w:pPr>
      <w:framePr w:wrap="auto" w:vAnchor="page" w:hAnchor="page" w:x="1419" w:y="16156"/>
    </w:pPr>
  </w:p>
  <w:p w:rsidR="00D23B55" w:rsidRPr="00A10F6F" w:rsidRDefault="00D23B55" w:rsidP="002D3210">
    <w:pPr>
      <w:pStyle w:val="Footer"/>
      <w:ind w:left="-567"/>
    </w:pPr>
    <w:r>
      <w:rPr>
        <w:noProof/>
        <w:lang w:eastAsia="en-GB"/>
      </w:rPr>
      <w:drawing>
        <wp:inline distT="0" distB="0" distL="0" distR="0" wp14:anchorId="1774EE4A" wp14:editId="7BE64B72">
          <wp:extent cx="5659120" cy="186944"/>
          <wp:effectExtent l="0" t="0" r="0" b="3810"/>
          <wp:docPr id="19" name="Picture 19" title="GL Hearn Logo and Web Address">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2.tif"/>
                  <pic:cNvPicPr/>
                </pic:nvPicPr>
                <pic:blipFill>
                  <a:blip r:embed="rId1">
                    <a:extLst>
                      <a:ext uri="{28A0092B-C50C-407E-A947-70E740481C1C}">
                        <a14:useLocalDpi xmlns:a14="http://schemas.microsoft.com/office/drawing/2010/main" val="0"/>
                      </a:ext>
                    </a:extLst>
                  </a:blip>
                  <a:stretch>
                    <a:fillRect/>
                  </a:stretch>
                </pic:blipFill>
                <pic:spPr>
                  <a:xfrm>
                    <a:off x="0" y="0"/>
                    <a:ext cx="5659120" cy="18694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B55" w:rsidRDefault="00D23B55" w:rsidP="00791673">
    <w:pPr>
      <w:pStyle w:val="FooterPortrait"/>
      <w:framePr w:wrap="around"/>
    </w:pPr>
    <w:r w:rsidRPr="00BE0DFC">
      <w:rPr>
        <w:rStyle w:val="PageNumber"/>
      </w:rPr>
      <w:t>GL</w:t>
    </w:r>
    <w:r>
      <w:rPr>
        <w:rStyle w:val="PageNumber"/>
      </w:rPr>
      <w:t xml:space="preserve"> </w:t>
    </w:r>
    <w:r w:rsidRPr="00BE0DFC">
      <w:rPr>
        <w:rStyle w:val="PageNumber"/>
      </w:rPr>
      <w:t>Hearn</w:t>
    </w:r>
    <w:r>
      <w:rPr>
        <w:rStyle w:val="PageNumber"/>
      </w:rPr>
      <w:tab/>
    </w:r>
    <w:r w:rsidRPr="001D5D96">
      <w:t>Page</w:t>
    </w:r>
    <w:r>
      <w:t xml:space="preserve"> </w:t>
    </w:r>
    <w:r w:rsidRPr="001D5D96">
      <w:fldChar w:fldCharType="begin"/>
    </w:r>
    <w:r w:rsidRPr="001D5D96">
      <w:instrText xml:space="preserve"> PAGE </w:instrText>
    </w:r>
    <w:r w:rsidRPr="001D5D96">
      <w:fldChar w:fldCharType="separate"/>
    </w:r>
    <w:r w:rsidR="002C0791">
      <w:rPr>
        <w:noProof/>
      </w:rPr>
      <w:t>2</w:t>
    </w:r>
    <w:r w:rsidRPr="001D5D96">
      <w:fldChar w:fldCharType="end"/>
    </w:r>
    <w:r>
      <w:t xml:space="preserve"> </w:t>
    </w:r>
    <w:r w:rsidRPr="001D5D96">
      <w:t>of</w:t>
    </w:r>
    <w:r>
      <w:t xml:space="preserve"> </w:t>
    </w:r>
    <w:r>
      <w:fldChar w:fldCharType="begin"/>
    </w:r>
    <w:r>
      <w:instrText xml:space="preserve"> NUMPAGES </w:instrText>
    </w:r>
    <w:r>
      <w:fldChar w:fldCharType="separate"/>
    </w:r>
    <w:r w:rsidR="002C0791">
      <w:rPr>
        <w:noProof/>
      </w:rPr>
      <w:t>209</w:t>
    </w:r>
    <w:r>
      <w:fldChar w:fldCharType="end"/>
    </w:r>
  </w:p>
  <w:p w:rsidR="00D23B55" w:rsidRDefault="00D23B55" w:rsidP="00A54EC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3B55" w:rsidRDefault="00D23B55" w:rsidP="005D7DE1">
      <w:r>
        <w:separator/>
      </w:r>
    </w:p>
    <w:p w:rsidR="00D23B55" w:rsidRDefault="00D23B55"/>
    <w:p w:rsidR="00D23B55" w:rsidRDefault="00D23B55" w:rsidP="00A54ECA"/>
  </w:footnote>
  <w:footnote w:type="continuationSeparator" w:id="0">
    <w:p w:rsidR="00D23B55" w:rsidRDefault="00D23B55" w:rsidP="005D7DE1">
      <w:r>
        <w:continuationSeparator/>
      </w:r>
    </w:p>
    <w:p w:rsidR="00D23B55" w:rsidRDefault="00D23B55"/>
    <w:p w:rsidR="00D23B55" w:rsidRDefault="00D23B55" w:rsidP="00A54ECA"/>
  </w:footnote>
  <w:footnote w:type="continuationNotice" w:id="1">
    <w:p w:rsidR="00D23B55" w:rsidRDefault="00D23B55"/>
    <w:p w:rsidR="00D23B55" w:rsidRDefault="00D23B55"/>
    <w:p w:rsidR="00D23B55" w:rsidRDefault="00D23B55" w:rsidP="00A54ECA"/>
  </w:footnote>
  <w:footnote w:id="2">
    <w:p w:rsidR="00D23B55" w:rsidRPr="000A30B1" w:rsidRDefault="00D23B55" w:rsidP="00F63FBB">
      <w:pPr>
        <w:pStyle w:val="Referencetext8pt"/>
        <w:rPr>
          <w:vertAlign w:val="subscript"/>
        </w:rPr>
      </w:pPr>
      <w:r w:rsidRPr="000A30B1">
        <w:rPr>
          <w:rStyle w:val="FootnoteReference"/>
          <w:rFonts w:cs="Arial"/>
          <w:sz w:val="20"/>
          <w:szCs w:val="20"/>
          <w:vertAlign w:val="subscript"/>
        </w:rPr>
        <w:footnoteRef/>
      </w:r>
      <w:r>
        <w:rPr>
          <w:vertAlign w:val="subscript"/>
        </w:rPr>
        <w:t xml:space="preserve"> </w:t>
      </w:r>
      <w:r w:rsidRPr="00CC237F">
        <w:t>https://www.adur-worthing.gov.uk/media/media,143976,en.pdf</w:t>
      </w:r>
    </w:p>
  </w:footnote>
  <w:footnote w:id="3">
    <w:p w:rsidR="00D23B55" w:rsidRPr="00CE6CD1" w:rsidRDefault="00D23B55" w:rsidP="00C37DA5">
      <w:pPr>
        <w:pStyle w:val="Referencetext8pt"/>
      </w:pPr>
      <w:r w:rsidRPr="00CE6CD1">
        <w:rPr>
          <w:rStyle w:val="FootnoteReference"/>
          <w:szCs w:val="16"/>
        </w:rPr>
        <w:footnoteRef/>
      </w:r>
      <w:r>
        <w:t xml:space="preserve"> </w:t>
      </w:r>
      <w:r w:rsidRPr="00CC237F">
        <w:t>http://www.resolutionfoundation.org/media/press-releases/21st-century-britain-has-seen-a-30-per-cent-increase-in-second-home-ownership/</w:t>
      </w:r>
    </w:p>
  </w:footnote>
  <w:footnote w:id="4">
    <w:p w:rsidR="00D23B55" w:rsidRPr="00953601" w:rsidRDefault="00D23B55" w:rsidP="002804C6">
      <w:pPr>
        <w:pStyle w:val="Referencetext8pt"/>
        <w:rPr>
          <w:szCs w:val="16"/>
        </w:rPr>
      </w:pPr>
      <w:r w:rsidRPr="00953601">
        <w:rPr>
          <w:rStyle w:val="FootnoteReference"/>
          <w:rFonts w:cs="Arial"/>
          <w:sz w:val="20"/>
          <w:szCs w:val="20"/>
        </w:rPr>
        <w:footnoteRef/>
      </w:r>
      <w:r w:rsidRPr="00953601">
        <w:rPr>
          <w:szCs w:val="16"/>
          <w:vertAlign w:val="subscript"/>
        </w:rPr>
        <w:t xml:space="preserve"> </w:t>
      </w:r>
      <w:r w:rsidRPr="00953601">
        <w:rPr>
          <w:szCs w:val="16"/>
        </w:rPr>
        <w:t>ONS 2018 Mid-Year Population Estimates</w:t>
      </w:r>
    </w:p>
  </w:footnote>
  <w:footnote w:id="5">
    <w:p w:rsidR="00D23B55" w:rsidRPr="00CF79F7" w:rsidRDefault="00D23B55" w:rsidP="00B0298E">
      <w:pPr>
        <w:pStyle w:val="FootnoteText"/>
        <w:rPr>
          <w:rFonts w:ascii="Arial" w:hAnsi="Arial" w:cs="Arial"/>
          <w:sz w:val="16"/>
          <w:szCs w:val="16"/>
        </w:rPr>
      </w:pPr>
      <w:r w:rsidRPr="00CF79F7">
        <w:rPr>
          <w:rStyle w:val="FootnoteReference"/>
          <w:rFonts w:ascii="Arial" w:hAnsi="Arial" w:cs="Arial"/>
          <w:sz w:val="20"/>
          <w:szCs w:val="20"/>
        </w:rPr>
        <w:footnoteRef/>
      </w:r>
      <w:r>
        <w:rPr>
          <w:rFonts w:ascii="Arial" w:hAnsi="Arial" w:cs="Arial"/>
          <w:sz w:val="20"/>
          <w:szCs w:val="20"/>
          <w:vertAlign w:val="superscript"/>
        </w:rPr>
        <w:t xml:space="preserve"> </w:t>
      </w:r>
      <w:r w:rsidRPr="00CF79F7">
        <w:rPr>
          <w:rFonts w:ascii="Arial" w:hAnsi="Arial" w:cs="Arial"/>
          <w:sz w:val="16"/>
          <w:szCs w:val="16"/>
        </w:rPr>
        <w:t>Oxford</w:t>
      </w:r>
      <w:r>
        <w:rPr>
          <w:rFonts w:ascii="Arial" w:hAnsi="Arial" w:cs="Arial"/>
          <w:sz w:val="16"/>
          <w:szCs w:val="16"/>
        </w:rPr>
        <w:t xml:space="preserve"> </w:t>
      </w:r>
      <w:r w:rsidRPr="00CF79F7">
        <w:rPr>
          <w:rFonts w:ascii="Arial" w:hAnsi="Arial" w:cs="Arial"/>
          <w:sz w:val="16"/>
          <w:szCs w:val="16"/>
        </w:rPr>
        <w:t>Economics</w:t>
      </w:r>
      <w:r>
        <w:rPr>
          <w:rFonts w:ascii="Arial" w:hAnsi="Arial" w:cs="Arial"/>
          <w:sz w:val="16"/>
          <w:szCs w:val="16"/>
        </w:rPr>
        <w:t xml:space="preserve"> </w:t>
      </w:r>
      <w:r w:rsidRPr="00CF79F7">
        <w:rPr>
          <w:rFonts w:ascii="Arial" w:hAnsi="Arial" w:cs="Arial"/>
          <w:sz w:val="16"/>
          <w:szCs w:val="16"/>
        </w:rPr>
        <w:t>estimates,</w:t>
      </w:r>
      <w:r>
        <w:rPr>
          <w:rFonts w:ascii="Arial" w:hAnsi="Arial" w:cs="Arial"/>
          <w:sz w:val="16"/>
          <w:szCs w:val="16"/>
        </w:rPr>
        <w:t xml:space="preserve"> </w:t>
      </w:r>
      <w:r w:rsidRPr="00CF79F7">
        <w:rPr>
          <w:rFonts w:ascii="Arial" w:hAnsi="Arial" w:cs="Arial"/>
          <w:sz w:val="16"/>
          <w:szCs w:val="16"/>
        </w:rPr>
        <w:t>201</w:t>
      </w:r>
      <w:r>
        <w:rPr>
          <w:rFonts w:ascii="Arial" w:hAnsi="Arial" w:cs="Arial"/>
          <w:sz w:val="16"/>
          <w:szCs w:val="16"/>
        </w:rPr>
        <w:t xml:space="preserve">8 </w:t>
      </w:r>
    </w:p>
  </w:footnote>
  <w:footnote w:id="6">
    <w:p w:rsidR="00D23B55" w:rsidRPr="000A30B1" w:rsidRDefault="00D23B55" w:rsidP="000A30B1">
      <w:pPr>
        <w:pStyle w:val="Referencetext8pt"/>
        <w:rPr>
          <w:vertAlign w:val="subscript"/>
        </w:rPr>
      </w:pPr>
      <w:r w:rsidRPr="00D86785">
        <w:rPr>
          <w:rStyle w:val="FootnoteReference"/>
          <w:rFonts w:cs="Arial"/>
          <w:sz w:val="20"/>
          <w:szCs w:val="20"/>
        </w:rPr>
        <w:footnoteRef/>
      </w:r>
      <w:r w:rsidRPr="00D86785">
        <w:rPr>
          <w:vertAlign w:val="subscript"/>
        </w:rPr>
        <w:t xml:space="preserve"> </w:t>
      </w:r>
      <w:r w:rsidRPr="00D86785">
        <w:t>A schedule showing the breakdown of each broad sector by 2-digit sectors is included in Appendix A</w:t>
      </w:r>
    </w:p>
  </w:footnote>
  <w:footnote w:id="7">
    <w:p w:rsidR="00D23B55" w:rsidRPr="00BC7E1C" w:rsidRDefault="00D23B55" w:rsidP="000A30B1">
      <w:pPr>
        <w:pStyle w:val="Referencetext8pt"/>
      </w:pPr>
      <w:r w:rsidRPr="00CF79F7">
        <w:rPr>
          <w:rStyle w:val="FootnoteReference"/>
          <w:rFonts w:cs="Arial"/>
          <w:sz w:val="20"/>
          <w:szCs w:val="20"/>
        </w:rPr>
        <w:footnoteRef/>
      </w:r>
      <w:r>
        <w:t xml:space="preserve"> </w:t>
      </w:r>
      <w:r w:rsidRPr="00D4420B">
        <w:rPr>
          <w:u w:val="single"/>
        </w:rPr>
        <w:t>Employment</w:t>
      </w:r>
      <w:r>
        <w:t xml:space="preserve"> as % of p</w:t>
      </w:r>
      <w:r w:rsidRPr="00BC7E1C">
        <w:t>eople</w:t>
      </w:r>
      <w:r>
        <w:t xml:space="preserve"> </w:t>
      </w:r>
      <w:r w:rsidRPr="00BC7E1C">
        <w:t>aged</w:t>
      </w:r>
      <w:r>
        <w:t xml:space="preserve"> </w:t>
      </w:r>
      <w:r w:rsidRPr="00BC7E1C">
        <w:t>16</w:t>
      </w:r>
      <w:r>
        <w:t xml:space="preserve"> -64 </w:t>
      </w:r>
      <w:r w:rsidRPr="00BC7E1C">
        <w:t>who</w:t>
      </w:r>
      <w:r>
        <w:t xml:space="preserve"> </w:t>
      </w:r>
      <w:r w:rsidRPr="00BC7E1C">
        <w:t>did</w:t>
      </w:r>
      <w:r>
        <w:t xml:space="preserve"> </w:t>
      </w:r>
      <w:r w:rsidRPr="00BC7E1C">
        <w:t>some</w:t>
      </w:r>
      <w:r>
        <w:t xml:space="preserve"> </w:t>
      </w:r>
      <w:r w:rsidRPr="00BC7E1C">
        <w:t>paid</w:t>
      </w:r>
      <w:r>
        <w:t xml:space="preserve"> </w:t>
      </w:r>
      <w:r w:rsidRPr="00BC7E1C">
        <w:t>work</w:t>
      </w:r>
      <w:r>
        <w:t xml:space="preserve"> </w:t>
      </w:r>
      <w:r w:rsidRPr="00BC7E1C">
        <w:t>in</w:t>
      </w:r>
      <w:r>
        <w:t xml:space="preserve"> </w:t>
      </w:r>
      <w:r w:rsidRPr="00BC7E1C">
        <w:t>the</w:t>
      </w:r>
      <w:r>
        <w:t xml:space="preserve"> </w:t>
      </w:r>
      <w:r w:rsidRPr="00BC7E1C">
        <w:t>reference</w:t>
      </w:r>
      <w:r>
        <w:t xml:space="preserve"> </w:t>
      </w:r>
      <w:r w:rsidRPr="00BC7E1C">
        <w:t>week</w:t>
      </w:r>
      <w:r>
        <w:t xml:space="preserve"> </w:t>
      </w:r>
      <w:r w:rsidRPr="00BC7E1C">
        <w:t>(whether</w:t>
      </w:r>
      <w:r>
        <w:t xml:space="preserve"> </w:t>
      </w:r>
      <w:r w:rsidRPr="00BC7E1C">
        <w:t>as</w:t>
      </w:r>
      <w:r>
        <w:t xml:space="preserve"> </w:t>
      </w:r>
      <w:r w:rsidRPr="00BC7E1C">
        <w:t>an</w:t>
      </w:r>
      <w:r>
        <w:t xml:space="preserve"> </w:t>
      </w:r>
      <w:r w:rsidRPr="00BC7E1C">
        <w:t>employee</w:t>
      </w:r>
      <w:r>
        <w:t xml:space="preserve"> </w:t>
      </w:r>
      <w:r w:rsidRPr="00BC7E1C">
        <w:t>or</w:t>
      </w:r>
      <w:r>
        <w:t xml:space="preserve"> </w:t>
      </w:r>
      <w:r w:rsidRPr="00BC7E1C">
        <w:t>self-employed);</w:t>
      </w:r>
      <w:r>
        <w:t xml:space="preserve"> </w:t>
      </w:r>
      <w:r w:rsidRPr="00BC7E1C">
        <w:t>those</w:t>
      </w:r>
      <w:r>
        <w:t xml:space="preserve"> </w:t>
      </w:r>
      <w:r w:rsidRPr="00BC7E1C">
        <w:t>who</w:t>
      </w:r>
      <w:r>
        <w:t xml:space="preserve"> </w:t>
      </w:r>
      <w:r w:rsidRPr="00BC7E1C">
        <w:t>had</w:t>
      </w:r>
      <w:r>
        <w:t xml:space="preserve"> </w:t>
      </w:r>
      <w:r w:rsidRPr="00BC7E1C">
        <w:t>a</w:t>
      </w:r>
      <w:r>
        <w:t xml:space="preserve"> </w:t>
      </w:r>
      <w:r w:rsidRPr="00BC7E1C">
        <w:t>job</w:t>
      </w:r>
      <w:r>
        <w:t xml:space="preserve"> </w:t>
      </w:r>
      <w:r w:rsidRPr="00BC7E1C">
        <w:t>that</w:t>
      </w:r>
      <w:r>
        <w:t xml:space="preserve"> </w:t>
      </w:r>
      <w:r w:rsidRPr="00BC7E1C">
        <w:t>they</w:t>
      </w:r>
      <w:r>
        <w:t xml:space="preserve"> </w:t>
      </w:r>
      <w:r w:rsidRPr="00BC7E1C">
        <w:t>were</w:t>
      </w:r>
      <w:r>
        <w:t xml:space="preserve"> </w:t>
      </w:r>
      <w:r w:rsidRPr="00BC7E1C">
        <w:t>temporarily</w:t>
      </w:r>
      <w:r>
        <w:t xml:space="preserve"> </w:t>
      </w:r>
      <w:r w:rsidRPr="00BC7E1C">
        <w:t>away</w:t>
      </w:r>
      <w:r>
        <w:t xml:space="preserve"> </w:t>
      </w:r>
      <w:r w:rsidRPr="00BC7E1C">
        <w:t>from</w:t>
      </w:r>
      <w:r>
        <w:t xml:space="preserve"> </w:t>
      </w:r>
      <w:r w:rsidRPr="00BC7E1C">
        <w:t>(e.g.</w:t>
      </w:r>
      <w:r>
        <w:t xml:space="preserve"> </w:t>
      </w:r>
      <w:r w:rsidRPr="00BC7E1C">
        <w:t>on</w:t>
      </w:r>
      <w:r>
        <w:t xml:space="preserve"> </w:t>
      </w:r>
      <w:r w:rsidRPr="00BC7E1C">
        <w:t>holiday);</w:t>
      </w:r>
      <w:r>
        <w:t xml:space="preserve"> </w:t>
      </w:r>
      <w:r w:rsidRPr="00BC7E1C">
        <w:t>those</w:t>
      </w:r>
      <w:r>
        <w:t xml:space="preserve"> </w:t>
      </w:r>
      <w:r w:rsidRPr="00BC7E1C">
        <w:t>on</w:t>
      </w:r>
      <w:r>
        <w:t xml:space="preserve"> </w:t>
      </w:r>
      <w:r w:rsidRPr="00BC7E1C">
        <w:t>government</w:t>
      </w:r>
      <w:r>
        <w:t xml:space="preserve"> </w:t>
      </w:r>
      <w:r w:rsidRPr="00BC7E1C">
        <w:t>supported</w:t>
      </w:r>
      <w:r>
        <w:t xml:space="preserve"> </w:t>
      </w:r>
      <w:r w:rsidRPr="00BC7E1C">
        <w:t>training</w:t>
      </w:r>
      <w:r>
        <w:t xml:space="preserve"> </w:t>
      </w:r>
      <w:r w:rsidRPr="00BC7E1C">
        <w:t>and</w:t>
      </w:r>
      <w:r>
        <w:t xml:space="preserve"> </w:t>
      </w:r>
      <w:r w:rsidRPr="00BC7E1C">
        <w:t>employment</w:t>
      </w:r>
      <w:r>
        <w:t xml:space="preserve"> </w:t>
      </w:r>
      <w:r w:rsidRPr="00BC7E1C">
        <w:t>programmes;</w:t>
      </w:r>
      <w:r>
        <w:t xml:space="preserve"> </w:t>
      </w:r>
      <w:r w:rsidRPr="00BC7E1C">
        <w:t>and</w:t>
      </w:r>
      <w:r>
        <w:t xml:space="preserve"> </w:t>
      </w:r>
      <w:r w:rsidRPr="00BC7E1C">
        <w:t>those</w:t>
      </w:r>
      <w:r>
        <w:t xml:space="preserve"> </w:t>
      </w:r>
      <w:r w:rsidRPr="00BC7E1C">
        <w:t>doing</w:t>
      </w:r>
      <w:r>
        <w:t xml:space="preserve"> </w:t>
      </w:r>
      <w:r w:rsidRPr="00BC7E1C">
        <w:t>unpaid</w:t>
      </w:r>
      <w:r>
        <w:t xml:space="preserve"> </w:t>
      </w:r>
      <w:r w:rsidRPr="00BC7E1C">
        <w:t>family</w:t>
      </w:r>
      <w:r>
        <w:t xml:space="preserve"> </w:t>
      </w:r>
      <w:r w:rsidRPr="00BC7E1C">
        <w:t>work</w:t>
      </w:r>
      <w:r>
        <w:t xml:space="preserve"> </w:t>
      </w:r>
      <w:r w:rsidRPr="00BC7E1C">
        <w:t>(i.e.</w:t>
      </w:r>
      <w:r>
        <w:t xml:space="preserve"> </w:t>
      </w:r>
      <w:r w:rsidRPr="00BC7E1C">
        <w:t>working</w:t>
      </w:r>
      <w:r>
        <w:t xml:space="preserve"> </w:t>
      </w:r>
      <w:r w:rsidRPr="00BC7E1C">
        <w:t>in</w:t>
      </w:r>
      <w:r>
        <w:t xml:space="preserve"> </w:t>
      </w:r>
      <w:r w:rsidRPr="00BC7E1C">
        <w:t>a</w:t>
      </w:r>
      <w:r>
        <w:t xml:space="preserve"> </w:t>
      </w:r>
      <w:r w:rsidRPr="00BC7E1C">
        <w:t>family</w:t>
      </w:r>
      <w:r>
        <w:t xml:space="preserve"> </w:t>
      </w:r>
      <w:r w:rsidRPr="00BC7E1C">
        <w:t>business).</w:t>
      </w:r>
      <w:r>
        <w:t xml:space="preserve">; </w:t>
      </w:r>
      <w:r w:rsidRPr="00D4420B">
        <w:rPr>
          <w:u w:val="single"/>
        </w:rPr>
        <w:t>Economic</w:t>
      </w:r>
      <w:r>
        <w:rPr>
          <w:u w:val="single"/>
        </w:rPr>
        <w:t xml:space="preserve"> </w:t>
      </w:r>
      <w:r w:rsidRPr="00D4420B">
        <w:rPr>
          <w:u w:val="single"/>
        </w:rPr>
        <w:t>Active</w:t>
      </w:r>
      <w:r>
        <w:t xml:space="preserve"> p</w:t>
      </w:r>
      <w:r w:rsidRPr="00BC7E1C">
        <w:t>eople,</w:t>
      </w:r>
      <w:r>
        <w:t xml:space="preserve"> </w:t>
      </w:r>
      <w:r w:rsidRPr="00BC7E1C">
        <w:t>who</w:t>
      </w:r>
      <w:r>
        <w:t xml:space="preserve"> </w:t>
      </w:r>
      <w:r w:rsidRPr="00BC7E1C">
        <w:t>are</w:t>
      </w:r>
      <w:r>
        <w:t xml:space="preserve"> </w:t>
      </w:r>
      <w:r w:rsidRPr="00BC7E1C">
        <w:t>economically</w:t>
      </w:r>
      <w:r>
        <w:t xml:space="preserve"> </w:t>
      </w:r>
      <w:r w:rsidRPr="00BC7E1C">
        <w:t>active,</w:t>
      </w:r>
      <w:r>
        <w:t xml:space="preserve"> </w:t>
      </w:r>
      <w:r w:rsidRPr="00BC7E1C">
        <w:t>expressed</w:t>
      </w:r>
      <w:r>
        <w:t xml:space="preserve"> </w:t>
      </w:r>
      <w:r w:rsidRPr="00BC7E1C">
        <w:t>as</w:t>
      </w:r>
      <w:r>
        <w:t xml:space="preserve"> </w:t>
      </w:r>
      <w:r w:rsidRPr="00BC7E1C">
        <w:t>a</w:t>
      </w:r>
      <w:r>
        <w:t xml:space="preserve"> </w:t>
      </w:r>
      <w:r w:rsidRPr="00BC7E1C">
        <w:t>percentage</w:t>
      </w:r>
      <w:r>
        <w:t xml:space="preserve"> </w:t>
      </w:r>
      <w:r w:rsidRPr="00BC7E1C">
        <w:t>of</w:t>
      </w:r>
      <w:r>
        <w:t xml:space="preserve"> </w:t>
      </w:r>
      <w:r w:rsidRPr="00BC7E1C">
        <w:t>all</w:t>
      </w:r>
      <w:r>
        <w:t xml:space="preserve"> </w:t>
      </w:r>
      <w:r w:rsidRPr="00BC7E1C">
        <w:t>people</w:t>
      </w:r>
      <w:r>
        <w:t xml:space="preserve">; </w:t>
      </w:r>
      <w:r w:rsidRPr="00D4420B">
        <w:rPr>
          <w:u w:val="single"/>
        </w:rPr>
        <w:t>Unemployment</w:t>
      </w:r>
      <w:r>
        <w:rPr>
          <w:u w:val="single"/>
        </w:rPr>
        <w:t xml:space="preserve"> </w:t>
      </w:r>
      <w:r>
        <w:t xml:space="preserve">as </w:t>
      </w:r>
      <w:r w:rsidRPr="00BC7E1C">
        <w:t>%</w:t>
      </w:r>
      <w:r>
        <w:t xml:space="preserve"> </w:t>
      </w:r>
      <w:r w:rsidRPr="00BC7E1C">
        <w:t>is</w:t>
      </w:r>
      <w:r>
        <w:t xml:space="preserve"> </w:t>
      </w:r>
      <w:r w:rsidRPr="00BC7E1C">
        <w:t>a</w:t>
      </w:r>
      <w:r>
        <w:t xml:space="preserve"> </w:t>
      </w:r>
      <w:r w:rsidRPr="00BC7E1C">
        <w:t>proportion</w:t>
      </w:r>
      <w:r>
        <w:t xml:space="preserve"> </w:t>
      </w:r>
      <w:r w:rsidRPr="00BC7E1C">
        <w:t>of</w:t>
      </w:r>
      <w:r>
        <w:t xml:space="preserve"> </w:t>
      </w:r>
      <w:r w:rsidRPr="00BC7E1C">
        <w:t>economically</w:t>
      </w:r>
      <w:r>
        <w:t xml:space="preserve"> </w:t>
      </w:r>
      <w:r w:rsidRPr="00BC7E1C">
        <w:t>active</w:t>
      </w:r>
      <w:r>
        <w:t xml:space="preserve"> population.</w:t>
      </w:r>
    </w:p>
  </w:footnote>
  <w:footnote w:id="8">
    <w:p w:rsidR="00D23B55" w:rsidRPr="00147F0F" w:rsidRDefault="00D23B55">
      <w:pPr>
        <w:pStyle w:val="FootnoteText"/>
        <w:rPr>
          <w:rFonts w:asciiTheme="minorHAnsi" w:hAnsiTheme="minorHAnsi" w:cstheme="minorHAnsi"/>
        </w:rPr>
      </w:pPr>
      <w:r w:rsidRPr="00CF79F7">
        <w:rPr>
          <w:rStyle w:val="FootnoteReference"/>
          <w:rFonts w:asciiTheme="minorHAnsi" w:hAnsiTheme="minorHAnsi" w:cstheme="minorHAnsi"/>
          <w:sz w:val="20"/>
          <w:szCs w:val="20"/>
        </w:rPr>
        <w:footnoteRef/>
      </w:r>
      <w:r>
        <w:rPr>
          <w:rFonts w:asciiTheme="minorHAnsi" w:hAnsiTheme="minorHAnsi" w:cstheme="minorHAnsi"/>
          <w:sz w:val="16"/>
          <w:szCs w:val="16"/>
        </w:rPr>
        <w:t xml:space="preserve"> </w:t>
      </w:r>
      <w:proofErr w:type="gramStart"/>
      <w:r w:rsidRPr="00147F0F">
        <w:rPr>
          <w:rFonts w:asciiTheme="minorHAnsi" w:hAnsiTheme="minorHAnsi" w:cstheme="minorHAnsi"/>
          <w:sz w:val="16"/>
        </w:rPr>
        <w:t>The</w:t>
      </w:r>
      <w:r>
        <w:rPr>
          <w:rFonts w:asciiTheme="minorHAnsi" w:hAnsiTheme="minorHAnsi" w:cstheme="minorHAnsi"/>
          <w:sz w:val="16"/>
        </w:rPr>
        <w:t xml:space="preserve"> </w:t>
      </w:r>
      <w:r w:rsidRPr="00147F0F">
        <w:rPr>
          <w:rFonts w:asciiTheme="minorHAnsi" w:hAnsiTheme="minorHAnsi" w:cstheme="minorHAnsi"/>
          <w:sz w:val="16"/>
        </w:rPr>
        <w:t>period</w:t>
      </w:r>
      <w:r>
        <w:rPr>
          <w:rFonts w:asciiTheme="minorHAnsi" w:hAnsiTheme="minorHAnsi" w:cstheme="minorHAnsi"/>
          <w:sz w:val="16"/>
        </w:rPr>
        <w:t xml:space="preserve"> </w:t>
      </w:r>
      <w:r w:rsidRPr="00147F0F">
        <w:rPr>
          <w:rFonts w:asciiTheme="minorHAnsi" w:hAnsiTheme="minorHAnsi" w:cstheme="minorHAnsi"/>
          <w:sz w:val="16"/>
        </w:rPr>
        <w:t>covering</w:t>
      </w:r>
      <w:r>
        <w:rPr>
          <w:rFonts w:asciiTheme="minorHAnsi" w:hAnsiTheme="minorHAnsi" w:cstheme="minorHAnsi"/>
          <w:sz w:val="16"/>
        </w:rPr>
        <w:t xml:space="preserve"> </w:t>
      </w:r>
      <w:r w:rsidRPr="00147F0F">
        <w:rPr>
          <w:rFonts w:asciiTheme="minorHAnsi" w:hAnsiTheme="minorHAnsi" w:cstheme="minorHAnsi"/>
          <w:sz w:val="16"/>
        </w:rPr>
        <w:t>the</w:t>
      </w:r>
      <w:r>
        <w:rPr>
          <w:rFonts w:asciiTheme="minorHAnsi" w:hAnsiTheme="minorHAnsi" w:cstheme="minorHAnsi"/>
          <w:sz w:val="16"/>
        </w:rPr>
        <w:t xml:space="preserve"> </w:t>
      </w:r>
      <w:r w:rsidRPr="00147F0F">
        <w:rPr>
          <w:rFonts w:asciiTheme="minorHAnsi" w:hAnsiTheme="minorHAnsi" w:cstheme="minorHAnsi"/>
          <w:sz w:val="16"/>
        </w:rPr>
        <w:t>last</w:t>
      </w:r>
      <w:r>
        <w:rPr>
          <w:rFonts w:asciiTheme="minorHAnsi" w:hAnsiTheme="minorHAnsi" w:cstheme="minorHAnsi"/>
          <w:sz w:val="16"/>
        </w:rPr>
        <w:t xml:space="preserve"> </w:t>
      </w:r>
      <w:r w:rsidRPr="00147F0F">
        <w:rPr>
          <w:rFonts w:asciiTheme="minorHAnsi" w:hAnsiTheme="minorHAnsi" w:cstheme="minorHAnsi"/>
          <w:sz w:val="16"/>
        </w:rPr>
        <w:t>complete</w:t>
      </w:r>
      <w:r>
        <w:rPr>
          <w:rFonts w:asciiTheme="minorHAnsi" w:hAnsiTheme="minorHAnsi" w:cstheme="minorHAnsi"/>
          <w:sz w:val="16"/>
        </w:rPr>
        <w:t xml:space="preserve"> </w:t>
      </w:r>
      <w:r w:rsidRPr="00147F0F">
        <w:rPr>
          <w:rFonts w:asciiTheme="minorHAnsi" w:hAnsiTheme="minorHAnsi" w:cstheme="minorHAnsi"/>
          <w:sz w:val="16"/>
        </w:rPr>
        <w:t>market</w:t>
      </w:r>
      <w:r>
        <w:rPr>
          <w:rFonts w:asciiTheme="minorHAnsi" w:hAnsiTheme="minorHAnsi" w:cstheme="minorHAnsi"/>
          <w:sz w:val="16"/>
        </w:rPr>
        <w:t xml:space="preserve"> </w:t>
      </w:r>
      <w:r w:rsidRPr="00147F0F">
        <w:rPr>
          <w:rFonts w:asciiTheme="minorHAnsi" w:hAnsiTheme="minorHAnsi" w:cstheme="minorHAnsi"/>
          <w:sz w:val="16"/>
        </w:rPr>
        <w:t>cycle.</w:t>
      </w:r>
      <w:proofErr w:type="gramEnd"/>
    </w:p>
  </w:footnote>
  <w:footnote w:id="9">
    <w:p w:rsidR="00D23B55" w:rsidRDefault="00D23B55" w:rsidP="00B008D9">
      <w:pPr>
        <w:pStyle w:val="CommentText"/>
        <w:rPr>
          <w:rFonts w:ascii="Arial" w:hAnsi="Arial" w:cs="Arial"/>
          <w:sz w:val="16"/>
          <w:szCs w:val="16"/>
        </w:rPr>
      </w:pPr>
      <w:r>
        <w:rPr>
          <w:rStyle w:val="FootnoteReference"/>
          <w:rFonts w:ascii="Arial" w:eastAsiaTheme="minorEastAsia" w:hAnsi="Arial" w:cs="Arial"/>
          <w:sz w:val="20"/>
        </w:rPr>
        <w:footnoteRef/>
      </w:r>
      <w:r>
        <w:rPr>
          <w:rFonts w:ascii="Arial" w:hAnsi="Arial" w:cs="Arial"/>
          <w:color w:val="0B0C0C"/>
          <w:sz w:val="16"/>
          <w:szCs w:val="16"/>
          <w:shd w:val="clear" w:color="auto" w:fill="FFFFFF"/>
        </w:rPr>
        <w:t xml:space="preserve"> The continuous recording of lettings and sales in social housing in England (referred to as CoRe) is a national information source that records information on the characteristics of both private registered providers and local authority new social housing tenants and the homes they rent</w:t>
      </w:r>
    </w:p>
  </w:footnote>
  <w:footnote w:id="10">
    <w:p w:rsidR="00D23B55" w:rsidRDefault="00D23B55" w:rsidP="0072766C">
      <w:pPr>
        <w:pStyle w:val="FootnoteText"/>
      </w:pPr>
      <w:r>
        <w:rPr>
          <w:rStyle w:val="FootnoteReference"/>
        </w:rPr>
        <w:footnoteRef/>
      </w:r>
      <w:r>
        <w:t xml:space="preserve"> </w:t>
      </w:r>
      <w:hyperlink r:id="rId1" w:history="1">
        <w:r w:rsidRPr="00C22A6F">
          <w:rPr>
            <w:rStyle w:val="Hyperlink"/>
            <w:rFonts w:asciiTheme="minorHAnsi" w:eastAsiaTheme="minorEastAsia" w:hAnsiTheme="minorHAnsi" w:cstheme="minorHAnsi"/>
            <w:sz w:val="16"/>
            <w:szCs w:val="18"/>
            <w:lang w:eastAsia="ja-JP"/>
          </w:rPr>
          <w:t>https://www.chichester.gov.uk/CHttpHandler.ashx?id=25712&amp;p=0</w:t>
        </w:r>
      </w:hyperlink>
    </w:p>
  </w:footnote>
  <w:footnote w:id="11">
    <w:p w:rsidR="00D23B55" w:rsidRPr="00FC7F95" w:rsidRDefault="00D23B55" w:rsidP="00651CBB">
      <w:pPr>
        <w:pStyle w:val="Referencetext8pt"/>
      </w:pPr>
      <w:r>
        <w:rPr>
          <w:rStyle w:val="FootnoteReference"/>
          <w:rFonts w:hint="eastAsia"/>
        </w:rPr>
        <w:footnoteRef/>
      </w:r>
      <w:r>
        <w:rPr>
          <w:rFonts w:hint="eastAsia"/>
        </w:rPr>
        <w:t xml:space="preserve"> </w:t>
      </w:r>
      <w:hyperlink r:id="rId2" w:history="1">
        <w:r w:rsidRPr="00FC7F95">
          <w:rPr>
            <w:rStyle w:val="Hyperlink"/>
            <w:rFonts w:asciiTheme="minorHAnsi" w:hAnsiTheme="minorHAnsi" w:cstheme="minorHAnsi"/>
          </w:rPr>
          <w:t>https://www.ons.gov.uk/economy/inflationandpriceindices/bulletins/indexofprivatehousingrentalprices/march2018/relateddata</w:t>
        </w:r>
      </w:hyperlink>
      <w:r>
        <w:t xml:space="preserve">. </w:t>
      </w:r>
    </w:p>
  </w:footnote>
  <w:footnote w:id="12">
    <w:p w:rsidR="00D23B55" w:rsidRDefault="00D23B55" w:rsidP="00873DCC">
      <w:pPr>
        <w:pStyle w:val="Referencetext8pt"/>
      </w:pPr>
      <w:r>
        <w:rPr>
          <w:rStyle w:val="FootnoteReference"/>
        </w:rPr>
        <w:footnoteRef/>
      </w:r>
      <w:r>
        <w:t xml:space="preserve"> HRPs provide an individual person within a household to act as a reference point for producing further derived statistics and for characterising a whole household according to characteristics of the chosen reference person.</w:t>
      </w:r>
    </w:p>
  </w:footnote>
  <w:footnote w:id="13">
    <w:p w:rsidR="00D23B55" w:rsidRDefault="00D23B55" w:rsidP="00873DCC">
      <w:pPr>
        <w:pStyle w:val="Referencetext8pt"/>
      </w:pPr>
      <w:r>
        <w:rPr>
          <w:rStyle w:val="FootnoteReference"/>
        </w:rPr>
        <w:footnoteRef/>
      </w:r>
      <w:r>
        <w:t xml:space="preserve"> </w:t>
      </w:r>
      <w:hyperlink r:id="rId3" w:history="1">
        <w:r>
          <w:rPr>
            <w:rStyle w:val="Hyperlink"/>
          </w:rPr>
          <w:t>https://www.sheffield.ac.uk/polopoly_fs/1.834113!/file/Luke-Turner.pdf</w:t>
        </w:r>
      </w:hyperlink>
    </w:p>
  </w:footnote>
  <w:footnote w:id="14">
    <w:p w:rsidR="00D23B55" w:rsidRPr="00576D7A" w:rsidRDefault="00D23B55" w:rsidP="00576D7A">
      <w:pPr>
        <w:rPr>
          <w:sz w:val="18"/>
        </w:rPr>
      </w:pPr>
      <w:r>
        <w:rPr>
          <w:rStyle w:val="FootnoteReference"/>
        </w:rPr>
        <w:footnoteRef/>
      </w:r>
      <w:r w:rsidRPr="00576D7A">
        <w:rPr>
          <w:sz w:val="18"/>
        </w:rPr>
        <w:t>Housing Delivery Test Measurement Rule Book, July 2018</w:t>
      </w:r>
    </w:p>
    <w:p w:rsidR="00D23B55" w:rsidRDefault="00D23B55">
      <w:pPr>
        <w:pStyle w:val="FootnoteText"/>
      </w:pPr>
    </w:p>
  </w:footnote>
  <w:footnote w:id="15">
    <w:p w:rsidR="00D23B55" w:rsidRPr="00393CDB" w:rsidRDefault="00D23B55" w:rsidP="000A30B1">
      <w:pPr>
        <w:pStyle w:val="Referencetext8pt"/>
      </w:pPr>
      <w:r>
        <w:rPr>
          <w:rStyle w:val="FootnoteReference"/>
        </w:rPr>
        <w:footnoteRef/>
      </w:r>
      <w:r>
        <w:t xml:space="preserve"> </w:t>
      </w:r>
      <w:r w:rsidRPr="00393CDB">
        <w:t>Although</w:t>
      </w:r>
      <w:r>
        <w:t xml:space="preserve"> </w:t>
      </w:r>
      <w:r w:rsidRPr="00393CDB">
        <w:t>these</w:t>
      </w:r>
      <w:r>
        <w:t xml:space="preserve"> </w:t>
      </w:r>
      <w:r w:rsidRPr="00393CDB">
        <w:t>are</w:t>
      </w:r>
      <w:r>
        <w:t xml:space="preserve"> </w:t>
      </w:r>
      <w:r w:rsidRPr="00393CDB">
        <w:t>the</w:t>
      </w:r>
      <w:r>
        <w:t xml:space="preserve"> </w:t>
      </w:r>
      <w:r w:rsidRPr="00393CDB">
        <w:t>most</w:t>
      </w:r>
      <w:r>
        <w:t xml:space="preserve"> </w:t>
      </w:r>
      <w:r w:rsidRPr="00393CDB">
        <w:t>comprehensive</w:t>
      </w:r>
      <w:r>
        <w:t xml:space="preserve"> </w:t>
      </w:r>
      <w:r w:rsidRPr="00393CDB">
        <w:t>lists</w:t>
      </w:r>
      <w:r>
        <w:t xml:space="preserve"> </w:t>
      </w:r>
      <w:r w:rsidRPr="00393CDB">
        <w:t>available,</w:t>
      </w:r>
      <w:r>
        <w:t xml:space="preserve"> </w:t>
      </w:r>
      <w:r w:rsidRPr="00393CDB">
        <w:t>not</w:t>
      </w:r>
      <w:r>
        <w:t xml:space="preserve"> </w:t>
      </w:r>
      <w:r w:rsidRPr="00393CDB">
        <w:t>all</w:t>
      </w:r>
      <w:r>
        <w:t xml:space="preserve"> </w:t>
      </w:r>
      <w:r w:rsidRPr="00393CDB">
        <w:t>transactions</w:t>
      </w:r>
      <w:r>
        <w:t xml:space="preserve"> </w:t>
      </w:r>
      <w:r w:rsidRPr="00393CDB">
        <w:t>are</w:t>
      </w:r>
      <w:r>
        <w:t xml:space="preserve"> </w:t>
      </w:r>
      <w:r w:rsidRPr="00393CDB">
        <w:t>included.</w:t>
      </w:r>
      <w:r>
        <w:t xml:space="preserve"> </w:t>
      </w:r>
      <w:r w:rsidRPr="00393CDB">
        <w:t>In</w:t>
      </w:r>
      <w:r>
        <w:t xml:space="preserve"> </w:t>
      </w:r>
      <w:r w:rsidRPr="00393CDB">
        <w:t>some</w:t>
      </w:r>
      <w:r>
        <w:t xml:space="preserve"> </w:t>
      </w:r>
      <w:r w:rsidRPr="00393CDB">
        <w:t>cases</w:t>
      </w:r>
      <w:r>
        <w:t xml:space="preserve"> </w:t>
      </w:r>
      <w:r w:rsidRPr="00393CDB">
        <w:t>transactions</w:t>
      </w:r>
      <w:r>
        <w:t xml:space="preserve"> </w:t>
      </w:r>
      <w:r w:rsidRPr="00393CDB">
        <w:t>or</w:t>
      </w:r>
      <w:r>
        <w:t xml:space="preserve"> </w:t>
      </w:r>
      <w:r w:rsidRPr="00393CDB">
        <w:t>availability</w:t>
      </w:r>
      <w:r>
        <w:t xml:space="preserve"> </w:t>
      </w:r>
      <w:r w:rsidRPr="00393CDB">
        <w:t>is</w:t>
      </w:r>
      <w:r>
        <w:t xml:space="preserve"> </w:t>
      </w:r>
      <w:r w:rsidRPr="00393CDB">
        <w:t>applied</w:t>
      </w:r>
      <w:r>
        <w:t xml:space="preserve"> </w:t>
      </w:r>
      <w:r w:rsidRPr="00393CDB">
        <w:t>to</w:t>
      </w:r>
      <w:r>
        <w:t xml:space="preserve"> </w:t>
      </w:r>
      <w:r w:rsidRPr="00393CDB">
        <w:t>the</w:t>
      </w:r>
      <w:r>
        <w:t xml:space="preserve"> </w:t>
      </w:r>
      <w:r w:rsidRPr="00393CDB">
        <w:t>nearest</w:t>
      </w:r>
      <w:r>
        <w:t xml:space="preserve"> </w:t>
      </w:r>
      <w:r w:rsidRPr="00393CDB">
        <w:t>postal</w:t>
      </w:r>
      <w:r>
        <w:t xml:space="preserve"> </w:t>
      </w:r>
      <w:r w:rsidRPr="00393CDB">
        <w:t>town</w:t>
      </w:r>
      <w:r>
        <w:t xml:space="preserve"> </w:t>
      </w:r>
      <w:r w:rsidRPr="00393CDB">
        <w:t>which</w:t>
      </w:r>
      <w:r>
        <w:t xml:space="preserve"> </w:t>
      </w:r>
      <w:r w:rsidRPr="00393CDB">
        <w:t>may</w:t>
      </w:r>
      <w:r>
        <w:t xml:space="preserve"> </w:t>
      </w:r>
      <w:r w:rsidRPr="00393CDB">
        <w:t>be</w:t>
      </w:r>
      <w:r>
        <w:t xml:space="preserve"> </w:t>
      </w:r>
      <w:r w:rsidRPr="00393CDB">
        <w:t>in</w:t>
      </w:r>
      <w:r>
        <w:t xml:space="preserve"> </w:t>
      </w:r>
      <w:r w:rsidRPr="00393CDB">
        <w:t>a</w:t>
      </w:r>
      <w:r>
        <w:t xml:space="preserve"> </w:t>
      </w:r>
      <w:r w:rsidRPr="00393CDB">
        <w:t>different</w:t>
      </w:r>
      <w:r>
        <w:t xml:space="preserve"> </w:t>
      </w:r>
      <w:r w:rsidRPr="00393CDB">
        <w:t>local</w:t>
      </w:r>
      <w:r>
        <w:t xml:space="preserve"> </w:t>
      </w:r>
      <w:r w:rsidRPr="00393CDB">
        <w:t>authority</w:t>
      </w:r>
      <w:r>
        <w:t xml:space="preserve"> </w:t>
      </w:r>
      <w:r w:rsidRPr="00393CDB">
        <w:t>to</w:t>
      </w:r>
      <w:r>
        <w:t xml:space="preserve"> </w:t>
      </w:r>
      <w:r w:rsidRPr="00393CDB">
        <w:t>the</w:t>
      </w:r>
      <w:r>
        <w:t xml:space="preserve"> </w:t>
      </w:r>
      <w:r w:rsidRPr="00393CDB">
        <w:t>transaction.</w:t>
      </w:r>
      <w:r>
        <w:t xml:space="preserve"> </w:t>
      </w:r>
      <w:r w:rsidRPr="00393CDB">
        <w:t>GL</w:t>
      </w:r>
      <w:r>
        <w:t xml:space="preserve"> </w:t>
      </w:r>
      <w:r w:rsidRPr="00393CDB">
        <w:t>Hearn</w:t>
      </w:r>
      <w:r>
        <w:t xml:space="preserve"> </w:t>
      </w:r>
      <w:r w:rsidRPr="00393CDB">
        <w:t>ha</w:t>
      </w:r>
      <w:r>
        <w:t xml:space="preserve">s </w:t>
      </w:r>
      <w:r w:rsidRPr="00393CDB">
        <w:t>used</w:t>
      </w:r>
      <w:r>
        <w:t xml:space="preserve"> </w:t>
      </w:r>
      <w:r w:rsidRPr="00393CDB">
        <w:t>Geographic</w:t>
      </w:r>
      <w:r>
        <w:t xml:space="preserve"> </w:t>
      </w:r>
      <w:r w:rsidRPr="00393CDB">
        <w:t>Information</w:t>
      </w:r>
      <w:r>
        <w:t xml:space="preserve"> </w:t>
      </w:r>
      <w:r w:rsidRPr="00393CDB">
        <w:t>System</w:t>
      </w:r>
      <w:r>
        <w:t xml:space="preserve"> </w:t>
      </w:r>
      <w:r w:rsidRPr="00393CDB">
        <w:t>(GIS)</w:t>
      </w:r>
      <w:r>
        <w:t xml:space="preserve"> </w:t>
      </w:r>
      <w:r w:rsidRPr="00393CDB">
        <w:t>to</w:t>
      </w:r>
      <w:r>
        <w:t xml:space="preserve"> </w:t>
      </w:r>
      <w:r w:rsidRPr="00393CDB">
        <w:t>accurately</w:t>
      </w:r>
      <w:r>
        <w:t xml:space="preserve"> </w:t>
      </w:r>
      <w:r w:rsidRPr="00393CDB">
        <w:t>present</w:t>
      </w:r>
      <w:r>
        <w:t xml:space="preserve"> </w:t>
      </w:r>
      <w:r w:rsidRPr="00393CDB">
        <w:t>the</w:t>
      </w:r>
      <w:r>
        <w:t xml:space="preserve"> </w:t>
      </w:r>
      <w:r w:rsidRPr="00393CDB">
        <w:t>analysis</w:t>
      </w:r>
      <w:r>
        <w:t xml:space="preserve"> </w:t>
      </w:r>
      <w:r w:rsidRPr="00393CDB">
        <w:t>at</w:t>
      </w:r>
      <w:r>
        <w:t xml:space="preserve"> </w:t>
      </w:r>
      <w:r w:rsidRPr="00393CDB">
        <w:t>a</w:t>
      </w:r>
      <w:r>
        <w:t xml:space="preserve"> </w:t>
      </w:r>
      <w:r w:rsidRPr="00393CDB">
        <w:t>local</w:t>
      </w:r>
      <w:r>
        <w:t xml:space="preserve"> </w:t>
      </w:r>
      <w:r w:rsidRPr="00393CDB">
        <w:t>authority</w:t>
      </w:r>
      <w:r>
        <w:t xml:space="preserve"> </w:t>
      </w:r>
      <w:r w:rsidRPr="00393CDB">
        <w:t>level.</w:t>
      </w:r>
    </w:p>
  </w:footnote>
  <w:footnote w:id="16">
    <w:p w:rsidR="00D23B55" w:rsidRPr="00393CDB" w:rsidRDefault="00D23B55" w:rsidP="000A30B1">
      <w:pPr>
        <w:pStyle w:val="Referencetext8pt"/>
      </w:pPr>
      <w:r>
        <w:rPr>
          <w:rStyle w:val="FootnoteReference"/>
        </w:rPr>
        <w:footnoteRef/>
      </w:r>
      <w:r>
        <w:t xml:space="preserve"> </w:t>
      </w:r>
      <w:r w:rsidRPr="00CC237F">
        <w:t>Although</w:t>
      </w:r>
      <w:r>
        <w:t xml:space="preserve"> </w:t>
      </w:r>
      <w:r w:rsidRPr="00CC237F">
        <w:t>these</w:t>
      </w:r>
      <w:r>
        <w:t xml:space="preserve"> </w:t>
      </w:r>
      <w:r w:rsidRPr="00CC237F">
        <w:t>are</w:t>
      </w:r>
      <w:r>
        <w:t xml:space="preserve"> </w:t>
      </w:r>
      <w:r w:rsidRPr="00CC237F">
        <w:t>the</w:t>
      </w:r>
      <w:r>
        <w:t xml:space="preserve"> </w:t>
      </w:r>
      <w:r w:rsidRPr="00CC237F">
        <w:t>most</w:t>
      </w:r>
      <w:r>
        <w:t xml:space="preserve"> </w:t>
      </w:r>
      <w:r w:rsidRPr="00CC237F">
        <w:t>comprehensive</w:t>
      </w:r>
      <w:r>
        <w:t xml:space="preserve"> </w:t>
      </w:r>
      <w:r w:rsidRPr="00CC237F">
        <w:t>lists</w:t>
      </w:r>
      <w:r>
        <w:t xml:space="preserve"> </w:t>
      </w:r>
      <w:r w:rsidRPr="00CC237F">
        <w:t>available,</w:t>
      </w:r>
      <w:r>
        <w:t xml:space="preserve"> </w:t>
      </w:r>
      <w:r w:rsidRPr="00CC237F">
        <w:t>not</w:t>
      </w:r>
      <w:r>
        <w:t xml:space="preserve"> </w:t>
      </w:r>
      <w:r w:rsidRPr="00CC237F">
        <w:t>all</w:t>
      </w:r>
      <w:r>
        <w:t xml:space="preserve"> </w:t>
      </w:r>
      <w:r w:rsidRPr="00CC237F">
        <w:t>transactions</w:t>
      </w:r>
      <w:r>
        <w:t xml:space="preserve"> </w:t>
      </w:r>
      <w:r w:rsidRPr="00CC237F">
        <w:t>are</w:t>
      </w:r>
      <w:r>
        <w:t xml:space="preserve"> </w:t>
      </w:r>
      <w:r w:rsidRPr="00CC237F">
        <w:t>included.</w:t>
      </w:r>
      <w:r>
        <w:t xml:space="preserve"> </w:t>
      </w:r>
      <w:r w:rsidRPr="00CC237F">
        <w:t>In</w:t>
      </w:r>
      <w:r>
        <w:t xml:space="preserve"> </w:t>
      </w:r>
      <w:r w:rsidRPr="00CC237F">
        <w:t>some</w:t>
      </w:r>
      <w:r>
        <w:t xml:space="preserve"> </w:t>
      </w:r>
      <w:r w:rsidRPr="00CC237F">
        <w:t>cases</w:t>
      </w:r>
      <w:r>
        <w:t xml:space="preserve"> </w:t>
      </w:r>
      <w:r w:rsidRPr="00CC237F">
        <w:t>transactions</w:t>
      </w:r>
      <w:r>
        <w:t xml:space="preserve"> </w:t>
      </w:r>
      <w:r w:rsidRPr="00CC237F">
        <w:t>or</w:t>
      </w:r>
      <w:r>
        <w:t xml:space="preserve"> </w:t>
      </w:r>
      <w:r w:rsidRPr="00CC237F">
        <w:t>availability</w:t>
      </w:r>
      <w:r>
        <w:t xml:space="preserve"> </w:t>
      </w:r>
      <w:r w:rsidRPr="00CC237F">
        <w:t>is</w:t>
      </w:r>
      <w:r>
        <w:t xml:space="preserve"> </w:t>
      </w:r>
      <w:r w:rsidRPr="00CC237F">
        <w:t>applied</w:t>
      </w:r>
      <w:r>
        <w:t xml:space="preserve"> </w:t>
      </w:r>
      <w:r w:rsidRPr="00CC237F">
        <w:t>to</w:t>
      </w:r>
      <w:r>
        <w:t xml:space="preserve"> </w:t>
      </w:r>
      <w:r w:rsidRPr="00CC237F">
        <w:t>the</w:t>
      </w:r>
      <w:r>
        <w:t xml:space="preserve"> </w:t>
      </w:r>
      <w:r w:rsidRPr="00CC237F">
        <w:t>nearest</w:t>
      </w:r>
      <w:r>
        <w:t xml:space="preserve"> </w:t>
      </w:r>
      <w:r w:rsidRPr="00CC237F">
        <w:t>postal</w:t>
      </w:r>
      <w:r>
        <w:t xml:space="preserve"> </w:t>
      </w:r>
      <w:r w:rsidRPr="00CC237F">
        <w:t>town</w:t>
      </w:r>
      <w:r>
        <w:t xml:space="preserve"> </w:t>
      </w:r>
      <w:r w:rsidRPr="00CC237F">
        <w:t>which</w:t>
      </w:r>
      <w:r>
        <w:t xml:space="preserve"> </w:t>
      </w:r>
      <w:r w:rsidRPr="00CC237F">
        <w:t>may</w:t>
      </w:r>
      <w:r>
        <w:t xml:space="preserve"> </w:t>
      </w:r>
      <w:r w:rsidRPr="00CC237F">
        <w:t>be</w:t>
      </w:r>
      <w:r>
        <w:t xml:space="preserve"> </w:t>
      </w:r>
      <w:r w:rsidRPr="00CC237F">
        <w:t>in</w:t>
      </w:r>
      <w:r>
        <w:t xml:space="preserve"> </w:t>
      </w:r>
      <w:r w:rsidRPr="00CC237F">
        <w:t>a</w:t>
      </w:r>
      <w:r>
        <w:t xml:space="preserve"> </w:t>
      </w:r>
      <w:r w:rsidRPr="00CC237F">
        <w:t>different</w:t>
      </w:r>
      <w:r>
        <w:t xml:space="preserve"> </w:t>
      </w:r>
      <w:r w:rsidRPr="00CC237F">
        <w:t>local</w:t>
      </w:r>
      <w:r>
        <w:t xml:space="preserve"> </w:t>
      </w:r>
      <w:r w:rsidRPr="00CC237F">
        <w:t>authority</w:t>
      </w:r>
      <w:r>
        <w:t xml:space="preserve"> </w:t>
      </w:r>
      <w:r w:rsidRPr="00CC237F">
        <w:t>to</w:t>
      </w:r>
      <w:r>
        <w:t xml:space="preserve"> </w:t>
      </w:r>
      <w:r w:rsidRPr="00CC237F">
        <w:t>the</w:t>
      </w:r>
      <w:r>
        <w:t xml:space="preserve"> </w:t>
      </w:r>
      <w:r w:rsidRPr="00CC237F">
        <w:t>transaction.</w:t>
      </w:r>
      <w:r>
        <w:t xml:space="preserve"> </w:t>
      </w:r>
      <w:r w:rsidRPr="00CC237F">
        <w:t>GL</w:t>
      </w:r>
      <w:r>
        <w:t xml:space="preserve"> </w:t>
      </w:r>
      <w:r w:rsidRPr="00CC237F">
        <w:t>Hearn</w:t>
      </w:r>
      <w:r>
        <w:t xml:space="preserve"> </w:t>
      </w:r>
      <w:proofErr w:type="gramStart"/>
      <w:r w:rsidRPr="00CC237F">
        <w:t>have</w:t>
      </w:r>
      <w:proofErr w:type="gramEnd"/>
      <w:r>
        <w:t xml:space="preserve"> </w:t>
      </w:r>
      <w:r w:rsidRPr="00CC237F">
        <w:t>used</w:t>
      </w:r>
      <w:r>
        <w:t xml:space="preserve"> </w:t>
      </w:r>
      <w:r w:rsidRPr="00CC237F">
        <w:t>Geographic</w:t>
      </w:r>
      <w:r>
        <w:t xml:space="preserve"> </w:t>
      </w:r>
      <w:r w:rsidRPr="00CC237F">
        <w:t>Information</w:t>
      </w:r>
      <w:r>
        <w:t xml:space="preserve"> </w:t>
      </w:r>
      <w:r w:rsidRPr="00CC237F">
        <w:t>System</w:t>
      </w:r>
      <w:r>
        <w:t xml:space="preserve"> </w:t>
      </w:r>
      <w:r w:rsidRPr="00CC237F">
        <w:t>(GIS)</w:t>
      </w:r>
      <w:r>
        <w:t xml:space="preserve"> </w:t>
      </w:r>
      <w:r w:rsidRPr="00CC237F">
        <w:t>to</w:t>
      </w:r>
      <w:r>
        <w:t xml:space="preserve"> </w:t>
      </w:r>
      <w:r w:rsidRPr="00CC237F">
        <w:t>accurately</w:t>
      </w:r>
      <w:r>
        <w:t xml:space="preserve"> </w:t>
      </w:r>
      <w:r w:rsidRPr="00CC237F">
        <w:t>present</w:t>
      </w:r>
      <w:r>
        <w:t xml:space="preserve"> </w:t>
      </w:r>
      <w:r w:rsidRPr="00CC237F">
        <w:t>the</w:t>
      </w:r>
      <w:r>
        <w:t xml:space="preserve"> </w:t>
      </w:r>
      <w:r w:rsidRPr="00CC237F">
        <w:t>analysis</w:t>
      </w:r>
      <w:r>
        <w:t xml:space="preserve"> </w:t>
      </w:r>
      <w:r w:rsidRPr="00CC237F">
        <w:t>at</w:t>
      </w:r>
      <w:r>
        <w:t xml:space="preserve"> </w:t>
      </w:r>
      <w:r w:rsidRPr="00CC237F">
        <w:t>a</w:t>
      </w:r>
      <w:r>
        <w:t xml:space="preserve"> </w:t>
      </w:r>
      <w:r w:rsidRPr="00CC237F">
        <w:t>local</w:t>
      </w:r>
      <w:r>
        <w:t xml:space="preserve"> </w:t>
      </w:r>
      <w:r w:rsidRPr="00CC237F">
        <w:t>authority</w:t>
      </w:r>
      <w:r>
        <w:t xml:space="preserve"> </w:t>
      </w:r>
      <w:r w:rsidRPr="00CC237F">
        <w:t>level.</w:t>
      </w:r>
    </w:p>
  </w:footnote>
  <w:footnote w:id="17">
    <w:p w:rsidR="00D23B55" w:rsidRPr="0039583E" w:rsidRDefault="00D23B55" w:rsidP="00397B1B">
      <w:pPr>
        <w:pStyle w:val="FootnoteText"/>
        <w:rPr>
          <w:sz w:val="16"/>
          <w:szCs w:val="16"/>
        </w:rPr>
      </w:pPr>
      <w:r w:rsidRPr="00CF79F7">
        <w:rPr>
          <w:rStyle w:val="FootnoteReference"/>
          <w:rFonts w:ascii="Arial" w:eastAsiaTheme="majorEastAsia" w:hAnsi="Arial" w:cs="Arial"/>
          <w:color w:val="000000" w:themeColor="text1"/>
          <w:sz w:val="20"/>
          <w:szCs w:val="20"/>
          <w:vertAlign w:val="subscript"/>
          <w:lang w:eastAsia="ja-JP"/>
        </w:rPr>
        <w:footnoteRef/>
      </w:r>
      <w:r>
        <w:t xml:space="preserve"> </w:t>
      </w:r>
      <w:r w:rsidRPr="00CF79F7">
        <w:rPr>
          <w:rFonts w:ascii="Arial" w:eastAsiaTheme="minorEastAsia" w:hAnsi="Arial" w:cs="ArialMT"/>
          <w:color w:val="000000" w:themeColor="text1"/>
          <w:sz w:val="16"/>
          <w:szCs w:val="16"/>
          <w:lang w:eastAsia="ja-JP"/>
        </w:rPr>
        <w:t>These comprise Office, industrial and warehouse/ distribution space</w:t>
      </w:r>
      <w:r w:rsidRPr="0039583E">
        <w:rPr>
          <w:sz w:val="16"/>
          <w:szCs w:val="16"/>
        </w:rPr>
        <w:t xml:space="preserve"> </w:t>
      </w:r>
    </w:p>
  </w:footnote>
  <w:footnote w:id="18">
    <w:p w:rsidR="00D23B55" w:rsidRPr="003D1D66" w:rsidRDefault="00D23B55" w:rsidP="00EC6399">
      <w:pPr>
        <w:pStyle w:val="FootnoteText"/>
        <w:rPr>
          <w:rFonts w:ascii="Arial" w:hAnsi="Arial" w:cs="Arial"/>
        </w:rPr>
      </w:pPr>
      <w:r w:rsidRPr="003D1D66">
        <w:rPr>
          <w:rStyle w:val="FootnoteReference"/>
          <w:rFonts w:ascii="Arial" w:hAnsi="Arial" w:cs="Arial"/>
          <w:sz w:val="20"/>
          <w:szCs w:val="20"/>
        </w:rPr>
        <w:footnoteRef/>
      </w:r>
      <w:r w:rsidRPr="003D1D66">
        <w:rPr>
          <w:rFonts w:ascii="Arial" w:hAnsi="Arial" w:cs="Arial"/>
          <w:sz w:val="20"/>
          <w:szCs w:val="20"/>
        </w:rPr>
        <w:t xml:space="preserve"> </w:t>
      </w:r>
      <w:hyperlink r:id="rId4" w:history="1">
        <w:r w:rsidRPr="003D1D66">
          <w:rPr>
            <w:rStyle w:val="Hyperlink"/>
            <w:rFonts w:ascii="Arial" w:hAnsi="Arial" w:cs="Arial"/>
            <w:sz w:val="20"/>
            <w:szCs w:val="20"/>
          </w:rPr>
          <w:t>https://www.sheffield.ac.uk/polopoly_fs/1.834113!/file/Luke-Turner.pdf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B55" w:rsidRDefault="00D23B55" w:rsidP="00DD5C44">
    <w:pPr>
      <w:pStyle w:val="Referencetext8pt"/>
    </w:pPr>
    <w:r>
      <w:rPr>
        <w:noProof/>
      </w:rPr>
      <w:fldChar w:fldCharType="begin"/>
    </w:r>
    <w:r>
      <w:rPr>
        <w:noProof/>
      </w:rPr>
      <w:instrText xml:space="preserve"> STYLEREF "Report Title" \* MERGEFORMAT </w:instrText>
    </w:r>
    <w:r>
      <w:rPr>
        <w:noProof/>
      </w:rPr>
      <w:fldChar w:fldCharType="separate"/>
    </w:r>
    <w:r>
      <w:rPr>
        <w:b/>
        <w:bCs/>
        <w:noProof/>
        <w:lang w:val="en-US"/>
      </w:rPr>
      <w:t xml:space="preserve">Error! No text of specified style in </w:t>
    </w:r>
    <w:proofErr w:type="gramStart"/>
    <w:r>
      <w:rPr>
        <w:b/>
        <w:bCs/>
        <w:noProof/>
        <w:lang w:val="en-US"/>
      </w:rPr>
      <w:t>document.</w:t>
    </w:r>
    <w:r>
      <w:rPr>
        <w:noProof/>
      </w:rPr>
      <w:fldChar w:fldCharType="end"/>
    </w:r>
    <w:r w:rsidRPr="00361E00">
      <w:t>,</w:t>
    </w:r>
    <w:proofErr w:type="gramEnd"/>
    <w:r>
      <w:t xml:space="preserve"> </w:t>
    </w:r>
    <w:r w:rsidR="002C0791">
      <w:fldChar w:fldCharType="begin"/>
    </w:r>
    <w:r w:rsidR="002C0791">
      <w:instrText xml:space="preserve"> STYLEREF "Date of report" \* MERGEFORMAT </w:instrText>
    </w:r>
    <w:r w:rsidR="002C0791">
      <w:fldChar w:fldCharType="separate"/>
    </w:r>
    <w:r>
      <w:rPr>
        <w:noProof/>
      </w:rPr>
      <w:t>Adjusted Forecasts</w:t>
    </w:r>
    <w:r w:rsidR="002C0791">
      <w:rPr>
        <w:noProof/>
      </w:rPr>
      <w:fldChar w:fldCharType="end"/>
    </w:r>
    <w:r>
      <w:tab/>
    </w:r>
    <w:r>
      <w:tab/>
      <w:t xml:space="preserve"> </w:t>
    </w:r>
    <w:r>
      <w:fldChar w:fldCharType="begin"/>
    </w:r>
    <w:r>
      <w:instrText xml:space="preserve"> STYLEREF  "Name of Client"  \* MERGEFORMAT </w:instrText>
    </w:r>
    <w:r>
      <w:fldChar w:fldCharType="separate"/>
    </w:r>
    <w:r>
      <w:rPr>
        <w:b/>
        <w:bCs/>
        <w:noProof/>
        <w:lang w:val="en-US"/>
      </w:rPr>
      <w:t>Error! No text of specified style in document.</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B55" w:rsidRDefault="00D23B55" w:rsidP="002D3210">
    <w:pPr>
      <w:pStyle w:val="Header"/>
      <w:ind w:left="-567"/>
    </w:pPr>
    <w:r>
      <w:rPr>
        <w:noProof/>
        <w:lang w:eastAsia="en-GB"/>
      </w:rPr>
      <w:drawing>
        <wp:inline distT="0" distB="0" distL="0" distR="0" wp14:anchorId="60BFD192" wp14:editId="39D7B85D">
          <wp:extent cx="1590675" cy="749300"/>
          <wp:effectExtent l="0" t="0" r="9525" b="0"/>
          <wp:docPr id="18" name="Picture 18" title="GL Hearn Logo">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ed-logo.png"/>
                  <pic:cNvPicPr/>
                </pic:nvPicPr>
                <pic:blipFill>
                  <a:blip r:embed="rId1">
                    <a:extLst>
                      <a:ext uri="{28A0092B-C50C-407E-A947-70E740481C1C}">
                        <a14:useLocalDpi xmlns:a14="http://schemas.microsoft.com/office/drawing/2010/main" val="0"/>
                      </a:ext>
                    </a:extLst>
                  </a:blip>
                  <a:stretch>
                    <a:fillRect/>
                  </a:stretch>
                </pic:blipFill>
                <pic:spPr>
                  <a:xfrm>
                    <a:off x="0" y="0"/>
                    <a:ext cx="1590675" cy="7493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B55" w:rsidRDefault="00D23B55" w:rsidP="00791673">
    <w:pPr>
      <w:pStyle w:val="Referencetext8pt"/>
      <w:tabs>
        <w:tab w:val="right" w:pos="9639"/>
      </w:tabs>
    </w:pPr>
    <w:r>
      <w:t xml:space="preserve">Chichester HEDNA </w:t>
    </w:r>
    <w:r>
      <w:tab/>
    </w:r>
    <w:r>
      <w:rPr>
        <w:noProof/>
      </w:rPr>
      <w:t>October 2020</w:t>
    </w:r>
  </w:p>
  <w:p w:rsidR="00D23B55" w:rsidRDefault="00D23B55" w:rsidP="00953601">
    <w:pPr>
      <w:pStyle w:val="Referencetext8pt"/>
      <w:tabs>
        <w:tab w:val="right" w:pos="9639"/>
      </w:tabs>
    </w:pPr>
    <w:r>
      <w:t>Chichester District Council</w:t>
    </w:r>
  </w:p>
  <w:p w:rsidR="00D23B55" w:rsidRDefault="00D23B55"/>
  <w:p w:rsidR="00D23B55" w:rsidRDefault="00D23B55" w:rsidP="00A54EC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7654E"/>
    <w:multiLevelType w:val="hybridMultilevel"/>
    <w:tmpl w:val="1734AF38"/>
    <w:lvl w:ilvl="0" w:tplc="CA88539E">
      <w:start w:val="1"/>
      <w:numFmt w:val="bullet"/>
      <w:pStyle w:val="bullet"/>
      <w:lvlText w:val=""/>
      <w:lvlJc w:val="left"/>
      <w:pPr>
        <w:ind w:left="723" w:hanging="360"/>
      </w:pPr>
      <w:rPr>
        <w:rFonts w:ascii="Symbol" w:hAnsi="Symbol" w:hint="default"/>
      </w:rPr>
    </w:lvl>
    <w:lvl w:ilvl="1" w:tplc="08090003">
      <w:start w:val="1"/>
      <w:numFmt w:val="bullet"/>
      <w:lvlText w:val="o"/>
      <w:lvlJc w:val="left"/>
      <w:pPr>
        <w:ind w:left="1443" w:hanging="360"/>
      </w:pPr>
      <w:rPr>
        <w:rFonts w:ascii="Courier New" w:hAnsi="Courier New" w:hint="default"/>
      </w:rPr>
    </w:lvl>
    <w:lvl w:ilvl="2" w:tplc="08090005">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1">
    <w:nsid w:val="03370C0E"/>
    <w:multiLevelType w:val="multilevel"/>
    <w:tmpl w:val="837C94F4"/>
    <w:lvl w:ilvl="0">
      <w:start w:val="1"/>
      <w:numFmt w:val="decimal"/>
      <w:pStyle w:val="03NumberedHeadings"/>
      <w:lvlText w:val="%1."/>
      <w:lvlJc w:val="left"/>
      <w:pPr>
        <w:tabs>
          <w:tab w:val="num" w:pos="1021"/>
        </w:tabs>
        <w:ind w:left="1021" w:hanging="1021"/>
      </w:pPr>
      <w:rPr>
        <w:rFonts w:ascii="Arial" w:hAnsi="Arial" w:cs="Times New Roman" w:hint="default"/>
        <w:b/>
        <w:bCs/>
        <w:i w:val="0"/>
        <w:iCs w:val="0"/>
        <w:strike w:val="0"/>
        <w:dstrike w:val="0"/>
        <w:color w:val="auto"/>
        <w:u w:val="none"/>
        <w:effect w:val="none"/>
      </w:rPr>
    </w:lvl>
    <w:lvl w:ilvl="1">
      <w:start w:val="1"/>
      <w:numFmt w:val="decimal"/>
      <w:pStyle w:val="11Body"/>
      <w:lvlText w:val="%1.%2."/>
      <w:lvlJc w:val="left"/>
      <w:pPr>
        <w:tabs>
          <w:tab w:val="num" w:pos="1305"/>
        </w:tabs>
        <w:ind w:left="1305" w:hanging="1021"/>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specVanish w:val="0"/>
      </w:rPr>
    </w:lvl>
    <w:lvl w:ilvl="2">
      <w:start w:val="1"/>
      <w:numFmt w:val="decimal"/>
      <w:pStyle w:val="111BodyList"/>
      <w:lvlText w:val="%1.%2.%3."/>
      <w:lvlJc w:val="left"/>
      <w:pPr>
        <w:tabs>
          <w:tab w:val="num" w:pos="1021"/>
        </w:tabs>
        <w:ind w:left="1021" w:hanging="1021"/>
      </w:pPr>
      <w:rPr>
        <w:rFonts w:ascii="Arial" w:hAnsi="Arial" w:cs="Times New Roman" w:hint="default"/>
        <w:b w:val="0"/>
        <w:bCs w:val="0"/>
        <w:i w:val="0"/>
        <w:iCs w:val="0"/>
        <w:strike w:val="0"/>
        <w:dstrike w:val="0"/>
        <w:color w:val="auto"/>
        <w:u w:val="none"/>
        <w:effect w:val="none"/>
      </w:rPr>
    </w:lvl>
    <w:lvl w:ilvl="3">
      <w:start w:val="1"/>
      <w:numFmt w:val="decimal"/>
      <w:lvlText w:val="%1.%2.%3.%4."/>
      <w:lvlJc w:val="left"/>
      <w:pPr>
        <w:tabs>
          <w:tab w:val="num" w:pos="1021"/>
        </w:tabs>
        <w:ind w:left="1021" w:hanging="1021"/>
      </w:pPr>
      <w:rPr>
        <w:rFonts w:ascii="Arial" w:hAnsi="Arial" w:cs="Times New Roman" w:hint="default"/>
        <w:b w:val="0"/>
        <w:bCs w:val="0"/>
        <w:i w:val="0"/>
        <w:iCs w:val="0"/>
        <w:strike w:val="0"/>
        <w:dstrike w:val="0"/>
        <w:color w:val="auto"/>
        <w:u w:val="none"/>
        <w:effect w:val="none"/>
      </w:rPr>
    </w:lvl>
    <w:lvl w:ilvl="4">
      <w:start w:val="1"/>
      <w:numFmt w:val="decimal"/>
      <w:lvlText w:val="%1.%2.%3.%4.%5."/>
      <w:lvlJc w:val="left"/>
      <w:pPr>
        <w:tabs>
          <w:tab w:val="num" w:pos="879"/>
        </w:tabs>
        <w:ind w:left="879" w:hanging="1021"/>
      </w:pPr>
      <w:rPr>
        <w:rFonts w:cs="Times New Roman"/>
      </w:rPr>
    </w:lvl>
    <w:lvl w:ilvl="5">
      <w:start w:val="1"/>
      <w:numFmt w:val="decimal"/>
      <w:lvlText w:val="%1.%2.%3.%4.%5.%6."/>
      <w:lvlJc w:val="left"/>
      <w:pPr>
        <w:ind w:left="2452" w:hanging="936"/>
      </w:pPr>
      <w:rPr>
        <w:rFonts w:cs="Times New Roman"/>
      </w:rPr>
    </w:lvl>
    <w:lvl w:ilvl="6">
      <w:start w:val="1"/>
      <w:numFmt w:val="decimal"/>
      <w:lvlText w:val="%1.%2.%3.%4.%5.%6.%7."/>
      <w:lvlJc w:val="left"/>
      <w:pPr>
        <w:ind w:left="2956" w:hanging="1080"/>
      </w:pPr>
      <w:rPr>
        <w:rFonts w:cs="Times New Roman"/>
      </w:rPr>
    </w:lvl>
    <w:lvl w:ilvl="7">
      <w:start w:val="1"/>
      <w:numFmt w:val="decimal"/>
      <w:lvlText w:val="%1.%2.%3.%4.%5.%6.%7.%8."/>
      <w:lvlJc w:val="left"/>
      <w:pPr>
        <w:ind w:left="3460" w:hanging="1224"/>
      </w:pPr>
      <w:rPr>
        <w:rFonts w:cs="Times New Roman"/>
      </w:rPr>
    </w:lvl>
    <w:lvl w:ilvl="8">
      <w:start w:val="1"/>
      <w:numFmt w:val="decimal"/>
      <w:lvlText w:val="%1.%2.%3.%4.%5.%6.%7.%8.%9."/>
      <w:lvlJc w:val="left"/>
      <w:pPr>
        <w:ind w:left="4036" w:hanging="1440"/>
      </w:pPr>
      <w:rPr>
        <w:rFonts w:cs="Times New Roman"/>
      </w:rPr>
    </w:lvl>
  </w:abstractNum>
  <w:abstractNum w:abstractNumId="2">
    <w:nsid w:val="06E3567F"/>
    <w:multiLevelType w:val="hybridMultilevel"/>
    <w:tmpl w:val="07E2E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0E3888"/>
    <w:multiLevelType w:val="multilevel"/>
    <w:tmpl w:val="3044E980"/>
    <w:lvl w:ilvl="0">
      <w:start w:val="1"/>
      <w:numFmt w:val="decimal"/>
      <w:pStyle w:val="FigureHeading"/>
      <w:lvlText w:val="Figure %1:"/>
      <w:lvlJc w:val="left"/>
      <w:pPr>
        <w:ind w:left="1210" w:hanging="360"/>
      </w:pPr>
      <w:rPr>
        <w:rFonts w:ascii="Arial Bold" w:hAnsi="Arial Bold" w:hint="default"/>
        <w:b/>
        <w:bCs/>
        <w:i w:val="0"/>
        <w:iCs w:val="0"/>
        <w:color w:val="auto"/>
        <w:sz w:val="24"/>
        <w:szCs w:val="40"/>
        <w:u w:val="none"/>
      </w:rPr>
    </w:lvl>
    <w:lvl w:ilvl="1">
      <w:start w:val="1"/>
      <w:numFmt w:val="decimal"/>
      <w:lvlText w:val="%1.%2."/>
      <w:lvlJc w:val="left"/>
      <w:pPr>
        <w:tabs>
          <w:tab w:val="num" w:pos="1021"/>
        </w:tabs>
        <w:ind w:left="1021" w:hanging="1021"/>
      </w:pPr>
      <w:rPr>
        <w:rFonts w:ascii="Arial" w:hAnsi="Arial" w:hint="default"/>
        <w:b w:val="0"/>
        <w:bCs w:val="0"/>
        <w:i w:val="0"/>
        <w:iCs w:val="0"/>
        <w:color w:val="000000" w:themeColor="text1"/>
        <w:u w:val="none"/>
      </w:rPr>
    </w:lvl>
    <w:lvl w:ilvl="2">
      <w:start w:val="1"/>
      <w:numFmt w:val="decimal"/>
      <w:lvlText w:val="%1.%2.%3."/>
      <w:lvlJc w:val="left"/>
      <w:pPr>
        <w:tabs>
          <w:tab w:val="num" w:pos="1021"/>
        </w:tabs>
        <w:ind w:left="1021" w:hanging="1021"/>
      </w:pPr>
      <w:rPr>
        <w:rFonts w:ascii="Arial" w:hAnsi="Arial" w:hint="default"/>
        <w:b w:val="0"/>
        <w:bCs w:val="0"/>
        <w:i w:val="0"/>
        <w:iCs w:val="0"/>
        <w:color w:val="auto"/>
        <w:u w:val="none"/>
      </w:rPr>
    </w:lvl>
    <w:lvl w:ilvl="3">
      <w:start w:val="1"/>
      <w:numFmt w:val="decimal"/>
      <w:lvlText w:val="%1.%2.%3.%4."/>
      <w:lvlJc w:val="left"/>
      <w:pPr>
        <w:tabs>
          <w:tab w:val="num" w:pos="1021"/>
        </w:tabs>
        <w:ind w:left="1021" w:hanging="1021"/>
      </w:pPr>
      <w:rPr>
        <w:rFonts w:ascii="Arial" w:hAnsi="Arial" w:hint="default"/>
        <w:b w:val="0"/>
        <w:bCs w:val="0"/>
        <w:i w:val="0"/>
        <w:iCs w:val="0"/>
        <w:color w:val="auto"/>
        <w:u w:val="none"/>
      </w:rPr>
    </w:lvl>
    <w:lvl w:ilvl="4">
      <w:start w:val="1"/>
      <w:numFmt w:val="decimal"/>
      <w:lvlText w:val="%1.%2.%3.%4.%5."/>
      <w:lvlJc w:val="left"/>
      <w:pPr>
        <w:tabs>
          <w:tab w:val="num" w:pos="879"/>
        </w:tabs>
        <w:ind w:left="879" w:hanging="1021"/>
      </w:pPr>
      <w:rPr>
        <w:rFonts w:hint="default"/>
      </w:rPr>
    </w:lvl>
    <w:lvl w:ilvl="5">
      <w:start w:val="1"/>
      <w:numFmt w:val="decimal"/>
      <w:lvlText w:val="%1.%2.%3.%4.%5.%6."/>
      <w:lvlJc w:val="left"/>
      <w:pPr>
        <w:ind w:left="2452" w:hanging="936"/>
      </w:pPr>
      <w:rPr>
        <w:rFonts w:hint="default"/>
      </w:rPr>
    </w:lvl>
    <w:lvl w:ilvl="6">
      <w:start w:val="1"/>
      <w:numFmt w:val="decimal"/>
      <w:lvlText w:val="%1.%2.%3.%4.%5.%6.%7."/>
      <w:lvlJc w:val="left"/>
      <w:pPr>
        <w:ind w:left="2956" w:hanging="1080"/>
      </w:pPr>
      <w:rPr>
        <w:rFonts w:hint="default"/>
      </w:rPr>
    </w:lvl>
    <w:lvl w:ilvl="7">
      <w:start w:val="1"/>
      <w:numFmt w:val="decimal"/>
      <w:lvlText w:val="%1.%2.%3.%4.%5.%6.%7.%8."/>
      <w:lvlJc w:val="left"/>
      <w:pPr>
        <w:ind w:left="3460" w:hanging="1224"/>
      </w:pPr>
      <w:rPr>
        <w:rFonts w:hint="default"/>
      </w:rPr>
    </w:lvl>
    <w:lvl w:ilvl="8">
      <w:start w:val="1"/>
      <w:numFmt w:val="decimal"/>
      <w:lvlText w:val="%1.%2.%3.%4.%5.%6.%7.%8.%9."/>
      <w:lvlJc w:val="left"/>
      <w:pPr>
        <w:ind w:left="4036" w:hanging="1440"/>
      </w:pPr>
      <w:rPr>
        <w:rFonts w:hint="default"/>
      </w:rPr>
    </w:lvl>
  </w:abstractNum>
  <w:abstractNum w:abstractNumId="4">
    <w:nsid w:val="08B5371D"/>
    <w:multiLevelType w:val="multilevel"/>
    <w:tmpl w:val="676E6ED4"/>
    <w:lvl w:ilvl="0">
      <w:start w:val="1"/>
      <w:numFmt w:val="decimal"/>
      <w:pStyle w:val="1Bodytext"/>
      <w:lvlText w:val="%1"/>
      <w:lvlJc w:val="left"/>
      <w:pPr>
        <w:tabs>
          <w:tab w:val="num" w:pos="794"/>
        </w:tabs>
        <w:ind w:left="794" w:hanging="794"/>
      </w:pPr>
      <w:rPr>
        <w:rFonts w:ascii="Arial" w:hAnsi="Arial" w:hint="default"/>
        <w:b/>
        <w:bCs/>
        <w:i w:val="0"/>
        <w:iCs w:val="0"/>
        <w:color w:val="auto"/>
        <w:sz w:val="24"/>
        <w:szCs w:val="24"/>
        <w:u w:val="none"/>
      </w:rPr>
    </w:lvl>
    <w:lvl w:ilvl="1">
      <w:start w:val="1"/>
      <w:numFmt w:val="decimal"/>
      <w:pStyle w:val="11Bodytext"/>
      <w:lvlText w:val="%1.%2"/>
      <w:lvlJc w:val="left"/>
      <w:pPr>
        <w:tabs>
          <w:tab w:val="num" w:pos="2212"/>
        </w:tabs>
        <w:ind w:left="2212" w:hanging="794"/>
      </w:pPr>
      <w:rPr>
        <w:rFonts w:ascii="Arial" w:hAnsi="Arial" w:hint="default"/>
        <w:b w:val="0"/>
        <w:bCs w:val="0"/>
        <w:i w:val="0"/>
        <w:iCs w:val="0"/>
        <w:color w:val="000000" w:themeColor="text1"/>
        <w:sz w:val="24"/>
        <w:szCs w:val="24"/>
        <w:u w:val="none"/>
      </w:rPr>
    </w:lvl>
    <w:lvl w:ilvl="2">
      <w:start w:val="1"/>
      <w:numFmt w:val="decimal"/>
      <w:lvlRestart w:val="1"/>
      <w:lvlText w:val="%1.%2"/>
      <w:lvlJc w:val="left"/>
      <w:pPr>
        <w:tabs>
          <w:tab w:val="num" w:pos="794"/>
        </w:tabs>
        <w:ind w:left="794" w:hanging="794"/>
      </w:pPr>
      <w:rPr>
        <w:rFonts w:ascii="Arial" w:hAnsi="Arial" w:hint="default"/>
        <w:b w:val="0"/>
        <w:bCs w:val="0"/>
        <w:i w:val="0"/>
        <w:iCs w:val="0"/>
        <w:color w:val="auto"/>
        <w:sz w:val="20"/>
        <w:szCs w:val="20"/>
        <w:u w:val="none"/>
      </w:rPr>
    </w:lvl>
    <w:lvl w:ilvl="3">
      <w:start w:val="1"/>
      <w:numFmt w:val="decimal"/>
      <w:pStyle w:val="111Bodytext"/>
      <w:lvlText w:val="%1.%2.%4"/>
      <w:lvlJc w:val="left"/>
      <w:pPr>
        <w:ind w:left="1870" w:hanging="1728"/>
      </w:pPr>
      <w:rPr>
        <w:rFonts w:ascii="Arial" w:hAnsi="Arial" w:hint="default"/>
        <w:b w:val="0"/>
        <w:bCs w:val="0"/>
        <w:i w:val="0"/>
        <w:iCs w:val="0"/>
        <w:color w:val="auto"/>
        <w:sz w:val="20"/>
        <w:szCs w:val="20"/>
        <w:u w:val="none"/>
      </w:rPr>
    </w:lvl>
    <w:lvl w:ilvl="4">
      <w:start w:val="1"/>
      <w:numFmt w:val="decimal"/>
      <w:lvlText w:val="%1.%2.3"/>
      <w:lvlJc w:val="left"/>
      <w:pPr>
        <w:tabs>
          <w:tab w:val="num" w:pos="794"/>
        </w:tabs>
        <w:ind w:left="794" w:hanging="794"/>
      </w:pPr>
      <w:rPr>
        <w:rFonts w:ascii="Arial" w:hAnsi="Arial" w:hint="default"/>
        <w:b w:val="0"/>
        <w:bCs w:val="0"/>
        <w:i w:val="0"/>
        <w:iCs w:val="0"/>
        <w:sz w:val="20"/>
        <w:szCs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4DA35F0"/>
    <w:multiLevelType w:val="hybridMultilevel"/>
    <w:tmpl w:val="DBC0005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16E804FA"/>
    <w:multiLevelType w:val="hybridMultilevel"/>
    <w:tmpl w:val="0BCE2B90"/>
    <w:lvl w:ilvl="0" w:tplc="D9B6DD6C">
      <w:start w:val="1"/>
      <w:numFmt w:val="decimal"/>
      <w:pStyle w:val="21"/>
      <w:lvlText w:val="2.%1"/>
      <w:lvlJc w:val="left"/>
      <w:pPr>
        <w:ind w:left="567" w:hanging="567"/>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103575"/>
    <w:multiLevelType w:val="multilevel"/>
    <w:tmpl w:val="2230FE76"/>
    <w:styleLink w:val="LFO3"/>
    <w:lvl w:ilvl="0">
      <w:start w:val="1"/>
      <w:numFmt w:val="decimal"/>
      <w:lvlText w:val="%1"/>
      <w:lvlJc w:val="left"/>
      <w:pPr>
        <w:ind w:left="794" w:hanging="794"/>
      </w:pPr>
      <w:rPr>
        <w:rFonts w:ascii="Arial" w:hAnsi="Arial"/>
        <w:b/>
        <w:bCs/>
        <w:i w:val="0"/>
        <w:iCs w:val="0"/>
        <w:color w:val="auto"/>
        <w:sz w:val="20"/>
        <w:szCs w:val="20"/>
        <w:u w:val="none"/>
      </w:rPr>
    </w:lvl>
    <w:lvl w:ilvl="1">
      <w:start w:val="1"/>
      <w:numFmt w:val="decimal"/>
      <w:lvlText w:val="%1.%2"/>
      <w:lvlJc w:val="left"/>
      <w:pPr>
        <w:ind w:left="794" w:hanging="794"/>
      </w:pPr>
      <w:rPr>
        <w:rFonts w:ascii="Arial" w:hAnsi="Arial"/>
        <w:b w:val="0"/>
        <w:bCs w:val="0"/>
        <w:i w:val="0"/>
        <w:iCs w:val="0"/>
        <w:color w:val="000000"/>
        <w:sz w:val="20"/>
        <w:szCs w:val="20"/>
        <w:u w:val="none"/>
      </w:rPr>
    </w:lvl>
    <w:lvl w:ilvl="2">
      <w:start w:val="1"/>
      <w:numFmt w:val="decimal"/>
      <w:lvlText w:val="%1.%2.%3"/>
      <w:lvlJc w:val="left"/>
      <w:pPr>
        <w:ind w:left="794" w:hanging="794"/>
      </w:pPr>
      <w:rPr>
        <w:rFonts w:ascii="Arial" w:hAnsi="Arial"/>
        <w:b w:val="0"/>
        <w:bCs w:val="0"/>
        <w:i w:val="0"/>
        <w:iCs w:val="0"/>
        <w:color w:val="auto"/>
        <w:sz w:val="20"/>
        <w:szCs w:val="20"/>
        <w:u w:val="none"/>
      </w:rPr>
    </w:lvl>
    <w:lvl w:ilvl="3">
      <w:start w:val="1"/>
      <w:numFmt w:val="decimal"/>
      <w:lvlText w:val="%1.%2.%3.%4"/>
      <w:lvlJc w:val="left"/>
      <w:pPr>
        <w:ind w:left="1870" w:hanging="1728"/>
      </w:pPr>
      <w:rPr>
        <w:rFonts w:ascii="Arial" w:hAnsi="Arial"/>
        <w:b w:val="0"/>
        <w:bCs w:val="0"/>
        <w:i w:val="0"/>
        <w:iCs w:val="0"/>
        <w:color w:val="auto"/>
        <w:sz w:val="20"/>
        <w:szCs w:val="20"/>
        <w:u w:val="none"/>
      </w:rPr>
    </w:lvl>
    <w:lvl w:ilvl="4">
      <w:start w:val="1"/>
      <w:numFmt w:val="decimal"/>
      <w:lvlText w:val="%1.%2.%3.%4.%5.3"/>
      <w:lvlJc w:val="left"/>
      <w:pPr>
        <w:ind w:left="794" w:hanging="794"/>
      </w:pPr>
      <w:rPr>
        <w:rFonts w:ascii="Arial" w:hAnsi="Arial"/>
        <w:b w:val="0"/>
        <w:bCs w:val="0"/>
        <w:i w:val="0"/>
        <w:iCs w:val="0"/>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CC44AB0"/>
    <w:multiLevelType w:val="multilevel"/>
    <w:tmpl w:val="C72A0CA8"/>
    <w:lvl w:ilvl="0">
      <w:start w:val="1"/>
      <w:numFmt w:val="bullet"/>
      <w:pStyle w:val="Bulletblueplain"/>
      <w:lvlText w:val=""/>
      <w:lvlJc w:val="left"/>
      <w:pPr>
        <w:tabs>
          <w:tab w:val="num" w:pos="1078"/>
        </w:tabs>
        <w:ind w:left="1077" w:hanging="283"/>
      </w:pPr>
      <w:rPr>
        <w:rFonts w:ascii="Symbol" w:hAnsi="Symbol" w:hint="default"/>
        <w:b w:val="0"/>
        <w:bCs w:val="0"/>
        <w:i w:val="0"/>
        <w:iCs w:val="0"/>
        <w:color w:val="0093D5"/>
        <w:sz w:val="20"/>
        <w:szCs w:val="20"/>
      </w:rPr>
    </w:lvl>
    <w:lvl w:ilvl="1">
      <w:start w:val="1"/>
      <w:numFmt w:val="bullet"/>
      <w:lvlText w:val="o"/>
      <w:lvlJc w:val="left"/>
      <w:pPr>
        <w:tabs>
          <w:tab w:val="num" w:pos="1362"/>
        </w:tabs>
        <w:ind w:left="1418" w:hanging="340"/>
      </w:pPr>
      <w:rPr>
        <w:rFonts w:ascii="Courier New" w:hAnsi="Courier New" w:hint="default"/>
      </w:rPr>
    </w:lvl>
    <w:lvl w:ilvl="2">
      <w:start w:val="1"/>
      <w:numFmt w:val="bullet"/>
      <w:lvlText w:val=""/>
      <w:lvlJc w:val="left"/>
      <w:pPr>
        <w:tabs>
          <w:tab w:val="num" w:pos="1646"/>
        </w:tabs>
        <w:ind w:left="1702" w:hanging="340"/>
      </w:pPr>
      <w:rPr>
        <w:rFonts w:ascii="Wingdings" w:hAnsi="Wingdings" w:hint="default"/>
      </w:rPr>
    </w:lvl>
    <w:lvl w:ilvl="3">
      <w:start w:val="1"/>
      <w:numFmt w:val="bullet"/>
      <w:lvlText w:val=""/>
      <w:lvlJc w:val="left"/>
      <w:pPr>
        <w:tabs>
          <w:tab w:val="num" w:pos="1930"/>
        </w:tabs>
        <w:ind w:left="1986" w:hanging="340"/>
      </w:pPr>
      <w:rPr>
        <w:rFonts w:ascii="Symbol" w:hAnsi="Symbol" w:hint="default"/>
      </w:rPr>
    </w:lvl>
    <w:lvl w:ilvl="4">
      <w:start w:val="1"/>
      <w:numFmt w:val="bullet"/>
      <w:lvlText w:val="o"/>
      <w:lvlJc w:val="left"/>
      <w:pPr>
        <w:tabs>
          <w:tab w:val="num" w:pos="2214"/>
        </w:tabs>
        <w:ind w:left="2270" w:hanging="340"/>
      </w:pPr>
      <w:rPr>
        <w:rFonts w:ascii="Courier New" w:hAnsi="Courier New" w:hint="default"/>
      </w:rPr>
    </w:lvl>
    <w:lvl w:ilvl="5">
      <w:start w:val="1"/>
      <w:numFmt w:val="bullet"/>
      <w:lvlText w:val=""/>
      <w:lvlJc w:val="left"/>
      <w:pPr>
        <w:tabs>
          <w:tab w:val="num" w:pos="2498"/>
        </w:tabs>
        <w:ind w:left="2554" w:hanging="340"/>
      </w:pPr>
      <w:rPr>
        <w:rFonts w:ascii="Wingdings" w:hAnsi="Wingdings" w:hint="default"/>
      </w:rPr>
    </w:lvl>
    <w:lvl w:ilvl="6">
      <w:start w:val="1"/>
      <w:numFmt w:val="bullet"/>
      <w:lvlText w:val=""/>
      <w:lvlJc w:val="left"/>
      <w:pPr>
        <w:tabs>
          <w:tab w:val="num" w:pos="2782"/>
        </w:tabs>
        <w:ind w:left="2838" w:hanging="340"/>
      </w:pPr>
      <w:rPr>
        <w:rFonts w:ascii="Symbol" w:hAnsi="Symbol" w:hint="default"/>
      </w:rPr>
    </w:lvl>
    <w:lvl w:ilvl="7">
      <w:start w:val="1"/>
      <w:numFmt w:val="bullet"/>
      <w:lvlText w:val="o"/>
      <w:lvlJc w:val="left"/>
      <w:pPr>
        <w:tabs>
          <w:tab w:val="num" w:pos="3066"/>
        </w:tabs>
        <w:ind w:left="3122" w:hanging="340"/>
      </w:pPr>
      <w:rPr>
        <w:rFonts w:ascii="Courier New" w:hAnsi="Courier New" w:hint="default"/>
      </w:rPr>
    </w:lvl>
    <w:lvl w:ilvl="8">
      <w:start w:val="1"/>
      <w:numFmt w:val="bullet"/>
      <w:lvlText w:val=""/>
      <w:lvlJc w:val="left"/>
      <w:pPr>
        <w:tabs>
          <w:tab w:val="num" w:pos="3350"/>
        </w:tabs>
        <w:ind w:left="3406" w:hanging="340"/>
      </w:pPr>
      <w:rPr>
        <w:rFonts w:ascii="Wingdings" w:hAnsi="Wingdings" w:hint="default"/>
      </w:rPr>
    </w:lvl>
  </w:abstractNum>
  <w:abstractNum w:abstractNumId="9">
    <w:nsid w:val="1CDA0D4E"/>
    <w:multiLevelType w:val="multilevel"/>
    <w:tmpl w:val="7BE2FE2A"/>
    <w:lvl w:ilvl="0">
      <w:start w:val="1"/>
      <w:numFmt w:val="decimal"/>
      <w:pStyle w:val="HeadChapt"/>
      <w:suff w:val="space"/>
      <w:lvlText w:val="Section %1:"/>
      <w:lvlJc w:val="left"/>
      <w:pPr>
        <w:ind w:left="5670"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malldecimal"/>
      <w:lvlText w:val="%1.%2"/>
      <w:lvlJc w:val="left"/>
      <w:pPr>
        <w:tabs>
          <w:tab w:val="num" w:pos="199"/>
        </w:tabs>
        <w:ind w:left="505" w:hanging="363"/>
      </w:pPr>
      <w:rPr>
        <w:rFonts w:ascii="Calibri" w:hAnsi="Calibri" w:hint="default"/>
        <w:b w:val="0"/>
        <w:bCs w:val="0"/>
        <w:i w:val="0"/>
        <w:iCs w:val="0"/>
        <w:caps w:val="0"/>
        <w:smallCaps w:val="0"/>
        <w:strike w:val="0"/>
        <w:dstrike w:val="0"/>
        <w:color w:val="auto"/>
        <w:spacing w:val="0"/>
        <w:w w:val="100"/>
        <w:kern w:val="0"/>
        <w:position w:val="0"/>
        <w:sz w:val="22"/>
        <w:szCs w:val="22"/>
        <w:u w:val="none"/>
        <w:effect w:val="none"/>
        <w:bdr w:val="none" w:sz="0" w:space="0" w:color="auto"/>
        <w:shd w:val="clear" w:color="auto" w:fill="auto"/>
        <w:vertAlign w:val="superscript"/>
        <w:em w:val="none"/>
      </w:rPr>
    </w:lvl>
    <w:lvl w:ilvl="2">
      <w:start w:val="1"/>
      <w:numFmt w:val="decimal"/>
      <w:lvlText w:val="%1.%2.%3"/>
      <w:lvlJc w:val="left"/>
      <w:pPr>
        <w:tabs>
          <w:tab w:val="num" w:pos="360"/>
        </w:tabs>
        <w:ind w:left="284" w:firstLine="0"/>
      </w:pPr>
      <w:rPr>
        <w:rFonts w:hint="default"/>
      </w:rPr>
    </w:lvl>
    <w:lvl w:ilvl="3">
      <w:start w:val="1"/>
      <w:numFmt w:val="decimal"/>
      <w:lvlText w:val="%1.%2.%3.%4."/>
      <w:lvlJc w:val="left"/>
      <w:pPr>
        <w:tabs>
          <w:tab w:val="num" w:pos="360"/>
        </w:tabs>
        <w:ind w:left="284" w:firstLine="0"/>
      </w:pPr>
      <w:rPr>
        <w:rFonts w:hint="default"/>
      </w:rPr>
    </w:lvl>
    <w:lvl w:ilvl="4">
      <w:start w:val="1"/>
      <w:numFmt w:val="decimal"/>
      <w:lvlText w:val="%1.%2.%3.%4.%5."/>
      <w:lvlJc w:val="left"/>
      <w:pPr>
        <w:tabs>
          <w:tab w:val="num" w:pos="360"/>
        </w:tabs>
        <w:ind w:left="284" w:firstLine="0"/>
      </w:pPr>
      <w:rPr>
        <w:rFonts w:hint="default"/>
      </w:rPr>
    </w:lvl>
    <w:lvl w:ilvl="5">
      <w:start w:val="1"/>
      <w:numFmt w:val="decimal"/>
      <w:lvlText w:val="%1.%2.%3.%4.%5.%6."/>
      <w:lvlJc w:val="left"/>
      <w:pPr>
        <w:tabs>
          <w:tab w:val="num" w:pos="360"/>
        </w:tabs>
        <w:ind w:left="284" w:firstLine="0"/>
      </w:pPr>
      <w:rPr>
        <w:rFonts w:hint="default"/>
      </w:rPr>
    </w:lvl>
    <w:lvl w:ilvl="6">
      <w:start w:val="1"/>
      <w:numFmt w:val="decimal"/>
      <w:lvlText w:val="%1.%2.%3.%4.%5.%6.%7."/>
      <w:lvlJc w:val="left"/>
      <w:pPr>
        <w:tabs>
          <w:tab w:val="num" w:pos="360"/>
        </w:tabs>
        <w:ind w:left="284" w:firstLine="0"/>
      </w:pPr>
      <w:rPr>
        <w:rFonts w:hint="default"/>
      </w:rPr>
    </w:lvl>
    <w:lvl w:ilvl="7">
      <w:start w:val="1"/>
      <w:numFmt w:val="decimal"/>
      <w:lvlText w:val="%1.%2.%3.%4.%5.%6.%7.%8."/>
      <w:lvlJc w:val="left"/>
      <w:pPr>
        <w:tabs>
          <w:tab w:val="num" w:pos="360"/>
        </w:tabs>
        <w:ind w:left="284" w:firstLine="0"/>
      </w:pPr>
      <w:rPr>
        <w:rFonts w:hint="default"/>
      </w:rPr>
    </w:lvl>
    <w:lvl w:ilvl="8">
      <w:start w:val="1"/>
      <w:numFmt w:val="decimal"/>
      <w:lvlText w:val="%1.%2.%3.%4.%5.%6.%7.%8.%9."/>
      <w:lvlJc w:val="left"/>
      <w:pPr>
        <w:tabs>
          <w:tab w:val="num" w:pos="360"/>
        </w:tabs>
        <w:ind w:left="284" w:firstLine="0"/>
      </w:pPr>
      <w:rPr>
        <w:rFonts w:hint="default"/>
      </w:rPr>
    </w:lvl>
  </w:abstractNum>
  <w:abstractNum w:abstractNumId="10">
    <w:nsid w:val="271C1833"/>
    <w:multiLevelType w:val="multilevel"/>
    <w:tmpl w:val="50565C30"/>
    <w:lvl w:ilvl="0">
      <w:start w:val="1"/>
      <w:numFmt w:val="lowerLetter"/>
      <w:pStyle w:val="Listinga-i"/>
      <w:lvlText w:val="%1."/>
      <w:lvlJc w:val="left"/>
      <w:pPr>
        <w:ind w:left="1077" w:hanging="283"/>
      </w:pPr>
      <w:rPr>
        <w:rFonts w:ascii="Arial" w:hAnsi="Arial" w:hint="default"/>
        <w:b w:val="0"/>
        <w:i w:val="0"/>
        <w:sz w:val="20"/>
      </w:rPr>
    </w:lvl>
    <w:lvl w:ilvl="1">
      <w:start w:val="1"/>
      <w:numFmt w:val="lowerRoman"/>
      <w:lvlText w:val="%2."/>
      <w:lvlJc w:val="left"/>
      <w:pPr>
        <w:ind w:left="1361" w:hanging="283"/>
      </w:pPr>
      <w:rPr>
        <w:rFonts w:hint="default"/>
      </w:rPr>
    </w:lvl>
    <w:lvl w:ilvl="2">
      <w:start w:val="1"/>
      <w:numFmt w:val="bullet"/>
      <w:lvlText w:val=""/>
      <w:lvlJc w:val="left"/>
      <w:pPr>
        <w:ind w:left="1645" w:hanging="283"/>
      </w:pPr>
      <w:rPr>
        <w:rFonts w:ascii="Symbol" w:hAnsi="Symbol" w:hint="default"/>
      </w:rPr>
    </w:lvl>
    <w:lvl w:ilvl="3">
      <w:start w:val="1"/>
      <w:numFmt w:val="bullet"/>
      <w:lvlText w:val=""/>
      <w:lvlJc w:val="left"/>
      <w:pPr>
        <w:ind w:left="1929" w:hanging="283"/>
      </w:pPr>
      <w:rPr>
        <w:rFonts w:ascii="Symbol" w:hAnsi="Symbol" w:hint="default"/>
        <w:color w:val="0093D5"/>
      </w:rPr>
    </w:lvl>
    <w:lvl w:ilvl="4">
      <w:start w:val="1"/>
      <w:numFmt w:val="lowerLetter"/>
      <w:lvlText w:val="%5."/>
      <w:lvlJc w:val="left"/>
      <w:pPr>
        <w:ind w:left="2213" w:hanging="283"/>
      </w:pPr>
      <w:rPr>
        <w:rFonts w:hint="default"/>
      </w:rPr>
    </w:lvl>
    <w:lvl w:ilvl="5">
      <w:start w:val="1"/>
      <w:numFmt w:val="lowerRoman"/>
      <w:lvlText w:val="%6."/>
      <w:lvlJc w:val="right"/>
      <w:pPr>
        <w:ind w:left="2497" w:hanging="283"/>
      </w:pPr>
      <w:rPr>
        <w:rFonts w:hint="default"/>
      </w:rPr>
    </w:lvl>
    <w:lvl w:ilvl="6">
      <w:start w:val="1"/>
      <w:numFmt w:val="decimal"/>
      <w:lvlText w:val="%7."/>
      <w:lvlJc w:val="left"/>
      <w:pPr>
        <w:ind w:left="2781" w:hanging="283"/>
      </w:pPr>
      <w:rPr>
        <w:rFonts w:hint="default"/>
      </w:rPr>
    </w:lvl>
    <w:lvl w:ilvl="7">
      <w:start w:val="1"/>
      <w:numFmt w:val="lowerLetter"/>
      <w:lvlText w:val="%8."/>
      <w:lvlJc w:val="left"/>
      <w:pPr>
        <w:ind w:left="3065" w:hanging="283"/>
      </w:pPr>
      <w:rPr>
        <w:rFonts w:hint="default"/>
      </w:rPr>
    </w:lvl>
    <w:lvl w:ilvl="8">
      <w:start w:val="1"/>
      <w:numFmt w:val="lowerRoman"/>
      <w:lvlText w:val="%9."/>
      <w:lvlJc w:val="right"/>
      <w:pPr>
        <w:ind w:left="3349" w:hanging="283"/>
      </w:pPr>
      <w:rPr>
        <w:rFonts w:hint="default"/>
      </w:rPr>
    </w:lvl>
  </w:abstractNum>
  <w:abstractNum w:abstractNumId="11">
    <w:nsid w:val="29584335"/>
    <w:multiLevelType w:val="multilevel"/>
    <w:tmpl w:val="B1C2DFBE"/>
    <w:lvl w:ilvl="0">
      <w:start w:val="1"/>
      <w:numFmt w:val="decimal"/>
      <w:pStyle w:val="Tableheading"/>
      <w:lvlText w:val="Table %1:"/>
      <w:lvlJc w:val="left"/>
      <w:pPr>
        <w:ind w:left="927"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021"/>
        </w:tabs>
        <w:ind w:left="1021" w:hanging="1021"/>
      </w:pPr>
      <w:rPr>
        <w:rFonts w:ascii="Arial" w:hAnsi="Arial" w:hint="default"/>
        <w:b w:val="0"/>
        <w:bCs w:val="0"/>
        <w:i w:val="0"/>
        <w:iCs w:val="0"/>
        <w:color w:val="000000" w:themeColor="text1"/>
        <w:u w:val="none"/>
      </w:rPr>
    </w:lvl>
    <w:lvl w:ilvl="2">
      <w:start w:val="1"/>
      <w:numFmt w:val="decimal"/>
      <w:lvlText w:val="%1.%2.%3."/>
      <w:lvlJc w:val="left"/>
      <w:pPr>
        <w:tabs>
          <w:tab w:val="num" w:pos="1021"/>
        </w:tabs>
        <w:ind w:left="1021" w:hanging="1021"/>
      </w:pPr>
      <w:rPr>
        <w:rFonts w:ascii="Arial" w:hAnsi="Arial" w:hint="default"/>
        <w:b w:val="0"/>
        <w:bCs w:val="0"/>
        <w:i w:val="0"/>
        <w:iCs w:val="0"/>
        <w:color w:val="auto"/>
        <w:u w:val="none"/>
      </w:rPr>
    </w:lvl>
    <w:lvl w:ilvl="3">
      <w:start w:val="1"/>
      <w:numFmt w:val="decimal"/>
      <w:lvlText w:val="%1.%2.%3.%4."/>
      <w:lvlJc w:val="left"/>
      <w:pPr>
        <w:tabs>
          <w:tab w:val="num" w:pos="1021"/>
        </w:tabs>
        <w:ind w:left="1021" w:hanging="1021"/>
      </w:pPr>
      <w:rPr>
        <w:rFonts w:ascii="Arial" w:hAnsi="Arial" w:hint="default"/>
        <w:b w:val="0"/>
        <w:bCs w:val="0"/>
        <w:i w:val="0"/>
        <w:iCs w:val="0"/>
        <w:color w:val="auto"/>
        <w:u w:val="none"/>
      </w:rPr>
    </w:lvl>
    <w:lvl w:ilvl="4">
      <w:start w:val="1"/>
      <w:numFmt w:val="decimal"/>
      <w:lvlText w:val="%1.%2.%3.%4.%5."/>
      <w:lvlJc w:val="left"/>
      <w:pPr>
        <w:tabs>
          <w:tab w:val="num" w:pos="879"/>
        </w:tabs>
        <w:ind w:left="879" w:hanging="1021"/>
      </w:pPr>
      <w:rPr>
        <w:rFonts w:hint="default"/>
      </w:rPr>
    </w:lvl>
    <w:lvl w:ilvl="5">
      <w:start w:val="1"/>
      <w:numFmt w:val="decimal"/>
      <w:lvlText w:val="%1.%2.%3.%4.%5.%6."/>
      <w:lvlJc w:val="left"/>
      <w:pPr>
        <w:ind w:left="2452" w:hanging="936"/>
      </w:pPr>
      <w:rPr>
        <w:rFonts w:hint="default"/>
      </w:rPr>
    </w:lvl>
    <w:lvl w:ilvl="6">
      <w:start w:val="1"/>
      <w:numFmt w:val="decimal"/>
      <w:lvlText w:val="%1.%2.%3.%4.%5.%6.%7."/>
      <w:lvlJc w:val="left"/>
      <w:pPr>
        <w:ind w:left="2956" w:hanging="1080"/>
      </w:pPr>
      <w:rPr>
        <w:rFonts w:hint="default"/>
      </w:rPr>
    </w:lvl>
    <w:lvl w:ilvl="7">
      <w:start w:val="1"/>
      <w:numFmt w:val="decimal"/>
      <w:lvlText w:val="%1.%2.%3.%4.%5.%6.%7.%8."/>
      <w:lvlJc w:val="left"/>
      <w:pPr>
        <w:ind w:left="3460" w:hanging="1224"/>
      </w:pPr>
      <w:rPr>
        <w:rFonts w:hint="default"/>
      </w:rPr>
    </w:lvl>
    <w:lvl w:ilvl="8">
      <w:start w:val="1"/>
      <w:numFmt w:val="decimal"/>
      <w:lvlText w:val="%1.%2.%3.%4.%5.%6.%7.%8.%9."/>
      <w:lvlJc w:val="left"/>
      <w:pPr>
        <w:ind w:left="4036" w:hanging="1440"/>
      </w:pPr>
      <w:rPr>
        <w:rFonts w:hint="default"/>
      </w:rPr>
    </w:lvl>
  </w:abstractNum>
  <w:abstractNum w:abstractNumId="12">
    <w:nsid w:val="2B976CFF"/>
    <w:multiLevelType w:val="hybridMultilevel"/>
    <w:tmpl w:val="C0AADAB8"/>
    <w:lvl w:ilvl="0" w:tplc="7744CA40">
      <w:start w:val="1"/>
      <w:numFmt w:val="upperLetter"/>
      <w:pStyle w:val="Appendices"/>
      <w:lvlText w:val="APPENDIX %1:"/>
      <w:lvlJc w:val="left"/>
      <w:pPr>
        <w:tabs>
          <w:tab w:val="num" w:pos="794"/>
        </w:tabs>
        <w:ind w:left="794" w:hanging="794"/>
      </w:pPr>
      <w:rPr>
        <w:rFonts w:ascii="Arial Bold" w:hAnsi="Arial Bold" w:hint="default"/>
        <w:b/>
        <w:i w:val="0"/>
        <w:caps/>
        <w:sz w:val="24"/>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9D73BB"/>
    <w:multiLevelType w:val="multilevel"/>
    <w:tmpl w:val="ACE2F886"/>
    <w:lvl w:ilvl="0">
      <w:start w:val="1"/>
      <w:numFmt w:val="decimal"/>
      <w:lvlText w:val="%1"/>
      <w:lvlJc w:val="left"/>
      <w:pPr>
        <w:tabs>
          <w:tab w:val="num" w:pos="720"/>
        </w:tabs>
        <w:ind w:left="720" w:hanging="720"/>
      </w:pPr>
      <w:rPr>
        <w:rFonts w:hint="default"/>
      </w:rPr>
    </w:lvl>
    <w:lvl w:ilvl="1">
      <w:start w:val="1"/>
      <w:numFmt w:val="decimal"/>
      <w:lvlText w:val="5.%2"/>
      <w:lvlJc w:val="left"/>
      <w:pPr>
        <w:tabs>
          <w:tab w:val="num" w:pos="720"/>
        </w:tabs>
        <w:ind w:left="720" w:hanging="720"/>
      </w:pPr>
      <w:rPr>
        <w:rFonts w:hint="default"/>
      </w:rPr>
    </w:lvl>
    <w:lvl w:ilvl="2">
      <w:start w:val="1"/>
      <w:numFmt w:val="decimal"/>
      <w:pStyle w:val="BlueBullet"/>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2FF623EE"/>
    <w:multiLevelType w:val="hybridMultilevel"/>
    <w:tmpl w:val="1BC6C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0597F1A"/>
    <w:multiLevelType w:val="multilevel"/>
    <w:tmpl w:val="554835FE"/>
    <w:lvl w:ilvl="0">
      <w:start w:val="1"/>
      <w:numFmt w:val="lowerLetter"/>
      <w:pStyle w:val="Quotelistinga"/>
      <w:lvlText w:val="%1."/>
      <w:lvlJc w:val="left"/>
      <w:pPr>
        <w:tabs>
          <w:tab w:val="num" w:pos="907"/>
        </w:tabs>
        <w:ind w:left="1077" w:hanging="283"/>
      </w:pPr>
      <w:rPr>
        <w:rFonts w:ascii="Arial" w:hAnsi="Arial" w:hint="default"/>
        <w:b w:val="0"/>
        <w:i w:val="0"/>
        <w:sz w:val="20"/>
      </w:rPr>
    </w:lvl>
    <w:lvl w:ilvl="1">
      <w:start w:val="1"/>
      <w:numFmt w:val="lowerRoman"/>
      <w:pStyle w:val="Quotelistingi"/>
      <w:lvlText w:val="%2."/>
      <w:lvlJc w:val="left"/>
      <w:pPr>
        <w:ind w:left="1077" w:hanging="283"/>
      </w:pPr>
      <w:rPr>
        <w:rFonts w:ascii="Arial" w:hAnsi="Arial" w:hint="default"/>
        <w:b w:val="0"/>
        <w:i w:val="0"/>
        <w:sz w:val="2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35000DA5"/>
    <w:multiLevelType w:val="hybridMultilevel"/>
    <w:tmpl w:val="C2E6820C"/>
    <w:lvl w:ilvl="0" w:tplc="71C8809C">
      <w:start w:val="1"/>
      <w:numFmt w:val="decimal"/>
      <w:pStyle w:val="headmain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DB03D39"/>
    <w:multiLevelType w:val="multilevel"/>
    <w:tmpl w:val="29F63E3A"/>
    <w:lvl w:ilvl="0">
      <w:start w:val="4"/>
      <w:numFmt w:val="decimal"/>
      <w:pStyle w:val="BulletORANGE"/>
      <w:lvlText w:val="%1"/>
      <w:lvlJc w:val="left"/>
      <w:pPr>
        <w:tabs>
          <w:tab w:val="num" w:pos="720"/>
        </w:tabs>
        <w:ind w:left="720" w:hanging="720"/>
      </w:pPr>
      <w:rPr>
        <w:rFonts w:hint="default"/>
      </w:rPr>
    </w:lvl>
    <w:lvl w:ilvl="1">
      <w:start w:val="5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50472E4"/>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9">
    <w:nsid w:val="47FB20D7"/>
    <w:multiLevelType w:val="hybridMultilevel"/>
    <w:tmpl w:val="B93E0408"/>
    <w:lvl w:ilvl="0" w:tplc="7BAE4B5E">
      <w:start w:val="1"/>
      <w:numFmt w:val="bullet"/>
      <w:pStyle w:val="bulletCBA"/>
      <w:lvlText w:val=""/>
      <w:lvlJc w:val="left"/>
      <w:pPr>
        <w:ind w:left="1211"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nsid w:val="48EE0655"/>
    <w:multiLevelType w:val="multilevel"/>
    <w:tmpl w:val="34167638"/>
    <w:lvl w:ilvl="0">
      <w:start w:val="1"/>
      <w:numFmt w:val="bullet"/>
      <w:pStyle w:val="Bullet-Blue"/>
      <w:lvlText w:val=""/>
      <w:lvlJc w:val="left"/>
      <w:pPr>
        <w:tabs>
          <w:tab w:val="num" w:pos="454"/>
        </w:tabs>
        <w:ind w:left="907" w:hanging="453"/>
      </w:pPr>
      <w:rPr>
        <w:rFonts w:ascii="Symbol" w:hAnsi="Symbol" w:hint="default"/>
        <w:color w:val="009DDF"/>
        <w:sz w:val="20"/>
      </w:rPr>
    </w:lvl>
    <w:lvl w:ilvl="1">
      <w:start w:val="1"/>
      <w:numFmt w:val="bullet"/>
      <w:lvlText w:val="o"/>
      <w:lvlJc w:val="left"/>
      <w:pPr>
        <w:tabs>
          <w:tab w:val="num" w:pos="908"/>
        </w:tabs>
        <w:ind w:left="1361" w:hanging="453"/>
      </w:pPr>
      <w:rPr>
        <w:rFonts w:ascii="Courier New" w:hAnsi="Courier New" w:cs="Courier New" w:hint="default"/>
      </w:rPr>
    </w:lvl>
    <w:lvl w:ilvl="2">
      <w:start w:val="1"/>
      <w:numFmt w:val="bullet"/>
      <w:lvlText w:val=""/>
      <w:lvlJc w:val="left"/>
      <w:pPr>
        <w:tabs>
          <w:tab w:val="num" w:pos="1362"/>
        </w:tabs>
        <w:ind w:left="1815" w:hanging="453"/>
      </w:pPr>
      <w:rPr>
        <w:rFonts w:ascii="Wingdings" w:hAnsi="Wingdings" w:hint="default"/>
      </w:rPr>
    </w:lvl>
    <w:lvl w:ilvl="3">
      <w:start w:val="1"/>
      <w:numFmt w:val="bullet"/>
      <w:lvlText w:val=""/>
      <w:lvlJc w:val="left"/>
      <w:pPr>
        <w:tabs>
          <w:tab w:val="num" w:pos="1816"/>
        </w:tabs>
        <w:ind w:left="2269" w:hanging="453"/>
      </w:pPr>
      <w:rPr>
        <w:rFonts w:ascii="Symbol" w:hAnsi="Symbol" w:hint="default"/>
      </w:rPr>
    </w:lvl>
    <w:lvl w:ilvl="4">
      <w:start w:val="1"/>
      <w:numFmt w:val="bullet"/>
      <w:lvlText w:val="o"/>
      <w:lvlJc w:val="left"/>
      <w:pPr>
        <w:tabs>
          <w:tab w:val="num" w:pos="2270"/>
        </w:tabs>
        <w:ind w:left="2723" w:hanging="453"/>
      </w:pPr>
      <w:rPr>
        <w:rFonts w:ascii="Courier New" w:hAnsi="Courier New" w:cs="Courier New" w:hint="default"/>
      </w:rPr>
    </w:lvl>
    <w:lvl w:ilvl="5">
      <w:start w:val="1"/>
      <w:numFmt w:val="bullet"/>
      <w:lvlText w:val=""/>
      <w:lvlJc w:val="left"/>
      <w:pPr>
        <w:tabs>
          <w:tab w:val="num" w:pos="2724"/>
        </w:tabs>
        <w:ind w:left="3177" w:hanging="453"/>
      </w:pPr>
      <w:rPr>
        <w:rFonts w:ascii="Wingdings" w:hAnsi="Wingdings" w:hint="default"/>
      </w:rPr>
    </w:lvl>
    <w:lvl w:ilvl="6">
      <w:start w:val="1"/>
      <w:numFmt w:val="bullet"/>
      <w:lvlText w:val=""/>
      <w:lvlJc w:val="left"/>
      <w:pPr>
        <w:tabs>
          <w:tab w:val="num" w:pos="3178"/>
        </w:tabs>
        <w:ind w:left="3631" w:hanging="453"/>
      </w:pPr>
      <w:rPr>
        <w:rFonts w:ascii="Symbol" w:hAnsi="Symbol" w:hint="default"/>
      </w:rPr>
    </w:lvl>
    <w:lvl w:ilvl="7">
      <w:start w:val="1"/>
      <w:numFmt w:val="bullet"/>
      <w:lvlText w:val="o"/>
      <w:lvlJc w:val="left"/>
      <w:pPr>
        <w:tabs>
          <w:tab w:val="num" w:pos="3632"/>
        </w:tabs>
        <w:ind w:left="4085" w:hanging="453"/>
      </w:pPr>
      <w:rPr>
        <w:rFonts w:ascii="Courier New" w:hAnsi="Courier New" w:cs="Courier New" w:hint="default"/>
      </w:rPr>
    </w:lvl>
    <w:lvl w:ilvl="8">
      <w:start w:val="1"/>
      <w:numFmt w:val="bullet"/>
      <w:lvlText w:val=""/>
      <w:lvlJc w:val="left"/>
      <w:pPr>
        <w:tabs>
          <w:tab w:val="num" w:pos="4086"/>
        </w:tabs>
        <w:ind w:left="4539" w:hanging="453"/>
      </w:pPr>
      <w:rPr>
        <w:rFonts w:ascii="Wingdings" w:hAnsi="Wingdings" w:hint="default"/>
      </w:rPr>
    </w:lvl>
  </w:abstractNum>
  <w:abstractNum w:abstractNumId="21">
    <w:nsid w:val="4D974CC9"/>
    <w:multiLevelType w:val="multilevel"/>
    <w:tmpl w:val="913AFB3A"/>
    <w:lvl w:ilvl="0">
      <w:start w:val="1"/>
      <w:numFmt w:val="decimal"/>
      <w:lvlText w:val="%1."/>
      <w:lvlJc w:val="left"/>
      <w:pPr>
        <w:tabs>
          <w:tab w:val="num" w:pos="870"/>
        </w:tabs>
        <w:ind w:left="870" w:hanging="870"/>
      </w:pPr>
      <w:rPr>
        <w:rFonts w:hint="default"/>
      </w:rPr>
    </w:lvl>
    <w:lvl w:ilvl="1">
      <w:start w:val="1"/>
      <w:numFmt w:val="decimal"/>
      <w:pStyle w:val="Reportsourceundertable"/>
      <w:lvlText w:val="%1.%2."/>
      <w:lvlJc w:val="left"/>
      <w:pPr>
        <w:tabs>
          <w:tab w:val="num" w:pos="867"/>
        </w:tabs>
        <w:ind w:left="867" w:hanging="867"/>
      </w:pPr>
      <w:rPr>
        <w:rFonts w:hint="default"/>
      </w:rPr>
    </w:lvl>
    <w:lvl w:ilvl="2">
      <w:start w:val="1"/>
      <w:numFmt w:val="decimal"/>
      <w:lvlText w:val="%1.%2.%3."/>
      <w:lvlJc w:val="left"/>
      <w:pPr>
        <w:tabs>
          <w:tab w:val="num" w:pos="867"/>
        </w:tabs>
        <w:ind w:left="867" w:hanging="867"/>
      </w:pPr>
      <w:rPr>
        <w:rFonts w:hint="default"/>
      </w:rPr>
    </w:lvl>
    <w:lvl w:ilvl="3">
      <w:start w:val="1"/>
      <w:numFmt w:val="decimal"/>
      <w:lvlText w:val="%1.%2.%3.%4."/>
      <w:lvlJc w:val="left"/>
      <w:pPr>
        <w:tabs>
          <w:tab w:val="num" w:pos="867"/>
        </w:tabs>
        <w:ind w:left="867" w:hanging="867"/>
      </w:pPr>
      <w:rPr>
        <w:rFonts w:hint="default"/>
      </w:rPr>
    </w:lvl>
    <w:lvl w:ilvl="4">
      <w:start w:val="1"/>
      <w:numFmt w:val="decimal"/>
      <w:lvlText w:val="%1.%2.%3.%4.%5."/>
      <w:lvlJc w:val="left"/>
      <w:pPr>
        <w:tabs>
          <w:tab w:val="num" w:pos="3030"/>
        </w:tabs>
        <w:ind w:left="2742" w:hanging="792"/>
      </w:pPr>
      <w:rPr>
        <w:rFonts w:hint="default"/>
      </w:rPr>
    </w:lvl>
    <w:lvl w:ilvl="5">
      <w:start w:val="1"/>
      <w:numFmt w:val="decimal"/>
      <w:lvlText w:val="%1.%2.%3.%4.%5.%6."/>
      <w:lvlJc w:val="left"/>
      <w:pPr>
        <w:tabs>
          <w:tab w:val="num" w:pos="3750"/>
        </w:tabs>
        <w:ind w:left="3246" w:hanging="936"/>
      </w:pPr>
      <w:rPr>
        <w:rFonts w:hint="default"/>
      </w:rPr>
    </w:lvl>
    <w:lvl w:ilvl="6">
      <w:start w:val="1"/>
      <w:numFmt w:val="decimal"/>
      <w:lvlText w:val="%1.%2.%3.%4.%5.%6.%7."/>
      <w:lvlJc w:val="left"/>
      <w:pPr>
        <w:tabs>
          <w:tab w:val="num" w:pos="4470"/>
        </w:tabs>
        <w:ind w:left="3750" w:hanging="1080"/>
      </w:pPr>
      <w:rPr>
        <w:rFonts w:hint="default"/>
      </w:rPr>
    </w:lvl>
    <w:lvl w:ilvl="7">
      <w:start w:val="1"/>
      <w:numFmt w:val="decimal"/>
      <w:lvlText w:val="%1.%2.%3.%4.%5.%6.%7.%8."/>
      <w:lvlJc w:val="left"/>
      <w:pPr>
        <w:tabs>
          <w:tab w:val="num" w:pos="4830"/>
        </w:tabs>
        <w:ind w:left="4254" w:hanging="1224"/>
      </w:pPr>
      <w:rPr>
        <w:rFonts w:hint="default"/>
      </w:rPr>
    </w:lvl>
    <w:lvl w:ilvl="8">
      <w:start w:val="1"/>
      <w:numFmt w:val="decimal"/>
      <w:lvlText w:val="%1.%2.%3.%4.%5.%6.%7.%8.%9."/>
      <w:lvlJc w:val="left"/>
      <w:pPr>
        <w:tabs>
          <w:tab w:val="num" w:pos="5550"/>
        </w:tabs>
        <w:ind w:left="4830" w:hanging="1440"/>
      </w:pPr>
      <w:rPr>
        <w:rFonts w:hint="default"/>
      </w:rPr>
    </w:lvl>
  </w:abstractNum>
  <w:abstractNum w:abstractNumId="22">
    <w:nsid w:val="4EE5754B"/>
    <w:multiLevelType w:val="hybridMultilevel"/>
    <w:tmpl w:val="0562DA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D9737C5"/>
    <w:multiLevelType w:val="hybridMultilevel"/>
    <w:tmpl w:val="ACC210BA"/>
    <w:lvl w:ilvl="0" w:tplc="EE16501A">
      <w:start w:val="1"/>
      <w:numFmt w:val="bullet"/>
      <w:pStyle w:val="10BulletBodytext"/>
      <w:lvlText w:val=""/>
      <w:lvlJc w:val="left"/>
      <w:pPr>
        <w:ind w:left="1211" w:hanging="360"/>
      </w:pPr>
      <w:rPr>
        <w:rFonts w:ascii="Symbol" w:hAnsi="Symbol" w:hint="default"/>
        <w:color w:val="009DDF"/>
      </w:rPr>
    </w:lvl>
    <w:lvl w:ilvl="1" w:tplc="08090019">
      <w:start w:val="1"/>
      <w:numFmt w:val="bullet"/>
      <w:lvlText w:val="o"/>
      <w:lvlJc w:val="left"/>
      <w:pPr>
        <w:ind w:left="2008" w:hanging="360"/>
      </w:pPr>
      <w:rPr>
        <w:rFonts w:ascii="Courier New" w:hAnsi="Courier New" w:hint="default"/>
      </w:rPr>
    </w:lvl>
    <w:lvl w:ilvl="2" w:tplc="0809001B">
      <w:start w:val="1"/>
      <w:numFmt w:val="bullet"/>
      <w:lvlText w:val=""/>
      <w:lvlJc w:val="left"/>
      <w:pPr>
        <w:ind w:left="2728" w:hanging="360"/>
      </w:pPr>
      <w:rPr>
        <w:rFonts w:ascii="Wingdings" w:hAnsi="Wingdings" w:hint="default"/>
      </w:rPr>
    </w:lvl>
    <w:lvl w:ilvl="3" w:tplc="0809000F">
      <w:start w:val="1"/>
      <w:numFmt w:val="bullet"/>
      <w:lvlText w:val=""/>
      <w:lvlJc w:val="left"/>
      <w:pPr>
        <w:ind w:left="3448" w:hanging="360"/>
      </w:pPr>
      <w:rPr>
        <w:rFonts w:ascii="Symbol" w:hAnsi="Symbol" w:hint="default"/>
      </w:rPr>
    </w:lvl>
    <w:lvl w:ilvl="4" w:tplc="08090019">
      <w:start w:val="1"/>
      <w:numFmt w:val="bullet"/>
      <w:lvlText w:val="o"/>
      <w:lvlJc w:val="left"/>
      <w:pPr>
        <w:ind w:left="4168" w:hanging="360"/>
      </w:pPr>
      <w:rPr>
        <w:rFonts w:ascii="Courier New" w:hAnsi="Courier New" w:hint="default"/>
      </w:rPr>
    </w:lvl>
    <w:lvl w:ilvl="5" w:tplc="0809001B">
      <w:start w:val="1"/>
      <w:numFmt w:val="bullet"/>
      <w:lvlText w:val=""/>
      <w:lvlJc w:val="left"/>
      <w:pPr>
        <w:ind w:left="4888" w:hanging="360"/>
      </w:pPr>
      <w:rPr>
        <w:rFonts w:ascii="Wingdings" w:hAnsi="Wingdings" w:hint="default"/>
      </w:rPr>
    </w:lvl>
    <w:lvl w:ilvl="6" w:tplc="0809000F">
      <w:start w:val="1"/>
      <w:numFmt w:val="bullet"/>
      <w:lvlText w:val=""/>
      <w:lvlJc w:val="left"/>
      <w:pPr>
        <w:ind w:left="5608" w:hanging="360"/>
      </w:pPr>
      <w:rPr>
        <w:rFonts w:ascii="Symbol" w:hAnsi="Symbol" w:hint="default"/>
      </w:rPr>
    </w:lvl>
    <w:lvl w:ilvl="7" w:tplc="08090019">
      <w:start w:val="1"/>
      <w:numFmt w:val="bullet"/>
      <w:lvlText w:val="o"/>
      <w:lvlJc w:val="left"/>
      <w:pPr>
        <w:ind w:left="6328" w:hanging="360"/>
      </w:pPr>
      <w:rPr>
        <w:rFonts w:ascii="Courier New" w:hAnsi="Courier New" w:hint="default"/>
      </w:rPr>
    </w:lvl>
    <w:lvl w:ilvl="8" w:tplc="0809001B">
      <w:start w:val="1"/>
      <w:numFmt w:val="bullet"/>
      <w:lvlText w:val=""/>
      <w:lvlJc w:val="left"/>
      <w:pPr>
        <w:ind w:left="7048" w:hanging="360"/>
      </w:pPr>
      <w:rPr>
        <w:rFonts w:ascii="Wingdings" w:hAnsi="Wingdings" w:hint="default"/>
      </w:rPr>
    </w:lvl>
  </w:abstractNum>
  <w:abstractNum w:abstractNumId="24">
    <w:nsid w:val="600A23CE"/>
    <w:multiLevelType w:val="multilevel"/>
    <w:tmpl w:val="94E6A44A"/>
    <w:styleLink w:val="LFO27"/>
    <w:lvl w:ilvl="0">
      <w:numFmt w:val="bullet"/>
      <w:lvlText w:val=""/>
      <w:lvlJc w:val="left"/>
      <w:pPr>
        <w:ind w:left="1077" w:hanging="283"/>
      </w:pPr>
      <w:rPr>
        <w:rFonts w:ascii="Symbol" w:hAnsi="Symbol"/>
        <w:b w:val="0"/>
        <w:bCs w:val="0"/>
        <w:i w:val="0"/>
        <w:iCs w:val="0"/>
        <w:color w:val="0093D5"/>
        <w:sz w:val="20"/>
        <w:szCs w:val="20"/>
      </w:rPr>
    </w:lvl>
    <w:lvl w:ilvl="1">
      <w:numFmt w:val="bullet"/>
      <w:lvlText w:val="o"/>
      <w:lvlJc w:val="left"/>
      <w:pPr>
        <w:ind w:left="1418" w:hanging="340"/>
      </w:pPr>
      <w:rPr>
        <w:rFonts w:ascii="Courier New" w:hAnsi="Courier New"/>
      </w:rPr>
    </w:lvl>
    <w:lvl w:ilvl="2">
      <w:numFmt w:val="bullet"/>
      <w:lvlText w:val=""/>
      <w:lvlJc w:val="left"/>
      <w:pPr>
        <w:ind w:left="1702" w:hanging="340"/>
      </w:pPr>
      <w:rPr>
        <w:rFonts w:ascii="Wingdings" w:hAnsi="Wingdings"/>
      </w:rPr>
    </w:lvl>
    <w:lvl w:ilvl="3">
      <w:numFmt w:val="bullet"/>
      <w:lvlText w:val=""/>
      <w:lvlJc w:val="left"/>
      <w:pPr>
        <w:ind w:left="1986" w:hanging="340"/>
      </w:pPr>
      <w:rPr>
        <w:rFonts w:ascii="Symbol" w:hAnsi="Symbol"/>
      </w:rPr>
    </w:lvl>
    <w:lvl w:ilvl="4">
      <w:numFmt w:val="bullet"/>
      <w:lvlText w:val="o"/>
      <w:lvlJc w:val="left"/>
      <w:pPr>
        <w:ind w:left="2270" w:hanging="340"/>
      </w:pPr>
      <w:rPr>
        <w:rFonts w:ascii="Courier New" w:hAnsi="Courier New"/>
      </w:rPr>
    </w:lvl>
    <w:lvl w:ilvl="5">
      <w:numFmt w:val="bullet"/>
      <w:lvlText w:val=""/>
      <w:lvlJc w:val="left"/>
      <w:pPr>
        <w:ind w:left="2554" w:hanging="340"/>
      </w:pPr>
      <w:rPr>
        <w:rFonts w:ascii="Wingdings" w:hAnsi="Wingdings"/>
      </w:rPr>
    </w:lvl>
    <w:lvl w:ilvl="6">
      <w:numFmt w:val="bullet"/>
      <w:lvlText w:val=""/>
      <w:lvlJc w:val="left"/>
      <w:pPr>
        <w:ind w:left="2838" w:hanging="340"/>
      </w:pPr>
      <w:rPr>
        <w:rFonts w:ascii="Symbol" w:hAnsi="Symbol"/>
      </w:rPr>
    </w:lvl>
    <w:lvl w:ilvl="7">
      <w:numFmt w:val="bullet"/>
      <w:lvlText w:val="o"/>
      <w:lvlJc w:val="left"/>
      <w:pPr>
        <w:ind w:left="3122" w:hanging="340"/>
      </w:pPr>
      <w:rPr>
        <w:rFonts w:ascii="Courier New" w:hAnsi="Courier New"/>
      </w:rPr>
    </w:lvl>
    <w:lvl w:ilvl="8">
      <w:numFmt w:val="bullet"/>
      <w:lvlText w:val=""/>
      <w:lvlJc w:val="left"/>
      <w:pPr>
        <w:ind w:left="3406" w:hanging="340"/>
      </w:pPr>
      <w:rPr>
        <w:rFonts w:ascii="Wingdings" w:hAnsi="Wingdings"/>
      </w:rPr>
    </w:lvl>
  </w:abstractNum>
  <w:abstractNum w:abstractNumId="25">
    <w:nsid w:val="6D406F07"/>
    <w:multiLevelType w:val="multilevel"/>
    <w:tmpl w:val="D6423374"/>
    <w:lvl w:ilvl="0">
      <w:start w:val="1"/>
      <w:numFmt w:val="lowerRoman"/>
      <w:pStyle w:val="ReportNumberedList2"/>
      <w:lvlText w:val="%1)"/>
      <w:lvlJc w:val="left"/>
      <w:pPr>
        <w:tabs>
          <w:tab w:val="num" w:pos="1080"/>
        </w:tabs>
        <w:ind w:left="1080" w:hanging="72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733756BC"/>
    <w:multiLevelType w:val="hybridMultilevel"/>
    <w:tmpl w:val="CBC255CA"/>
    <w:lvl w:ilvl="0" w:tplc="B18E2B5A">
      <w:start w:val="1"/>
      <w:numFmt w:val="bullet"/>
      <w:pStyle w:val="ListParagraph"/>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73AA0CD0"/>
    <w:multiLevelType w:val="hybridMultilevel"/>
    <w:tmpl w:val="EA7E80C4"/>
    <w:lvl w:ilvl="0" w:tplc="44365422">
      <w:start w:val="1"/>
      <w:numFmt w:val="decimal"/>
      <w:pStyle w:val="bigserial"/>
      <w:lvlText w:val="%1."/>
      <w:lvlJc w:val="left"/>
      <w:pPr>
        <w:ind w:left="1069" w:hanging="360"/>
      </w:pPr>
      <w:rPr>
        <w:rFonts w:hint="default"/>
        <w:b w:val="0"/>
        <w:sz w:val="24"/>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6FB44CD"/>
    <w:multiLevelType w:val="hybridMultilevel"/>
    <w:tmpl w:val="C64CFD80"/>
    <w:lvl w:ilvl="0" w:tplc="D2407AE2">
      <w:start w:val="1"/>
      <w:numFmt w:val="decimal"/>
      <w:pStyle w:val="BAppendix"/>
      <w:lvlText w:val="B.%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8F77AEA"/>
    <w:multiLevelType w:val="multilevel"/>
    <w:tmpl w:val="C84A6460"/>
    <w:lvl w:ilvl="0">
      <w:start w:val="1"/>
      <w:numFmt w:val="decimal"/>
      <w:suff w:val="space"/>
      <w:lvlText w:val="Section %1:"/>
      <w:lvlJc w:val="left"/>
      <w:pPr>
        <w:ind w:left="0" w:firstLine="0"/>
      </w:pPr>
      <w:rPr>
        <w:rFonts w:ascii="Calibri" w:hAnsi="Calibri" w:cs="Tahoma" w:hint="default"/>
        <w:b/>
        <w:i w:val="0"/>
        <w:sz w:val="40"/>
        <w:szCs w:val="40"/>
      </w:rPr>
    </w:lvl>
    <w:lvl w:ilvl="1">
      <w:start w:val="1"/>
      <w:numFmt w:val="decimal"/>
      <w:pStyle w:val="smallserial"/>
      <w:lvlText w:val="%2."/>
      <w:lvlJc w:val="left"/>
      <w:pPr>
        <w:tabs>
          <w:tab w:val="num" w:pos="57"/>
        </w:tabs>
        <w:ind w:left="363" w:hanging="363"/>
      </w:pPr>
      <w:rPr>
        <w:rFonts w:hint="default"/>
        <w:b w:val="0"/>
        <w:bCs w:val="0"/>
        <w:i w:val="0"/>
        <w:iCs w:val="0"/>
        <w:caps w:val="0"/>
        <w:smallCaps w:val="0"/>
        <w:strike w:val="0"/>
        <w:dstrike w:val="0"/>
        <w:color w:val="auto"/>
        <w:spacing w:val="0"/>
        <w:w w:val="100"/>
        <w:kern w:val="0"/>
        <w:position w:val="0"/>
        <w:sz w:val="22"/>
        <w:szCs w:val="22"/>
        <w:u w:val="none"/>
        <w:effect w:val="none"/>
        <w:bdr w:val="none" w:sz="0" w:space="0" w:color="auto"/>
        <w:shd w:val="clear" w:color="auto" w:fill="auto"/>
        <w:vertAlign w:val="superscript"/>
        <w:em w:val="none"/>
      </w:rPr>
    </w:lvl>
    <w:lvl w:ilvl="2">
      <w:start w:val="1"/>
      <w:numFmt w:val="decimal"/>
      <w:lvlText w:val="%1.%2.%3"/>
      <w:lvlJc w:val="left"/>
      <w:pPr>
        <w:tabs>
          <w:tab w:val="num" w:pos="360"/>
        </w:tabs>
        <w:ind w:left="284" w:firstLine="0"/>
      </w:pPr>
      <w:rPr>
        <w:rFonts w:hint="default"/>
      </w:rPr>
    </w:lvl>
    <w:lvl w:ilvl="3">
      <w:start w:val="1"/>
      <w:numFmt w:val="decimal"/>
      <w:lvlText w:val="%1.%2.%3.%4."/>
      <w:lvlJc w:val="left"/>
      <w:pPr>
        <w:tabs>
          <w:tab w:val="num" w:pos="360"/>
        </w:tabs>
        <w:ind w:left="284" w:firstLine="0"/>
      </w:pPr>
      <w:rPr>
        <w:rFonts w:hint="default"/>
      </w:rPr>
    </w:lvl>
    <w:lvl w:ilvl="4">
      <w:start w:val="1"/>
      <w:numFmt w:val="decimal"/>
      <w:lvlText w:val="%1.%2.%3.%4.%5."/>
      <w:lvlJc w:val="left"/>
      <w:pPr>
        <w:tabs>
          <w:tab w:val="num" w:pos="360"/>
        </w:tabs>
        <w:ind w:left="284" w:firstLine="0"/>
      </w:pPr>
      <w:rPr>
        <w:rFonts w:hint="default"/>
      </w:rPr>
    </w:lvl>
    <w:lvl w:ilvl="5">
      <w:start w:val="1"/>
      <w:numFmt w:val="decimal"/>
      <w:lvlText w:val="%1.%2.%3.%4.%5.%6."/>
      <w:lvlJc w:val="left"/>
      <w:pPr>
        <w:tabs>
          <w:tab w:val="num" w:pos="360"/>
        </w:tabs>
        <w:ind w:left="284" w:firstLine="0"/>
      </w:pPr>
      <w:rPr>
        <w:rFonts w:hint="default"/>
      </w:rPr>
    </w:lvl>
    <w:lvl w:ilvl="6">
      <w:start w:val="1"/>
      <w:numFmt w:val="decimal"/>
      <w:lvlText w:val="%1.%2.%3.%4.%5.%6.%7."/>
      <w:lvlJc w:val="left"/>
      <w:pPr>
        <w:tabs>
          <w:tab w:val="num" w:pos="360"/>
        </w:tabs>
        <w:ind w:left="284" w:firstLine="0"/>
      </w:pPr>
      <w:rPr>
        <w:rFonts w:hint="default"/>
      </w:rPr>
    </w:lvl>
    <w:lvl w:ilvl="7">
      <w:start w:val="1"/>
      <w:numFmt w:val="decimal"/>
      <w:lvlText w:val="%1.%2.%3.%4.%5.%6.%7.%8."/>
      <w:lvlJc w:val="left"/>
      <w:pPr>
        <w:tabs>
          <w:tab w:val="num" w:pos="360"/>
        </w:tabs>
        <w:ind w:left="284" w:firstLine="0"/>
      </w:pPr>
      <w:rPr>
        <w:rFonts w:hint="default"/>
      </w:rPr>
    </w:lvl>
    <w:lvl w:ilvl="8">
      <w:start w:val="1"/>
      <w:numFmt w:val="decimal"/>
      <w:lvlText w:val="%1.%2.%3.%4.%5.%6.%7.%8.%9."/>
      <w:lvlJc w:val="left"/>
      <w:pPr>
        <w:tabs>
          <w:tab w:val="num" w:pos="360"/>
        </w:tabs>
        <w:ind w:left="284" w:firstLine="0"/>
      </w:pPr>
      <w:rPr>
        <w:rFonts w:hint="default"/>
      </w:rPr>
    </w:lvl>
  </w:abstractNum>
  <w:abstractNum w:abstractNumId="30">
    <w:nsid w:val="7A92179A"/>
    <w:multiLevelType w:val="multilevel"/>
    <w:tmpl w:val="AB5C7E6A"/>
    <w:lvl w:ilvl="0">
      <w:start w:val="1"/>
      <w:numFmt w:val="decimal"/>
      <w:lvlText w:val="%1"/>
      <w:lvlJc w:val="left"/>
      <w:pPr>
        <w:tabs>
          <w:tab w:val="num" w:pos="720"/>
        </w:tabs>
        <w:ind w:left="720" w:hanging="720"/>
      </w:pPr>
      <w:rPr>
        <w:rFonts w:hint="default"/>
      </w:rPr>
    </w:lvl>
    <w:lvl w:ilvl="1">
      <w:start w:val="1"/>
      <w:numFmt w:val="decimal"/>
      <w:lvlRestart w:val="0"/>
      <w:pStyle w:val="Reporttext"/>
      <w:lvlText w:val="%1.%2"/>
      <w:lvlJc w:val="left"/>
      <w:pPr>
        <w:tabs>
          <w:tab w:val="num" w:pos="720"/>
        </w:tabs>
        <w:ind w:left="720" w:hanging="720"/>
      </w:pPr>
      <w:rPr>
        <w:rFonts w:cs="Times New Roman" w:hint="default"/>
        <w:b w:val="0"/>
        <w:bCs w:val="0"/>
        <w:i w:val="0"/>
        <w:iCs w:val="0"/>
        <w:caps w:val="0"/>
        <w:smallCaps w:val="0"/>
        <w:strike w:val="0"/>
        <w:dstrike w:val="0"/>
        <w:vanish w:val="0"/>
        <w:color w:val="000000"/>
        <w:spacing w:val="0"/>
        <w:position w:val="0"/>
        <w:u w:val="none"/>
        <w:vertAlign w:val="baseline"/>
        <w:em w:val="none"/>
      </w:rPr>
    </w:lvl>
    <w:lvl w:ilvl="2">
      <w:start w:val="1"/>
      <w:numFmt w:val="decimal"/>
      <w:lvlText w:val="%1.%2.%3"/>
      <w:lvlJc w:val="left"/>
      <w:pPr>
        <w:tabs>
          <w:tab w:val="num" w:pos="754"/>
        </w:tabs>
        <w:ind w:left="754" w:hanging="754"/>
      </w:pPr>
      <w:rPr>
        <w:rFonts w:hint="default"/>
      </w:rPr>
    </w:lvl>
    <w:lvl w:ilvl="3">
      <w:start w:val="1"/>
      <w:numFmt w:val="decimal"/>
      <w:lvlText w:val="%1.%2.%3.%4"/>
      <w:lvlJc w:val="left"/>
      <w:pPr>
        <w:tabs>
          <w:tab w:val="num" w:pos="683"/>
        </w:tabs>
        <w:ind w:left="683" w:hanging="1080"/>
      </w:pPr>
      <w:rPr>
        <w:rFonts w:hint="default"/>
      </w:rPr>
    </w:lvl>
    <w:lvl w:ilvl="4">
      <w:start w:val="1"/>
      <w:numFmt w:val="decimal"/>
      <w:lvlText w:val="%1.%2.%3.%4.%5"/>
      <w:lvlJc w:val="left"/>
      <w:pPr>
        <w:tabs>
          <w:tab w:val="num" w:pos="1043"/>
        </w:tabs>
        <w:ind w:left="1043" w:hanging="1440"/>
      </w:pPr>
      <w:rPr>
        <w:rFonts w:hint="default"/>
      </w:rPr>
    </w:lvl>
    <w:lvl w:ilvl="5">
      <w:start w:val="1"/>
      <w:numFmt w:val="decimal"/>
      <w:lvlText w:val="%1.%2.%3.%4.%5.%6"/>
      <w:lvlJc w:val="left"/>
      <w:pPr>
        <w:tabs>
          <w:tab w:val="num" w:pos="1043"/>
        </w:tabs>
        <w:ind w:left="1043" w:hanging="1440"/>
      </w:pPr>
      <w:rPr>
        <w:rFonts w:hint="default"/>
      </w:rPr>
    </w:lvl>
    <w:lvl w:ilvl="6">
      <w:start w:val="1"/>
      <w:numFmt w:val="decimal"/>
      <w:lvlText w:val="%1.%2.%3.%4.%5.%6.%7"/>
      <w:lvlJc w:val="left"/>
      <w:pPr>
        <w:tabs>
          <w:tab w:val="num" w:pos="1403"/>
        </w:tabs>
        <w:ind w:left="1403" w:hanging="1800"/>
      </w:pPr>
      <w:rPr>
        <w:rFonts w:hint="default"/>
      </w:rPr>
    </w:lvl>
    <w:lvl w:ilvl="7">
      <w:start w:val="1"/>
      <w:numFmt w:val="decimal"/>
      <w:lvlText w:val="%1.%2.%3.%4.%5.%6.%7.%8"/>
      <w:lvlJc w:val="left"/>
      <w:pPr>
        <w:tabs>
          <w:tab w:val="num" w:pos="1403"/>
        </w:tabs>
        <w:ind w:left="1403" w:hanging="1800"/>
      </w:pPr>
      <w:rPr>
        <w:rFonts w:hint="default"/>
      </w:rPr>
    </w:lvl>
    <w:lvl w:ilvl="8">
      <w:start w:val="1"/>
      <w:numFmt w:val="decimal"/>
      <w:lvlText w:val="%1.%2.%3.%4.%5.%6.%7.%8.%9"/>
      <w:lvlJc w:val="left"/>
      <w:pPr>
        <w:tabs>
          <w:tab w:val="num" w:pos="1763"/>
        </w:tabs>
        <w:ind w:left="1763" w:hanging="2160"/>
      </w:pPr>
      <w:rPr>
        <w:rFonts w:hint="default"/>
      </w:rPr>
    </w:lvl>
  </w:abstractNum>
  <w:abstractNum w:abstractNumId="31">
    <w:nsid w:val="7AB96F0D"/>
    <w:multiLevelType w:val="multilevel"/>
    <w:tmpl w:val="A5E6F446"/>
    <w:lvl w:ilvl="0">
      <w:start w:val="1"/>
      <w:numFmt w:val="bullet"/>
      <w:pStyle w:val="Bulletblackplain"/>
      <w:lvlText w:val=""/>
      <w:lvlJc w:val="left"/>
      <w:pPr>
        <w:tabs>
          <w:tab w:val="num" w:pos="794"/>
        </w:tabs>
        <w:ind w:left="1077" w:hanging="283"/>
      </w:pPr>
      <w:rPr>
        <w:rFonts w:ascii="Symbol" w:hAnsi="Symbol" w:hint="default"/>
      </w:rPr>
    </w:lvl>
    <w:lvl w:ilvl="1">
      <w:start w:val="1"/>
      <w:numFmt w:val="bullet"/>
      <w:lvlText w:val="o"/>
      <w:lvlJc w:val="left"/>
      <w:pPr>
        <w:tabs>
          <w:tab w:val="num" w:pos="1078"/>
        </w:tabs>
        <w:ind w:left="1361" w:hanging="283"/>
      </w:pPr>
      <w:rPr>
        <w:rFonts w:ascii="Courier New" w:hAnsi="Courier New" w:hint="default"/>
      </w:rPr>
    </w:lvl>
    <w:lvl w:ilvl="2">
      <w:start w:val="1"/>
      <w:numFmt w:val="bullet"/>
      <w:lvlText w:val=""/>
      <w:lvlJc w:val="left"/>
      <w:pPr>
        <w:tabs>
          <w:tab w:val="num" w:pos="1362"/>
        </w:tabs>
        <w:ind w:left="1645" w:hanging="283"/>
      </w:pPr>
      <w:rPr>
        <w:rFonts w:ascii="Wingdings" w:hAnsi="Wingdings" w:hint="default"/>
      </w:rPr>
    </w:lvl>
    <w:lvl w:ilvl="3">
      <w:start w:val="1"/>
      <w:numFmt w:val="bullet"/>
      <w:lvlText w:val=""/>
      <w:lvlJc w:val="left"/>
      <w:pPr>
        <w:tabs>
          <w:tab w:val="num" w:pos="1646"/>
        </w:tabs>
        <w:ind w:left="1929" w:hanging="283"/>
      </w:pPr>
      <w:rPr>
        <w:rFonts w:ascii="Symbol" w:hAnsi="Symbol" w:hint="default"/>
      </w:rPr>
    </w:lvl>
    <w:lvl w:ilvl="4">
      <w:start w:val="1"/>
      <w:numFmt w:val="bullet"/>
      <w:lvlText w:val="o"/>
      <w:lvlJc w:val="left"/>
      <w:pPr>
        <w:tabs>
          <w:tab w:val="num" w:pos="1930"/>
        </w:tabs>
        <w:ind w:left="2213" w:hanging="283"/>
      </w:pPr>
      <w:rPr>
        <w:rFonts w:ascii="Courier New" w:hAnsi="Courier New" w:hint="default"/>
      </w:rPr>
    </w:lvl>
    <w:lvl w:ilvl="5">
      <w:start w:val="1"/>
      <w:numFmt w:val="bullet"/>
      <w:lvlText w:val=""/>
      <w:lvlJc w:val="left"/>
      <w:pPr>
        <w:tabs>
          <w:tab w:val="num" w:pos="2214"/>
        </w:tabs>
        <w:ind w:left="2497" w:hanging="283"/>
      </w:pPr>
      <w:rPr>
        <w:rFonts w:ascii="Wingdings" w:hAnsi="Wingdings" w:hint="default"/>
      </w:rPr>
    </w:lvl>
    <w:lvl w:ilvl="6">
      <w:start w:val="1"/>
      <w:numFmt w:val="bullet"/>
      <w:lvlText w:val=""/>
      <w:lvlJc w:val="left"/>
      <w:pPr>
        <w:tabs>
          <w:tab w:val="num" w:pos="2498"/>
        </w:tabs>
        <w:ind w:left="2781" w:hanging="283"/>
      </w:pPr>
      <w:rPr>
        <w:rFonts w:ascii="Symbol" w:hAnsi="Symbol" w:hint="default"/>
      </w:rPr>
    </w:lvl>
    <w:lvl w:ilvl="7">
      <w:start w:val="1"/>
      <w:numFmt w:val="bullet"/>
      <w:lvlText w:val="o"/>
      <w:lvlJc w:val="left"/>
      <w:pPr>
        <w:tabs>
          <w:tab w:val="num" w:pos="2782"/>
        </w:tabs>
        <w:ind w:left="3065" w:hanging="283"/>
      </w:pPr>
      <w:rPr>
        <w:rFonts w:ascii="Courier New" w:hAnsi="Courier New" w:hint="default"/>
      </w:rPr>
    </w:lvl>
    <w:lvl w:ilvl="8">
      <w:start w:val="1"/>
      <w:numFmt w:val="bullet"/>
      <w:lvlText w:val=""/>
      <w:lvlJc w:val="left"/>
      <w:pPr>
        <w:tabs>
          <w:tab w:val="num" w:pos="3066"/>
        </w:tabs>
        <w:ind w:left="3349" w:hanging="283"/>
      </w:pPr>
      <w:rPr>
        <w:rFonts w:ascii="Wingdings" w:hAnsi="Wingdings" w:hint="default"/>
      </w:rPr>
    </w:lvl>
  </w:abstractNum>
  <w:abstractNum w:abstractNumId="32">
    <w:nsid w:val="7E030F04"/>
    <w:multiLevelType w:val="hybridMultilevel"/>
    <w:tmpl w:val="620241FA"/>
    <w:lvl w:ilvl="0" w:tplc="C498B1FC">
      <w:start w:val="1"/>
      <w:numFmt w:val="bullet"/>
      <w:pStyle w:val="Numbered"/>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8"/>
  </w:num>
  <w:num w:numId="4">
    <w:abstractNumId w:val="31"/>
  </w:num>
  <w:num w:numId="5">
    <w:abstractNumId w:val="10"/>
  </w:num>
  <w:num w:numId="6">
    <w:abstractNumId w:val="18"/>
  </w:num>
  <w:num w:numId="7">
    <w:abstractNumId w:val="15"/>
  </w:num>
  <w:num w:numId="8">
    <w:abstractNumId w:val="12"/>
  </w:num>
  <w:num w:numId="9">
    <w:abstractNumId w:val="1"/>
  </w:num>
  <w:num w:numId="10">
    <w:abstractNumId w:val="30"/>
  </w:num>
  <w:num w:numId="11">
    <w:abstractNumId w:val="21"/>
  </w:num>
  <w:num w:numId="12">
    <w:abstractNumId w:val="13"/>
  </w:num>
  <w:num w:numId="13">
    <w:abstractNumId w:val="29"/>
  </w:num>
  <w:num w:numId="14">
    <w:abstractNumId w:val="0"/>
  </w:num>
  <w:num w:numId="15">
    <w:abstractNumId w:val="17"/>
  </w:num>
  <w:num w:numId="16">
    <w:abstractNumId w:val="9"/>
  </w:num>
  <w:num w:numId="17">
    <w:abstractNumId w:val="16"/>
  </w:num>
  <w:num w:numId="18">
    <w:abstractNumId w:val="27"/>
  </w:num>
  <w:num w:numId="19">
    <w:abstractNumId w:val="26"/>
  </w:num>
  <w:num w:numId="20">
    <w:abstractNumId w:val="23"/>
  </w:num>
  <w:num w:numId="21">
    <w:abstractNumId w:val="20"/>
  </w:num>
  <w:num w:numId="22">
    <w:abstractNumId w:val="7"/>
  </w:num>
  <w:num w:numId="23">
    <w:abstractNumId w:val="24"/>
  </w:num>
  <w:num w:numId="24">
    <w:abstractNumId w:val="32"/>
  </w:num>
  <w:num w:numId="25">
    <w:abstractNumId w:val="25"/>
  </w:num>
  <w:num w:numId="26">
    <w:abstractNumId w:val="28"/>
  </w:num>
  <w:num w:numId="27">
    <w:abstractNumId w:val="6"/>
  </w:num>
  <w:num w:numId="28">
    <w:abstractNumId w:val="14"/>
  </w:num>
  <w:num w:numId="29">
    <w:abstractNumId w:val="2"/>
  </w:num>
  <w:num w:numId="30">
    <w:abstractNumId w:val="22"/>
  </w:num>
  <w:num w:numId="3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4"/>
  </w:num>
  <w:num w:numId="36">
    <w:abstractNumId w:val="4"/>
  </w:num>
  <w:num w:numId="37">
    <w:abstractNumId w:val="4"/>
  </w:num>
  <w:num w:numId="38">
    <w:abstractNumId w:val="4"/>
  </w:num>
  <w:num w:numId="39">
    <w:abstractNumId w:val="4"/>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tthew Kinghan">
    <w15:presenceInfo w15:providerId="AD" w15:userId="S::mkinghan@Iceniprojects.com::968d0ac8-ed82-4ba6-9310-90bd1ce8faeb"/>
  </w15:person>
  <w15:person w15:author="David Leyden">
    <w15:presenceInfo w15:providerId="AD" w15:userId="S-1-5-21-257281810-4199180927-2655086073-15757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styleLockTheme/>
  <w:styleLockQFSet/>
  <w:defaultTabStop w:val="794"/>
  <w:clickAndTypeStyle w:val="NoParagraphStyle"/>
  <w:drawingGridHorizontalSpacing w:val="360"/>
  <w:drawingGridVerticalSpacing w:val="360"/>
  <w:displayHorizontalDrawingGridEvery w:val="0"/>
  <w:displayVerticalDrawingGridEvery w:val="0"/>
  <w:characterSpacingControl w:val="doNotCompress"/>
  <w:hdrShapeDefaults>
    <o:shapedefaults v:ext="edit" spidmax="26625"/>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QxMLI0MLEwNTQ3MDNV0lEKTi0uzszPAymwqAUAWDAWpSwAAAA="/>
    <w:docVar w:name="dgnword-docGUID" w:val="{4B996AD1-3A68-498B-A1F2-DB1EDC61CE9B}"/>
    <w:docVar w:name="dgnword-eventsink" w:val="195674896"/>
  </w:docVars>
  <w:rsids>
    <w:rsidRoot w:val="00B0298E"/>
    <w:rsid w:val="00000E63"/>
    <w:rsid w:val="00001479"/>
    <w:rsid w:val="00001F93"/>
    <w:rsid w:val="00002861"/>
    <w:rsid w:val="000031A7"/>
    <w:rsid w:val="000032D0"/>
    <w:rsid w:val="00003E4A"/>
    <w:rsid w:val="00004AD2"/>
    <w:rsid w:val="00005298"/>
    <w:rsid w:val="0001097F"/>
    <w:rsid w:val="00010ADF"/>
    <w:rsid w:val="00011DC0"/>
    <w:rsid w:val="00011DD1"/>
    <w:rsid w:val="000124C7"/>
    <w:rsid w:val="00012BA5"/>
    <w:rsid w:val="0001302C"/>
    <w:rsid w:val="00013371"/>
    <w:rsid w:val="000134EC"/>
    <w:rsid w:val="000143EA"/>
    <w:rsid w:val="0001451B"/>
    <w:rsid w:val="00015428"/>
    <w:rsid w:val="00015AE0"/>
    <w:rsid w:val="0001665C"/>
    <w:rsid w:val="00016D30"/>
    <w:rsid w:val="00016FE9"/>
    <w:rsid w:val="00017A6D"/>
    <w:rsid w:val="00020377"/>
    <w:rsid w:val="000204D2"/>
    <w:rsid w:val="00020954"/>
    <w:rsid w:val="00020CFC"/>
    <w:rsid w:val="00020D52"/>
    <w:rsid w:val="00021C4C"/>
    <w:rsid w:val="000220B4"/>
    <w:rsid w:val="0002210D"/>
    <w:rsid w:val="00024056"/>
    <w:rsid w:val="00024805"/>
    <w:rsid w:val="00025F36"/>
    <w:rsid w:val="000269EB"/>
    <w:rsid w:val="00027EFA"/>
    <w:rsid w:val="000301F5"/>
    <w:rsid w:val="00031E2C"/>
    <w:rsid w:val="00031E60"/>
    <w:rsid w:val="00032151"/>
    <w:rsid w:val="00033080"/>
    <w:rsid w:val="0003308D"/>
    <w:rsid w:val="00033CD7"/>
    <w:rsid w:val="00035E0D"/>
    <w:rsid w:val="00035F24"/>
    <w:rsid w:val="000362AE"/>
    <w:rsid w:val="000365DF"/>
    <w:rsid w:val="000402B4"/>
    <w:rsid w:val="00040B89"/>
    <w:rsid w:val="00042374"/>
    <w:rsid w:val="00042ACB"/>
    <w:rsid w:val="000431B3"/>
    <w:rsid w:val="00044C1E"/>
    <w:rsid w:val="00044F57"/>
    <w:rsid w:val="00044F72"/>
    <w:rsid w:val="00046C69"/>
    <w:rsid w:val="0004730C"/>
    <w:rsid w:val="000474B6"/>
    <w:rsid w:val="000508EB"/>
    <w:rsid w:val="0005243C"/>
    <w:rsid w:val="000526D8"/>
    <w:rsid w:val="00053164"/>
    <w:rsid w:val="00053A34"/>
    <w:rsid w:val="00053D63"/>
    <w:rsid w:val="00055033"/>
    <w:rsid w:val="00056C7C"/>
    <w:rsid w:val="00056D14"/>
    <w:rsid w:val="0005743B"/>
    <w:rsid w:val="000577C0"/>
    <w:rsid w:val="000605C0"/>
    <w:rsid w:val="00061564"/>
    <w:rsid w:val="0006168B"/>
    <w:rsid w:val="00061B25"/>
    <w:rsid w:val="00064879"/>
    <w:rsid w:val="00064A63"/>
    <w:rsid w:val="000655B3"/>
    <w:rsid w:val="000664F1"/>
    <w:rsid w:val="00067056"/>
    <w:rsid w:val="000708F5"/>
    <w:rsid w:val="00070EE9"/>
    <w:rsid w:val="0007297C"/>
    <w:rsid w:val="00072B10"/>
    <w:rsid w:val="000737DE"/>
    <w:rsid w:val="00073A0E"/>
    <w:rsid w:val="00073B10"/>
    <w:rsid w:val="0007555F"/>
    <w:rsid w:val="00076D1C"/>
    <w:rsid w:val="00077083"/>
    <w:rsid w:val="00080781"/>
    <w:rsid w:val="00080927"/>
    <w:rsid w:val="00080D9B"/>
    <w:rsid w:val="00080F5E"/>
    <w:rsid w:val="000818AC"/>
    <w:rsid w:val="00082BFF"/>
    <w:rsid w:val="00082DA5"/>
    <w:rsid w:val="00084799"/>
    <w:rsid w:val="000848D5"/>
    <w:rsid w:val="000852FF"/>
    <w:rsid w:val="00085BE1"/>
    <w:rsid w:val="0008646B"/>
    <w:rsid w:val="0008699F"/>
    <w:rsid w:val="00086C06"/>
    <w:rsid w:val="00087145"/>
    <w:rsid w:val="0008770F"/>
    <w:rsid w:val="00090040"/>
    <w:rsid w:val="00092563"/>
    <w:rsid w:val="00093C2E"/>
    <w:rsid w:val="0009483E"/>
    <w:rsid w:val="00095EC9"/>
    <w:rsid w:val="000961DF"/>
    <w:rsid w:val="0009738C"/>
    <w:rsid w:val="000977B6"/>
    <w:rsid w:val="000A0287"/>
    <w:rsid w:val="000A192F"/>
    <w:rsid w:val="000A2B7A"/>
    <w:rsid w:val="000A30B1"/>
    <w:rsid w:val="000A3EEF"/>
    <w:rsid w:val="000A49B6"/>
    <w:rsid w:val="000A6043"/>
    <w:rsid w:val="000A70C3"/>
    <w:rsid w:val="000A79B1"/>
    <w:rsid w:val="000A7B18"/>
    <w:rsid w:val="000B0877"/>
    <w:rsid w:val="000B10AB"/>
    <w:rsid w:val="000B12EA"/>
    <w:rsid w:val="000B14C9"/>
    <w:rsid w:val="000B14FC"/>
    <w:rsid w:val="000B2B52"/>
    <w:rsid w:val="000B3DF3"/>
    <w:rsid w:val="000B4F00"/>
    <w:rsid w:val="000B50B7"/>
    <w:rsid w:val="000B52F4"/>
    <w:rsid w:val="000B5B60"/>
    <w:rsid w:val="000B6F7A"/>
    <w:rsid w:val="000B73DB"/>
    <w:rsid w:val="000B7933"/>
    <w:rsid w:val="000C024F"/>
    <w:rsid w:val="000C041F"/>
    <w:rsid w:val="000C05B0"/>
    <w:rsid w:val="000C0BE2"/>
    <w:rsid w:val="000C13F6"/>
    <w:rsid w:val="000C275D"/>
    <w:rsid w:val="000C2A2F"/>
    <w:rsid w:val="000C3F42"/>
    <w:rsid w:val="000C4EF0"/>
    <w:rsid w:val="000C5E9C"/>
    <w:rsid w:val="000C5F57"/>
    <w:rsid w:val="000C6743"/>
    <w:rsid w:val="000C76E5"/>
    <w:rsid w:val="000C7F72"/>
    <w:rsid w:val="000D150F"/>
    <w:rsid w:val="000D1637"/>
    <w:rsid w:val="000D20E8"/>
    <w:rsid w:val="000D2422"/>
    <w:rsid w:val="000D2442"/>
    <w:rsid w:val="000D25F4"/>
    <w:rsid w:val="000D3DC7"/>
    <w:rsid w:val="000D44E1"/>
    <w:rsid w:val="000D4D5C"/>
    <w:rsid w:val="000D516A"/>
    <w:rsid w:val="000D578B"/>
    <w:rsid w:val="000D5811"/>
    <w:rsid w:val="000D608A"/>
    <w:rsid w:val="000D62BD"/>
    <w:rsid w:val="000D6DB5"/>
    <w:rsid w:val="000D71F7"/>
    <w:rsid w:val="000D7221"/>
    <w:rsid w:val="000D7606"/>
    <w:rsid w:val="000D7E52"/>
    <w:rsid w:val="000D7FF5"/>
    <w:rsid w:val="000E0A28"/>
    <w:rsid w:val="000E0DB8"/>
    <w:rsid w:val="000E0F38"/>
    <w:rsid w:val="000E16CA"/>
    <w:rsid w:val="000E2CC4"/>
    <w:rsid w:val="000E318F"/>
    <w:rsid w:val="000E3721"/>
    <w:rsid w:val="000E3DCC"/>
    <w:rsid w:val="000E3F57"/>
    <w:rsid w:val="000E3FB0"/>
    <w:rsid w:val="000E4421"/>
    <w:rsid w:val="000E4E1C"/>
    <w:rsid w:val="000E5233"/>
    <w:rsid w:val="000E5772"/>
    <w:rsid w:val="000E5808"/>
    <w:rsid w:val="000E626B"/>
    <w:rsid w:val="000E6651"/>
    <w:rsid w:val="000E6FFA"/>
    <w:rsid w:val="000F270D"/>
    <w:rsid w:val="000F2C6C"/>
    <w:rsid w:val="000F5082"/>
    <w:rsid w:val="000F54F1"/>
    <w:rsid w:val="000F57DA"/>
    <w:rsid w:val="000F5D48"/>
    <w:rsid w:val="000F637C"/>
    <w:rsid w:val="000F7237"/>
    <w:rsid w:val="000F7387"/>
    <w:rsid w:val="00102A3F"/>
    <w:rsid w:val="00103F19"/>
    <w:rsid w:val="00104C1A"/>
    <w:rsid w:val="00105169"/>
    <w:rsid w:val="00106949"/>
    <w:rsid w:val="0010799C"/>
    <w:rsid w:val="00107E28"/>
    <w:rsid w:val="0011132C"/>
    <w:rsid w:val="001115BF"/>
    <w:rsid w:val="00111660"/>
    <w:rsid w:val="00111FD4"/>
    <w:rsid w:val="0011202F"/>
    <w:rsid w:val="00112176"/>
    <w:rsid w:val="0011354F"/>
    <w:rsid w:val="00114FAE"/>
    <w:rsid w:val="00115737"/>
    <w:rsid w:val="0011606E"/>
    <w:rsid w:val="00116792"/>
    <w:rsid w:val="001205E8"/>
    <w:rsid w:val="00120774"/>
    <w:rsid w:val="00121556"/>
    <w:rsid w:val="00121A05"/>
    <w:rsid w:val="00121CD2"/>
    <w:rsid w:val="001235E0"/>
    <w:rsid w:val="00123C87"/>
    <w:rsid w:val="0012404E"/>
    <w:rsid w:val="001251AD"/>
    <w:rsid w:val="0012579D"/>
    <w:rsid w:val="00125A72"/>
    <w:rsid w:val="0012636C"/>
    <w:rsid w:val="001268E1"/>
    <w:rsid w:val="00126FC3"/>
    <w:rsid w:val="00130F32"/>
    <w:rsid w:val="00132063"/>
    <w:rsid w:val="00132110"/>
    <w:rsid w:val="001327CF"/>
    <w:rsid w:val="00133E03"/>
    <w:rsid w:val="0013404F"/>
    <w:rsid w:val="001341EA"/>
    <w:rsid w:val="00134283"/>
    <w:rsid w:val="00134A2B"/>
    <w:rsid w:val="00134C82"/>
    <w:rsid w:val="0013503C"/>
    <w:rsid w:val="001361DE"/>
    <w:rsid w:val="00137396"/>
    <w:rsid w:val="00137C18"/>
    <w:rsid w:val="00137DC8"/>
    <w:rsid w:val="0014069A"/>
    <w:rsid w:val="00141B12"/>
    <w:rsid w:val="00141E47"/>
    <w:rsid w:val="00142CC5"/>
    <w:rsid w:val="0014506F"/>
    <w:rsid w:val="00145D47"/>
    <w:rsid w:val="00145EAF"/>
    <w:rsid w:val="0014615D"/>
    <w:rsid w:val="0014617A"/>
    <w:rsid w:val="00146556"/>
    <w:rsid w:val="0014699F"/>
    <w:rsid w:val="0014701B"/>
    <w:rsid w:val="00147768"/>
    <w:rsid w:val="00147F0F"/>
    <w:rsid w:val="001501CD"/>
    <w:rsid w:val="001508DB"/>
    <w:rsid w:val="00150A05"/>
    <w:rsid w:val="001513EB"/>
    <w:rsid w:val="00151DD5"/>
    <w:rsid w:val="00152484"/>
    <w:rsid w:val="00152F39"/>
    <w:rsid w:val="00153E31"/>
    <w:rsid w:val="00154359"/>
    <w:rsid w:val="001554D2"/>
    <w:rsid w:val="00156441"/>
    <w:rsid w:val="001566FA"/>
    <w:rsid w:val="0015702D"/>
    <w:rsid w:val="00157AA5"/>
    <w:rsid w:val="00157C71"/>
    <w:rsid w:val="001600BD"/>
    <w:rsid w:val="001630C0"/>
    <w:rsid w:val="00163B4B"/>
    <w:rsid w:val="00164003"/>
    <w:rsid w:val="0016555F"/>
    <w:rsid w:val="00166C9E"/>
    <w:rsid w:val="0016760B"/>
    <w:rsid w:val="00167B29"/>
    <w:rsid w:val="00170421"/>
    <w:rsid w:val="00170922"/>
    <w:rsid w:val="00171869"/>
    <w:rsid w:val="00173522"/>
    <w:rsid w:val="0017355B"/>
    <w:rsid w:val="0017356C"/>
    <w:rsid w:val="00174104"/>
    <w:rsid w:val="00174FB2"/>
    <w:rsid w:val="00175079"/>
    <w:rsid w:val="00175B3A"/>
    <w:rsid w:val="00175FE8"/>
    <w:rsid w:val="00176077"/>
    <w:rsid w:val="0017625E"/>
    <w:rsid w:val="00176C29"/>
    <w:rsid w:val="00176CED"/>
    <w:rsid w:val="00177E22"/>
    <w:rsid w:val="00177FCA"/>
    <w:rsid w:val="001806E5"/>
    <w:rsid w:val="001812A7"/>
    <w:rsid w:val="00181452"/>
    <w:rsid w:val="001817DF"/>
    <w:rsid w:val="0018182F"/>
    <w:rsid w:val="00181839"/>
    <w:rsid w:val="0018223F"/>
    <w:rsid w:val="0018307F"/>
    <w:rsid w:val="001834A2"/>
    <w:rsid w:val="00183C6F"/>
    <w:rsid w:val="0018446C"/>
    <w:rsid w:val="00184470"/>
    <w:rsid w:val="00184960"/>
    <w:rsid w:val="00184CEB"/>
    <w:rsid w:val="001859DF"/>
    <w:rsid w:val="00186C0B"/>
    <w:rsid w:val="001874A1"/>
    <w:rsid w:val="00190723"/>
    <w:rsid w:val="00190D85"/>
    <w:rsid w:val="00192DD6"/>
    <w:rsid w:val="00193FF7"/>
    <w:rsid w:val="00194EF3"/>
    <w:rsid w:val="0019577A"/>
    <w:rsid w:val="00195AE8"/>
    <w:rsid w:val="00195B18"/>
    <w:rsid w:val="001A0D99"/>
    <w:rsid w:val="001A1FC6"/>
    <w:rsid w:val="001A2562"/>
    <w:rsid w:val="001A29CA"/>
    <w:rsid w:val="001A351F"/>
    <w:rsid w:val="001A3DB5"/>
    <w:rsid w:val="001A4553"/>
    <w:rsid w:val="001A5E8D"/>
    <w:rsid w:val="001A6622"/>
    <w:rsid w:val="001A6B7D"/>
    <w:rsid w:val="001A715D"/>
    <w:rsid w:val="001B0054"/>
    <w:rsid w:val="001B032E"/>
    <w:rsid w:val="001B0408"/>
    <w:rsid w:val="001B1132"/>
    <w:rsid w:val="001B1DDA"/>
    <w:rsid w:val="001B29FE"/>
    <w:rsid w:val="001B2E7E"/>
    <w:rsid w:val="001B2FDB"/>
    <w:rsid w:val="001B366B"/>
    <w:rsid w:val="001B3ABE"/>
    <w:rsid w:val="001B3C8D"/>
    <w:rsid w:val="001B4171"/>
    <w:rsid w:val="001B468C"/>
    <w:rsid w:val="001B7A32"/>
    <w:rsid w:val="001C0ABB"/>
    <w:rsid w:val="001C1B1E"/>
    <w:rsid w:val="001C2168"/>
    <w:rsid w:val="001C2CEB"/>
    <w:rsid w:val="001C2D78"/>
    <w:rsid w:val="001C54E5"/>
    <w:rsid w:val="001C568B"/>
    <w:rsid w:val="001C56AF"/>
    <w:rsid w:val="001C577D"/>
    <w:rsid w:val="001C73B8"/>
    <w:rsid w:val="001C75ED"/>
    <w:rsid w:val="001C7E83"/>
    <w:rsid w:val="001D0C9E"/>
    <w:rsid w:val="001D101E"/>
    <w:rsid w:val="001D1928"/>
    <w:rsid w:val="001D2C1E"/>
    <w:rsid w:val="001D3233"/>
    <w:rsid w:val="001D3F3A"/>
    <w:rsid w:val="001D4008"/>
    <w:rsid w:val="001D463B"/>
    <w:rsid w:val="001D49BD"/>
    <w:rsid w:val="001D5D96"/>
    <w:rsid w:val="001D6464"/>
    <w:rsid w:val="001D70A0"/>
    <w:rsid w:val="001D7941"/>
    <w:rsid w:val="001E0377"/>
    <w:rsid w:val="001E0877"/>
    <w:rsid w:val="001E0E69"/>
    <w:rsid w:val="001E0E72"/>
    <w:rsid w:val="001E1093"/>
    <w:rsid w:val="001E2C29"/>
    <w:rsid w:val="001E2C74"/>
    <w:rsid w:val="001E3184"/>
    <w:rsid w:val="001E3861"/>
    <w:rsid w:val="001E40FC"/>
    <w:rsid w:val="001E5136"/>
    <w:rsid w:val="001E5687"/>
    <w:rsid w:val="001E5953"/>
    <w:rsid w:val="001E5B88"/>
    <w:rsid w:val="001F0B71"/>
    <w:rsid w:val="001F0D6B"/>
    <w:rsid w:val="001F0EBF"/>
    <w:rsid w:val="001F12D4"/>
    <w:rsid w:val="001F14B2"/>
    <w:rsid w:val="001F1F99"/>
    <w:rsid w:val="001F2BF1"/>
    <w:rsid w:val="001F2DD9"/>
    <w:rsid w:val="001F3307"/>
    <w:rsid w:val="001F382F"/>
    <w:rsid w:val="001F3F61"/>
    <w:rsid w:val="001F4A54"/>
    <w:rsid w:val="001F4A90"/>
    <w:rsid w:val="001F53CE"/>
    <w:rsid w:val="001F610E"/>
    <w:rsid w:val="001F722A"/>
    <w:rsid w:val="0020022D"/>
    <w:rsid w:val="00200DA8"/>
    <w:rsid w:val="00202291"/>
    <w:rsid w:val="002026D6"/>
    <w:rsid w:val="002028C3"/>
    <w:rsid w:val="002029B9"/>
    <w:rsid w:val="00202BA2"/>
    <w:rsid w:val="002032B1"/>
    <w:rsid w:val="00203D40"/>
    <w:rsid w:val="00204033"/>
    <w:rsid w:val="00204231"/>
    <w:rsid w:val="0020496D"/>
    <w:rsid w:val="002103BE"/>
    <w:rsid w:val="00210835"/>
    <w:rsid w:val="002109A3"/>
    <w:rsid w:val="00211E77"/>
    <w:rsid w:val="00212809"/>
    <w:rsid w:val="00212902"/>
    <w:rsid w:val="00213D92"/>
    <w:rsid w:val="00214FCE"/>
    <w:rsid w:val="0021576F"/>
    <w:rsid w:val="00216323"/>
    <w:rsid w:val="00217EA5"/>
    <w:rsid w:val="00217F14"/>
    <w:rsid w:val="00221649"/>
    <w:rsid w:val="002220E5"/>
    <w:rsid w:val="00223C87"/>
    <w:rsid w:val="00224298"/>
    <w:rsid w:val="002245B9"/>
    <w:rsid w:val="002247C0"/>
    <w:rsid w:val="00227DC4"/>
    <w:rsid w:val="00230584"/>
    <w:rsid w:val="00230E40"/>
    <w:rsid w:val="0023102B"/>
    <w:rsid w:val="00231F4E"/>
    <w:rsid w:val="002329E7"/>
    <w:rsid w:val="002330F6"/>
    <w:rsid w:val="00233E4C"/>
    <w:rsid w:val="0023542E"/>
    <w:rsid w:val="002363BC"/>
    <w:rsid w:val="00237312"/>
    <w:rsid w:val="00237A47"/>
    <w:rsid w:val="0024006C"/>
    <w:rsid w:val="00240761"/>
    <w:rsid w:val="00240FE9"/>
    <w:rsid w:val="0024105B"/>
    <w:rsid w:val="00241BBF"/>
    <w:rsid w:val="002428E8"/>
    <w:rsid w:val="0024321F"/>
    <w:rsid w:val="00243F36"/>
    <w:rsid w:val="002443FB"/>
    <w:rsid w:val="0025150A"/>
    <w:rsid w:val="00251CAC"/>
    <w:rsid w:val="00251D82"/>
    <w:rsid w:val="002529A4"/>
    <w:rsid w:val="00252BA6"/>
    <w:rsid w:val="0025413B"/>
    <w:rsid w:val="00254160"/>
    <w:rsid w:val="002546A1"/>
    <w:rsid w:val="00254B3B"/>
    <w:rsid w:val="00256AF5"/>
    <w:rsid w:val="00257732"/>
    <w:rsid w:val="00257CE5"/>
    <w:rsid w:val="00260812"/>
    <w:rsid w:val="002615EA"/>
    <w:rsid w:val="002623A5"/>
    <w:rsid w:val="002629BE"/>
    <w:rsid w:val="00262A85"/>
    <w:rsid w:val="00262BCC"/>
    <w:rsid w:val="002630CF"/>
    <w:rsid w:val="002630DD"/>
    <w:rsid w:val="002638EB"/>
    <w:rsid w:val="00265F00"/>
    <w:rsid w:val="0026620D"/>
    <w:rsid w:val="00266D61"/>
    <w:rsid w:val="00266F9F"/>
    <w:rsid w:val="00267996"/>
    <w:rsid w:val="00267CA8"/>
    <w:rsid w:val="00270359"/>
    <w:rsid w:val="002706E2"/>
    <w:rsid w:val="00270DE6"/>
    <w:rsid w:val="00271ED4"/>
    <w:rsid w:val="00272F3E"/>
    <w:rsid w:val="0027361A"/>
    <w:rsid w:val="002744BB"/>
    <w:rsid w:val="0027580D"/>
    <w:rsid w:val="00276390"/>
    <w:rsid w:val="002763E5"/>
    <w:rsid w:val="00277EB1"/>
    <w:rsid w:val="002804C6"/>
    <w:rsid w:val="00280818"/>
    <w:rsid w:val="0028171E"/>
    <w:rsid w:val="00281B87"/>
    <w:rsid w:val="002835A5"/>
    <w:rsid w:val="00283705"/>
    <w:rsid w:val="00284F20"/>
    <w:rsid w:val="002850D0"/>
    <w:rsid w:val="00285A0A"/>
    <w:rsid w:val="0028697C"/>
    <w:rsid w:val="0029023D"/>
    <w:rsid w:val="00291278"/>
    <w:rsid w:val="00292124"/>
    <w:rsid w:val="00292AE1"/>
    <w:rsid w:val="00292F3C"/>
    <w:rsid w:val="00294C55"/>
    <w:rsid w:val="00295514"/>
    <w:rsid w:val="002957DB"/>
    <w:rsid w:val="00295BD9"/>
    <w:rsid w:val="002964A2"/>
    <w:rsid w:val="00297EBC"/>
    <w:rsid w:val="002A013A"/>
    <w:rsid w:val="002A05C6"/>
    <w:rsid w:val="002A0ADB"/>
    <w:rsid w:val="002A111C"/>
    <w:rsid w:val="002A1A42"/>
    <w:rsid w:val="002A213E"/>
    <w:rsid w:val="002A53C0"/>
    <w:rsid w:val="002A6C10"/>
    <w:rsid w:val="002A6F24"/>
    <w:rsid w:val="002A6F2F"/>
    <w:rsid w:val="002A74A2"/>
    <w:rsid w:val="002B0381"/>
    <w:rsid w:val="002B04DA"/>
    <w:rsid w:val="002B0C2F"/>
    <w:rsid w:val="002B1974"/>
    <w:rsid w:val="002B220E"/>
    <w:rsid w:val="002B2F41"/>
    <w:rsid w:val="002B339C"/>
    <w:rsid w:val="002B4504"/>
    <w:rsid w:val="002B4926"/>
    <w:rsid w:val="002B62FA"/>
    <w:rsid w:val="002B66BC"/>
    <w:rsid w:val="002B6A28"/>
    <w:rsid w:val="002B6B91"/>
    <w:rsid w:val="002B6E76"/>
    <w:rsid w:val="002B7403"/>
    <w:rsid w:val="002B7B55"/>
    <w:rsid w:val="002B7CD2"/>
    <w:rsid w:val="002C0377"/>
    <w:rsid w:val="002C0791"/>
    <w:rsid w:val="002C0E03"/>
    <w:rsid w:val="002C25A2"/>
    <w:rsid w:val="002C2BF8"/>
    <w:rsid w:val="002C3B0E"/>
    <w:rsid w:val="002C4385"/>
    <w:rsid w:val="002C4AAE"/>
    <w:rsid w:val="002C5C12"/>
    <w:rsid w:val="002C5D18"/>
    <w:rsid w:val="002C5E82"/>
    <w:rsid w:val="002C615B"/>
    <w:rsid w:val="002C63E9"/>
    <w:rsid w:val="002C64B8"/>
    <w:rsid w:val="002C6850"/>
    <w:rsid w:val="002C6A95"/>
    <w:rsid w:val="002C705F"/>
    <w:rsid w:val="002C72FE"/>
    <w:rsid w:val="002C77C0"/>
    <w:rsid w:val="002D05BA"/>
    <w:rsid w:val="002D1374"/>
    <w:rsid w:val="002D1463"/>
    <w:rsid w:val="002D3210"/>
    <w:rsid w:val="002D37BF"/>
    <w:rsid w:val="002D42CD"/>
    <w:rsid w:val="002D5DBC"/>
    <w:rsid w:val="002D60A1"/>
    <w:rsid w:val="002D6709"/>
    <w:rsid w:val="002D7E21"/>
    <w:rsid w:val="002E0B29"/>
    <w:rsid w:val="002E0DF8"/>
    <w:rsid w:val="002E26AC"/>
    <w:rsid w:val="002E4306"/>
    <w:rsid w:val="002E4817"/>
    <w:rsid w:val="002E544B"/>
    <w:rsid w:val="002E6152"/>
    <w:rsid w:val="002E7618"/>
    <w:rsid w:val="002F11AC"/>
    <w:rsid w:val="002F23C4"/>
    <w:rsid w:val="002F2F77"/>
    <w:rsid w:val="002F32C9"/>
    <w:rsid w:val="002F3FA7"/>
    <w:rsid w:val="002F4329"/>
    <w:rsid w:val="002F46B5"/>
    <w:rsid w:val="002F5072"/>
    <w:rsid w:val="002F52CD"/>
    <w:rsid w:val="002F5699"/>
    <w:rsid w:val="002F5AA9"/>
    <w:rsid w:val="002F7AD3"/>
    <w:rsid w:val="002F7F88"/>
    <w:rsid w:val="003000FF"/>
    <w:rsid w:val="003018AF"/>
    <w:rsid w:val="00302F82"/>
    <w:rsid w:val="00303CBD"/>
    <w:rsid w:val="003075A4"/>
    <w:rsid w:val="0030789D"/>
    <w:rsid w:val="003079E7"/>
    <w:rsid w:val="00307E12"/>
    <w:rsid w:val="00307E8B"/>
    <w:rsid w:val="00310F87"/>
    <w:rsid w:val="0031176E"/>
    <w:rsid w:val="003118CD"/>
    <w:rsid w:val="003128E2"/>
    <w:rsid w:val="003132CC"/>
    <w:rsid w:val="003141CA"/>
    <w:rsid w:val="00314220"/>
    <w:rsid w:val="00315842"/>
    <w:rsid w:val="00315918"/>
    <w:rsid w:val="0031623D"/>
    <w:rsid w:val="0031654A"/>
    <w:rsid w:val="00320693"/>
    <w:rsid w:val="0032185E"/>
    <w:rsid w:val="003226FB"/>
    <w:rsid w:val="0032331A"/>
    <w:rsid w:val="003247A1"/>
    <w:rsid w:val="003249E9"/>
    <w:rsid w:val="00324FC0"/>
    <w:rsid w:val="00326169"/>
    <w:rsid w:val="00327608"/>
    <w:rsid w:val="00327636"/>
    <w:rsid w:val="00330EAA"/>
    <w:rsid w:val="003319F4"/>
    <w:rsid w:val="00331D05"/>
    <w:rsid w:val="003322AC"/>
    <w:rsid w:val="003325D6"/>
    <w:rsid w:val="003325F7"/>
    <w:rsid w:val="00332FDF"/>
    <w:rsid w:val="00335254"/>
    <w:rsid w:val="00335FDA"/>
    <w:rsid w:val="00337A65"/>
    <w:rsid w:val="00337E4C"/>
    <w:rsid w:val="003401A5"/>
    <w:rsid w:val="003402D6"/>
    <w:rsid w:val="00341223"/>
    <w:rsid w:val="00341ADE"/>
    <w:rsid w:val="003452C7"/>
    <w:rsid w:val="003458B8"/>
    <w:rsid w:val="00346125"/>
    <w:rsid w:val="00346F2A"/>
    <w:rsid w:val="00347901"/>
    <w:rsid w:val="003502DA"/>
    <w:rsid w:val="00350A2B"/>
    <w:rsid w:val="00351071"/>
    <w:rsid w:val="00351814"/>
    <w:rsid w:val="0035301B"/>
    <w:rsid w:val="0035416C"/>
    <w:rsid w:val="0035523A"/>
    <w:rsid w:val="00355B50"/>
    <w:rsid w:val="00355C8B"/>
    <w:rsid w:val="00356BB5"/>
    <w:rsid w:val="00357CF5"/>
    <w:rsid w:val="003606B2"/>
    <w:rsid w:val="00360E79"/>
    <w:rsid w:val="00361DCC"/>
    <w:rsid w:val="00361E00"/>
    <w:rsid w:val="00362459"/>
    <w:rsid w:val="00362560"/>
    <w:rsid w:val="00362768"/>
    <w:rsid w:val="00363436"/>
    <w:rsid w:val="003648A1"/>
    <w:rsid w:val="003648C9"/>
    <w:rsid w:val="0036498E"/>
    <w:rsid w:val="003662E0"/>
    <w:rsid w:val="00366C0B"/>
    <w:rsid w:val="003679A0"/>
    <w:rsid w:val="00370C41"/>
    <w:rsid w:val="00370D4D"/>
    <w:rsid w:val="0037147B"/>
    <w:rsid w:val="00371C40"/>
    <w:rsid w:val="00371DF1"/>
    <w:rsid w:val="00372D57"/>
    <w:rsid w:val="0037359E"/>
    <w:rsid w:val="003743CF"/>
    <w:rsid w:val="00374467"/>
    <w:rsid w:val="00374D1A"/>
    <w:rsid w:val="0037581E"/>
    <w:rsid w:val="00375897"/>
    <w:rsid w:val="00375BFD"/>
    <w:rsid w:val="00377161"/>
    <w:rsid w:val="00382A54"/>
    <w:rsid w:val="003833D1"/>
    <w:rsid w:val="00383F9D"/>
    <w:rsid w:val="00384AD4"/>
    <w:rsid w:val="003850CD"/>
    <w:rsid w:val="003851CD"/>
    <w:rsid w:val="003855CF"/>
    <w:rsid w:val="00385C78"/>
    <w:rsid w:val="00386232"/>
    <w:rsid w:val="003901D1"/>
    <w:rsid w:val="003902B9"/>
    <w:rsid w:val="003905AC"/>
    <w:rsid w:val="00391DFF"/>
    <w:rsid w:val="00391F00"/>
    <w:rsid w:val="00392453"/>
    <w:rsid w:val="0039284E"/>
    <w:rsid w:val="00392965"/>
    <w:rsid w:val="00392C9F"/>
    <w:rsid w:val="00394B64"/>
    <w:rsid w:val="0039583E"/>
    <w:rsid w:val="003958B4"/>
    <w:rsid w:val="00396B19"/>
    <w:rsid w:val="00397B1B"/>
    <w:rsid w:val="003A0465"/>
    <w:rsid w:val="003A08DC"/>
    <w:rsid w:val="003A23A1"/>
    <w:rsid w:val="003A2496"/>
    <w:rsid w:val="003A279B"/>
    <w:rsid w:val="003A2A5A"/>
    <w:rsid w:val="003A3228"/>
    <w:rsid w:val="003A32C6"/>
    <w:rsid w:val="003A3C4F"/>
    <w:rsid w:val="003A3FF2"/>
    <w:rsid w:val="003A494F"/>
    <w:rsid w:val="003A4E00"/>
    <w:rsid w:val="003A578C"/>
    <w:rsid w:val="003A6332"/>
    <w:rsid w:val="003A6CCC"/>
    <w:rsid w:val="003A7812"/>
    <w:rsid w:val="003B04A1"/>
    <w:rsid w:val="003B1220"/>
    <w:rsid w:val="003B2B98"/>
    <w:rsid w:val="003B2F52"/>
    <w:rsid w:val="003B39F7"/>
    <w:rsid w:val="003B42AB"/>
    <w:rsid w:val="003B5EB8"/>
    <w:rsid w:val="003B5F0A"/>
    <w:rsid w:val="003C028B"/>
    <w:rsid w:val="003C1878"/>
    <w:rsid w:val="003C1BFF"/>
    <w:rsid w:val="003C20DC"/>
    <w:rsid w:val="003C267C"/>
    <w:rsid w:val="003C2D71"/>
    <w:rsid w:val="003C2DF9"/>
    <w:rsid w:val="003C2FCE"/>
    <w:rsid w:val="003C328B"/>
    <w:rsid w:val="003C34C3"/>
    <w:rsid w:val="003C45D8"/>
    <w:rsid w:val="003C4BCF"/>
    <w:rsid w:val="003C62B4"/>
    <w:rsid w:val="003C66B8"/>
    <w:rsid w:val="003C70C8"/>
    <w:rsid w:val="003C7491"/>
    <w:rsid w:val="003C756C"/>
    <w:rsid w:val="003C77B7"/>
    <w:rsid w:val="003D03FA"/>
    <w:rsid w:val="003D0CB9"/>
    <w:rsid w:val="003D0EA8"/>
    <w:rsid w:val="003D16FD"/>
    <w:rsid w:val="003D182D"/>
    <w:rsid w:val="003D1D66"/>
    <w:rsid w:val="003D33FB"/>
    <w:rsid w:val="003D3D56"/>
    <w:rsid w:val="003D47B0"/>
    <w:rsid w:val="003D47B8"/>
    <w:rsid w:val="003D48A0"/>
    <w:rsid w:val="003D732A"/>
    <w:rsid w:val="003E185A"/>
    <w:rsid w:val="003E1D7D"/>
    <w:rsid w:val="003E26CE"/>
    <w:rsid w:val="003E3A92"/>
    <w:rsid w:val="003E3D27"/>
    <w:rsid w:val="003E3F87"/>
    <w:rsid w:val="003E50F2"/>
    <w:rsid w:val="003E5F01"/>
    <w:rsid w:val="003E6DDA"/>
    <w:rsid w:val="003F10E3"/>
    <w:rsid w:val="003F1125"/>
    <w:rsid w:val="003F11D5"/>
    <w:rsid w:val="003F1B3D"/>
    <w:rsid w:val="003F2F13"/>
    <w:rsid w:val="003F34B1"/>
    <w:rsid w:val="003F3592"/>
    <w:rsid w:val="003F3F5A"/>
    <w:rsid w:val="003F40AB"/>
    <w:rsid w:val="003F4160"/>
    <w:rsid w:val="003F49CE"/>
    <w:rsid w:val="003F4BF6"/>
    <w:rsid w:val="003F5F77"/>
    <w:rsid w:val="003F6615"/>
    <w:rsid w:val="003F66F7"/>
    <w:rsid w:val="003F7DF5"/>
    <w:rsid w:val="004000A6"/>
    <w:rsid w:val="0040030F"/>
    <w:rsid w:val="00400601"/>
    <w:rsid w:val="00402C5F"/>
    <w:rsid w:val="00403620"/>
    <w:rsid w:val="00403A5B"/>
    <w:rsid w:val="00404FD2"/>
    <w:rsid w:val="004105A3"/>
    <w:rsid w:val="0041081C"/>
    <w:rsid w:val="00410BEB"/>
    <w:rsid w:val="004113B4"/>
    <w:rsid w:val="004126A9"/>
    <w:rsid w:val="00412BBA"/>
    <w:rsid w:val="00412D8E"/>
    <w:rsid w:val="00413B6E"/>
    <w:rsid w:val="00413C2B"/>
    <w:rsid w:val="004201CC"/>
    <w:rsid w:val="00420ED5"/>
    <w:rsid w:val="004211BF"/>
    <w:rsid w:val="004226B0"/>
    <w:rsid w:val="00422D2E"/>
    <w:rsid w:val="0042417D"/>
    <w:rsid w:val="00425BC3"/>
    <w:rsid w:val="00425E7D"/>
    <w:rsid w:val="0042714F"/>
    <w:rsid w:val="00427801"/>
    <w:rsid w:val="00427BB0"/>
    <w:rsid w:val="00427D9F"/>
    <w:rsid w:val="00427EA6"/>
    <w:rsid w:val="004306BD"/>
    <w:rsid w:val="00430881"/>
    <w:rsid w:val="00430EA4"/>
    <w:rsid w:val="004310D1"/>
    <w:rsid w:val="00431291"/>
    <w:rsid w:val="004333E9"/>
    <w:rsid w:val="00433F44"/>
    <w:rsid w:val="00434E54"/>
    <w:rsid w:val="004374A9"/>
    <w:rsid w:val="00437C4A"/>
    <w:rsid w:val="00437C51"/>
    <w:rsid w:val="00440471"/>
    <w:rsid w:val="00440499"/>
    <w:rsid w:val="00440C91"/>
    <w:rsid w:val="00441BF8"/>
    <w:rsid w:val="004420D8"/>
    <w:rsid w:val="004427EE"/>
    <w:rsid w:val="004429F0"/>
    <w:rsid w:val="00442CA7"/>
    <w:rsid w:val="00443130"/>
    <w:rsid w:val="004437D7"/>
    <w:rsid w:val="00443803"/>
    <w:rsid w:val="00443CD4"/>
    <w:rsid w:val="00444ADC"/>
    <w:rsid w:val="004457E8"/>
    <w:rsid w:val="004475CC"/>
    <w:rsid w:val="004518B8"/>
    <w:rsid w:val="00451CFA"/>
    <w:rsid w:val="0045321E"/>
    <w:rsid w:val="004533A0"/>
    <w:rsid w:val="00453726"/>
    <w:rsid w:val="00454E96"/>
    <w:rsid w:val="00454FBE"/>
    <w:rsid w:val="00455501"/>
    <w:rsid w:val="00456385"/>
    <w:rsid w:val="00456683"/>
    <w:rsid w:val="00456BF0"/>
    <w:rsid w:val="004574B7"/>
    <w:rsid w:val="00457DFB"/>
    <w:rsid w:val="00461F18"/>
    <w:rsid w:val="004621B3"/>
    <w:rsid w:val="00462CD8"/>
    <w:rsid w:val="0046333C"/>
    <w:rsid w:val="004633CA"/>
    <w:rsid w:val="00463652"/>
    <w:rsid w:val="004655FC"/>
    <w:rsid w:val="00465A37"/>
    <w:rsid w:val="0046602B"/>
    <w:rsid w:val="004673AE"/>
    <w:rsid w:val="00467898"/>
    <w:rsid w:val="0047024F"/>
    <w:rsid w:val="00470A83"/>
    <w:rsid w:val="00470AD6"/>
    <w:rsid w:val="00471023"/>
    <w:rsid w:val="0047175A"/>
    <w:rsid w:val="00471A12"/>
    <w:rsid w:val="004728B5"/>
    <w:rsid w:val="00473702"/>
    <w:rsid w:val="004739FE"/>
    <w:rsid w:val="00473D29"/>
    <w:rsid w:val="0047640B"/>
    <w:rsid w:val="0047676E"/>
    <w:rsid w:val="0047788B"/>
    <w:rsid w:val="004801C8"/>
    <w:rsid w:val="00480B6E"/>
    <w:rsid w:val="00480ED3"/>
    <w:rsid w:val="0048171D"/>
    <w:rsid w:val="00482084"/>
    <w:rsid w:val="00482FD6"/>
    <w:rsid w:val="004830EF"/>
    <w:rsid w:val="004835D8"/>
    <w:rsid w:val="00484EF4"/>
    <w:rsid w:val="00485B96"/>
    <w:rsid w:val="00485C78"/>
    <w:rsid w:val="004870DD"/>
    <w:rsid w:val="004871F9"/>
    <w:rsid w:val="00487AEC"/>
    <w:rsid w:val="00487DF8"/>
    <w:rsid w:val="004904F0"/>
    <w:rsid w:val="0049127E"/>
    <w:rsid w:val="00491339"/>
    <w:rsid w:val="004914B6"/>
    <w:rsid w:val="00491509"/>
    <w:rsid w:val="004922A5"/>
    <w:rsid w:val="004923D7"/>
    <w:rsid w:val="00492546"/>
    <w:rsid w:val="00492778"/>
    <w:rsid w:val="00493652"/>
    <w:rsid w:val="00493B99"/>
    <w:rsid w:val="00494758"/>
    <w:rsid w:val="0049487E"/>
    <w:rsid w:val="00494C6B"/>
    <w:rsid w:val="00494EF7"/>
    <w:rsid w:val="00495142"/>
    <w:rsid w:val="004A00A2"/>
    <w:rsid w:val="004A0292"/>
    <w:rsid w:val="004A0771"/>
    <w:rsid w:val="004A0780"/>
    <w:rsid w:val="004A0878"/>
    <w:rsid w:val="004A0B84"/>
    <w:rsid w:val="004A181F"/>
    <w:rsid w:val="004A1F6C"/>
    <w:rsid w:val="004A2CFD"/>
    <w:rsid w:val="004A3319"/>
    <w:rsid w:val="004A39B2"/>
    <w:rsid w:val="004A4963"/>
    <w:rsid w:val="004A4B9E"/>
    <w:rsid w:val="004A553E"/>
    <w:rsid w:val="004A5CE2"/>
    <w:rsid w:val="004A5D59"/>
    <w:rsid w:val="004A6711"/>
    <w:rsid w:val="004A6FE3"/>
    <w:rsid w:val="004A74D4"/>
    <w:rsid w:val="004B0A33"/>
    <w:rsid w:val="004B0E3F"/>
    <w:rsid w:val="004B120D"/>
    <w:rsid w:val="004B27B3"/>
    <w:rsid w:val="004B2F15"/>
    <w:rsid w:val="004B34E0"/>
    <w:rsid w:val="004B405E"/>
    <w:rsid w:val="004B41A2"/>
    <w:rsid w:val="004B501E"/>
    <w:rsid w:val="004B604F"/>
    <w:rsid w:val="004B7CC3"/>
    <w:rsid w:val="004C07EA"/>
    <w:rsid w:val="004C0C9D"/>
    <w:rsid w:val="004C19DA"/>
    <w:rsid w:val="004C2AA8"/>
    <w:rsid w:val="004C2BBC"/>
    <w:rsid w:val="004C306A"/>
    <w:rsid w:val="004C40BF"/>
    <w:rsid w:val="004C4958"/>
    <w:rsid w:val="004C50F1"/>
    <w:rsid w:val="004C5458"/>
    <w:rsid w:val="004C6076"/>
    <w:rsid w:val="004C735B"/>
    <w:rsid w:val="004C78CC"/>
    <w:rsid w:val="004C7D6A"/>
    <w:rsid w:val="004D068C"/>
    <w:rsid w:val="004D14ED"/>
    <w:rsid w:val="004D20C7"/>
    <w:rsid w:val="004D25C7"/>
    <w:rsid w:val="004D2A18"/>
    <w:rsid w:val="004D3D0F"/>
    <w:rsid w:val="004D4E6B"/>
    <w:rsid w:val="004D5514"/>
    <w:rsid w:val="004D62A4"/>
    <w:rsid w:val="004D6362"/>
    <w:rsid w:val="004D6E97"/>
    <w:rsid w:val="004E093B"/>
    <w:rsid w:val="004E0AC9"/>
    <w:rsid w:val="004E174F"/>
    <w:rsid w:val="004E1E96"/>
    <w:rsid w:val="004E2253"/>
    <w:rsid w:val="004E228A"/>
    <w:rsid w:val="004E46CC"/>
    <w:rsid w:val="004E6C96"/>
    <w:rsid w:val="004E7487"/>
    <w:rsid w:val="004E7C65"/>
    <w:rsid w:val="004F0D88"/>
    <w:rsid w:val="004F113B"/>
    <w:rsid w:val="004F16F1"/>
    <w:rsid w:val="004F1A70"/>
    <w:rsid w:val="004F1AE6"/>
    <w:rsid w:val="004F1C3F"/>
    <w:rsid w:val="004F20D3"/>
    <w:rsid w:val="004F2550"/>
    <w:rsid w:val="004F25D8"/>
    <w:rsid w:val="004F3684"/>
    <w:rsid w:val="004F418A"/>
    <w:rsid w:val="004F4DBD"/>
    <w:rsid w:val="004F5134"/>
    <w:rsid w:val="004F618A"/>
    <w:rsid w:val="005005AD"/>
    <w:rsid w:val="00500738"/>
    <w:rsid w:val="0050084D"/>
    <w:rsid w:val="00500AD1"/>
    <w:rsid w:val="0050175C"/>
    <w:rsid w:val="0050266F"/>
    <w:rsid w:val="0050274D"/>
    <w:rsid w:val="00502CE6"/>
    <w:rsid w:val="005031C1"/>
    <w:rsid w:val="00503309"/>
    <w:rsid w:val="0050375E"/>
    <w:rsid w:val="00507DF8"/>
    <w:rsid w:val="00511BB2"/>
    <w:rsid w:val="00511C68"/>
    <w:rsid w:val="00511C97"/>
    <w:rsid w:val="00511F07"/>
    <w:rsid w:val="00512CF4"/>
    <w:rsid w:val="00513290"/>
    <w:rsid w:val="00513337"/>
    <w:rsid w:val="00513BD1"/>
    <w:rsid w:val="00513E0B"/>
    <w:rsid w:val="0051570B"/>
    <w:rsid w:val="00515E8A"/>
    <w:rsid w:val="00516122"/>
    <w:rsid w:val="00516B0F"/>
    <w:rsid w:val="00517A70"/>
    <w:rsid w:val="005200A0"/>
    <w:rsid w:val="00520860"/>
    <w:rsid w:val="005208B4"/>
    <w:rsid w:val="00521862"/>
    <w:rsid w:val="00521979"/>
    <w:rsid w:val="00521FDD"/>
    <w:rsid w:val="005221AA"/>
    <w:rsid w:val="00522A8B"/>
    <w:rsid w:val="00524B34"/>
    <w:rsid w:val="00524BCC"/>
    <w:rsid w:val="00524F9C"/>
    <w:rsid w:val="005253C2"/>
    <w:rsid w:val="005255B4"/>
    <w:rsid w:val="005259CE"/>
    <w:rsid w:val="0052651D"/>
    <w:rsid w:val="0052681C"/>
    <w:rsid w:val="005268D8"/>
    <w:rsid w:val="00527352"/>
    <w:rsid w:val="005300DD"/>
    <w:rsid w:val="00530874"/>
    <w:rsid w:val="00531034"/>
    <w:rsid w:val="0053112C"/>
    <w:rsid w:val="0053298C"/>
    <w:rsid w:val="00533A25"/>
    <w:rsid w:val="00533D2A"/>
    <w:rsid w:val="00536C59"/>
    <w:rsid w:val="0053754C"/>
    <w:rsid w:val="00537796"/>
    <w:rsid w:val="00537F9F"/>
    <w:rsid w:val="00540A56"/>
    <w:rsid w:val="00541B5C"/>
    <w:rsid w:val="00542C02"/>
    <w:rsid w:val="005432C5"/>
    <w:rsid w:val="00544A99"/>
    <w:rsid w:val="00544BB7"/>
    <w:rsid w:val="00545039"/>
    <w:rsid w:val="00545A5E"/>
    <w:rsid w:val="00546501"/>
    <w:rsid w:val="005472D6"/>
    <w:rsid w:val="0054749E"/>
    <w:rsid w:val="00547D18"/>
    <w:rsid w:val="005512B6"/>
    <w:rsid w:val="005512F8"/>
    <w:rsid w:val="005516FA"/>
    <w:rsid w:val="00551D20"/>
    <w:rsid w:val="00552CFA"/>
    <w:rsid w:val="00553BE9"/>
    <w:rsid w:val="00553C56"/>
    <w:rsid w:val="00553DC8"/>
    <w:rsid w:val="0055570D"/>
    <w:rsid w:val="00556542"/>
    <w:rsid w:val="00556ADB"/>
    <w:rsid w:val="00556C1D"/>
    <w:rsid w:val="00557ACF"/>
    <w:rsid w:val="005613D1"/>
    <w:rsid w:val="00561B42"/>
    <w:rsid w:val="00561B89"/>
    <w:rsid w:val="00563546"/>
    <w:rsid w:val="0056594A"/>
    <w:rsid w:val="00565AA4"/>
    <w:rsid w:val="00566649"/>
    <w:rsid w:val="005667CA"/>
    <w:rsid w:val="00566C8C"/>
    <w:rsid w:val="00567CDF"/>
    <w:rsid w:val="0057160A"/>
    <w:rsid w:val="005730E2"/>
    <w:rsid w:val="005731E0"/>
    <w:rsid w:val="00573A69"/>
    <w:rsid w:val="00573C58"/>
    <w:rsid w:val="005745CA"/>
    <w:rsid w:val="00574BC8"/>
    <w:rsid w:val="00576720"/>
    <w:rsid w:val="00576D7A"/>
    <w:rsid w:val="00577566"/>
    <w:rsid w:val="0057761E"/>
    <w:rsid w:val="00577ED4"/>
    <w:rsid w:val="00580E52"/>
    <w:rsid w:val="00581365"/>
    <w:rsid w:val="00581D83"/>
    <w:rsid w:val="00583D66"/>
    <w:rsid w:val="005843D0"/>
    <w:rsid w:val="005843F9"/>
    <w:rsid w:val="00584C78"/>
    <w:rsid w:val="005856E2"/>
    <w:rsid w:val="00585B77"/>
    <w:rsid w:val="00586545"/>
    <w:rsid w:val="00586587"/>
    <w:rsid w:val="00586E73"/>
    <w:rsid w:val="005874E9"/>
    <w:rsid w:val="0058794B"/>
    <w:rsid w:val="00590313"/>
    <w:rsid w:val="0059057C"/>
    <w:rsid w:val="00590930"/>
    <w:rsid w:val="00590DC2"/>
    <w:rsid w:val="00590DEF"/>
    <w:rsid w:val="005917A1"/>
    <w:rsid w:val="00591BF3"/>
    <w:rsid w:val="005921B5"/>
    <w:rsid w:val="00592CE9"/>
    <w:rsid w:val="00595370"/>
    <w:rsid w:val="005A0242"/>
    <w:rsid w:val="005A1256"/>
    <w:rsid w:val="005A18A8"/>
    <w:rsid w:val="005A2018"/>
    <w:rsid w:val="005A4971"/>
    <w:rsid w:val="005A4A54"/>
    <w:rsid w:val="005A52FB"/>
    <w:rsid w:val="005A6026"/>
    <w:rsid w:val="005A70FE"/>
    <w:rsid w:val="005A7BC6"/>
    <w:rsid w:val="005B13E2"/>
    <w:rsid w:val="005B15AD"/>
    <w:rsid w:val="005B15EC"/>
    <w:rsid w:val="005B1C54"/>
    <w:rsid w:val="005B2A75"/>
    <w:rsid w:val="005B2F9E"/>
    <w:rsid w:val="005B345E"/>
    <w:rsid w:val="005B3E37"/>
    <w:rsid w:val="005B40B3"/>
    <w:rsid w:val="005B44A3"/>
    <w:rsid w:val="005B4DD6"/>
    <w:rsid w:val="005B5527"/>
    <w:rsid w:val="005B60C7"/>
    <w:rsid w:val="005B6632"/>
    <w:rsid w:val="005B7877"/>
    <w:rsid w:val="005B7C9D"/>
    <w:rsid w:val="005B7CF0"/>
    <w:rsid w:val="005B7F25"/>
    <w:rsid w:val="005C0113"/>
    <w:rsid w:val="005C0243"/>
    <w:rsid w:val="005C18D9"/>
    <w:rsid w:val="005C1908"/>
    <w:rsid w:val="005C1A48"/>
    <w:rsid w:val="005C1C36"/>
    <w:rsid w:val="005C1EB2"/>
    <w:rsid w:val="005C34F7"/>
    <w:rsid w:val="005C3752"/>
    <w:rsid w:val="005C4018"/>
    <w:rsid w:val="005C4085"/>
    <w:rsid w:val="005C4B51"/>
    <w:rsid w:val="005C5BFB"/>
    <w:rsid w:val="005C6E02"/>
    <w:rsid w:val="005C7002"/>
    <w:rsid w:val="005D15DB"/>
    <w:rsid w:val="005D2D54"/>
    <w:rsid w:val="005D3506"/>
    <w:rsid w:val="005D4A34"/>
    <w:rsid w:val="005D55A9"/>
    <w:rsid w:val="005D5606"/>
    <w:rsid w:val="005D576C"/>
    <w:rsid w:val="005D57B6"/>
    <w:rsid w:val="005D6552"/>
    <w:rsid w:val="005D66C5"/>
    <w:rsid w:val="005D691C"/>
    <w:rsid w:val="005D6D1F"/>
    <w:rsid w:val="005D729F"/>
    <w:rsid w:val="005D7924"/>
    <w:rsid w:val="005D7B85"/>
    <w:rsid w:val="005D7DE1"/>
    <w:rsid w:val="005E18F9"/>
    <w:rsid w:val="005E1AE0"/>
    <w:rsid w:val="005E3B42"/>
    <w:rsid w:val="005E3FCD"/>
    <w:rsid w:val="005E4CDB"/>
    <w:rsid w:val="005E580F"/>
    <w:rsid w:val="005E65FE"/>
    <w:rsid w:val="005E6F03"/>
    <w:rsid w:val="005E7A71"/>
    <w:rsid w:val="005F03AB"/>
    <w:rsid w:val="005F0BF3"/>
    <w:rsid w:val="005F0E05"/>
    <w:rsid w:val="005F2BDC"/>
    <w:rsid w:val="005F4B59"/>
    <w:rsid w:val="005F4BF9"/>
    <w:rsid w:val="005F59E4"/>
    <w:rsid w:val="005F7727"/>
    <w:rsid w:val="005F7750"/>
    <w:rsid w:val="005F79B1"/>
    <w:rsid w:val="005F7E4B"/>
    <w:rsid w:val="006007CE"/>
    <w:rsid w:val="00600807"/>
    <w:rsid w:val="00600E1B"/>
    <w:rsid w:val="00601333"/>
    <w:rsid w:val="00601563"/>
    <w:rsid w:val="006026DF"/>
    <w:rsid w:val="006029AA"/>
    <w:rsid w:val="00603307"/>
    <w:rsid w:val="00604E32"/>
    <w:rsid w:val="00610477"/>
    <w:rsid w:val="006104B0"/>
    <w:rsid w:val="00610F81"/>
    <w:rsid w:val="006116CE"/>
    <w:rsid w:val="006128D8"/>
    <w:rsid w:val="00613340"/>
    <w:rsid w:val="00613645"/>
    <w:rsid w:val="00613BD6"/>
    <w:rsid w:val="00614335"/>
    <w:rsid w:val="00615179"/>
    <w:rsid w:val="006162F9"/>
    <w:rsid w:val="006166F7"/>
    <w:rsid w:val="0062016F"/>
    <w:rsid w:val="00620628"/>
    <w:rsid w:val="00620D3F"/>
    <w:rsid w:val="00620F59"/>
    <w:rsid w:val="00621B64"/>
    <w:rsid w:val="006252E1"/>
    <w:rsid w:val="00625519"/>
    <w:rsid w:val="00626817"/>
    <w:rsid w:val="006270DB"/>
    <w:rsid w:val="00627969"/>
    <w:rsid w:val="00627AF5"/>
    <w:rsid w:val="00630E6B"/>
    <w:rsid w:val="00631B92"/>
    <w:rsid w:val="006324B0"/>
    <w:rsid w:val="00632551"/>
    <w:rsid w:val="006336D4"/>
    <w:rsid w:val="00634198"/>
    <w:rsid w:val="006342B4"/>
    <w:rsid w:val="006357E3"/>
    <w:rsid w:val="0063614C"/>
    <w:rsid w:val="00637C5C"/>
    <w:rsid w:val="00637E4F"/>
    <w:rsid w:val="00642B03"/>
    <w:rsid w:val="00642D94"/>
    <w:rsid w:val="006432AB"/>
    <w:rsid w:val="006432D9"/>
    <w:rsid w:val="00644F70"/>
    <w:rsid w:val="00645466"/>
    <w:rsid w:val="006459D9"/>
    <w:rsid w:val="00645B20"/>
    <w:rsid w:val="00650433"/>
    <w:rsid w:val="00651C9F"/>
    <w:rsid w:val="00651CBB"/>
    <w:rsid w:val="006526B9"/>
    <w:rsid w:val="0065372F"/>
    <w:rsid w:val="006549C9"/>
    <w:rsid w:val="00654A00"/>
    <w:rsid w:val="00657342"/>
    <w:rsid w:val="00657420"/>
    <w:rsid w:val="00657772"/>
    <w:rsid w:val="00657EA6"/>
    <w:rsid w:val="0066002A"/>
    <w:rsid w:val="00660720"/>
    <w:rsid w:val="006607BC"/>
    <w:rsid w:val="006626FE"/>
    <w:rsid w:val="00663479"/>
    <w:rsid w:val="00663BA7"/>
    <w:rsid w:val="0066400D"/>
    <w:rsid w:val="00666AB4"/>
    <w:rsid w:val="00666C35"/>
    <w:rsid w:val="0067035F"/>
    <w:rsid w:val="00670656"/>
    <w:rsid w:val="00671384"/>
    <w:rsid w:val="0067151C"/>
    <w:rsid w:val="00671B48"/>
    <w:rsid w:val="00671F17"/>
    <w:rsid w:val="00673AEE"/>
    <w:rsid w:val="00674D9B"/>
    <w:rsid w:val="006751E5"/>
    <w:rsid w:val="00676170"/>
    <w:rsid w:val="0067640D"/>
    <w:rsid w:val="006765B7"/>
    <w:rsid w:val="006771B4"/>
    <w:rsid w:val="006807A9"/>
    <w:rsid w:val="006819CB"/>
    <w:rsid w:val="00681A53"/>
    <w:rsid w:val="00681AB4"/>
    <w:rsid w:val="00681BFE"/>
    <w:rsid w:val="00681D04"/>
    <w:rsid w:val="00681EBB"/>
    <w:rsid w:val="00682596"/>
    <w:rsid w:val="006829E9"/>
    <w:rsid w:val="006844EE"/>
    <w:rsid w:val="00684EE2"/>
    <w:rsid w:val="00685183"/>
    <w:rsid w:val="006851A5"/>
    <w:rsid w:val="0068536B"/>
    <w:rsid w:val="006863E5"/>
    <w:rsid w:val="006864B7"/>
    <w:rsid w:val="00686DB5"/>
    <w:rsid w:val="00687F17"/>
    <w:rsid w:val="006906A0"/>
    <w:rsid w:val="00691395"/>
    <w:rsid w:val="00691C57"/>
    <w:rsid w:val="00692676"/>
    <w:rsid w:val="00692B96"/>
    <w:rsid w:val="006931FF"/>
    <w:rsid w:val="00693277"/>
    <w:rsid w:val="006955A6"/>
    <w:rsid w:val="0069580D"/>
    <w:rsid w:val="00695A89"/>
    <w:rsid w:val="00695AE5"/>
    <w:rsid w:val="006960E0"/>
    <w:rsid w:val="00696E44"/>
    <w:rsid w:val="00697BFF"/>
    <w:rsid w:val="00697E47"/>
    <w:rsid w:val="006A1CB5"/>
    <w:rsid w:val="006A2083"/>
    <w:rsid w:val="006A2625"/>
    <w:rsid w:val="006A2802"/>
    <w:rsid w:val="006A2B31"/>
    <w:rsid w:val="006A2E01"/>
    <w:rsid w:val="006A44BC"/>
    <w:rsid w:val="006A51D3"/>
    <w:rsid w:val="006A6BCD"/>
    <w:rsid w:val="006A6D6F"/>
    <w:rsid w:val="006A7CAA"/>
    <w:rsid w:val="006B10EF"/>
    <w:rsid w:val="006B13D5"/>
    <w:rsid w:val="006B2A89"/>
    <w:rsid w:val="006B385B"/>
    <w:rsid w:val="006B3DD3"/>
    <w:rsid w:val="006B47BC"/>
    <w:rsid w:val="006B503D"/>
    <w:rsid w:val="006B6A20"/>
    <w:rsid w:val="006B77CD"/>
    <w:rsid w:val="006C0A44"/>
    <w:rsid w:val="006C1201"/>
    <w:rsid w:val="006C1242"/>
    <w:rsid w:val="006C2829"/>
    <w:rsid w:val="006C35F0"/>
    <w:rsid w:val="006C3FF5"/>
    <w:rsid w:val="006C4076"/>
    <w:rsid w:val="006C4617"/>
    <w:rsid w:val="006C4C8F"/>
    <w:rsid w:val="006C5AC1"/>
    <w:rsid w:val="006C61DD"/>
    <w:rsid w:val="006C6387"/>
    <w:rsid w:val="006D2901"/>
    <w:rsid w:val="006D30C4"/>
    <w:rsid w:val="006D435D"/>
    <w:rsid w:val="006D46D8"/>
    <w:rsid w:val="006D50B1"/>
    <w:rsid w:val="006D6051"/>
    <w:rsid w:val="006D6D8A"/>
    <w:rsid w:val="006E070C"/>
    <w:rsid w:val="006E24EB"/>
    <w:rsid w:val="006E29A2"/>
    <w:rsid w:val="006E40DB"/>
    <w:rsid w:val="006E4BED"/>
    <w:rsid w:val="006E541F"/>
    <w:rsid w:val="006E62BC"/>
    <w:rsid w:val="006E7CB6"/>
    <w:rsid w:val="006F0B45"/>
    <w:rsid w:val="006F0BAF"/>
    <w:rsid w:val="006F0BDF"/>
    <w:rsid w:val="006F2395"/>
    <w:rsid w:val="006F23BC"/>
    <w:rsid w:val="006F285A"/>
    <w:rsid w:val="006F2A4B"/>
    <w:rsid w:val="006F33ED"/>
    <w:rsid w:val="006F44B0"/>
    <w:rsid w:val="006F484A"/>
    <w:rsid w:val="006F5908"/>
    <w:rsid w:val="006F5C18"/>
    <w:rsid w:val="006F767D"/>
    <w:rsid w:val="00700980"/>
    <w:rsid w:val="00700CD1"/>
    <w:rsid w:val="00700D29"/>
    <w:rsid w:val="0070186C"/>
    <w:rsid w:val="00701F35"/>
    <w:rsid w:val="0070408E"/>
    <w:rsid w:val="00705023"/>
    <w:rsid w:val="0070589E"/>
    <w:rsid w:val="00707500"/>
    <w:rsid w:val="0070752C"/>
    <w:rsid w:val="00707A96"/>
    <w:rsid w:val="007106C5"/>
    <w:rsid w:val="00710851"/>
    <w:rsid w:val="0071096E"/>
    <w:rsid w:val="00711B9A"/>
    <w:rsid w:val="00712289"/>
    <w:rsid w:val="00712448"/>
    <w:rsid w:val="007135A5"/>
    <w:rsid w:val="00713752"/>
    <w:rsid w:val="0071492E"/>
    <w:rsid w:val="00714B9E"/>
    <w:rsid w:val="00716AB6"/>
    <w:rsid w:val="00717B43"/>
    <w:rsid w:val="00717D60"/>
    <w:rsid w:val="0072024E"/>
    <w:rsid w:val="007215D4"/>
    <w:rsid w:val="00722E43"/>
    <w:rsid w:val="00722EC6"/>
    <w:rsid w:val="00723211"/>
    <w:rsid w:val="00724589"/>
    <w:rsid w:val="00724ADA"/>
    <w:rsid w:val="00724B38"/>
    <w:rsid w:val="00724E3C"/>
    <w:rsid w:val="007251E4"/>
    <w:rsid w:val="007251EE"/>
    <w:rsid w:val="00726101"/>
    <w:rsid w:val="00726DD8"/>
    <w:rsid w:val="0072766C"/>
    <w:rsid w:val="00727861"/>
    <w:rsid w:val="007306EC"/>
    <w:rsid w:val="007314C7"/>
    <w:rsid w:val="00732654"/>
    <w:rsid w:val="007329BD"/>
    <w:rsid w:val="00734480"/>
    <w:rsid w:val="0073474F"/>
    <w:rsid w:val="0073491D"/>
    <w:rsid w:val="00735CFD"/>
    <w:rsid w:val="00740E8B"/>
    <w:rsid w:val="00741681"/>
    <w:rsid w:val="0074191C"/>
    <w:rsid w:val="00741D1D"/>
    <w:rsid w:val="00742242"/>
    <w:rsid w:val="007425C9"/>
    <w:rsid w:val="00742B08"/>
    <w:rsid w:val="00742DC5"/>
    <w:rsid w:val="0074579D"/>
    <w:rsid w:val="007466AD"/>
    <w:rsid w:val="007468F7"/>
    <w:rsid w:val="00746D1D"/>
    <w:rsid w:val="00747875"/>
    <w:rsid w:val="00747A6A"/>
    <w:rsid w:val="00751226"/>
    <w:rsid w:val="00751648"/>
    <w:rsid w:val="007524D9"/>
    <w:rsid w:val="00755E19"/>
    <w:rsid w:val="00760487"/>
    <w:rsid w:val="007613B0"/>
    <w:rsid w:val="00761881"/>
    <w:rsid w:val="00763287"/>
    <w:rsid w:val="007636E9"/>
    <w:rsid w:val="007639D3"/>
    <w:rsid w:val="0076450A"/>
    <w:rsid w:val="00764C00"/>
    <w:rsid w:val="00765BF4"/>
    <w:rsid w:val="00766669"/>
    <w:rsid w:val="007667EF"/>
    <w:rsid w:val="00766D96"/>
    <w:rsid w:val="007674B3"/>
    <w:rsid w:val="0076786F"/>
    <w:rsid w:val="007708CC"/>
    <w:rsid w:val="007714F5"/>
    <w:rsid w:val="007716B0"/>
    <w:rsid w:val="007734A2"/>
    <w:rsid w:val="00774A66"/>
    <w:rsid w:val="00774CE8"/>
    <w:rsid w:val="007769EC"/>
    <w:rsid w:val="00776C80"/>
    <w:rsid w:val="00777931"/>
    <w:rsid w:val="00780358"/>
    <w:rsid w:val="00780BB2"/>
    <w:rsid w:val="00782492"/>
    <w:rsid w:val="00782B71"/>
    <w:rsid w:val="0078391E"/>
    <w:rsid w:val="00784498"/>
    <w:rsid w:val="00786E20"/>
    <w:rsid w:val="00791041"/>
    <w:rsid w:val="00791673"/>
    <w:rsid w:val="0079239B"/>
    <w:rsid w:val="00792C46"/>
    <w:rsid w:val="007931C4"/>
    <w:rsid w:val="00793C23"/>
    <w:rsid w:val="0079500F"/>
    <w:rsid w:val="00795E1F"/>
    <w:rsid w:val="00795F06"/>
    <w:rsid w:val="0079634F"/>
    <w:rsid w:val="007A0B83"/>
    <w:rsid w:val="007A199F"/>
    <w:rsid w:val="007A23F9"/>
    <w:rsid w:val="007A2A30"/>
    <w:rsid w:val="007A416E"/>
    <w:rsid w:val="007A4397"/>
    <w:rsid w:val="007A451B"/>
    <w:rsid w:val="007A4D16"/>
    <w:rsid w:val="007A5B24"/>
    <w:rsid w:val="007A6937"/>
    <w:rsid w:val="007A6B08"/>
    <w:rsid w:val="007A75E3"/>
    <w:rsid w:val="007A7C2A"/>
    <w:rsid w:val="007B2F11"/>
    <w:rsid w:val="007B3259"/>
    <w:rsid w:val="007B3CA3"/>
    <w:rsid w:val="007B4638"/>
    <w:rsid w:val="007B614C"/>
    <w:rsid w:val="007B66AD"/>
    <w:rsid w:val="007B67CD"/>
    <w:rsid w:val="007B6ABF"/>
    <w:rsid w:val="007C02F3"/>
    <w:rsid w:val="007C17E8"/>
    <w:rsid w:val="007C1DCD"/>
    <w:rsid w:val="007C20C2"/>
    <w:rsid w:val="007C28FD"/>
    <w:rsid w:val="007C2C83"/>
    <w:rsid w:val="007C5FA3"/>
    <w:rsid w:val="007C71AC"/>
    <w:rsid w:val="007C729F"/>
    <w:rsid w:val="007C737D"/>
    <w:rsid w:val="007D05C1"/>
    <w:rsid w:val="007D1313"/>
    <w:rsid w:val="007D3639"/>
    <w:rsid w:val="007D390B"/>
    <w:rsid w:val="007D44B9"/>
    <w:rsid w:val="007D5B39"/>
    <w:rsid w:val="007D678D"/>
    <w:rsid w:val="007D7918"/>
    <w:rsid w:val="007E04FA"/>
    <w:rsid w:val="007E13C3"/>
    <w:rsid w:val="007E15DC"/>
    <w:rsid w:val="007E1E88"/>
    <w:rsid w:val="007E1F59"/>
    <w:rsid w:val="007E3009"/>
    <w:rsid w:val="007E30FA"/>
    <w:rsid w:val="007E4529"/>
    <w:rsid w:val="007E5303"/>
    <w:rsid w:val="007E5735"/>
    <w:rsid w:val="007E5934"/>
    <w:rsid w:val="007E65EE"/>
    <w:rsid w:val="007E6F35"/>
    <w:rsid w:val="007E7A18"/>
    <w:rsid w:val="007F1E0B"/>
    <w:rsid w:val="007F2079"/>
    <w:rsid w:val="007F257E"/>
    <w:rsid w:val="007F264C"/>
    <w:rsid w:val="007F2D89"/>
    <w:rsid w:val="007F3091"/>
    <w:rsid w:val="007F3221"/>
    <w:rsid w:val="007F324F"/>
    <w:rsid w:val="007F36FC"/>
    <w:rsid w:val="007F4739"/>
    <w:rsid w:val="007F5501"/>
    <w:rsid w:val="007F5AE0"/>
    <w:rsid w:val="007F632A"/>
    <w:rsid w:val="007F66FF"/>
    <w:rsid w:val="007F6DAC"/>
    <w:rsid w:val="007F7B49"/>
    <w:rsid w:val="007F7C5E"/>
    <w:rsid w:val="007F7FD3"/>
    <w:rsid w:val="00800938"/>
    <w:rsid w:val="00801012"/>
    <w:rsid w:val="008017BD"/>
    <w:rsid w:val="00801991"/>
    <w:rsid w:val="00803126"/>
    <w:rsid w:val="00804636"/>
    <w:rsid w:val="008055CE"/>
    <w:rsid w:val="00805614"/>
    <w:rsid w:val="00807083"/>
    <w:rsid w:val="00807117"/>
    <w:rsid w:val="008071A0"/>
    <w:rsid w:val="00807504"/>
    <w:rsid w:val="0081171A"/>
    <w:rsid w:val="00812AFB"/>
    <w:rsid w:val="0081555E"/>
    <w:rsid w:val="008156A5"/>
    <w:rsid w:val="00815A18"/>
    <w:rsid w:val="00816960"/>
    <w:rsid w:val="00820492"/>
    <w:rsid w:val="008205D4"/>
    <w:rsid w:val="0082104C"/>
    <w:rsid w:val="00821677"/>
    <w:rsid w:val="008221E6"/>
    <w:rsid w:val="0082274A"/>
    <w:rsid w:val="00823E58"/>
    <w:rsid w:val="0082483F"/>
    <w:rsid w:val="00824EF9"/>
    <w:rsid w:val="008263A4"/>
    <w:rsid w:val="00831552"/>
    <w:rsid w:val="00831DEA"/>
    <w:rsid w:val="008320FF"/>
    <w:rsid w:val="008333D5"/>
    <w:rsid w:val="00834052"/>
    <w:rsid w:val="00834199"/>
    <w:rsid w:val="00834A3C"/>
    <w:rsid w:val="0083540B"/>
    <w:rsid w:val="008359AC"/>
    <w:rsid w:val="00836724"/>
    <w:rsid w:val="0083714C"/>
    <w:rsid w:val="008374AA"/>
    <w:rsid w:val="00837A3F"/>
    <w:rsid w:val="00837CE1"/>
    <w:rsid w:val="00837FE6"/>
    <w:rsid w:val="00840343"/>
    <w:rsid w:val="00841217"/>
    <w:rsid w:val="008424D3"/>
    <w:rsid w:val="008435FD"/>
    <w:rsid w:val="00843B27"/>
    <w:rsid w:val="00843DAD"/>
    <w:rsid w:val="00843FE6"/>
    <w:rsid w:val="0084456B"/>
    <w:rsid w:val="00844EC2"/>
    <w:rsid w:val="008450EF"/>
    <w:rsid w:val="0084593D"/>
    <w:rsid w:val="008459BA"/>
    <w:rsid w:val="00845AAB"/>
    <w:rsid w:val="00845BCB"/>
    <w:rsid w:val="00845FF1"/>
    <w:rsid w:val="008467A3"/>
    <w:rsid w:val="00847752"/>
    <w:rsid w:val="00850B5E"/>
    <w:rsid w:val="00851025"/>
    <w:rsid w:val="0085129C"/>
    <w:rsid w:val="0085159B"/>
    <w:rsid w:val="00851F17"/>
    <w:rsid w:val="00853210"/>
    <w:rsid w:val="00853CA5"/>
    <w:rsid w:val="00853EAD"/>
    <w:rsid w:val="00854AD5"/>
    <w:rsid w:val="00855CA6"/>
    <w:rsid w:val="00856527"/>
    <w:rsid w:val="00856B88"/>
    <w:rsid w:val="00857636"/>
    <w:rsid w:val="00857D46"/>
    <w:rsid w:val="00857E16"/>
    <w:rsid w:val="0086014E"/>
    <w:rsid w:val="008601B2"/>
    <w:rsid w:val="0086060B"/>
    <w:rsid w:val="00860952"/>
    <w:rsid w:val="00860B7B"/>
    <w:rsid w:val="00861278"/>
    <w:rsid w:val="00861D82"/>
    <w:rsid w:val="00861F60"/>
    <w:rsid w:val="00862432"/>
    <w:rsid w:val="00862E2B"/>
    <w:rsid w:val="008634EF"/>
    <w:rsid w:val="008639DB"/>
    <w:rsid w:val="0086429A"/>
    <w:rsid w:val="008646CC"/>
    <w:rsid w:val="00864BBA"/>
    <w:rsid w:val="008650A2"/>
    <w:rsid w:val="0086511B"/>
    <w:rsid w:val="00865A75"/>
    <w:rsid w:val="00866327"/>
    <w:rsid w:val="008668A5"/>
    <w:rsid w:val="00867E68"/>
    <w:rsid w:val="00871836"/>
    <w:rsid w:val="0087236E"/>
    <w:rsid w:val="00872BEC"/>
    <w:rsid w:val="00872CAD"/>
    <w:rsid w:val="00873A34"/>
    <w:rsid w:val="00873DCC"/>
    <w:rsid w:val="00876369"/>
    <w:rsid w:val="008769C7"/>
    <w:rsid w:val="0087796B"/>
    <w:rsid w:val="00880003"/>
    <w:rsid w:val="00880257"/>
    <w:rsid w:val="00880A7F"/>
    <w:rsid w:val="00881503"/>
    <w:rsid w:val="00882381"/>
    <w:rsid w:val="00882B84"/>
    <w:rsid w:val="008834F4"/>
    <w:rsid w:val="008842A9"/>
    <w:rsid w:val="00884CC2"/>
    <w:rsid w:val="0088536C"/>
    <w:rsid w:val="00886165"/>
    <w:rsid w:val="008864C0"/>
    <w:rsid w:val="00886E3E"/>
    <w:rsid w:val="00886F1E"/>
    <w:rsid w:val="0088714C"/>
    <w:rsid w:val="00890449"/>
    <w:rsid w:val="008908CB"/>
    <w:rsid w:val="00890E3D"/>
    <w:rsid w:val="00890F6E"/>
    <w:rsid w:val="00890F88"/>
    <w:rsid w:val="008911ED"/>
    <w:rsid w:val="00892D52"/>
    <w:rsid w:val="0089381D"/>
    <w:rsid w:val="00893B25"/>
    <w:rsid w:val="00894498"/>
    <w:rsid w:val="0089491A"/>
    <w:rsid w:val="00895AEB"/>
    <w:rsid w:val="00895B64"/>
    <w:rsid w:val="008970B2"/>
    <w:rsid w:val="00897495"/>
    <w:rsid w:val="008978C8"/>
    <w:rsid w:val="008A2194"/>
    <w:rsid w:val="008A3487"/>
    <w:rsid w:val="008A3A58"/>
    <w:rsid w:val="008A464F"/>
    <w:rsid w:val="008A4683"/>
    <w:rsid w:val="008A4779"/>
    <w:rsid w:val="008A59DF"/>
    <w:rsid w:val="008A686E"/>
    <w:rsid w:val="008A6A55"/>
    <w:rsid w:val="008A7452"/>
    <w:rsid w:val="008A7989"/>
    <w:rsid w:val="008B03A7"/>
    <w:rsid w:val="008B18E3"/>
    <w:rsid w:val="008B24B5"/>
    <w:rsid w:val="008B2821"/>
    <w:rsid w:val="008B2A57"/>
    <w:rsid w:val="008B2D09"/>
    <w:rsid w:val="008B2FA2"/>
    <w:rsid w:val="008B4168"/>
    <w:rsid w:val="008B41B9"/>
    <w:rsid w:val="008B43C6"/>
    <w:rsid w:val="008B4D2A"/>
    <w:rsid w:val="008B7215"/>
    <w:rsid w:val="008B7939"/>
    <w:rsid w:val="008C0CCC"/>
    <w:rsid w:val="008C10C4"/>
    <w:rsid w:val="008C22BB"/>
    <w:rsid w:val="008C2689"/>
    <w:rsid w:val="008C4A3E"/>
    <w:rsid w:val="008C4EB7"/>
    <w:rsid w:val="008C4F65"/>
    <w:rsid w:val="008C5BCD"/>
    <w:rsid w:val="008C6759"/>
    <w:rsid w:val="008C7028"/>
    <w:rsid w:val="008C72BE"/>
    <w:rsid w:val="008C7798"/>
    <w:rsid w:val="008C7961"/>
    <w:rsid w:val="008C7F99"/>
    <w:rsid w:val="008D1859"/>
    <w:rsid w:val="008D242A"/>
    <w:rsid w:val="008D320F"/>
    <w:rsid w:val="008D3541"/>
    <w:rsid w:val="008D48B4"/>
    <w:rsid w:val="008D4CE7"/>
    <w:rsid w:val="008D534D"/>
    <w:rsid w:val="008D62F6"/>
    <w:rsid w:val="008E0030"/>
    <w:rsid w:val="008E062A"/>
    <w:rsid w:val="008E06DF"/>
    <w:rsid w:val="008E0D59"/>
    <w:rsid w:val="008E1442"/>
    <w:rsid w:val="008E1726"/>
    <w:rsid w:val="008E270E"/>
    <w:rsid w:val="008E2D6E"/>
    <w:rsid w:val="008E3459"/>
    <w:rsid w:val="008E4484"/>
    <w:rsid w:val="008E554D"/>
    <w:rsid w:val="008E5DE4"/>
    <w:rsid w:val="008E6DF8"/>
    <w:rsid w:val="008E7D22"/>
    <w:rsid w:val="008F021B"/>
    <w:rsid w:val="008F4F69"/>
    <w:rsid w:val="008F5270"/>
    <w:rsid w:val="008F5A50"/>
    <w:rsid w:val="008F6CCC"/>
    <w:rsid w:val="008F7C33"/>
    <w:rsid w:val="0090103F"/>
    <w:rsid w:val="0090128B"/>
    <w:rsid w:val="009014F3"/>
    <w:rsid w:val="00901C92"/>
    <w:rsid w:val="00902747"/>
    <w:rsid w:val="009038FF"/>
    <w:rsid w:val="00904AC6"/>
    <w:rsid w:val="00904BE2"/>
    <w:rsid w:val="0090534E"/>
    <w:rsid w:val="00906946"/>
    <w:rsid w:val="00906E45"/>
    <w:rsid w:val="009078A3"/>
    <w:rsid w:val="00907A1D"/>
    <w:rsid w:val="009103ED"/>
    <w:rsid w:val="00911BA7"/>
    <w:rsid w:val="00911BD9"/>
    <w:rsid w:val="009123A1"/>
    <w:rsid w:val="00912708"/>
    <w:rsid w:val="00912B2C"/>
    <w:rsid w:val="00914431"/>
    <w:rsid w:val="009147C1"/>
    <w:rsid w:val="00914C4E"/>
    <w:rsid w:val="00914F92"/>
    <w:rsid w:val="00915A56"/>
    <w:rsid w:val="00916D62"/>
    <w:rsid w:val="00917122"/>
    <w:rsid w:val="009178B3"/>
    <w:rsid w:val="00920072"/>
    <w:rsid w:val="00920225"/>
    <w:rsid w:val="009218AF"/>
    <w:rsid w:val="009228C1"/>
    <w:rsid w:val="00922984"/>
    <w:rsid w:val="00922D44"/>
    <w:rsid w:val="009230F8"/>
    <w:rsid w:val="009234B5"/>
    <w:rsid w:val="00923585"/>
    <w:rsid w:val="00923C8D"/>
    <w:rsid w:val="00924286"/>
    <w:rsid w:val="0092435E"/>
    <w:rsid w:val="009256F7"/>
    <w:rsid w:val="00926A05"/>
    <w:rsid w:val="00926A1D"/>
    <w:rsid w:val="00926F5B"/>
    <w:rsid w:val="009274F6"/>
    <w:rsid w:val="009276F9"/>
    <w:rsid w:val="00930105"/>
    <w:rsid w:val="00930BAD"/>
    <w:rsid w:val="00931364"/>
    <w:rsid w:val="00931567"/>
    <w:rsid w:val="0093180D"/>
    <w:rsid w:val="00931D31"/>
    <w:rsid w:val="00932185"/>
    <w:rsid w:val="009340F4"/>
    <w:rsid w:val="00934EC2"/>
    <w:rsid w:val="00935E70"/>
    <w:rsid w:val="00936A37"/>
    <w:rsid w:val="00937B0B"/>
    <w:rsid w:val="00937D64"/>
    <w:rsid w:val="00940D62"/>
    <w:rsid w:val="0094125F"/>
    <w:rsid w:val="00942C18"/>
    <w:rsid w:val="00943A66"/>
    <w:rsid w:val="00943CE8"/>
    <w:rsid w:val="00944025"/>
    <w:rsid w:val="00945F33"/>
    <w:rsid w:val="009466D4"/>
    <w:rsid w:val="00946745"/>
    <w:rsid w:val="009517D5"/>
    <w:rsid w:val="00951CD6"/>
    <w:rsid w:val="00951DDC"/>
    <w:rsid w:val="0095201F"/>
    <w:rsid w:val="00952144"/>
    <w:rsid w:val="009524F3"/>
    <w:rsid w:val="00952A1E"/>
    <w:rsid w:val="00953601"/>
    <w:rsid w:val="009537BD"/>
    <w:rsid w:val="00953D72"/>
    <w:rsid w:val="009540A0"/>
    <w:rsid w:val="00954663"/>
    <w:rsid w:val="00955E00"/>
    <w:rsid w:val="00961C71"/>
    <w:rsid w:val="0096241B"/>
    <w:rsid w:val="009633A9"/>
    <w:rsid w:val="009637DB"/>
    <w:rsid w:val="00964384"/>
    <w:rsid w:val="00964DB8"/>
    <w:rsid w:val="00965735"/>
    <w:rsid w:val="00965DCA"/>
    <w:rsid w:val="00967264"/>
    <w:rsid w:val="00967AE2"/>
    <w:rsid w:val="009719FA"/>
    <w:rsid w:val="00974103"/>
    <w:rsid w:val="00974EBB"/>
    <w:rsid w:val="00974F0F"/>
    <w:rsid w:val="00975DC5"/>
    <w:rsid w:val="00976797"/>
    <w:rsid w:val="00977743"/>
    <w:rsid w:val="00980451"/>
    <w:rsid w:val="00984EE9"/>
    <w:rsid w:val="00990236"/>
    <w:rsid w:val="00990254"/>
    <w:rsid w:val="00990EB3"/>
    <w:rsid w:val="00993180"/>
    <w:rsid w:val="00994108"/>
    <w:rsid w:val="00994529"/>
    <w:rsid w:val="0099459B"/>
    <w:rsid w:val="00994E05"/>
    <w:rsid w:val="00995B70"/>
    <w:rsid w:val="00996C89"/>
    <w:rsid w:val="00997565"/>
    <w:rsid w:val="009975F2"/>
    <w:rsid w:val="00997A81"/>
    <w:rsid w:val="009A12B6"/>
    <w:rsid w:val="009A1510"/>
    <w:rsid w:val="009A15B2"/>
    <w:rsid w:val="009A18D8"/>
    <w:rsid w:val="009A1EF7"/>
    <w:rsid w:val="009A1F7F"/>
    <w:rsid w:val="009A1FB6"/>
    <w:rsid w:val="009A2496"/>
    <w:rsid w:val="009A2DFE"/>
    <w:rsid w:val="009A35A4"/>
    <w:rsid w:val="009A43CB"/>
    <w:rsid w:val="009A4B1D"/>
    <w:rsid w:val="009A4C34"/>
    <w:rsid w:val="009A67A3"/>
    <w:rsid w:val="009A6AB9"/>
    <w:rsid w:val="009A6CAE"/>
    <w:rsid w:val="009B01BF"/>
    <w:rsid w:val="009B102F"/>
    <w:rsid w:val="009B124D"/>
    <w:rsid w:val="009B1821"/>
    <w:rsid w:val="009B1A96"/>
    <w:rsid w:val="009B223C"/>
    <w:rsid w:val="009B2278"/>
    <w:rsid w:val="009B3511"/>
    <w:rsid w:val="009B3A36"/>
    <w:rsid w:val="009B3AD2"/>
    <w:rsid w:val="009B3B69"/>
    <w:rsid w:val="009B5B6F"/>
    <w:rsid w:val="009B6400"/>
    <w:rsid w:val="009B6D66"/>
    <w:rsid w:val="009B6FCB"/>
    <w:rsid w:val="009B7358"/>
    <w:rsid w:val="009B7687"/>
    <w:rsid w:val="009B77D0"/>
    <w:rsid w:val="009B7E5C"/>
    <w:rsid w:val="009C015A"/>
    <w:rsid w:val="009C19C1"/>
    <w:rsid w:val="009C1D1B"/>
    <w:rsid w:val="009C2481"/>
    <w:rsid w:val="009C2C0D"/>
    <w:rsid w:val="009C3D9A"/>
    <w:rsid w:val="009C60EF"/>
    <w:rsid w:val="009C69BA"/>
    <w:rsid w:val="009D0471"/>
    <w:rsid w:val="009D1148"/>
    <w:rsid w:val="009D2830"/>
    <w:rsid w:val="009D32A6"/>
    <w:rsid w:val="009D3DA3"/>
    <w:rsid w:val="009D4A02"/>
    <w:rsid w:val="009D5641"/>
    <w:rsid w:val="009D6D64"/>
    <w:rsid w:val="009D75B6"/>
    <w:rsid w:val="009E11FB"/>
    <w:rsid w:val="009E2D8F"/>
    <w:rsid w:val="009E31E7"/>
    <w:rsid w:val="009E4C61"/>
    <w:rsid w:val="009E4D60"/>
    <w:rsid w:val="009E5994"/>
    <w:rsid w:val="009E68CB"/>
    <w:rsid w:val="009E72CC"/>
    <w:rsid w:val="009E7683"/>
    <w:rsid w:val="009F018A"/>
    <w:rsid w:val="009F0C86"/>
    <w:rsid w:val="009F2562"/>
    <w:rsid w:val="009F354E"/>
    <w:rsid w:val="009F3B6D"/>
    <w:rsid w:val="009F6145"/>
    <w:rsid w:val="009F6347"/>
    <w:rsid w:val="009F63D2"/>
    <w:rsid w:val="009F6460"/>
    <w:rsid w:val="009F64F4"/>
    <w:rsid w:val="009F66D2"/>
    <w:rsid w:val="009F6D92"/>
    <w:rsid w:val="009F71E1"/>
    <w:rsid w:val="009F7962"/>
    <w:rsid w:val="00A00C57"/>
    <w:rsid w:val="00A01658"/>
    <w:rsid w:val="00A027CD"/>
    <w:rsid w:val="00A029BF"/>
    <w:rsid w:val="00A05797"/>
    <w:rsid w:val="00A06746"/>
    <w:rsid w:val="00A070BE"/>
    <w:rsid w:val="00A07188"/>
    <w:rsid w:val="00A10148"/>
    <w:rsid w:val="00A105AA"/>
    <w:rsid w:val="00A10D71"/>
    <w:rsid w:val="00A10D7F"/>
    <w:rsid w:val="00A10F6F"/>
    <w:rsid w:val="00A110B1"/>
    <w:rsid w:val="00A1143D"/>
    <w:rsid w:val="00A1178F"/>
    <w:rsid w:val="00A11861"/>
    <w:rsid w:val="00A1190E"/>
    <w:rsid w:val="00A1211B"/>
    <w:rsid w:val="00A12D79"/>
    <w:rsid w:val="00A13EFF"/>
    <w:rsid w:val="00A144BA"/>
    <w:rsid w:val="00A1570F"/>
    <w:rsid w:val="00A15735"/>
    <w:rsid w:val="00A2023D"/>
    <w:rsid w:val="00A205D9"/>
    <w:rsid w:val="00A20A32"/>
    <w:rsid w:val="00A20AA1"/>
    <w:rsid w:val="00A21AA2"/>
    <w:rsid w:val="00A225A6"/>
    <w:rsid w:val="00A22784"/>
    <w:rsid w:val="00A2292F"/>
    <w:rsid w:val="00A23139"/>
    <w:rsid w:val="00A235ED"/>
    <w:rsid w:val="00A24E74"/>
    <w:rsid w:val="00A262C0"/>
    <w:rsid w:val="00A274A5"/>
    <w:rsid w:val="00A27807"/>
    <w:rsid w:val="00A27D4F"/>
    <w:rsid w:val="00A27DAB"/>
    <w:rsid w:val="00A27E52"/>
    <w:rsid w:val="00A30E6F"/>
    <w:rsid w:val="00A31A85"/>
    <w:rsid w:val="00A31AA2"/>
    <w:rsid w:val="00A3334C"/>
    <w:rsid w:val="00A33C82"/>
    <w:rsid w:val="00A33D74"/>
    <w:rsid w:val="00A33D96"/>
    <w:rsid w:val="00A3454D"/>
    <w:rsid w:val="00A35B0C"/>
    <w:rsid w:val="00A36190"/>
    <w:rsid w:val="00A36F64"/>
    <w:rsid w:val="00A42A7F"/>
    <w:rsid w:val="00A42C79"/>
    <w:rsid w:val="00A43102"/>
    <w:rsid w:val="00A44161"/>
    <w:rsid w:val="00A44164"/>
    <w:rsid w:val="00A44A41"/>
    <w:rsid w:val="00A44AAC"/>
    <w:rsid w:val="00A47399"/>
    <w:rsid w:val="00A523FF"/>
    <w:rsid w:val="00A5287A"/>
    <w:rsid w:val="00A52CC6"/>
    <w:rsid w:val="00A531A8"/>
    <w:rsid w:val="00A537E3"/>
    <w:rsid w:val="00A53AB8"/>
    <w:rsid w:val="00A542F0"/>
    <w:rsid w:val="00A54A42"/>
    <w:rsid w:val="00A54ECA"/>
    <w:rsid w:val="00A554DE"/>
    <w:rsid w:val="00A55A5B"/>
    <w:rsid w:val="00A55B23"/>
    <w:rsid w:val="00A55EA9"/>
    <w:rsid w:val="00A55F67"/>
    <w:rsid w:val="00A56827"/>
    <w:rsid w:val="00A56C9C"/>
    <w:rsid w:val="00A57874"/>
    <w:rsid w:val="00A579C6"/>
    <w:rsid w:val="00A6008F"/>
    <w:rsid w:val="00A603E1"/>
    <w:rsid w:val="00A60C77"/>
    <w:rsid w:val="00A6174E"/>
    <w:rsid w:val="00A61880"/>
    <w:rsid w:val="00A628A1"/>
    <w:rsid w:val="00A62F94"/>
    <w:rsid w:val="00A64555"/>
    <w:rsid w:val="00A6485E"/>
    <w:rsid w:val="00A64892"/>
    <w:rsid w:val="00A64E88"/>
    <w:rsid w:val="00A6515B"/>
    <w:rsid w:val="00A655B6"/>
    <w:rsid w:val="00A65D60"/>
    <w:rsid w:val="00A65DC8"/>
    <w:rsid w:val="00A6636A"/>
    <w:rsid w:val="00A670E0"/>
    <w:rsid w:val="00A67546"/>
    <w:rsid w:val="00A70A6D"/>
    <w:rsid w:val="00A70FE4"/>
    <w:rsid w:val="00A716A4"/>
    <w:rsid w:val="00A717CF"/>
    <w:rsid w:val="00A71A1C"/>
    <w:rsid w:val="00A71CBA"/>
    <w:rsid w:val="00A71ED8"/>
    <w:rsid w:val="00A72EDD"/>
    <w:rsid w:val="00A7325F"/>
    <w:rsid w:val="00A74B41"/>
    <w:rsid w:val="00A7654D"/>
    <w:rsid w:val="00A76A38"/>
    <w:rsid w:val="00A77436"/>
    <w:rsid w:val="00A814A5"/>
    <w:rsid w:val="00A84B15"/>
    <w:rsid w:val="00A84E7E"/>
    <w:rsid w:val="00A856E1"/>
    <w:rsid w:val="00A85884"/>
    <w:rsid w:val="00A85A41"/>
    <w:rsid w:val="00A85B96"/>
    <w:rsid w:val="00A85E3C"/>
    <w:rsid w:val="00A86CFB"/>
    <w:rsid w:val="00A873F7"/>
    <w:rsid w:val="00A87521"/>
    <w:rsid w:val="00A9010A"/>
    <w:rsid w:val="00A90331"/>
    <w:rsid w:val="00A920D5"/>
    <w:rsid w:val="00A94653"/>
    <w:rsid w:val="00A94B08"/>
    <w:rsid w:val="00A96922"/>
    <w:rsid w:val="00AA03D7"/>
    <w:rsid w:val="00AA1071"/>
    <w:rsid w:val="00AA29DF"/>
    <w:rsid w:val="00AA2AAE"/>
    <w:rsid w:val="00AA2C52"/>
    <w:rsid w:val="00AA4B75"/>
    <w:rsid w:val="00AA5FC0"/>
    <w:rsid w:val="00AA7B07"/>
    <w:rsid w:val="00AA7FA4"/>
    <w:rsid w:val="00AB0F9F"/>
    <w:rsid w:val="00AB1004"/>
    <w:rsid w:val="00AB29EA"/>
    <w:rsid w:val="00AB2D74"/>
    <w:rsid w:val="00AB345F"/>
    <w:rsid w:val="00AB3737"/>
    <w:rsid w:val="00AB692F"/>
    <w:rsid w:val="00AB7027"/>
    <w:rsid w:val="00AB7313"/>
    <w:rsid w:val="00AB7770"/>
    <w:rsid w:val="00AB797E"/>
    <w:rsid w:val="00AB7D99"/>
    <w:rsid w:val="00AC022A"/>
    <w:rsid w:val="00AC075C"/>
    <w:rsid w:val="00AC0765"/>
    <w:rsid w:val="00AC1B94"/>
    <w:rsid w:val="00AC39AD"/>
    <w:rsid w:val="00AC592A"/>
    <w:rsid w:val="00AC6424"/>
    <w:rsid w:val="00AC6716"/>
    <w:rsid w:val="00AC6AFB"/>
    <w:rsid w:val="00AC76CF"/>
    <w:rsid w:val="00AD01C3"/>
    <w:rsid w:val="00AD01CA"/>
    <w:rsid w:val="00AD0379"/>
    <w:rsid w:val="00AD1237"/>
    <w:rsid w:val="00AD1AAD"/>
    <w:rsid w:val="00AD2549"/>
    <w:rsid w:val="00AD30BE"/>
    <w:rsid w:val="00AD4695"/>
    <w:rsid w:val="00AD4C00"/>
    <w:rsid w:val="00AD7DEA"/>
    <w:rsid w:val="00AE0222"/>
    <w:rsid w:val="00AE10DF"/>
    <w:rsid w:val="00AE1383"/>
    <w:rsid w:val="00AE16C5"/>
    <w:rsid w:val="00AE1FC2"/>
    <w:rsid w:val="00AE2A69"/>
    <w:rsid w:val="00AE3215"/>
    <w:rsid w:val="00AE3628"/>
    <w:rsid w:val="00AE3770"/>
    <w:rsid w:val="00AE5604"/>
    <w:rsid w:val="00AE65FB"/>
    <w:rsid w:val="00AE6988"/>
    <w:rsid w:val="00AE79D3"/>
    <w:rsid w:val="00AF0118"/>
    <w:rsid w:val="00AF0C8C"/>
    <w:rsid w:val="00AF0E55"/>
    <w:rsid w:val="00AF248A"/>
    <w:rsid w:val="00AF2BD1"/>
    <w:rsid w:val="00AF380C"/>
    <w:rsid w:val="00AF3CD6"/>
    <w:rsid w:val="00AF4B23"/>
    <w:rsid w:val="00AF4DBE"/>
    <w:rsid w:val="00AF5323"/>
    <w:rsid w:val="00AF5AB4"/>
    <w:rsid w:val="00AF61DF"/>
    <w:rsid w:val="00AF62C3"/>
    <w:rsid w:val="00AF6717"/>
    <w:rsid w:val="00AF6C1E"/>
    <w:rsid w:val="00AF6C48"/>
    <w:rsid w:val="00B000C7"/>
    <w:rsid w:val="00B008D9"/>
    <w:rsid w:val="00B00A08"/>
    <w:rsid w:val="00B011A8"/>
    <w:rsid w:val="00B014DF"/>
    <w:rsid w:val="00B01634"/>
    <w:rsid w:val="00B0298E"/>
    <w:rsid w:val="00B02B98"/>
    <w:rsid w:val="00B03064"/>
    <w:rsid w:val="00B03680"/>
    <w:rsid w:val="00B036C4"/>
    <w:rsid w:val="00B04502"/>
    <w:rsid w:val="00B04A88"/>
    <w:rsid w:val="00B05666"/>
    <w:rsid w:val="00B05D5E"/>
    <w:rsid w:val="00B066B4"/>
    <w:rsid w:val="00B06E81"/>
    <w:rsid w:val="00B07340"/>
    <w:rsid w:val="00B10001"/>
    <w:rsid w:val="00B101E5"/>
    <w:rsid w:val="00B116C3"/>
    <w:rsid w:val="00B1189A"/>
    <w:rsid w:val="00B13180"/>
    <w:rsid w:val="00B13D90"/>
    <w:rsid w:val="00B14425"/>
    <w:rsid w:val="00B14641"/>
    <w:rsid w:val="00B14E93"/>
    <w:rsid w:val="00B157F0"/>
    <w:rsid w:val="00B15B30"/>
    <w:rsid w:val="00B163A3"/>
    <w:rsid w:val="00B16696"/>
    <w:rsid w:val="00B1698F"/>
    <w:rsid w:val="00B17D31"/>
    <w:rsid w:val="00B2063C"/>
    <w:rsid w:val="00B206DA"/>
    <w:rsid w:val="00B21CE0"/>
    <w:rsid w:val="00B22104"/>
    <w:rsid w:val="00B22203"/>
    <w:rsid w:val="00B2277E"/>
    <w:rsid w:val="00B2290D"/>
    <w:rsid w:val="00B2309F"/>
    <w:rsid w:val="00B231F3"/>
    <w:rsid w:val="00B242EB"/>
    <w:rsid w:val="00B24A83"/>
    <w:rsid w:val="00B25DDF"/>
    <w:rsid w:val="00B262CF"/>
    <w:rsid w:val="00B27CE5"/>
    <w:rsid w:val="00B30AE0"/>
    <w:rsid w:val="00B3120F"/>
    <w:rsid w:val="00B31A1A"/>
    <w:rsid w:val="00B31AF4"/>
    <w:rsid w:val="00B31DBB"/>
    <w:rsid w:val="00B32847"/>
    <w:rsid w:val="00B32A8C"/>
    <w:rsid w:val="00B32E08"/>
    <w:rsid w:val="00B334AB"/>
    <w:rsid w:val="00B3367F"/>
    <w:rsid w:val="00B3385C"/>
    <w:rsid w:val="00B33E96"/>
    <w:rsid w:val="00B3499D"/>
    <w:rsid w:val="00B35599"/>
    <w:rsid w:val="00B35E9A"/>
    <w:rsid w:val="00B366CE"/>
    <w:rsid w:val="00B370C0"/>
    <w:rsid w:val="00B37CA8"/>
    <w:rsid w:val="00B406CA"/>
    <w:rsid w:val="00B41311"/>
    <w:rsid w:val="00B414F2"/>
    <w:rsid w:val="00B4192D"/>
    <w:rsid w:val="00B41955"/>
    <w:rsid w:val="00B424A8"/>
    <w:rsid w:val="00B42FBE"/>
    <w:rsid w:val="00B432DA"/>
    <w:rsid w:val="00B43390"/>
    <w:rsid w:val="00B43B85"/>
    <w:rsid w:val="00B43F15"/>
    <w:rsid w:val="00B441AD"/>
    <w:rsid w:val="00B44C3E"/>
    <w:rsid w:val="00B44C73"/>
    <w:rsid w:val="00B44CCA"/>
    <w:rsid w:val="00B45065"/>
    <w:rsid w:val="00B453B8"/>
    <w:rsid w:val="00B4570F"/>
    <w:rsid w:val="00B45A7F"/>
    <w:rsid w:val="00B45A88"/>
    <w:rsid w:val="00B45C4E"/>
    <w:rsid w:val="00B46353"/>
    <w:rsid w:val="00B469C5"/>
    <w:rsid w:val="00B47593"/>
    <w:rsid w:val="00B4789A"/>
    <w:rsid w:val="00B47BAE"/>
    <w:rsid w:val="00B50498"/>
    <w:rsid w:val="00B50862"/>
    <w:rsid w:val="00B50944"/>
    <w:rsid w:val="00B510E6"/>
    <w:rsid w:val="00B52120"/>
    <w:rsid w:val="00B53136"/>
    <w:rsid w:val="00B5317E"/>
    <w:rsid w:val="00B53759"/>
    <w:rsid w:val="00B53C76"/>
    <w:rsid w:val="00B53CC2"/>
    <w:rsid w:val="00B54EE6"/>
    <w:rsid w:val="00B556EC"/>
    <w:rsid w:val="00B55A85"/>
    <w:rsid w:val="00B56772"/>
    <w:rsid w:val="00B57652"/>
    <w:rsid w:val="00B57F66"/>
    <w:rsid w:val="00B60E65"/>
    <w:rsid w:val="00B62EF7"/>
    <w:rsid w:val="00B63016"/>
    <w:rsid w:val="00B644EA"/>
    <w:rsid w:val="00B66787"/>
    <w:rsid w:val="00B66C68"/>
    <w:rsid w:val="00B7169A"/>
    <w:rsid w:val="00B717E8"/>
    <w:rsid w:val="00B75715"/>
    <w:rsid w:val="00B778CF"/>
    <w:rsid w:val="00B7799C"/>
    <w:rsid w:val="00B809E0"/>
    <w:rsid w:val="00B80B7B"/>
    <w:rsid w:val="00B8111A"/>
    <w:rsid w:val="00B82180"/>
    <w:rsid w:val="00B82CB3"/>
    <w:rsid w:val="00B83AE9"/>
    <w:rsid w:val="00B83D25"/>
    <w:rsid w:val="00B84C1B"/>
    <w:rsid w:val="00B85159"/>
    <w:rsid w:val="00B8609C"/>
    <w:rsid w:val="00B86FB3"/>
    <w:rsid w:val="00B877CE"/>
    <w:rsid w:val="00B87B24"/>
    <w:rsid w:val="00B90C7D"/>
    <w:rsid w:val="00B90F41"/>
    <w:rsid w:val="00B912AD"/>
    <w:rsid w:val="00B915AC"/>
    <w:rsid w:val="00B91AE5"/>
    <w:rsid w:val="00B923F6"/>
    <w:rsid w:val="00B92714"/>
    <w:rsid w:val="00B92CDB"/>
    <w:rsid w:val="00B92DB9"/>
    <w:rsid w:val="00B93EA4"/>
    <w:rsid w:val="00B93F3D"/>
    <w:rsid w:val="00B96292"/>
    <w:rsid w:val="00BA0095"/>
    <w:rsid w:val="00BA1409"/>
    <w:rsid w:val="00BA28CB"/>
    <w:rsid w:val="00BA3944"/>
    <w:rsid w:val="00BA39D9"/>
    <w:rsid w:val="00BA486F"/>
    <w:rsid w:val="00BA5719"/>
    <w:rsid w:val="00BA5821"/>
    <w:rsid w:val="00BA7537"/>
    <w:rsid w:val="00BA7744"/>
    <w:rsid w:val="00BB031C"/>
    <w:rsid w:val="00BB0BD7"/>
    <w:rsid w:val="00BB0EE5"/>
    <w:rsid w:val="00BB101A"/>
    <w:rsid w:val="00BB118B"/>
    <w:rsid w:val="00BB141B"/>
    <w:rsid w:val="00BB2739"/>
    <w:rsid w:val="00BB517E"/>
    <w:rsid w:val="00BB68A8"/>
    <w:rsid w:val="00BB6B3C"/>
    <w:rsid w:val="00BB7034"/>
    <w:rsid w:val="00BB7196"/>
    <w:rsid w:val="00BB7578"/>
    <w:rsid w:val="00BC0185"/>
    <w:rsid w:val="00BC0C09"/>
    <w:rsid w:val="00BC3199"/>
    <w:rsid w:val="00BC4756"/>
    <w:rsid w:val="00BC4F4C"/>
    <w:rsid w:val="00BC5BF6"/>
    <w:rsid w:val="00BC76E6"/>
    <w:rsid w:val="00BC77BE"/>
    <w:rsid w:val="00BC7E1C"/>
    <w:rsid w:val="00BD0D64"/>
    <w:rsid w:val="00BD0EDE"/>
    <w:rsid w:val="00BD10C9"/>
    <w:rsid w:val="00BD1245"/>
    <w:rsid w:val="00BD1572"/>
    <w:rsid w:val="00BD1617"/>
    <w:rsid w:val="00BD161A"/>
    <w:rsid w:val="00BD17E7"/>
    <w:rsid w:val="00BD1A32"/>
    <w:rsid w:val="00BD1D0B"/>
    <w:rsid w:val="00BD45C5"/>
    <w:rsid w:val="00BD4DA8"/>
    <w:rsid w:val="00BD60FC"/>
    <w:rsid w:val="00BD6C75"/>
    <w:rsid w:val="00BD7975"/>
    <w:rsid w:val="00BD7D9D"/>
    <w:rsid w:val="00BE00E1"/>
    <w:rsid w:val="00BE0DFC"/>
    <w:rsid w:val="00BE1676"/>
    <w:rsid w:val="00BE4410"/>
    <w:rsid w:val="00BE4F2C"/>
    <w:rsid w:val="00BE585A"/>
    <w:rsid w:val="00BE5AAB"/>
    <w:rsid w:val="00BE5DAA"/>
    <w:rsid w:val="00BE6233"/>
    <w:rsid w:val="00BE6515"/>
    <w:rsid w:val="00BE66A2"/>
    <w:rsid w:val="00BE6B84"/>
    <w:rsid w:val="00BE725F"/>
    <w:rsid w:val="00BF0A54"/>
    <w:rsid w:val="00BF0CA2"/>
    <w:rsid w:val="00BF0EB7"/>
    <w:rsid w:val="00BF0ECD"/>
    <w:rsid w:val="00BF1EC9"/>
    <w:rsid w:val="00BF2022"/>
    <w:rsid w:val="00BF2BDC"/>
    <w:rsid w:val="00BF36FA"/>
    <w:rsid w:val="00BF3D73"/>
    <w:rsid w:val="00BF481C"/>
    <w:rsid w:val="00BF5759"/>
    <w:rsid w:val="00BF60F1"/>
    <w:rsid w:val="00BF6180"/>
    <w:rsid w:val="00BF6A9B"/>
    <w:rsid w:val="00BF792D"/>
    <w:rsid w:val="00BF7EAD"/>
    <w:rsid w:val="00C0031A"/>
    <w:rsid w:val="00C00451"/>
    <w:rsid w:val="00C00928"/>
    <w:rsid w:val="00C00EB0"/>
    <w:rsid w:val="00C029E5"/>
    <w:rsid w:val="00C03509"/>
    <w:rsid w:val="00C03E14"/>
    <w:rsid w:val="00C04C0C"/>
    <w:rsid w:val="00C05C9A"/>
    <w:rsid w:val="00C05E47"/>
    <w:rsid w:val="00C06C94"/>
    <w:rsid w:val="00C06CB2"/>
    <w:rsid w:val="00C100FA"/>
    <w:rsid w:val="00C1049A"/>
    <w:rsid w:val="00C113BD"/>
    <w:rsid w:val="00C128F1"/>
    <w:rsid w:val="00C1352E"/>
    <w:rsid w:val="00C13FB7"/>
    <w:rsid w:val="00C155E6"/>
    <w:rsid w:val="00C15A62"/>
    <w:rsid w:val="00C15BDF"/>
    <w:rsid w:val="00C16507"/>
    <w:rsid w:val="00C171A3"/>
    <w:rsid w:val="00C17406"/>
    <w:rsid w:val="00C21710"/>
    <w:rsid w:val="00C22106"/>
    <w:rsid w:val="00C221A0"/>
    <w:rsid w:val="00C22804"/>
    <w:rsid w:val="00C22B1C"/>
    <w:rsid w:val="00C22CF6"/>
    <w:rsid w:val="00C25BDB"/>
    <w:rsid w:val="00C264BB"/>
    <w:rsid w:val="00C2689F"/>
    <w:rsid w:val="00C274EF"/>
    <w:rsid w:val="00C276FC"/>
    <w:rsid w:val="00C3084F"/>
    <w:rsid w:val="00C30B23"/>
    <w:rsid w:val="00C322F9"/>
    <w:rsid w:val="00C32957"/>
    <w:rsid w:val="00C32C48"/>
    <w:rsid w:val="00C330EF"/>
    <w:rsid w:val="00C342B8"/>
    <w:rsid w:val="00C3485F"/>
    <w:rsid w:val="00C3730E"/>
    <w:rsid w:val="00C378ED"/>
    <w:rsid w:val="00C37DA5"/>
    <w:rsid w:val="00C4040C"/>
    <w:rsid w:val="00C405F0"/>
    <w:rsid w:val="00C40995"/>
    <w:rsid w:val="00C412ED"/>
    <w:rsid w:val="00C41EB7"/>
    <w:rsid w:val="00C42C28"/>
    <w:rsid w:val="00C43A50"/>
    <w:rsid w:val="00C445F0"/>
    <w:rsid w:val="00C4466E"/>
    <w:rsid w:val="00C45338"/>
    <w:rsid w:val="00C47539"/>
    <w:rsid w:val="00C501CC"/>
    <w:rsid w:val="00C5068A"/>
    <w:rsid w:val="00C50C1E"/>
    <w:rsid w:val="00C519CB"/>
    <w:rsid w:val="00C51A1B"/>
    <w:rsid w:val="00C5282F"/>
    <w:rsid w:val="00C52E4D"/>
    <w:rsid w:val="00C54A32"/>
    <w:rsid w:val="00C54EA3"/>
    <w:rsid w:val="00C5604A"/>
    <w:rsid w:val="00C568C4"/>
    <w:rsid w:val="00C56D8E"/>
    <w:rsid w:val="00C57CAB"/>
    <w:rsid w:val="00C6093F"/>
    <w:rsid w:val="00C615E2"/>
    <w:rsid w:val="00C62C03"/>
    <w:rsid w:val="00C63595"/>
    <w:rsid w:val="00C64839"/>
    <w:rsid w:val="00C65361"/>
    <w:rsid w:val="00C65994"/>
    <w:rsid w:val="00C65A60"/>
    <w:rsid w:val="00C65DBC"/>
    <w:rsid w:val="00C66113"/>
    <w:rsid w:val="00C661D0"/>
    <w:rsid w:val="00C67726"/>
    <w:rsid w:val="00C6775D"/>
    <w:rsid w:val="00C67ABB"/>
    <w:rsid w:val="00C709DB"/>
    <w:rsid w:val="00C71377"/>
    <w:rsid w:val="00C71A39"/>
    <w:rsid w:val="00C732AD"/>
    <w:rsid w:val="00C73388"/>
    <w:rsid w:val="00C74823"/>
    <w:rsid w:val="00C750A4"/>
    <w:rsid w:val="00C75166"/>
    <w:rsid w:val="00C754E2"/>
    <w:rsid w:val="00C758A7"/>
    <w:rsid w:val="00C75F2E"/>
    <w:rsid w:val="00C76591"/>
    <w:rsid w:val="00C774B8"/>
    <w:rsid w:val="00C77B30"/>
    <w:rsid w:val="00C77B82"/>
    <w:rsid w:val="00C81425"/>
    <w:rsid w:val="00C8442A"/>
    <w:rsid w:val="00C84DAD"/>
    <w:rsid w:val="00C85694"/>
    <w:rsid w:val="00C87155"/>
    <w:rsid w:val="00C87456"/>
    <w:rsid w:val="00C90957"/>
    <w:rsid w:val="00C961FA"/>
    <w:rsid w:val="00C9649E"/>
    <w:rsid w:val="00C9656B"/>
    <w:rsid w:val="00C969FE"/>
    <w:rsid w:val="00C97A0A"/>
    <w:rsid w:val="00CA03DD"/>
    <w:rsid w:val="00CA2A20"/>
    <w:rsid w:val="00CA2B71"/>
    <w:rsid w:val="00CA2CCC"/>
    <w:rsid w:val="00CA37C6"/>
    <w:rsid w:val="00CA40AE"/>
    <w:rsid w:val="00CA47B9"/>
    <w:rsid w:val="00CA4F33"/>
    <w:rsid w:val="00CA50A5"/>
    <w:rsid w:val="00CA546A"/>
    <w:rsid w:val="00CA6636"/>
    <w:rsid w:val="00CA6646"/>
    <w:rsid w:val="00CA6EFA"/>
    <w:rsid w:val="00CB0A6A"/>
    <w:rsid w:val="00CB414D"/>
    <w:rsid w:val="00CB47F2"/>
    <w:rsid w:val="00CB5A38"/>
    <w:rsid w:val="00CB5C50"/>
    <w:rsid w:val="00CB623D"/>
    <w:rsid w:val="00CB66A3"/>
    <w:rsid w:val="00CB6FE7"/>
    <w:rsid w:val="00CB745F"/>
    <w:rsid w:val="00CC122C"/>
    <w:rsid w:val="00CC237F"/>
    <w:rsid w:val="00CC2694"/>
    <w:rsid w:val="00CC2795"/>
    <w:rsid w:val="00CC2BBE"/>
    <w:rsid w:val="00CC32E8"/>
    <w:rsid w:val="00CC3882"/>
    <w:rsid w:val="00CC4067"/>
    <w:rsid w:val="00CC40EA"/>
    <w:rsid w:val="00CC47DA"/>
    <w:rsid w:val="00CC4954"/>
    <w:rsid w:val="00CC5049"/>
    <w:rsid w:val="00CC58B7"/>
    <w:rsid w:val="00CC769F"/>
    <w:rsid w:val="00CD0A48"/>
    <w:rsid w:val="00CD0F31"/>
    <w:rsid w:val="00CD136C"/>
    <w:rsid w:val="00CD2383"/>
    <w:rsid w:val="00CD25AC"/>
    <w:rsid w:val="00CD5CED"/>
    <w:rsid w:val="00CD60B3"/>
    <w:rsid w:val="00CD70B3"/>
    <w:rsid w:val="00CD7A48"/>
    <w:rsid w:val="00CE109C"/>
    <w:rsid w:val="00CE3D5B"/>
    <w:rsid w:val="00CE4058"/>
    <w:rsid w:val="00CE4294"/>
    <w:rsid w:val="00CE4585"/>
    <w:rsid w:val="00CE4E98"/>
    <w:rsid w:val="00CE615F"/>
    <w:rsid w:val="00CE6CD1"/>
    <w:rsid w:val="00CE728A"/>
    <w:rsid w:val="00CE7E71"/>
    <w:rsid w:val="00CF0A08"/>
    <w:rsid w:val="00CF1FFF"/>
    <w:rsid w:val="00CF3C77"/>
    <w:rsid w:val="00CF3DE8"/>
    <w:rsid w:val="00CF4517"/>
    <w:rsid w:val="00CF4F29"/>
    <w:rsid w:val="00CF513D"/>
    <w:rsid w:val="00CF57DE"/>
    <w:rsid w:val="00CF5B5A"/>
    <w:rsid w:val="00CF7078"/>
    <w:rsid w:val="00CF74BA"/>
    <w:rsid w:val="00CF7620"/>
    <w:rsid w:val="00CF789E"/>
    <w:rsid w:val="00CF79F7"/>
    <w:rsid w:val="00D00313"/>
    <w:rsid w:val="00D00630"/>
    <w:rsid w:val="00D01C66"/>
    <w:rsid w:val="00D02DE2"/>
    <w:rsid w:val="00D02E31"/>
    <w:rsid w:val="00D034A2"/>
    <w:rsid w:val="00D048A7"/>
    <w:rsid w:val="00D04AF8"/>
    <w:rsid w:val="00D0563A"/>
    <w:rsid w:val="00D06D4F"/>
    <w:rsid w:val="00D06F23"/>
    <w:rsid w:val="00D06FBD"/>
    <w:rsid w:val="00D075CD"/>
    <w:rsid w:val="00D10158"/>
    <w:rsid w:val="00D1053D"/>
    <w:rsid w:val="00D11540"/>
    <w:rsid w:val="00D11945"/>
    <w:rsid w:val="00D11A2A"/>
    <w:rsid w:val="00D13BD4"/>
    <w:rsid w:val="00D170EE"/>
    <w:rsid w:val="00D201B7"/>
    <w:rsid w:val="00D2134C"/>
    <w:rsid w:val="00D217A7"/>
    <w:rsid w:val="00D223FF"/>
    <w:rsid w:val="00D22734"/>
    <w:rsid w:val="00D22893"/>
    <w:rsid w:val="00D22D5F"/>
    <w:rsid w:val="00D231F6"/>
    <w:rsid w:val="00D238E7"/>
    <w:rsid w:val="00D23B55"/>
    <w:rsid w:val="00D245E7"/>
    <w:rsid w:val="00D248EA"/>
    <w:rsid w:val="00D256D4"/>
    <w:rsid w:val="00D2677C"/>
    <w:rsid w:val="00D26785"/>
    <w:rsid w:val="00D268F3"/>
    <w:rsid w:val="00D2694F"/>
    <w:rsid w:val="00D26E18"/>
    <w:rsid w:val="00D27073"/>
    <w:rsid w:val="00D27CFF"/>
    <w:rsid w:val="00D30252"/>
    <w:rsid w:val="00D30C17"/>
    <w:rsid w:val="00D31520"/>
    <w:rsid w:val="00D32153"/>
    <w:rsid w:val="00D32A59"/>
    <w:rsid w:val="00D33458"/>
    <w:rsid w:val="00D336DB"/>
    <w:rsid w:val="00D338E0"/>
    <w:rsid w:val="00D33966"/>
    <w:rsid w:val="00D339A0"/>
    <w:rsid w:val="00D36610"/>
    <w:rsid w:val="00D36B75"/>
    <w:rsid w:val="00D371BD"/>
    <w:rsid w:val="00D40038"/>
    <w:rsid w:val="00D40ADA"/>
    <w:rsid w:val="00D419A5"/>
    <w:rsid w:val="00D4280D"/>
    <w:rsid w:val="00D43280"/>
    <w:rsid w:val="00D432DC"/>
    <w:rsid w:val="00D4420B"/>
    <w:rsid w:val="00D44CB1"/>
    <w:rsid w:val="00D44CBE"/>
    <w:rsid w:val="00D453CC"/>
    <w:rsid w:val="00D45A1D"/>
    <w:rsid w:val="00D465DA"/>
    <w:rsid w:val="00D46F19"/>
    <w:rsid w:val="00D46F1D"/>
    <w:rsid w:val="00D47027"/>
    <w:rsid w:val="00D47A1C"/>
    <w:rsid w:val="00D50065"/>
    <w:rsid w:val="00D52620"/>
    <w:rsid w:val="00D5299E"/>
    <w:rsid w:val="00D53082"/>
    <w:rsid w:val="00D534D0"/>
    <w:rsid w:val="00D5365D"/>
    <w:rsid w:val="00D538F2"/>
    <w:rsid w:val="00D541F3"/>
    <w:rsid w:val="00D54BFA"/>
    <w:rsid w:val="00D5551B"/>
    <w:rsid w:val="00D56C39"/>
    <w:rsid w:val="00D571E1"/>
    <w:rsid w:val="00D57B54"/>
    <w:rsid w:val="00D60A44"/>
    <w:rsid w:val="00D61D86"/>
    <w:rsid w:val="00D630CC"/>
    <w:rsid w:val="00D638BC"/>
    <w:rsid w:val="00D66A5E"/>
    <w:rsid w:val="00D66DA0"/>
    <w:rsid w:val="00D67112"/>
    <w:rsid w:val="00D6774B"/>
    <w:rsid w:val="00D67C10"/>
    <w:rsid w:val="00D708BB"/>
    <w:rsid w:val="00D70A65"/>
    <w:rsid w:val="00D70EC2"/>
    <w:rsid w:val="00D70F80"/>
    <w:rsid w:val="00D711E8"/>
    <w:rsid w:val="00D71A7D"/>
    <w:rsid w:val="00D71C0C"/>
    <w:rsid w:val="00D746E6"/>
    <w:rsid w:val="00D7609B"/>
    <w:rsid w:val="00D76473"/>
    <w:rsid w:val="00D774FD"/>
    <w:rsid w:val="00D77D73"/>
    <w:rsid w:val="00D82D3A"/>
    <w:rsid w:val="00D837A2"/>
    <w:rsid w:val="00D8394E"/>
    <w:rsid w:val="00D83AE5"/>
    <w:rsid w:val="00D8405C"/>
    <w:rsid w:val="00D84BD4"/>
    <w:rsid w:val="00D84E14"/>
    <w:rsid w:val="00D84FDB"/>
    <w:rsid w:val="00D85366"/>
    <w:rsid w:val="00D853C0"/>
    <w:rsid w:val="00D85D75"/>
    <w:rsid w:val="00D85EEE"/>
    <w:rsid w:val="00D86785"/>
    <w:rsid w:val="00D870CE"/>
    <w:rsid w:val="00D8729F"/>
    <w:rsid w:val="00D87475"/>
    <w:rsid w:val="00D87622"/>
    <w:rsid w:val="00D8777D"/>
    <w:rsid w:val="00D87C57"/>
    <w:rsid w:val="00D913E0"/>
    <w:rsid w:val="00D91E27"/>
    <w:rsid w:val="00D92326"/>
    <w:rsid w:val="00D93094"/>
    <w:rsid w:val="00D93B76"/>
    <w:rsid w:val="00D93B77"/>
    <w:rsid w:val="00D94191"/>
    <w:rsid w:val="00D9485A"/>
    <w:rsid w:val="00D96A93"/>
    <w:rsid w:val="00D979FB"/>
    <w:rsid w:val="00D97DFB"/>
    <w:rsid w:val="00DA0B1E"/>
    <w:rsid w:val="00DA1724"/>
    <w:rsid w:val="00DA2A8F"/>
    <w:rsid w:val="00DA325A"/>
    <w:rsid w:val="00DA3CEC"/>
    <w:rsid w:val="00DA45A6"/>
    <w:rsid w:val="00DA4C99"/>
    <w:rsid w:val="00DA4DF1"/>
    <w:rsid w:val="00DA5FB6"/>
    <w:rsid w:val="00DA67B0"/>
    <w:rsid w:val="00DA68EB"/>
    <w:rsid w:val="00DA739F"/>
    <w:rsid w:val="00DA7AD5"/>
    <w:rsid w:val="00DB0839"/>
    <w:rsid w:val="00DB098C"/>
    <w:rsid w:val="00DB0CB2"/>
    <w:rsid w:val="00DB133B"/>
    <w:rsid w:val="00DB1498"/>
    <w:rsid w:val="00DB2A5D"/>
    <w:rsid w:val="00DB311A"/>
    <w:rsid w:val="00DB3691"/>
    <w:rsid w:val="00DB3F61"/>
    <w:rsid w:val="00DB6763"/>
    <w:rsid w:val="00DB79C1"/>
    <w:rsid w:val="00DB7DC5"/>
    <w:rsid w:val="00DB7FB5"/>
    <w:rsid w:val="00DC0135"/>
    <w:rsid w:val="00DC023F"/>
    <w:rsid w:val="00DC2C31"/>
    <w:rsid w:val="00DC3087"/>
    <w:rsid w:val="00DC3151"/>
    <w:rsid w:val="00DC3515"/>
    <w:rsid w:val="00DC360F"/>
    <w:rsid w:val="00DC4BCE"/>
    <w:rsid w:val="00DC52AB"/>
    <w:rsid w:val="00DC70F8"/>
    <w:rsid w:val="00DC71E7"/>
    <w:rsid w:val="00DC7B9D"/>
    <w:rsid w:val="00DD06E7"/>
    <w:rsid w:val="00DD1FCB"/>
    <w:rsid w:val="00DD24BC"/>
    <w:rsid w:val="00DD3588"/>
    <w:rsid w:val="00DD3C58"/>
    <w:rsid w:val="00DD4064"/>
    <w:rsid w:val="00DD4479"/>
    <w:rsid w:val="00DD592B"/>
    <w:rsid w:val="00DD5C44"/>
    <w:rsid w:val="00DD6594"/>
    <w:rsid w:val="00DD6665"/>
    <w:rsid w:val="00DD6BC4"/>
    <w:rsid w:val="00DD7BFA"/>
    <w:rsid w:val="00DE12AB"/>
    <w:rsid w:val="00DE17D7"/>
    <w:rsid w:val="00DE18EC"/>
    <w:rsid w:val="00DE1A52"/>
    <w:rsid w:val="00DE1B84"/>
    <w:rsid w:val="00DE1E60"/>
    <w:rsid w:val="00DE2725"/>
    <w:rsid w:val="00DE38FD"/>
    <w:rsid w:val="00DE5579"/>
    <w:rsid w:val="00DE6400"/>
    <w:rsid w:val="00DE644F"/>
    <w:rsid w:val="00DE6643"/>
    <w:rsid w:val="00DE76C7"/>
    <w:rsid w:val="00DE7E81"/>
    <w:rsid w:val="00DF0553"/>
    <w:rsid w:val="00DF0719"/>
    <w:rsid w:val="00DF0769"/>
    <w:rsid w:val="00DF18C4"/>
    <w:rsid w:val="00DF1A05"/>
    <w:rsid w:val="00DF220E"/>
    <w:rsid w:val="00DF33B4"/>
    <w:rsid w:val="00DF3A14"/>
    <w:rsid w:val="00DF4262"/>
    <w:rsid w:val="00DF5190"/>
    <w:rsid w:val="00DF699A"/>
    <w:rsid w:val="00DF6E4E"/>
    <w:rsid w:val="00DF6F5A"/>
    <w:rsid w:val="00DF7A38"/>
    <w:rsid w:val="00DF7A54"/>
    <w:rsid w:val="00E00652"/>
    <w:rsid w:val="00E0078B"/>
    <w:rsid w:val="00E00E53"/>
    <w:rsid w:val="00E010F0"/>
    <w:rsid w:val="00E04141"/>
    <w:rsid w:val="00E041E4"/>
    <w:rsid w:val="00E048C5"/>
    <w:rsid w:val="00E056EA"/>
    <w:rsid w:val="00E05F8B"/>
    <w:rsid w:val="00E072AB"/>
    <w:rsid w:val="00E10ED6"/>
    <w:rsid w:val="00E13208"/>
    <w:rsid w:val="00E14334"/>
    <w:rsid w:val="00E14DCF"/>
    <w:rsid w:val="00E1545D"/>
    <w:rsid w:val="00E15A74"/>
    <w:rsid w:val="00E15CE9"/>
    <w:rsid w:val="00E15D13"/>
    <w:rsid w:val="00E1606A"/>
    <w:rsid w:val="00E166DC"/>
    <w:rsid w:val="00E17048"/>
    <w:rsid w:val="00E177C8"/>
    <w:rsid w:val="00E17A75"/>
    <w:rsid w:val="00E17D29"/>
    <w:rsid w:val="00E21E8E"/>
    <w:rsid w:val="00E220A9"/>
    <w:rsid w:val="00E23193"/>
    <w:rsid w:val="00E3065D"/>
    <w:rsid w:val="00E30B2A"/>
    <w:rsid w:val="00E30B94"/>
    <w:rsid w:val="00E317CC"/>
    <w:rsid w:val="00E318C3"/>
    <w:rsid w:val="00E31DFF"/>
    <w:rsid w:val="00E330B9"/>
    <w:rsid w:val="00E33EB5"/>
    <w:rsid w:val="00E343FA"/>
    <w:rsid w:val="00E35710"/>
    <w:rsid w:val="00E35D1E"/>
    <w:rsid w:val="00E36517"/>
    <w:rsid w:val="00E36FD8"/>
    <w:rsid w:val="00E36FDC"/>
    <w:rsid w:val="00E37719"/>
    <w:rsid w:val="00E37871"/>
    <w:rsid w:val="00E37D99"/>
    <w:rsid w:val="00E409F7"/>
    <w:rsid w:val="00E40D43"/>
    <w:rsid w:val="00E4216D"/>
    <w:rsid w:val="00E43252"/>
    <w:rsid w:val="00E43B87"/>
    <w:rsid w:val="00E4472D"/>
    <w:rsid w:val="00E44FE3"/>
    <w:rsid w:val="00E450B4"/>
    <w:rsid w:val="00E453F9"/>
    <w:rsid w:val="00E46031"/>
    <w:rsid w:val="00E460EA"/>
    <w:rsid w:val="00E461E9"/>
    <w:rsid w:val="00E46222"/>
    <w:rsid w:val="00E46618"/>
    <w:rsid w:val="00E469D8"/>
    <w:rsid w:val="00E4719F"/>
    <w:rsid w:val="00E47476"/>
    <w:rsid w:val="00E50530"/>
    <w:rsid w:val="00E50CDE"/>
    <w:rsid w:val="00E50D48"/>
    <w:rsid w:val="00E50F6F"/>
    <w:rsid w:val="00E515B4"/>
    <w:rsid w:val="00E517B7"/>
    <w:rsid w:val="00E519C8"/>
    <w:rsid w:val="00E5388D"/>
    <w:rsid w:val="00E53C36"/>
    <w:rsid w:val="00E54308"/>
    <w:rsid w:val="00E54473"/>
    <w:rsid w:val="00E547BD"/>
    <w:rsid w:val="00E54BC4"/>
    <w:rsid w:val="00E55B5C"/>
    <w:rsid w:val="00E55DFA"/>
    <w:rsid w:val="00E568A7"/>
    <w:rsid w:val="00E56C57"/>
    <w:rsid w:val="00E5786E"/>
    <w:rsid w:val="00E57E48"/>
    <w:rsid w:val="00E60718"/>
    <w:rsid w:val="00E60C76"/>
    <w:rsid w:val="00E60F95"/>
    <w:rsid w:val="00E61257"/>
    <w:rsid w:val="00E62456"/>
    <w:rsid w:val="00E62B55"/>
    <w:rsid w:val="00E63A65"/>
    <w:rsid w:val="00E64887"/>
    <w:rsid w:val="00E64D55"/>
    <w:rsid w:val="00E654BC"/>
    <w:rsid w:val="00E660D3"/>
    <w:rsid w:val="00E661A4"/>
    <w:rsid w:val="00E66276"/>
    <w:rsid w:val="00E66743"/>
    <w:rsid w:val="00E67345"/>
    <w:rsid w:val="00E67F67"/>
    <w:rsid w:val="00E71424"/>
    <w:rsid w:val="00E71AC9"/>
    <w:rsid w:val="00E72391"/>
    <w:rsid w:val="00E73C1E"/>
    <w:rsid w:val="00E7432E"/>
    <w:rsid w:val="00E7436F"/>
    <w:rsid w:val="00E74F15"/>
    <w:rsid w:val="00E74F17"/>
    <w:rsid w:val="00E758B1"/>
    <w:rsid w:val="00E75A32"/>
    <w:rsid w:val="00E75A82"/>
    <w:rsid w:val="00E75F58"/>
    <w:rsid w:val="00E76B74"/>
    <w:rsid w:val="00E76E86"/>
    <w:rsid w:val="00E800DE"/>
    <w:rsid w:val="00E80100"/>
    <w:rsid w:val="00E81B39"/>
    <w:rsid w:val="00E82681"/>
    <w:rsid w:val="00E82779"/>
    <w:rsid w:val="00E831D9"/>
    <w:rsid w:val="00E84303"/>
    <w:rsid w:val="00E849EF"/>
    <w:rsid w:val="00E84FB2"/>
    <w:rsid w:val="00E8625D"/>
    <w:rsid w:val="00E864BF"/>
    <w:rsid w:val="00E8710D"/>
    <w:rsid w:val="00E8779B"/>
    <w:rsid w:val="00E877F6"/>
    <w:rsid w:val="00E90E06"/>
    <w:rsid w:val="00E91EC3"/>
    <w:rsid w:val="00E92689"/>
    <w:rsid w:val="00E92B75"/>
    <w:rsid w:val="00E94071"/>
    <w:rsid w:val="00E94B2F"/>
    <w:rsid w:val="00E95263"/>
    <w:rsid w:val="00E95FC3"/>
    <w:rsid w:val="00E979C9"/>
    <w:rsid w:val="00EA01E7"/>
    <w:rsid w:val="00EA0525"/>
    <w:rsid w:val="00EA087C"/>
    <w:rsid w:val="00EA1FB6"/>
    <w:rsid w:val="00EA42EA"/>
    <w:rsid w:val="00EA4A75"/>
    <w:rsid w:val="00EA4B71"/>
    <w:rsid w:val="00EA73AD"/>
    <w:rsid w:val="00EB125E"/>
    <w:rsid w:val="00EB155D"/>
    <w:rsid w:val="00EB1A3E"/>
    <w:rsid w:val="00EB260A"/>
    <w:rsid w:val="00EB4B53"/>
    <w:rsid w:val="00EB508C"/>
    <w:rsid w:val="00EB57BD"/>
    <w:rsid w:val="00EB6054"/>
    <w:rsid w:val="00EB742D"/>
    <w:rsid w:val="00EC00CA"/>
    <w:rsid w:val="00EC1FA7"/>
    <w:rsid w:val="00EC32DA"/>
    <w:rsid w:val="00EC3A7A"/>
    <w:rsid w:val="00EC43D5"/>
    <w:rsid w:val="00EC4B6F"/>
    <w:rsid w:val="00EC5899"/>
    <w:rsid w:val="00EC5B5D"/>
    <w:rsid w:val="00EC6399"/>
    <w:rsid w:val="00EC6F7A"/>
    <w:rsid w:val="00EC7439"/>
    <w:rsid w:val="00EC7710"/>
    <w:rsid w:val="00EC7BA5"/>
    <w:rsid w:val="00EC7D48"/>
    <w:rsid w:val="00ED0A80"/>
    <w:rsid w:val="00ED1C06"/>
    <w:rsid w:val="00ED1CE5"/>
    <w:rsid w:val="00ED357C"/>
    <w:rsid w:val="00ED3A4B"/>
    <w:rsid w:val="00ED4613"/>
    <w:rsid w:val="00ED50D0"/>
    <w:rsid w:val="00ED59EA"/>
    <w:rsid w:val="00ED5E34"/>
    <w:rsid w:val="00ED5F92"/>
    <w:rsid w:val="00ED6C17"/>
    <w:rsid w:val="00ED7435"/>
    <w:rsid w:val="00ED7FAE"/>
    <w:rsid w:val="00EE167D"/>
    <w:rsid w:val="00EE16D0"/>
    <w:rsid w:val="00EE16F1"/>
    <w:rsid w:val="00EE21F2"/>
    <w:rsid w:val="00EE30F0"/>
    <w:rsid w:val="00EE3F49"/>
    <w:rsid w:val="00EE4A75"/>
    <w:rsid w:val="00EE4A9C"/>
    <w:rsid w:val="00EE573A"/>
    <w:rsid w:val="00EE5867"/>
    <w:rsid w:val="00EE5C3E"/>
    <w:rsid w:val="00EE5F4F"/>
    <w:rsid w:val="00EE6254"/>
    <w:rsid w:val="00EE6E8F"/>
    <w:rsid w:val="00EE79FA"/>
    <w:rsid w:val="00EE7FD5"/>
    <w:rsid w:val="00EF0A85"/>
    <w:rsid w:val="00EF2B55"/>
    <w:rsid w:val="00EF3749"/>
    <w:rsid w:val="00EF4668"/>
    <w:rsid w:val="00EF4C9F"/>
    <w:rsid w:val="00EF4DF6"/>
    <w:rsid w:val="00EF4EA3"/>
    <w:rsid w:val="00EF6DB2"/>
    <w:rsid w:val="00EF7034"/>
    <w:rsid w:val="00EF7672"/>
    <w:rsid w:val="00EF7EC7"/>
    <w:rsid w:val="00F00001"/>
    <w:rsid w:val="00F00E33"/>
    <w:rsid w:val="00F01927"/>
    <w:rsid w:val="00F0247C"/>
    <w:rsid w:val="00F03E9F"/>
    <w:rsid w:val="00F0453B"/>
    <w:rsid w:val="00F04937"/>
    <w:rsid w:val="00F04A4C"/>
    <w:rsid w:val="00F0512F"/>
    <w:rsid w:val="00F053FA"/>
    <w:rsid w:val="00F07173"/>
    <w:rsid w:val="00F07E96"/>
    <w:rsid w:val="00F10314"/>
    <w:rsid w:val="00F103CA"/>
    <w:rsid w:val="00F1097C"/>
    <w:rsid w:val="00F10FA5"/>
    <w:rsid w:val="00F11037"/>
    <w:rsid w:val="00F11368"/>
    <w:rsid w:val="00F11437"/>
    <w:rsid w:val="00F11ABB"/>
    <w:rsid w:val="00F124CF"/>
    <w:rsid w:val="00F132C8"/>
    <w:rsid w:val="00F13A08"/>
    <w:rsid w:val="00F151FA"/>
    <w:rsid w:val="00F15AB6"/>
    <w:rsid w:val="00F165C3"/>
    <w:rsid w:val="00F16D09"/>
    <w:rsid w:val="00F16DEA"/>
    <w:rsid w:val="00F17227"/>
    <w:rsid w:val="00F17DD6"/>
    <w:rsid w:val="00F206E7"/>
    <w:rsid w:val="00F210B3"/>
    <w:rsid w:val="00F21840"/>
    <w:rsid w:val="00F22C0A"/>
    <w:rsid w:val="00F237C8"/>
    <w:rsid w:val="00F23AC2"/>
    <w:rsid w:val="00F23B72"/>
    <w:rsid w:val="00F23B80"/>
    <w:rsid w:val="00F26485"/>
    <w:rsid w:val="00F26FB4"/>
    <w:rsid w:val="00F276CF"/>
    <w:rsid w:val="00F30339"/>
    <w:rsid w:val="00F3196D"/>
    <w:rsid w:val="00F32289"/>
    <w:rsid w:val="00F33530"/>
    <w:rsid w:val="00F335B3"/>
    <w:rsid w:val="00F33A74"/>
    <w:rsid w:val="00F35517"/>
    <w:rsid w:val="00F365CC"/>
    <w:rsid w:val="00F37C97"/>
    <w:rsid w:val="00F405D5"/>
    <w:rsid w:val="00F405DF"/>
    <w:rsid w:val="00F41986"/>
    <w:rsid w:val="00F4225A"/>
    <w:rsid w:val="00F422C8"/>
    <w:rsid w:val="00F424F4"/>
    <w:rsid w:val="00F425C3"/>
    <w:rsid w:val="00F430F9"/>
    <w:rsid w:val="00F44BF0"/>
    <w:rsid w:val="00F46457"/>
    <w:rsid w:val="00F46652"/>
    <w:rsid w:val="00F468DC"/>
    <w:rsid w:val="00F46D46"/>
    <w:rsid w:val="00F46D73"/>
    <w:rsid w:val="00F506CD"/>
    <w:rsid w:val="00F50EA2"/>
    <w:rsid w:val="00F51410"/>
    <w:rsid w:val="00F5168F"/>
    <w:rsid w:val="00F51964"/>
    <w:rsid w:val="00F52FCB"/>
    <w:rsid w:val="00F53050"/>
    <w:rsid w:val="00F53AB1"/>
    <w:rsid w:val="00F54BE3"/>
    <w:rsid w:val="00F54ED4"/>
    <w:rsid w:val="00F552BC"/>
    <w:rsid w:val="00F55541"/>
    <w:rsid w:val="00F557FA"/>
    <w:rsid w:val="00F55CB0"/>
    <w:rsid w:val="00F56031"/>
    <w:rsid w:val="00F5666D"/>
    <w:rsid w:val="00F567E1"/>
    <w:rsid w:val="00F57451"/>
    <w:rsid w:val="00F5792B"/>
    <w:rsid w:val="00F602B4"/>
    <w:rsid w:val="00F6033A"/>
    <w:rsid w:val="00F6033F"/>
    <w:rsid w:val="00F6060E"/>
    <w:rsid w:val="00F61A98"/>
    <w:rsid w:val="00F61D7C"/>
    <w:rsid w:val="00F61DD2"/>
    <w:rsid w:val="00F6309C"/>
    <w:rsid w:val="00F63209"/>
    <w:rsid w:val="00F6342C"/>
    <w:rsid w:val="00F638DF"/>
    <w:rsid w:val="00F63FBB"/>
    <w:rsid w:val="00F64638"/>
    <w:rsid w:val="00F6466C"/>
    <w:rsid w:val="00F6476E"/>
    <w:rsid w:val="00F64D05"/>
    <w:rsid w:val="00F65AA8"/>
    <w:rsid w:val="00F65BCE"/>
    <w:rsid w:val="00F677FB"/>
    <w:rsid w:val="00F67C02"/>
    <w:rsid w:val="00F67C39"/>
    <w:rsid w:val="00F70213"/>
    <w:rsid w:val="00F702F3"/>
    <w:rsid w:val="00F71CC9"/>
    <w:rsid w:val="00F71E8A"/>
    <w:rsid w:val="00F71F6A"/>
    <w:rsid w:val="00F72094"/>
    <w:rsid w:val="00F721B6"/>
    <w:rsid w:val="00F72B1B"/>
    <w:rsid w:val="00F7375D"/>
    <w:rsid w:val="00F737C6"/>
    <w:rsid w:val="00F73FF5"/>
    <w:rsid w:val="00F74052"/>
    <w:rsid w:val="00F740B3"/>
    <w:rsid w:val="00F74225"/>
    <w:rsid w:val="00F750AE"/>
    <w:rsid w:val="00F7542F"/>
    <w:rsid w:val="00F754F4"/>
    <w:rsid w:val="00F7550E"/>
    <w:rsid w:val="00F75657"/>
    <w:rsid w:val="00F75AF4"/>
    <w:rsid w:val="00F76691"/>
    <w:rsid w:val="00F7736A"/>
    <w:rsid w:val="00F8078A"/>
    <w:rsid w:val="00F82EBD"/>
    <w:rsid w:val="00F830E9"/>
    <w:rsid w:val="00F8369D"/>
    <w:rsid w:val="00F8387B"/>
    <w:rsid w:val="00F8484B"/>
    <w:rsid w:val="00F86269"/>
    <w:rsid w:val="00F86744"/>
    <w:rsid w:val="00F8722A"/>
    <w:rsid w:val="00F874F3"/>
    <w:rsid w:val="00F8757F"/>
    <w:rsid w:val="00F90AB0"/>
    <w:rsid w:val="00F91072"/>
    <w:rsid w:val="00F91573"/>
    <w:rsid w:val="00F918E8"/>
    <w:rsid w:val="00F92360"/>
    <w:rsid w:val="00F932F8"/>
    <w:rsid w:val="00F9359A"/>
    <w:rsid w:val="00F9381C"/>
    <w:rsid w:val="00F938A0"/>
    <w:rsid w:val="00F9748F"/>
    <w:rsid w:val="00F975F7"/>
    <w:rsid w:val="00F9792C"/>
    <w:rsid w:val="00F97E17"/>
    <w:rsid w:val="00FA02C9"/>
    <w:rsid w:val="00FA03A2"/>
    <w:rsid w:val="00FA16C2"/>
    <w:rsid w:val="00FA2370"/>
    <w:rsid w:val="00FA25C4"/>
    <w:rsid w:val="00FA29EA"/>
    <w:rsid w:val="00FA3E06"/>
    <w:rsid w:val="00FA419F"/>
    <w:rsid w:val="00FA47B4"/>
    <w:rsid w:val="00FA5088"/>
    <w:rsid w:val="00FA5118"/>
    <w:rsid w:val="00FA5237"/>
    <w:rsid w:val="00FA5B60"/>
    <w:rsid w:val="00FA636A"/>
    <w:rsid w:val="00FA67AA"/>
    <w:rsid w:val="00FA6C18"/>
    <w:rsid w:val="00FB0B9F"/>
    <w:rsid w:val="00FB1C6C"/>
    <w:rsid w:val="00FB34BE"/>
    <w:rsid w:val="00FB5771"/>
    <w:rsid w:val="00FB5DE0"/>
    <w:rsid w:val="00FB6659"/>
    <w:rsid w:val="00FB6B5E"/>
    <w:rsid w:val="00FB7A3E"/>
    <w:rsid w:val="00FB7E94"/>
    <w:rsid w:val="00FC0460"/>
    <w:rsid w:val="00FC196C"/>
    <w:rsid w:val="00FC2FF2"/>
    <w:rsid w:val="00FC3136"/>
    <w:rsid w:val="00FC36CC"/>
    <w:rsid w:val="00FC3EE3"/>
    <w:rsid w:val="00FC3F0F"/>
    <w:rsid w:val="00FC5889"/>
    <w:rsid w:val="00FC5897"/>
    <w:rsid w:val="00FC5C1B"/>
    <w:rsid w:val="00FC604D"/>
    <w:rsid w:val="00FC6530"/>
    <w:rsid w:val="00FC6BD1"/>
    <w:rsid w:val="00FC775E"/>
    <w:rsid w:val="00FC7968"/>
    <w:rsid w:val="00FD0E9C"/>
    <w:rsid w:val="00FD31B9"/>
    <w:rsid w:val="00FD3564"/>
    <w:rsid w:val="00FD3925"/>
    <w:rsid w:val="00FD39C0"/>
    <w:rsid w:val="00FD3BCC"/>
    <w:rsid w:val="00FD3D28"/>
    <w:rsid w:val="00FD4ED4"/>
    <w:rsid w:val="00FD5ACD"/>
    <w:rsid w:val="00FD5BB3"/>
    <w:rsid w:val="00FD642D"/>
    <w:rsid w:val="00FD7869"/>
    <w:rsid w:val="00FE016E"/>
    <w:rsid w:val="00FE0959"/>
    <w:rsid w:val="00FE0ED2"/>
    <w:rsid w:val="00FE2440"/>
    <w:rsid w:val="00FE292B"/>
    <w:rsid w:val="00FE3722"/>
    <w:rsid w:val="00FE3832"/>
    <w:rsid w:val="00FE5E5E"/>
    <w:rsid w:val="00FE690C"/>
    <w:rsid w:val="00FE6AF9"/>
    <w:rsid w:val="00FE6FBD"/>
    <w:rsid w:val="00FE7987"/>
    <w:rsid w:val="00FF0B47"/>
    <w:rsid w:val="00FF0DBB"/>
    <w:rsid w:val="00FF1AAB"/>
    <w:rsid w:val="00FF24F0"/>
    <w:rsid w:val="00FF36BC"/>
    <w:rsid w:val="00FF3AAB"/>
    <w:rsid w:val="00FF4070"/>
    <w:rsid w:val="00FF4741"/>
    <w:rsid w:val="00FF5150"/>
    <w:rsid w:val="00FF5A93"/>
    <w:rsid w:val="00FF5FB5"/>
    <w:rsid w:val="00FF6188"/>
    <w:rsid w:val="00FF687E"/>
    <w:rsid w:val="00FF7C7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color w:val="000000" w:themeColor="text1"/>
        <w:lang w:val="en-US" w:eastAsia="ja-JP" w:bidi="ar-SA"/>
      </w:rPr>
    </w:rPrDefault>
    <w:pPrDefault>
      <w:pPr>
        <w:spacing w:after="200"/>
      </w:pPr>
    </w:pPrDefault>
  </w:docDefaults>
  <w:latentStyles w:defLockedState="1" w:defUIPriority="99" w:defSemiHidden="1" w:defUnhideWhenUsed="1" w:defQFormat="0" w:count="267">
    <w:lsdException w:name="Normal" w:locked="0" w:semiHidden="0" w:uiPriority="0" w:unhideWhenUsed="0" w:qFormat="1"/>
    <w:lsdException w:name="heading 1"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locked="0" w:uiPriority="39"/>
    <w:lsdException w:name="toc 2" w:locked="0"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qFormat="1"/>
    <w:lsdException w:name="macro" w:unhideWhenUsed="0"/>
    <w:lsdException w:name="List" w:uiPriority="0"/>
    <w:lsdException w:name="List Bullet" w:unhideWhenUsed="0"/>
    <w:lsdException w:name="List Number" w:unhideWhenUsed="0"/>
    <w:lsdException w:name="Title" w:semiHidden="0" w:uiPriority="0" w:unhideWhenUsed="0" w:qFormat="1"/>
    <w:lsdException w:name="Default Paragraph Font" w:locked="0" w:uiPriority="1"/>
    <w:lsdException w:name="Body Text" w:uiPriority="0"/>
    <w:lsdException w:name="Body Text Indent" w:uiPriority="0"/>
    <w:lsdException w:name="List Continue 3" w:unhideWhenUsed="0"/>
    <w:lsdException w:name="List Continue 4" w:unhideWhenUsed="0"/>
    <w:lsdException w:name="List Continue 5" w:unhideWhenUsed="0"/>
    <w:lsdException w:name="Message Header" w:unhideWhenUsed="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HTML Top of Form" w:locked="0"/>
    <w:lsdException w:name="HTML Bottom of Form" w:locked="0" w:uiPriority="0"/>
    <w:lsdException w:name="Normal Table" w:locked="0"/>
    <w:lsdException w:name="annotation subject" w:uiPriority="0"/>
    <w:lsdException w:name="No List" w:locked="0"/>
    <w:lsdException w:name="Table Grid" w:semiHidden="0" w:uiPriority="39"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4"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0E318F"/>
    <w:pPr>
      <w:spacing w:after="0"/>
    </w:pPr>
    <w:rPr>
      <w:lang w:val="en-GB"/>
    </w:rPr>
  </w:style>
  <w:style w:type="paragraph" w:styleId="Heading1">
    <w:name w:val="heading 1"/>
    <w:aliases w:val="Numbered - 1,CBC Heading 1,Section,Level 1,Section Heading,h1,H1,H11,H12,H111,H13,H112,H14,H113,H15,H114,H16,H115,H17,H116,H18,H117,H19,H118,H110,H119,H120,H1110,H121,H1111,H131,H1121,H141,H1131,H151,H1141,H161,H1151,R1,Heading 1 - chapter,L1"/>
    <w:basedOn w:val="Normal"/>
    <w:next w:val="Normal"/>
    <w:link w:val="Heading1Char"/>
    <w:uiPriority w:val="9"/>
    <w:qFormat/>
    <w:locked/>
    <w:rsid w:val="001C1B1E"/>
    <w:pPr>
      <w:keepNext/>
      <w:keepLines/>
      <w:numPr>
        <w:numId w:val="6"/>
      </w:numPr>
      <w:spacing w:before="480"/>
      <w:outlineLvl w:val="0"/>
    </w:pPr>
    <w:rPr>
      <w:rFonts w:asciiTheme="majorHAnsi" w:eastAsiaTheme="majorEastAsia" w:hAnsiTheme="majorHAnsi" w:cstheme="majorBidi"/>
      <w:b/>
      <w:bCs/>
      <w:color w:val="9D5415" w:themeColor="accent1" w:themeShade="BF"/>
      <w:sz w:val="28"/>
      <w:szCs w:val="28"/>
    </w:rPr>
  </w:style>
  <w:style w:type="paragraph" w:styleId="Heading2">
    <w:name w:val="heading 2"/>
    <w:aliases w:val="F7 Sub Heading,Main Heading,Main Headi,Heading 2a,Sub Heading,Numbered - 2,do not use,h2,2,Titre 2,l2,list + change bar,???,h21,ASection,ash,KJL:1st Level,Reset numbering,PARA2,S Heading,S Heading 2,1.1.1 heading,m,H2,TF-Overskrit 2,2m"/>
    <w:basedOn w:val="Normal"/>
    <w:next w:val="Normal"/>
    <w:link w:val="Heading2Char"/>
    <w:uiPriority w:val="9"/>
    <w:qFormat/>
    <w:locked/>
    <w:rsid w:val="001C1B1E"/>
    <w:pPr>
      <w:keepNext/>
      <w:keepLines/>
      <w:numPr>
        <w:ilvl w:val="1"/>
        <w:numId w:val="6"/>
      </w:numPr>
      <w:spacing w:before="200"/>
      <w:outlineLvl w:val="1"/>
    </w:pPr>
    <w:rPr>
      <w:rFonts w:asciiTheme="majorHAnsi" w:eastAsiaTheme="majorEastAsia" w:hAnsiTheme="majorHAnsi" w:cstheme="majorBidi"/>
      <w:b/>
      <w:bCs/>
      <w:color w:val="D2711C" w:themeColor="accent1"/>
      <w:sz w:val="26"/>
      <w:szCs w:val="26"/>
    </w:rPr>
  </w:style>
  <w:style w:type="paragraph" w:styleId="Heading3">
    <w:name w:val="heading 3"/>
    <w:aliases w:val="F6 Sub sub Heading,Numbered Paragraph,Body of Text Numbering,PA Minor Section,Mia,Heading 3 Char Char Char Char,Heading 3 Char Char Char Char Char,Heading 3 Char Char Char,Heading 3 Char Char Char Char Char Char Char Char Char Char"/>
    <w:basedOn w:val="Normal"/>
    <w:next w:val="Normal"/>
    <w:link w:val="Heading3Char"/>
    <w:uiPriority w:val="9"/>
    <w:qFormat/>
    <w:locked/>
    <w:rsid w:val="001C1B1E"/>
    <w:pPr>
      <w:keepNext/>
      <w:keepLines/>
      <w:numPr>
        <w:ilvl w:val="2"/>
        <w:numId w:val="6"/>
      </w:numPr>
      <w:spacing w:before="200"/>
      <w:outlineLvl w:val="2"/>
    </w:pPr>
    <w:rPr>
      <w:rFonts w:asciiTheme="majorHAnsi" w:eastAsiaTheme="majorEastAsia" w:hAnsiTheme="majorHAnsi" w:cstheme="majorBidi"/>
      <w:b/>
      <w:bCs/>
      <w:color w:val="D2711C" w:themeColor="accent1"/>
    </w:rPr>
  </w:style>
  <w:style w:type="paragraph" w:styleId="Heading4">
    <w:name w:val="heading 4"/>
    <w:basedOn w:val="Normal"/>
    <w:next w:val="Normal"/>
    <w:link w:val="Heading4Char"/>
    <w:uiPriority w:val="9"/>
    <w:semiHidden/>
    <w:qFormat/>
    <w:locked/>
    <w:rsid w:val="001C1B1E"/>
    <w:pPr>
      <w:keepNext/>
      <w:keepLines/>
      <w:numPr>
        <w:ilvl w:val="3"/>
        <w:numId w:val="6"/>
      </w:numPr>
      <w:spacing w:before="200"/>
      <w:outlineLvl w:val="3"/>
    </w:pPr>
    <w:rPr>
      <w:rFonts w:asciiTheme="majorHAnsi" w:eastAsiaTheme="majorEastAsia" w:hAnsiTheme="majorHAnsi" w:cstheme="majorBidi"/>
      <w:b/>
      <w:bCs/>
      <w:i/>
      <w:iCs/>
      <w:color w:val="D2711C" w:themeColor="accent1"/>
    </w:rPr>
  </w:style>
  <w:style w:type="paragraph" w:styleId="Heading5">
    <w:name w:val="heading 5"/>
    <w:aliases w:val="Level 3 - i,h5,1cm Indent,Heading 5(unused),Level 3 - (i),Third Level Heading,Response Type,Response Type1,Response Type2,Response Type3,Response Type4,Response Type5,Response Type6,Response Type7,Appendix A to X,Heading 5   Appendix A to X,H5"/>
    <w:basedOn w:val="Normal"/>
    <w:next w:val="Normal"/>
    <w:link w:val="Heading5Char"/>
    <w:uiPriority w:val="9"/>
    <w:qFormat/>
    <w:locked/>
    <w:rsid w:val="001C1B1E"/>
    <w:pPr>
      <w:keepNext/>
      <w:keepLines/>
      <w:numPr>
        <w:ilvl w:val="4"/>
        <w:numId w:val="6"/>
      </w:numPr>
      <w:spacing w:before="200"/>
      <w:outlineLvl w:val="4"/>
    </w:pPr>
    <w:rPr>
      <w:rFonts w:asciiTheme="majorHAnsi" w:eastAsiaTheme="majorEastAsia" w:hAnsiTheme="majorHAnsi" w:cstheme="majorBidi"/>
      <w:color w:val="68380E" w:themeColor="accent1" w:themeShade="7F"/>
    </w:rPr>
  </w:style>
  <w:style w:type="paragraph" w:styleId="Heading6">
    <w:name w:val="heading 6"/>
    <w:aliases w:val="Legal Level 1.,level 1 bullet 1,level 1 bullet Char,level 1 bullet Char Char Char,level 1 bullet,level 1 bullet 1 Char Char Char,level 1 bullet 1 Char Char Char Char Char Char Char,level 1 bullet 1 Char Char Char Char Char Char Char Cha"/>
    <w:basedOn w:val="Normal"/>
    <w:next w:val="Normal"/>
    <w:link w:val="Heading6Char"/>
    <w:uiPriority w:val="9"/>
    <w:qFormat/>
    <w:locked/>
    <w:rsid w:val="001C1B1E"/>
    <w:pPr>
      <w:keepNext/>
      <w:keepLines/>
      <w:numPr>
        <w:ilvl w:val="5"/>
        <w:numId w:val="6"/>
      </w:numPr>
      <w:spacing w:before="200"/>
      <w:outlineLvl w:val="5"/>
    </w:pPr>
    <w:rPr>
      <w:rFonts w:asciiTheme="majorHAnsi" w:eastAsiaTheme="majorEastAsia" w:hAnsiTheme="majorHAnsi" w:cstheme="majorBidi"/>
      <w:i/>
      <w:iCs/>
      <w:color w:val="68380E" w:themeColor="accent1" w:themeShade="7F"/>
    </w:rPr>
  </w:style>
  <w:style w:type="paragraph" w:styleId="Heading7">
    <w:name w:val="heading 7"/>
    <w:basedOn w:val="Normal"/>
    <w:next w:val="Normal"/>
    <w:link w:val="Heading7Char"/>
    <w:uiPriority w:val="9"/>
    <w:qFormat/>
    <w:locked/>
    <w:rsid w:val="001C1B1E"/>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aliases w:val="Bullet 3"/>
    <w:basedOn w:val="Normal"/>
    <w:next w:val="Normal"/>
    <w:link w:val="Heading8Char"/>
    <w:uiPriority w:val="9"/>
    <w:qFormat/>
    <w:locked/>
    <w:rsid w:val="001C1B1E"/>
    <w:pPr>
      <w:keepNext/>
      <w:keepLines/>
      <w:numPr>
        <w:ilvl w:val="7"/>
        <w:numId w:val="6"/>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qFormat/>
    <w:locked/>
    <w:rsid w:val="001C1B1E"/>
    <w:pPr>
      <w:keepNext/>
      <w:keepLines/>
      <w:numPr>
        <w:ilvl w:val="8"/>
        <w:numId w:val="6"/>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umbered - 1 Char,CBC Heading 1 Char,Section Char,Level 1 Char,Section Heading Char,h1 Char,H1 Char,H11 Char,H12 Char,H111 Char,H13 Char,H112 Char,H14 Char,H113 Char,H15 Char,H114 Char,H16 Char,H115 Char,H17 Char,H116 Char,H18 Char"/>
    <w:basedOn w:val="DefaultParagraphFont"/>
    <w:link w:val="Heading1"/>
    <w:uiPriority w:val="9"/>
    <w:rsid w:val="001C1B1E"/>
    <w:rPr>
      <w:rFonts w:asciiTheme="majorHAnsi" w:eastAsiaTheme="majorEastAsia" w:hAnsiTheme="majorHAnsi" w:cstheme="majorBidi"/>
      <w:b/>
      <w:bCs/>
      <w:color w:val="9D5415" w:themeColor="accent1" w:themeShade="BF"/>
      <w:sz w:val="28"/>
      <w:szCs w:val="28"/>
      <w:lang w:val="en-GB"/>
    </w:rPr>
  </w:style>
  <w:style w:type="character" w:customStyle="1" w:styleId="Heading2Char">
    <w:name w:val="Heading 2 Char"/>
    <w:aliases w:val="F7 Sub Heading Char,Main Heading Char,Main Headi Char,Heading 2a Char,Sub Heading Char,Numbered - 2 Char,do not use Char,h2 Char,2 Char,Titre 2 Char,l2 Char,list + change bar Char,??? Char,h21 Char,ASection Char,ash Char,PARA2 Char,m Char"/>
    <w:basedOn w:val="DefaultParagraphFont"/>
    <w:link w:val="Heading2"/>
    <w:uiPriority w:val="9"/>
    <w:rsid w:val="001C1B1E"/>
    <w:rPr>
      <w:rFonts w:asciiTheme="majorHAnsi" w:eastAsiaTheme="majorEastAsia" w:hAnsiTheme="majorHAnsi" w:cstheme="majorBidi"/>
      <w:b/>
      <w:bCs/>
      <w:color w:val="D2711C" w:themeColor="accent1"/>
      <w:sz w:val="26"/>
      <w:szCs w:val="26"/>
      <w:lang w:val="en-GB"/>
    </w:rPr>
  </w:style>
  <w:style w:type="character" w:customStyle="1" w:styleId="Heading3Char">
    <w:name w:val="Heading 3 Char"/>
    <w:aliases w:val="F6 Sub sub Heading Char,Numbered Paragraph Char,Body of Text Numbering Char,PA Minor Section Char,Mia Char,Heading 3 Char Char Char Char Char1,Heading 3 Char Char Char Char Char Char,Heading 3 Char Char Char Char1"/>
    <w:basedOn w:val="DefaultParagraphFont"/>
    <w:link w:val="Heading3"/>
    <w:uiPriority w:val="9"/>
    <w:rsid w:val="001C1B1E"/>
    <w:rPr>
      <w:rFonts w:asciiTheme="majorHAnsi" w:eastAsiaTheme="majorEastAsia" w:hAnsiTheme="majorHAnsi" w:cstheme="majorBidi"/>
      <w:b/>
      <w:bCs/>
      <w:color w:val="D2711C" w:themeColor="accent1"/>
      <w:lang w:val="en-GB"/>
    </w:rPr>
  </w:style>
  <w:style w:type="character" w:customStyle="1" w:styleId="Heading4Char">
    <w:name w:val="Heading 4 Char"/>
    <w:basedOn w:val="DefaultParagraphFont"/>
    <w:link w:val="Heading4"/>
    <w:uiPriority w:val="9"/>
    <w:semiHidden/>
    <w:rsid w:val="001C1B1E"/>
    <w:rPr>
      <w:rFonts w:asciiTheme="majorHAnsi" w:eastAsiaTheme="majorEastAsia" w:hAnsiTheme="majorHAnsi" w:cstheme="majorBidi"/>
      <w:b/>
      <w:bCs/>
      <w:i/>
      <w:iCs/>
      <w:color w:val="D2711C" w:themeColor="accent1"/>
      <w:lang w:val="en-GB"/>
    </w:rPr>
  </w:style>
  <w:style w:type="character" w:customStyle="1" w:styleId="Heading5Char">
    <w:name w:val="Heading 5 Char"/>
    <w:aliases w:val="Level 3 - i Char,h5 Char,1cm Indent Char,Heading 5(unused) Char,Level 3 - (i) Char,Third Level Heading Char,Response Type Char,Response Type1 Char,Response Type2 Char,Response Type3 Char,Response Type4 Char,Response Type5 Char,H5 Char"/>
    <w:basedOn w:val="DefaultParagraphFont"/>
    <w:link w:val="Heading5"/>
    <w:uiPriority w:val="9"/>
    <w:rsid w:val="001C1B1E"/>
    <w:rPr>
      <w:rFonts w:asciiTheme="majorHAnsi" w:eastAsiaTheme="majorEastAsia" w:hAnsiTheme="majorHAnsi" w:cstheme="majorBidi"/>
      <w:color w:val="68380E" w:themeColor="accent1" w:themeShade="7F"/>
      <w:lang w:val="en-GB"/>
    </w:rPr>
  </w:style>
  <w:style w:type="character" w:customStyle="1" w:styleId="Heading6Char">
    <w:name w:val="Heading 6 Char"/>
    <w:aliases w:val="Legal Level 1. Char,level 1 bullet 1 Char,level 1 bullet Char Char,level 1 bullet Char Char Char Char,level 1 bullet Char1,level 1 bullet 1 Char Char Char Char,level 1 bullet 1 Char Char Char Char Char Char Char Char"/>
    <w:basedOn w:val="DefaultParagraphFont"/>
    <w:link w:val="Heading6"/>
    <w:uiPriority w:val="9"/>
    <w:rsid w:val="001C1B1E"/>
    <w:rPr>
      <w:rFonts w:asciiTheme="majorHAnsi" w:eastAsiaTheme="majorEastAsia" w:hAnsiTheme="majorHAnsi" w:cstheme="majorBidi"/>
      <w:i/>
      <w:iCs/>
      <w:color w:val="68380E" w:themeColor="accent1" w:themeShade="7F"/>
      <w:lang w:val="en-GB"/>
    </w:rPr>
  </w:style>
  <w:style w:type="character" w:customStyle="1" w:styleId="Heading7Char">
    <w:name w:val="Heading 7 Char"/>
    <w:basedOn w:val="DefaultParagraphFont"/>
    <w:link w:val="Heading7"/>
    <w:uiPriority w:val="9"/>
    <w:rsid w:val="001C1B1E"/>
    <w:rPr>
      <w:rFonts w:asciiTheme="majorHAnsi" w:eastAsiaTheme="majorEastAsia" w:hAnsiTheme="majorHAnsi" w:cstheme="majorBidi"/>
      <w:i/>
      <w:iCs/>
      <w:color w:val="404040" w:themeColor="text1" w:themeTint="BF"/>
      <w:lang w:val="en-GB"/>
    </w:rPr>
  </w:style>
  <w:style w:type="character" w:customStyle="1" w:styleId="Heading8Char">
    <w:name w:val="Heading 8 Char"/>
    <w:aliases w:val="Bullet 3 Char"/>
    <w:basedOn w:val="DefaultParagraphFont"/>
    <w:link w:val="Heading8"/>
    <w:uiPriority w:val="9"/>
    <w:rsid w:val="001C1B1E"/>
    <w:rPr>
      <w:rFonts w:asciiTheme="majorHAnsi" w:eastAsiaTheme="majorEastAsia" w:hAnsiTheme="majorHAnsi" w:cstheme="majorBidi"/>
      <w:color w:val="404040" w:themeColor="text1" w:themeTint="BF"/>
      <w:lang w:val="en-GB"/>
    </w:rPr>
  </w:style>
  <w:style w:type="character" w:customStyle="1" w:styleId="Heading9Char">
    <w:name w:val="Heading 9 Char"/>
    <w:basedOn w:val="DefaultParagraphFont"/>
    <w:link w:val="Heading9"/>
    <w:uiPriority w:val="9"/>
    <w:rsid w:val="001C1B1E"/>
    <w:rPr>
      <w:rFonts w:asciiTheme="majorHAnsi" w:eastAsiaTheme="majorEastAsia" w:hAnsiTheme="majorHAnsi" w:cstheme="majorBidi"/>
      <w:i/>
      <w:iCs/>
      <w:color w:val="404040" w:themeColor="text1" w:themeTint="BF"/>
      <w:lang w:val="en-GB"/>
    </w:rPr>
  </w:style>
  <w:style w:type="paragraph" w:customStyle="1" w:styleId="NoParagraphStyle">
    <w:name w:val="[No Paragraph Style]"/>
    <w:rsid w:val="001E5953"/>
    <w:pPr>
      <w:widowControl w:val="0"/>
      <w:autoSpaceDE w:val="0"/>
      <w:autoSpaceDN w:val="0"/>
      <w:adjustRightInd w:val="0"/>
      <w:spacing w:after="0" w:line="288" w:lineRule="auto"/>
      <w:textAlignment w:val="center"/>
    </w:pPr>
    <w:rPr>
      <w:rFonts w:cs="MinionPro-Regular"/>
      <w:color w:val="000000"/>
      <w:lang w:val="en-GB"/>
    </w:rPr>
  </w:style>
  <w:style w:type="paragraph" w:customStyle="1" w:styleId="BasicParagraph">
    <w:name w:val="[Basic Paragraph]"/>
    <w:basedOn w:val="Normal"/>
    <w:uiPriority w:val="99"/>
    <w:semiHidden/>
    <w:locked/>
    <w:rsid w:val="007D44B9"/>
    <w:pPr>
      <w:widowControl w:val="0"/>
      <w:autoSpaceDE w:val="0"/>
      <w:autoSpaceDN w:val="0"/>
      <w:adjustRightInd w:val="0"/>
      <w:spacing w:line="288" w:lineRule="auto"/>
      <w:textAlignment w:val="center"/>
    </w:pPr>
    <w:rPr>
      <w:rFonts w:ascii="Times-Roman" w:hAnsi="Times-Roman" w:cs="Times-Roman"/>
      <w:color w:val="000000"/>
    </w:rPr>
  </w:style>
  <w:style w:type="paragraph" w:customStyle="1" w:styleId="BodyText1">
    <w:name w:val="Body Text1"/>
    <w:basedOn w:val="Normal"/>
    <w:link w:val="BodytextChar"/>
    <w:qFormat/>
    <w:rsid w:val="00D217A7"/>
    <w:pPr>
      <w:spacing w:line="360" w:lineRule="auto"/>
      <w:jc w:val="both"/>
    </w:pPr>
    <w:rPr>
      <w:szCs w:val="18"/>
    </w:rPr>
  </w:style>
  <w:style w:type="character" w:customStyle="1" w:styleId="BodytextChar">
    <w:name w:val="Body text Char"/>
    <w:basedOn w:val="DefaultParagraphFont"/>
    <w:link w:val="BodyText1"/>
    <w:rsid w:val="00D217A7"/>
    <w:rPr>
      <w:szCs w:val="18"/>
      <w:lang w:val="en-GB"/>
    </w:rPr>
  </w:style>
  <w:style w:type="paragraph" w:customStyle="1" w:styleId="BoldBodytext">
    <w:name w:val="Bold Body text"/>
    <w:basedOn w:val="BodyText1"/>
    <w:next w:val="BodyText1"/>
    <w:link w:val="BoldBodytextChar"/>
    <w:qFormat/>
    <w:rsid w:val="00292AE1"/>
    <w:rPr>
      <w:b/>
      <w:bCs/>
    </w:rPr>
  </w:style>
  <w:style w:type="character" w:customStyle="1" w:styleId="BoldBodytextChar">
    <w:name w:val="Bold Body text Char"/>
    <w:basedOn w:val="BodytextChar"/>
    <w:link w:val="BoldBodytext"/>
    <w:rsid w:val="00292AE1"/>
    <w:rPr>
      <w:b/>
      <w:bCs/>
      <w:szCs w:val="18"/>
      <w:lang w:val="en-GB"/>
    </w:rPr>
  </w:style>
  <w:style w:type="table" w:styleId="TableGrid">
    <w:name w:val="Table Grid"/>
    <w:aliases w:val="Report Table"/>
    <w:basedOn w:val="TableNormal"/>
    <w:uiPriority w:val="39"/>
    <w:locked/>
    <w:rsid w:val="00F46D4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Transport &amp; Traffic"/>
    <w:basedOn w:val="Normal"/>
    <w:link w:val="HeaderChar"/>
    <w:uiPriority w:val="99"/>
    <w:locked/>
    <w:rsid w:val="002C6850"/>
    <w:pPr>
      <w:tabs>
        <w:tab w:val="center" w:pos="4320"/>
        <w:tab w:val="right" w:pos="8640"/>
      </w:tabs>
    </w:pPr>
  </w:style>
  <w:style w:type="character" w:customStyle="1" w:styleId="HeaderChar">
    <w:name w:val="Header Char"/>
    <w:aliases w:val="Transport &amp; Traffic Char"/>
    <w:basedOn w:val="DefaultParagraphFont"/>
    <w:link w:val="Header"/>
    <w:uiPriority w:val="99"/>
    <w:rsid w:val="003D03FA"/>
  </w:style>
  <w:style w:type="paragraph" w:customStyle="1" w:styleId="ReportTitle">
    <w:name w:val="Report Title"/>
    <w:basedOn w:val="BodyText1"/>
    <w:link w:val="ReportTitleChar"/>
    <w:qFormat/>
    <w:rsid w:val="003E5F01"/>
    <w:pPr>
      <w:spacing w:line="520" w:lineRule="atLeast"/>
      <w:jc w:val="left"/>
    </w:pPr>
    <w:rPr>
      <w:color w:val="0093D5"/>
      <w:sz w:val="48"/>
      <w:szCs w:val="48"/>
    </w:rPr>
  </w:style>
  <w:style w:type="character" w:customStyle="1" w:styleId="ReportTitleChar">
    <w:name w:val="Report Title Char"/>
    <w:basedOn w:val="BodytextChar"/>
    <w:link w:val="ReportTitle"/>
    <w:rsid w:val="003E5F01"/>
    <w:rPr>
      <w:color w:val="0093D5"/>
      <w:sz w:val="48"/>
      <w:szCs w:val="48"/>
      <w:lang w:val="en-GB"/>
    </w:rPr>
  </w:style>
  <w:style w:type="paragraph" w:styleId="Footer">
    <w:name w:val="footer"/>
    <w:basedOn w:val="Normal"/>
    <w:link w:val="FooterChar"/>
    <w:uiPriority w:val="99"/>
    <w:locked/>
    <w:rsid w:val="002C6850"/>
    <w:pPr>
      <w:tabs>
        <w:tab w:val="center" w:pos="4320"/>
        <w:tab w:val="right" w:pos="8640"/>
      </w:tabs>
    </w:pPr>
  </w:style>
  <w:style w:type="character" w:customStyle="1" w:styleId="FooterChar">
    <w:name w:val="Footer Char"/>
    <w:basedOn w:val="DefaultParagraphFont"/>
    <w:link w:val="Footer"/>
    <w:uiPriority w:val="99"/>
    <w:rsid w:val="003D03FA"/>
  </w:style>
  <w:style w:type="character" w:styleId="PageNumber">
    <w:name w:val="page number"/>
    <w:basedOn w:val="DefaultParagraphFont"/>
    <w:uiPriority w:val="99"/>
    <w:locked/>
    <w:rsid w:val="0071096E"/>
  </w:style>
  <w:style w:type="table" w:customStyle="1" w:styleId="GLHearntable1">
    <w:name w:val="GL Hearn table 1"/>
    <w:basedOn w:val="TableNormal"/>
    <w:uiPriority w:val="99"/>
    <w:rsid w:val="0017356C"/>
    <w:pPr>
      <w:spacing w:after="0" w:line="220" w:lineRule="atLeast"/>
    </w:pPr>
    <w:rPr>
      <w:sz w:val="18"/>
    </w:rPr>
    <w:tblPr>
      <w:tblStyleRowBandSize w:val="1"/>
      <w:tblInd w:w="794" w:type="dxa"/>
      <w:tblBorders>
        <w:top w:val="single" w:sz="2" w:space="0" w:color="0093D5"/>
        <w:left w:val="single" w:sz="2" w:space="0" w:color="0093D5"/>
        <w:bottom w:val="single" w:sz="2" w:space="0" w:color="0093D5"/>
        <w:right w:val="single" w:sz="2" w:space="0" w:color="0093D5"/>
        <w:insideH w:val="single" w:sz="2" w:space="0" w:color="0093D5"/>
        <w:insideV w:val="single" w:sz="2" w:space="0" w:color="0093D5"/>
      </w:tblBorders>
    </w:tblPr>
    <w:tcPr>
      <w:shd w:val="clear" w:color="auto" w:fill="auto"/>
    </w:tcPr>
    <w:tblStylePr w:type="firstRow">
      <w:pPr>
        <w:jc w:val="left"/>
      </w:pPr>
      <w:rPr>
        <w:rFonts w:ascii="Arial" w:hAnsi="Arial"/>
        <w:b/>
        <w:color w:val="FFFFFF" w:themeColor="background1"/>
        <w:sz w:val="20"/>
        <w:u w:val="none"/>
      </w:rPr>
      <w:tblPr/>
      <w:tcPr>
        <w:shd w:val="clear" w:color="auto" w:fill="0093D5"/>
        <w:vAlign w:val="center"/>
      </w:tcPr>
    </w:tblStylePr>
    <w:tblStylePr w:type="lastRow">
      <w:rPr>
        <w:rFonts w:ascii="Arial" w:hAnsi="Arial"/>
        <w:b/>
        <w:sz w:val="18"/>
      </w:rPr>
      <w:tblPr/>
      <w:tcPr>
        <w:shd w:val="clear" w:color="auto" w:fill="99D4EE"/>
      </w:tcPr>
    </w:tblStylePr>
    <w:tblStylePr w:type="firstCol">
      <w:rPr>
        <w:rFonts w:ascii="Arial" w:hAnsi="Arial"/>
        <w:b/>
        <w:i w:val="0"/>
        <w:color w:val="000000" w:themeColor="text1"/>
        <w:sz w:val="18"/>
      </w:rPr>
    </w:tblStylePr>
    <w:tblStylePr w:type="band2Horz">
      <w:tblPr/>
      <w:tcPr>
        <w:shd w:val="clear" w:color="auto" w:fill="C3ECFF" w:themeFill="accent2" w:themeFillTint="33"/>
      </w:tcPr>
    </w:tblStylePr>
  </w:style>
  <w:style w:type="paragraph" w:styleId="BalloonText">
    <w:name w:val="Balloon Text"/>
    <w:basedOn w:val="Normal"/>
    <w:link w:val="BalloonTextChar"/>
    <w:uiPriority w:val="99"/>
    <w:locked/>
    <w:rsid w:val="006B13D5"/>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3D03FA"/>
    <w:rPr>
      <w:rFonts w:ascii="Lucida Grande" w:hAnsi="Lucida Grande" w:cs="Lucida Grande"/>
      <w:sz w:val="18"/>
      <w:szCs w:val="18"/>
    </w:rPr>
  </w:style>
  <w:style w:type="paragraph" w:customStyle="1" w:styleId="Headingbold">
    <w:name w:val="Heading bold"/>
    <w:basedOn w:val="ReportTitle"/>
    <w:link w:val="HeadingboldChar"/>
    <w:qFormat/>
    <w:rsid w:val="00292AE1"/>
    <w:pPr>
      <w:tabs>
        <w:tab w:val="left" w:pos="1021"/>
      </w:tabs>
      <w:spacing w:line="300" w:lineRule="atLeast"/>
    </w:pPr>
    <w:rPr>
      <w:b/>
      <w:bCs/>
      <w:color w:val="000000" w:themeColor="text1"/>
      <w:sz w:val="24"/>
      <w:szCs w:val="24"/>
    </w:rPr>
  </w:style>
  <w:style w:type="character" w:customStyle="1" w:styleId="HeadingboldChar">
    <w:name w:val="Heading bold Char"/>
    <w:basedOn w:val="ReportTitleChar"/>
    <w:link w:val="Headingbold"/>
    <w:rsid w:val="00292AE1"/>
    <w:rPr>
      <w:b/>
      <w:bCs/>
      <w:color w:val="0093D5"/>
      <w:sz w:val="24"/>
      <w:szCs w:val="24"/>
      <w:lang w:val="en-GB"/>
    </w:rPr>
  </w:style>
  <w:style w:type="paragraph" w:customStyle="1" w:styleId="Heading">
    <w:name w:val="Heading"/>
    <w:basedOn w:val="NoParagraphStyle"/>
    <w:uiPriority w:val="99"/>
    <w:semiHidden/>
    <w:locked/>
    <w:rsid w:val="00ED59EA"/>
    <w:pPr>
      <w:tabs>
        <w:tab w:val="left" w:pos="794"/>
      </w:tabs>
      <w:suppressAutoHyphens/>
      <w:spacing w:line="230" w:lineRule="atLeast"/>
    </w:pPr>
    <w:rPr>
      <w:rFonts w:ascii="Arial-BoldMT" w:hAnsi="Arial-BoldMT" w:cs="Arial-BoldMT"/>
      <w:b/>
      <w:bCs/>
      <w:sz w:val="18"/>
      <w:szCs w:val="18"/>
    </w:rPr>
  </w:style>
  <w:style w:type="paragraph" w:customStyle="1" w:styleId="SubheadBlue12">
    <w:name w:val="Subhead Blue 12"/>
    <w:basedOn w:val="BoldBodytext"/>
    <w:next w:val="BoldBodytext"/>
    <w:link w:val="SubheadBlue12Char"/>
    <w:qFormat/>
    <w:rsid w:val="00A54ECA"/>
    <w:pPr>
      <w:keepNext/>
      <w:spacing w:before="240" w:after="120"/>
      <w:ind w:left="426" w:firstLine="368"/>
      <w:contextualSpacing/>
    </w:pPr>
    <w:rPr>
      <w:bCs w:val="0"/>
      <w:color w:val="0093D5"/>
      <w:sz w:val="24"/>
      <w:szCs w:val="24"/>
    </w:rPr>
  </w:style>
  <w:style w:type="table" w:styleId="LightList-Accent3">
    <w:name w:val="Light List Accent 3"/>
    <w:basedOn w:val="TableNormal"/>
    <w:uiPriority w:val="61"/>
    <w:locked/>
    <w:rsid w:val="003D3D56"/>
    <w:pPr>
      <w:spacing w:after="0"/>
    </w:pPr>
    <w:tblPr>
      <w:tblStyleRowBandSize w:val="1"/>
      <w:tblStyleColBandSize w:val="1"/>
      <w:tblBorders>
        <w:top w:val="single" w:sz="8" w:space="0" w:color="71257F" w:themeColor="accent3"/>
        <w:left w:val="single" w:sz="8" w:space="0" w:color="71257F" w:themeColor="accent3"/>
        <w:bottom w:val="single" w:sz="8" w:space="0" w:color="71257F" w:themeColor="accent3"/>
        <w:right w:val="single" w:sz="8" w:space="0" w:color="71257F" w:themeColor="accent3"/>
      </w:tblBorders>
    </w:tblPr>
    <w:tblStylePr w:type="firstRow">
      <w:pPr>
        <w:spacing w:before="0" w:after="0" w:line="240" w:lineRule="auto"/>
      </w:pPr>
      <w:rPr>
        <w:b/>
        <w:bCs/>
        <w:color w:val="FFFFFF" w:themeColor="background1"/>
      </w:rPr>
      <w:tblPr/>
      <w:tcPr>
        <w:shd w:val="clear" w:color="auto" w:fill="71257F" w:themeFill="accent3"/>
      </w:tcPr>
    </w:tblStylePr>
    <w:tblStylePr w:type="lastRow">
      <w:pPr>
        <w:spacing w:before="0" w:after="0" w:line="240" w:lineRule="auto"/>
      </w:pPr>
      <w:rPr>
        <w:b/>
        <w:bCs/>
      </w:rPr>
      <w:tblPr/>
      <w:tcPr>
        <w:tcBorders>
          <w:top w:val="double" w:sz="6" w:space="0" w:color="71257F" w:themeColor="accent3"/>
          <w:left w:val="single" w:sz="8" w:space="0" w:color="71257F" w:themeColor="accent3"/>
          <w:bottom w:val="single" w:sz="8" w:space="0" w:color="71257F" w:themeColor="accent3"/>
          <w:right w:val="single" w:sz="8" w:space="0" w:color="71257F" w:themeColor="accent3"/>
        </w:tcBorders>
      </w:tcPr>
    </w:tblStylePr>
    <w:tblStylePr w:type="firstCol">
      <w:rPr>
        <w:b/>
        <w:bCs/>
      </w:rPr>
    </w:tblStylePr>
    <w:tblStylePr w:type="lastCol">
      <w:rPr>
        <w:b/>
        <w:bCs/>
      </w:rPr>
    </w:tblStylePr>
    <w:tblStylePr w:type="band1Vert">
      <w:tblPr/>
      <w:tcPr>
        <w:tcBorders>
          <w:top w:val="single" w:sz="8" w:space="0" w:color="71257F" w:themeColor="accent3"/>
          <w:left w:val="single" w:sz="8" w:space="0" w:color="71257F" w:themeColor="accent3"/>
          <w:bottom w:val="single" w:sz="8" w:space="0" w:color="71257F" w:themeColor="accent3"/>
          <w:right w:val="single" w:sz="8" w:space="0" w:color="71257F" w:themeColor="accent3"/>
        </w:tcBorders>
      </w:tcPr>
    </w:tblStylePr>
    <w:tblStylePr w:type="band1Horz">
      <w:tblPr/>
      <w:tcPr>
        <w:tcBorders>
          <w:top w:val="single" w:sz="8" w:space="0" w:color="71257F" w:themeColor="accent3"/>
          <w:left w:val="single" w:sz="8" w:space="0" w:color="71257F" w:themeColor="accent3"/>
          <w:bottom w:val="single" w:sz="8" w:space="0" w:color="71257F" w:themeColor="accent3"/>
          <w:right w:val="single" w:sz="8" w:space="0" w:color="71257F" w:themeColor="accent3"/>
        </w:tcBorders>
      </w:tcPr>
    </w:tblStylePr>
  </w:style>
  <w:style w:type="paragraph" w:customStyle="1" w:styleId="Mainheading">
    <w:name w:val="Main heading"/>
    <w:basedOn w:val="NoParagraphStyle"/>
    <w:uiPriority w:val="99"/>
    <w:semiHidden/>
    <w:locked/>
    <w:rsid w:val="00ED59EA"/>
    <w:pPr>
      <w:tabs>
        <w:tab w:val="left" w:pos="794"/>
      </w:tabs>
      <w:suppressAutoHyphens/>
      <w:spacing w:line="300" w:lineRule="atLeast"/>
    </w:pPr>
    <w:rPr>
      <w:rFonts w:ascii="Arial-BoldMT" w:hAnsi="Arial-BoldMT" w:cs="Arial-BoldMT"/>
      <w:b/>
      <w:bCs/>
    </w:rPr>
  </w:style>
  <w:style w:type="paragraph" w:customStyle="1" w:styleId="Largespaceabove">
    <w:name w:val="Large space above"/>
    <w:basedOn w:val="BodyText1"/>
    <w:semiHidden/>
    <w:qFormat/>
    <w:rsid w:val="00410BEB"/>
    <w:pPr>
      <w:spacing w:before="2000"/>
    </w:pPr>
  </w:style>
  <w:style w:type="paragraph" w:customStyle="1" w:styleId="SubheadGrey12">
    <w:name w:val="Subhead Grey 12"/>
    <w:basedOn w:val="SubheadBlue12"/>
    <w:link w:val="SubheadGrey12Char"/>
    <w:qFormat/>
    <w:rsid w:val="00994108"/>
    <w:pPr>
      <w:tabs>
        <w:tab w:val="left" w:pos="227"/>
      </w:tabs>
    </w:pPr>
    <w:rPr>
      <w:color w:val="33393A"/>
    </w:rPr>
  </w:style>
  <w:style w:type="paragraph" w:styleId="NoSpacing">
    <w:name w:val="No Spacing"/>
    <w:link w:val="NoSpacingChar"/>
    <w:uiPriority w:val="1"/>
    <w:qFormat/>
    <w:rsid w:val="00292AE1"/>
    <w:pPr>
      <w:spacing w:after="0"/>
    </w:pPr>
    <w:rPr>
      <w:lang w:val="en-GB"/>
    </w:rPr>
  </w:style>
  <w:style w:type="paragraph" w:styleId="TOC3">
    <w:name w:val="toc 3"/>
    <w:basedOn w:val="Normal"/>
    <w:next w:val="Normal"/>
    <w:autoRedefine/>
    <w:uiPriority w:val="39"/>
    <w:locked/>
    <w:rsid w:val="000365DF"/>
    <w:pPr>
      <w:tabs>
        <w:tab w:val="left" w:pos="1985"/>
        <w:tab w:val="right" w:pos="9072"/>
      </w:tabs>
      <w:spacing w:line="240" w:lineRule="atLeast"/>
      <w:ind w:left="1418"/>
    </w:pPr>
  </w:style>
  <w:style w:type="paragraph" w:styleId="TOC1">
    <w:name w:val="toc 1"/>
    <w:basedOn w:val="Normal"/>
    <w:next w:val="Normal"/>
    <w:link w:val="TOC1Char"/>
    <w:uiPriority w:val="39"/>
    <w:rsid w:val="00292AE1"/>
    <w:pPr>
      <w:tabs>
        <w:tab w:val="left" w:pos="794"/>
        <w:tab w:val="right" w:pos="9072"/>
      </w:tabs>
      <w:spacing w:before="240" w:line="240" w:lineRule="exact"/>
    </w:pPr>
    <w:rPr>
      <w:b/>
      <w:bCs/>
      <w:caps/>
      <w:noProof/>
    </w:rPr>
  </w:style>
  <w:style w:type="character" w:customStyle="1" w:styleId="TOC1Char">
    <w:name w:val="TOC 1 Char"/>
    <w:basedOn w:val="DefaultParagraphFont"/>
    <w:link w:val="TOC1"/>
    <w:uiPriority w:val="39"/>
    <w:rsid w:val="00292AE1"/>
    <w:rPr>
      <w:b/>
      <w:bCs/>
      <w:caps/>
      <w:noProof/>
      <w:lang w:val="en-GB"/>
    </w:rPr>
  </w:style>
  <w:style w:type="paragraph" w:styleId="TOC2">
    <w:name w:val="toc 2"/>
    <w:basedOn w:val="Normal"/>
    <w:next w:val="Normal"/>
    <w:autoRedefine/>
    <w:uiPriority w:val="39"/>
    <w:rsid w:val="000365DF"/>
    <w:pPr>
      <w:tabs>
        <w:tab w:val="left" w:pos="1418"/>
        <w:tab w:val="right" w:pos="9072"/>
      </w:tabs>
      <w:spacing w:before="120" w:line="240" w:lineRule="atLeast"/>
      <w:ind w:left="794"/>
      <w:contextualSpacing/>
    </w:pPr>
    <w:rPr>
      <w:bCs/>
    </w:rPr>
  </w:style>
  <w:style w:type="paragraph" w:styleId="TOC4">
    <w:name w:val="toc 4"/>
    <w:basedOn w:val="Normal"/>
    <w:next w:val="Normal"/>
    <w:autoRedefine/>
    <w:uiPriority w:val="39"/>
    <w:locked/>
    <w:rsid w:val="00ED59EA"/>
    <w:pPr>
      <w:ind w:left="720"/>
    </w:pPr>
  </w:style>
  <w:style w:type="paragraph" w:styleId="TOC5">
    <w:name w:val="toc 5"/>
    <w:basedOn w:val="Normal"/>
    <w:next w:val="Normal"/>
    <w:autoRedefine/>
    <w:uiPriority w:val="39"/>
    <w:locked/>
    <w:rsid w:val="00ED59EA"/>
    <w:pPr>
      <w:ind w:left="960"/>
    </w:pPr>
  </w:style>
  <w:style w:type="paragraph" w:styleId="TOC6">
    <w:name w:val="toc 6"/>
    <w:basedOn w:val="Normal"/>
    <w:next w:val="Normal"/>
    <w:autoRedefine/>
    <w:uiPriority w:val="39"/>
    <w:locked/>
    <w:rsid w:val="00ED59EA"/>
    <w:pPr>
      <w:ind w:left="1200"/>
    </w:pPr>
  </w:style>
  <w:style w:type="paragraph" w:styleId="TOC7">
    <w:name w:val="toc 7"/>
    <w:basedOn w:val="Normal"/>
    <w:next w:val="Normal"/>
    <w:autoRedefine/>
    <w:uiPriority w:val="39"/>
    <w:locked/>
    <w:rsid w:val="00ED59EA"/>
    <w:pPr>
      <w:ind w:left="1440"/>
    </w:pPr>
  </w:style>
  <w:style w:type="paragraph" w:styleId="TOC8">
    <w:name w:val="toc 8"/>
    <w:basedOn w:val="Normal"/>
    <w:next w:val="Normal"/>
    <w:autoRedefine/>
    <w:uiPriority w:val="39"/>
    <w:locked/>
    <w:rsid w:val="00ED59EA"/>
    <w:pPr>
      <w:ind w:left="1680"/>
    </w:pPr>
  </w:style>
  <w:style w:type="paragraph" w:styleId="TOC9">
    <w:name w:val="toc 9"/>
    <w:basedOn w:val="Normal"/>
    <w:next w:val="Normal"/>
    <w:autoRedefine/>
    <w:uiPriority w:val="39"/>
    <w:locked/>
    <w:rsid w:val="00ED59EA"/>
    <w:pPr>
      <w:ind w:left="1920"/>
    </w:pPr>
  </w:style>
  <w:style w:type="paragraph" w:customStyle="1" w:styleId="Text">
    <w:name w:val="Text"/>
    <w:basedOn w:val="NoParagraphStyle"/>
    <w:autoRedefine/>
    <w:uiPriority w:val="99"/>
    <w:locked/>
    <w:rsid w:val="007F5501"/>
    <w:pPr>
      <w:tabs>
        <w:tab w:val="left" w:pos="170"/>
      </w:tabs>
      <w:suppressAutoHyphens/>
      <w:spacing w:line="240" w:lineRule="atLeast"/>
    </w:pPr>
    <w:rPr>
      <w:rFonts w:cs="Arial"/>
      <w:b/>
      <w:color w:val="FFFFFF" w:themeColor="background1"/>
    </w:rPr>
  </w:style>
  <w:style w:type="paragraph" w:customStyle="1" w:styleId="Bodytextwithindent">
    <w:name w:val="Body text with indent"/>
    <w:basedOn w:val="BodyText1"/>
    <w:next w:val="Normal"/>
    <w:link w:val="BodytextwithindentChar"/>
    <w:qFormat/>
    <w:rsid w:val="00D217A7"/>
    <w:pPr>
      <w:spacing w:before="120" w:after="240"/>
      <w:ind w:left="794"/>
    </w:pPr>
  </w:style>
  <w:style w:type="paragraph" w:styleId="ListParagraph">
    <w:name w:val="List Paragraph"/>
    <w:basedOn w:val="Normal"/>
    <w:link w:val="ListParagraphChar"/>
    <w:uiPriority w:val="34"/>
    <w:qFormat/>
    <w:locked/>
    <w:rsid w:val="00A54ECA"/>
    <w:pPr>
      <w:numPr>
        <w:numId w:val="19"/>
      </w:numPr>
      <w:contextualSpacing/>
    </w:pPr>
    <w:rPr>
      <w:sz w:val="24"/>
      <w:szCs w:val="24"/>
    </w:rPr>
  </w:style>
  <w:style w:type="character" w:styleId="LineNumber">
    <w:name w:val="line number"/>
    <w:basedOn w:val="DefaultParagraphFont"/>
    <w:uiPriority w:val="99"/>
    <w:locked/>
    <w:rsid w:val="00FC2FF2"/>
    <w:rPr>
      <w:rFonts w:ascii="Arial" w:hAnsi="Arial"/>
      <w:b w:val="0"/>
      <w:bCs w:val="0"/>
      <w:i w:val="0"/>
      <w:iCs w:val="0"/>
      <w:caps w:val="0"/>
      <w:smallCaps w:val="0"/>
      <w:strike w:val="0"/>
      <w:dstrike w:val="0"/>
      <w:vanish w:val="0"/>
      <w:color w:val="595959" w:themeColor="text1" w:themeTint="A6"/>
      <w:sz w:val="16"/>
      <w:szCs w:val="16"/>
      <w:u w:val="none"/>
      <w:vertAlign w:val="baseline"/>
    </w:rPr>
  </w:style>
  <w:style w:type="paragraph" w:customStyle="1" w:styleId="Referencetext8pt">
    <w:name w:val="Reference text 8pt"/>
    <w:basedOn w:val="BodyText1"/>
    <w:next w:val="BodyText1"/>
    <w:qFormat/>
    <w:rsid w:val="00292AE1"/>
    <w:pPr>
      <w:spacing w:line="220" w:lineRule="exact"/>
    </w:pPr>
    <w:rPr>
      <w:rFonts w:cs="ArialMT"/>
      <w:sz w:val="16"/>
    </w:rPr>
  </w:style>
  <w:style w:type="paragraph" w:customStyle="1" w:styleId="FigureHeading">
    <w:name w:val="Figure Heading"/>
    <w:basedOn w:val="Headingbold"/>
    <w:next w:val="Bodytextwithindent"/>
    <w:qFormat/>
    <w:rsid w:val="00C342B8"/>
    <w:pPr>
      <w:keepNext/>
      <w:numPr>
        <w:numId w:val="1"/>
      </w:numPr>
      <w:tabs>
        <w:tab w:val="clear" w:pos="1021"/>
        <w:tab w:val="left" w:pos="794"/>
        <w:tab w:val="left" w:pos="1843"/>
      </w:tabs>
      <w:spacing w:line="240" w:lineRule="atLeast"/>
      <w:ind w:left="1843" w:hanging="1049"/>
      <w:outlineLvl w:val="0"/>
    </w:pPr>
    <w:rPr>
      <w:rFonts w:asciiTheme="minorHAnsi" w:hAnsiTheme="minorHAnsi" w:cstheme="minorHAnsi"/>
      <w:szCs w:val="32"/>
    </w:rPr>
  </w:style>
  <w:style w:type="paragraph" w:customStyle="1" w:styleId="Tableheading">
    <w:name w:val="Table heading"/>
    <w:basedOn w:val="FigureHeading"/>
    <w:next w:val="Bodytextwithindent"/>
    <w:qFormat/>
    <w:rsid w:val="00A54ECA"/>
    <w:pPr>
      <w:numPr>
        <w:numId w:val="34"/>
      </w:numPr>
      <w:ind w:hanging="76"/>
    </w:pPr>
    <w:rPr>
      <w:bCs w:val="0"/>
    </w:rPr>
  </w:style>
  <w:style w:type="paragraph" w:styleId="TableofFigures">
    <w:name w:val="table of figures"/>
    <w:basedOn w:val="Normal"/>
    <w:next w:val="Normal"/>
    <w:uiPriority w:val="99"/>
    <w:locked/>
    <w:rsid w:val="00D638BC"/>
    <w:pPr>
      <w:tabs>
        <w:tab w:val="left" w:pos="1021"/>
        <w:tab w:val="left" w:pos="8222"/>
      </w:tabs>
      <w:spacing w:after="240" w:line="240" w:lineRule="exact"/>
    </w:pPr>
    <w:rPr>
      <w:b/>
    </w:rPr>
  </w:style>
  <w:style w:type="paragraph" w:customStyle="1" w:styleId="11Bodytext">
    <w:name w:val="1.1 Body text"/>
    <w:basedOn w:val="Normal"/>
    <w:link w:val="11BodytextChar"/>
    <w:qFormat/>
    <w:rsid w:val="00ED1C06"/>
    <w:pPr>
      <w:numPr>
        <w:ilvl w:val="1"/>
        <w:numId w:val="2"/>
      </w:numPr>
      <w:spacing w:before="240" w:after="120" w:line="360" w:lineRule="auto"/>
      <w:jc w:val="both"/>
    </w:pPr>
    <w:rPr>
      <w:rFonts w:asciiTheme="minorHAnsi" w:hAnsiTheme="minorHAnsi" w:cstheme="minorHAnsi"/>
      <w:bCs/>
      <w:sz w:val="24"/>
      <w:szCs w:val="24"/>
    </w:rPr>
  </w:style>
  <w:style w:type="character" w:customStyle="1" w:styleId="11BodytextChar">
    <w:name w:val="1.1 Body text Char"/>
    <w:basedOn w:val="DefaultParagraphFont"/>
    <w:link w:val="11Bodytext"/>
    <w:rsid w:val="00ED1C06"/>
    <w:rPr>
      <w:rFonts w:asciiTheme="minorHAnsi" w:hAnsiTheme="minorHAnsi" w:cstheme="minorHAnsi"/>
      <w:bCs/>
      <w:sz w:val="24"/>
      <w:szCs w:val="24"/>
      <w:lang w:val="en-GB"/>
    </w:rPr>
  </w:style>
  <w:style w:type="paragraph" w:customStyle="1" w:styleId="111Bodytext">
    <w:name w:val="1.1.1 Body text"/>
    <w:basedOn w:val="11Bodytext"/>
    <w:qFormat/>
    <w:rsid w:val="009D1148"/>
    <w:pPr>
      <w:numPr>
        <w:ilvl w:val="3"/>
      </w:numPr>
      <w:spacing w:after="0"/>
    </w:pPr>
    <w:rPr>
      <w:bCs w:val="0"/>
    </w:rPr>
  </w:style>
  <w:style w:type="paragraph" w:customStyle="1" w:styleId="Subheadingbold">
    <w:name w:val="Subheading bold"/>
    <w:basedOn w:val="Headingbold"/>
    <w:qFormat/>
    <w:rsid w:val="00901C92"/>
    <w:pPr>
      <w:tabs>
        <w:tab w:val="clear" w:pos="1021"/>
        <w:tab w:val="left" w:pos="794"/>
      </w:tabs>
      <w:spacing w:before="240" w:after="120" w:line="360" w:lineRule="auto"/>
      <w:ind w:left="1588" w:hanging="794"/>
    </w:pPr>
    <w:rPr>
      <w:szCs w:val="32"/>
    </w:rPr>
  </w:style>
  <w:style w:type="paragraph" w:styleId="TOCHeading">
    <w:name w:val="TOC Heading"/>
    <w:basedOn w:val="Heading1"/>
    <w:next w:val="Normal"/>
    <w:uiPriority w:val="39"/>
    <w:semiHidden/>
    <w:unhideWhenUsed/>
    <w:qFormat/>
    <w:locked/>
    <w:rsid w:val="00BF481C"/>
    <w:pPr>
      <w:spacing w:line="276" w:lineRule="auto"/>
      <w:outlineLvl w:val="9"/>
    </w:pPr>
  </w:style>
  <w:style w:type="character" w:styleId="Hyperlink">
    <w:name w:val="Hyperlink"/>
    <w:basedOn w:val="DefaultParagraphFont"/>
    <w:uiPriority w:val="99"/>
    <w:unhideWhenUsed/>
    <w:locked/>
    <w:rsid w:val="009A15B2"/>
    <w:rPr>
      <w:color w:val="4CAAE4" w:themeColor="hyperlink"/>
      <w:u w:val="single"/>
    </w:rPr>
  </w:style>
  <w:style w:type="paragraph" w:customStyle="1" w:styleId="1Bodytext">
    <w:name w:val="1 Body text"/>
    <w:basedOn w:val="Headingbold"/>
    <w:qFormat/>
    <w:rsid w:val="00433F44"/>
    <w:pPr>
      <w:numPr>
        <w:numId w:val="2"/>
      </w:numPr>
      <w:tabs>
        <w:tab w:val="clear" w:pos="1021"/>
      </w:tabs>
      <w:spacing w:before="240" w:line="240" w:lineRule="atLeast"/>
    </w:pPr>
    <w:rPr>
      <w:caps/>
      <w:szCs w:val="20"/>
    </w:rPr>
  </w:style>
  <w:style w:type="paragraph" w:customStyle="1" w:styleId="Quotetext">
    <w:name w:val="Quote text"/>
    <w:basedOn w:val="Bodytextwithindent"/>
    <w:qFormat/>
    <w:rsid w:val="00A54ECA"/>
    <w:pPr>
      <w:spacing w:line="240" w:lineRule="atLeast"/>
      <w:ind w:left="1077" w:right="284"/>
    </w:pPr>
    <w:rPr>
      <w:i/>
      <w:iCs/>
      <w:sz w:val="24"/>
      <w:szCs w:val="24"/>
      <w:shd w:val="clear" w:color="auto" w:fill="FFFFFF"/>
    </w:rPr>
  </w:style>
  <w:style w:type="paragraph" w:customStyle="1" w:styleId="Bulletblackplain">
    <w:name w:val="Bullet black plain"/>
    <w:basedOn w:val="BodyText1"/>
    <w:link w:val="BulletblackplainChar"/>
    <w:qFormat/>
    <w:rsid w:val="00901C92"/>
    <w:pPr>
      <w:numPr>
        <w:numId w:val="4"/>
      </w:numPr>
      <w:spacing w:before="60" w:after="60" w:line="240" w:lineRule="atLeast"/>
      <w:ind w:left="1078" w:hanging="284"/>
    </w:pPr>
    <w:rPr>
      <w:sz w:val="24"/>
      <w:szCs w:val="24"/>
    </w:rPr>
  </w:style>
  <w:style w:type="character" w:customStyle="1" w:styleId="BulletblackplainChar">
    <w:name w:val="Bullet black plain Char"/>
    <w:basedOn w:val="BodytextChar"/>
    <w:link w:val="Bulletblackplain"/>
    <w:rsid w:val="00901C92"/>
    <w:rPr>
      <w:sz w:val="24"/>
      <w:szCs w:val="24"/>
      <w:lang w:val="en-GB"/>
    </w:rPr>
  </w:style>
  <w:style w:type="paragraph" w:customStyle="1" w:styleId="Addressline1">
    <w:name w:val="Address line 1"/>
    <w:basedOn w:val="12Subheadbluecoverpage"/>
    <w:qFormat/>
    <w:rsid w:val="00B242EB"/>
    <w:pPr>
      <w:ind w:firstLine="794"/>
      <w:jc w:val="left"/>
    </w:pPr>
  </w:style>
  <w:style w:type="paragraph" w:customStyle="1" w:styleId="NameofClient">
    <w:name w:val="Name of Client"/>
    <w:basedOn w:val="12Subheadbluecoverpage"/>
    <w:qFormat/>
    <w:rsid w:val="00573A69"/>
    <w:pPr>
      <w:jc w:val="left"/>
    </w:pPr>
    <w:rPr>
      <w:b w:val="0"/>
    </w:rPr>
  </w:style>
  <w:style w:type="paragraph" w:customStyle="1" w:styleId="Postcode">
    <w:name w:val="Postcode"/>
    <w:basedOn w:val="SubheadBlue12"/>
    <w:qFormat/>
    <w:rsid w:val="00573A69"/>
    <w:pPr>
      <w:ind w:left="0"/>
      <w:jc w:val="left"/>
    </w:pPr>
  </w:style>
  <w:style w:type="paragraph" w:customStyle="1" w:styleId="Dateofreport">
    <w:name w:val="Date of report"/>
    <w:basedOn w:val="SubheadBlue12"/>
    <w:qFormat/>
    <w:rsid w:val="00F276CF"/>
    <w:pPr>
      <w:ind w:left="0" w:firstLine="794"/>
      <w:jc w:val="left"/>
    </w:pPr>
  </w:style>
  <w:style w:type="paragraph" w:customStyle="1" w:styleId="Footerlandscape">
    <w:name w:val="Footer landscape"/>
    <w:basedOn w:val="Normal"/>
    <w:qFormat/>
    <w:rsid w:val="00D217A7"/>
    <w:pPr>
      <w:framePr w:w="14572" w:h="748" w:hRule="exact" w:wrap="around" w:vAnchor="page" w:hAnchor="page" w:x="1379" w:y="10723"/>
      <w:tabs>
        <w:tab w:val="right" w:pos="14572"/>
      </w:tabs>
      <w:spacing w:line="200" w:lineRule="exact"/>
    </w:pPr>
    <w:rPr>
      <w:sz w:val="16"/>
    </w:rPr>
  </w:style>
  <w:style w:type="paragraph" w:customStyle="1" w:styleId="FooterPortrait">
    <w:name w:val="Footer Portrait"/>
    <w:basedOn w:val="Normal"/>
    <w:qFormat/>
    <w:rsid w:val="00D217A7"/>
    <w:pPr>
      <w:framePr w:w="9639" w:h="748" w:hRule="exact" w:wrap="around" w:vAnchor="page" w:hAnchor="page" w:x="1379" w:y="15656"/>
      <w:tabs>
        <w:tab w:val="right" w:pos="9639"/>
      </w:tabs>
      <w:spacing w:line="200" w:lineRule="exact"/>
    </w:pPr>
    <w:rPr>
      <w:sz w:val="16"/>
    </w:rPr>
  </w:style>
  <w:style w:type="character" w:customStyle="1" w:styleId="Filelocation6pt">
    <w:name w:val="File location 6pt"/>
    <w:basedOn w:val="DefaultParagraphFont"/>
    <w:uiPriority w:val="1"/>
    <w:qFormat/>
    <w:rsid w:val="00E15CE9"/>
    <w:rPr>
      <w:rFonts w:ascii="Arial" w:hAnsi="Arial"/>
      <w:b w:val="0"/>
      <w:i w:val="0"/>
      <w:sz w:val="12"/>
    </w:rPr>
  </w:style>
  <w:style w:type="paragraph" w:customStyle="1" w:styleId="Bulletblueplain">
    <w:name w:val="Bullet blue plain"/>
    <w:basedOn w:val="Bulletblackplain"/>
    <w:link w:val="BulletblueplainChar"/>
    <w:qFormat/>
    <w:rsid w:val="00901C92"/>
    <w:pPr>
      <w:numPr>
        <w:numId w:val="3"/>
      </w:numPr>
    </w:pPr>
    <w:rPr>
      <w:szCs w:val="22"/>
    </w:rPr>
  </w:style>
  <w:style w:type="character" w:customStyle="1" w:styleId="BulletblueplainChar">
    <w:name w:val="Bullet blue plain Char"/>
    <w:basedOn w:val="BulletblackplainChar"/>
    <w:link w:val="Bulletblueplain"/>
    <w:rsid w:val="00901C92"/>
    <w:rPr>
      <w:sz w:val="24"/>
      <w:szCs w:val="22"/>
      <w:lang w:val="en-GB"/>
    </w:rPr>
  </w:style>
  <w:style w:type="paragraph" w:customStyle="1" w:styleId="TableBodytext">
    <w:name w:val="Table Body text"/>
    <w:basedOn w:val="Normal"/>
    <w:link w:val="TableBodytextChar"/>
    <w:qFormat/>
    <w:rsid w:val="00292AE1"/>
    <w:pPr>
      <w:spacing w:before="60" w:after="60" w:line="240" w:lineRule="atLeast"/>
    </w:pPr>
    <w:rPr>
      <w:sz w:val="18"/>
      <w:szCs w:val="18"/>
    </w:rPr>
  </w:style>
  <w:style w:type="character" w:customStyle="1" w:styleId="TableBodytextChar">
    <w:name w:val="Table Body text Char"/>
    <w:basedOn w:val="DefaultParagraphFont"/>
    <w:link w:val="TableBodytext"/>
    <w:rsid w:val="00292AE1"/>
    <w:rPr>
      <w:sz w:val="18"/>
      <w:szCs w:val="18"/>
      <w:lang w:val="en-GB"/>
    </w:rPr>
  </w:style>
  <w:style w:type="table" w:customStyle="1" w:styleId="GLHearntable2">
    <w:name w:val="GL Hearn table 2"/>
    <w:basedOn w:val="GLHearntable1"/>
    <w:uiPriority w:val="99"/>
    <w:rsid w:val="0017356C"/>
    <w:tblPr>
      <w:tblBorders>
        <w:top w:val="single" w:sz="2" w:space="0" w:color="1C1C1C"/>
        <w:left w:val="single" w:sz="2" w:space="0" w:color="1C1C1C"/>
        <w:bottom w:val="single" w:sz="2" w:space="0" w:color="1C1C1C"/>
        <w:right w:val="single" w:sz="2" w:space="0" w:color="1C1C1C"/>
        <w:insideH w:val="single" w:sz="2" w:space="0" w:color="1C1C1C"/>
        <w:insideV w:val="single" w:sz="2" w:space="0" w:color="1C1C1C"/>
      </w:tblBorders>
    </w:tblPr>
    <w:tcPr>
      <w:shd w:val="clear" w:color="auto" w:fill="auto"/>
    </w:tcPr>
    <w:tblStylePr w:type="firstRow">
      <w:pPr>
        <w:jc w:val="left"/>
      </w:pPr>
      <w:rPr>
        <w:rFonts w:ascii="Arial" w:hAnsi="Arial"/>
        <w:b/>
        <w:color w:val="FFFFFF" w:themeColor="background1"/>
        <w:sz w:val="20"/>
        <w:u w:val="none"/>
      </w:rPr>
      <w:tblPr/>
      <w:tcPr>
        <w:shd w:val="clear" w:color="auto" w:fill="4D4D4D"/>
        <w:vAlign w:val="center"/>
      </w:tcPr>
    </w:tblStylePr>
    <w:tblStylePr w:type="lastRow">
      <w:rPr>
        <w:rFonts w:ascii="Arial" w:hAnsi="Arial"/>
        <w:b/>
        <w:sz w:val="18"/>
      </w:rPr>
      <w:tblPr/>
      <w:tcPr>
        <w:shd w:val="clear" w:color="auto" w:fill="B2B2B2"/>
      </w:tcPr>
    </w:tblStylePr>
    <w:tblStylePr w:type="firstCol">
      <w:rPr>
        <w:rFonts w:ascii="Arial" w:hAnsi="Arial"/>
        <w:b/>
        <w:i w:val="0"/>
        <w:color w:val="000000" w:themeColor="text1"/>
        <w:sz w:val="18"/>
      </w:rPr>
    </w:tblStylePr>
    <w:tblStylePr w:type="band2Horz">
      <w:tblPr/>
      <w:tcPr>
        <w:shd w:val="clear" w:color="auto" w:fill="E0E0E0" w:themeFill="text2" w:themeFillTint="66"/>
      </w:tcPr>
    </w:tblStylePr>
  </w:style>
  <w:style w:type="paragraph" w:customStyle="1" w:styleId="Pa0">
    <w:name w:val="Pa0"/>
    <w:basedOn w:val="Normal"/>
    <w:next w:val="Normal"/>
    <w:uiPriority w:val="99"/>
    <w:semiHidden/>
    <w:rsid w:val="007B66AD"/>
    <w:pPr>
      <w:widowControl w:val="0"/>
      <w:autoSpaceDE w:val="0"/>
      <w:autoSpaceDN w:val="0"/>
      <w:adjustRightInd w:val="0"/>
      <w:spacing w:line="241" w:lineRule="atLeast"/>
    </w:pPr>
    <w:rPr>
      <w:rFonts w:cs="Times New Roman"/>
      <w:sz w:val="24"/>
      <w:szCs w:val="24"/>
    </w:rPr>
  </w:style>
  <w:style w:type="paragraph" w:customStyle="1" w:styleId="Pa2">
    <w:name w:val="Pa2"/>
    <w:basedOn w:val="Normal"/>
    <w:next w:val="Normal"/>
    <w:uiPriority w:val="99"/>
    <w:semiHidden/>
    <w:rsid w:val="007B66AD"/>
    <w:pPr>
      <w:widowControl w:val="0"/>
      <w:autoSpaceDE w:val="0"/>
      <w:autoSpaceDN w:val="0"/>
      <w:adjustRightInd w:val="0"/>
      <w:spacing w:line="181" w:lineRule="atLeast"/>
    </w:pPr>
    <w:rPr>
      <w:rFonts w:cs="Times New Roman"/>
      <w:sz w:val="24"/>
      <w:szCs w:val="24"/>
    </w:rPr>
  </w:style>
  <w:style w:type="character" w:customStyle="1" w:styleId="A4">
    <w:name w:val="A4"/>
    <w:uiPriority w:val="99"/>
    <w:semiHidden/>
    <w:unhideWhenUsed/>
    <w:rsid w:val="007B66AD"/>
    <w:rPr>
      <w:rFonts w:cs="Arial"/>
      <w:b/>
      <w:bCs/>
      <w:color w:val="221E1F"/>
      <w:sz w:val="20"/>
      <w:szCs w:val="20"/>
    </w:rPr>
  </w:style>
  <w:style w:type="paragraph" w:customStyle="1" w:styleId="Pa3">
    <w:name w:val="Pa3"/>
    <w:basedOn w:val="Normal"/>
    <w:next w:val="Normal"/>
    <w:uiPriority w:val="99"/>
    <w:semiHidden/>
    <w:rsid w:val="007B66AD"/>
    <w:pPr>
      <w:widowControl w:val="0"/>
      <w:autoSpaceDE w:val="0"/>
      <w:autoSpaceDN w:val="0"/>
      <w:adjustRightInd w:val="0"/>
      <w:spacing w:line="201" w:lineRule="atLeast"/>
    </w:pPr>
    <w:rPr>
      <w:rFonts w:cs="Times New Roman"/>
      <w:sz w:val="24"/>
      <w:szCs w:val="24"/>
    </w:rPr>
  </w:style>
  <w:style w:type="paragraph" w:customStyle="1" w:styleId="NameofDevelopment">
    <w:name w:val="Name of Development"/>
    <w:basedOn w:val="NameofClient"/>
    <w:qFormat/>
    <w:rsid w:val="00B242EB"/>
    <w:pPr>
      <w:ind w:firstLine="794"/>
    </w:pPr>
    <w:rPr>
      <w:b/>
    </w:rPr>
  </w:style>
  <w:style w:type="paragraph" w:customStyle="1" w:styleId="Appendices">
    <w:name w:val="Appendices"/>
    <w:qFormat/>
    <w:rsid w:val="00990254"/>
    <w:pPr>
      <w:numPr>
        <w:numId w:val="8"/>
      </w:numPr>
      <w:jc w:val="both"/>
    </w:pPr>
    <w:rPr>
      <w:szCs w:val="24"/>
      <w:lang w:val="en-GB"/>
    </w:rPr>
  </w:style>
  <w:style w:type="character" w:styleId="PlaceholderText">
    <w:name w:val="Placeholder Text"/>
    <w:basedOn w:val="DefaultParagraphFont"/>
    <w:uiPriority w:val="99"/>
    <w:semiHidden/>
    <w:locked/>
    <w:rsid w:val="003851CD"/>
    <w:rPr>
      <w:color w:val="808080"/>
    </w:rPr>
  </w:style>
  <w:style w:type="paragraph" w:customStyle="1" w:styleId="12SubheadGreyCoverpage">
    <w:name w:val="12 Subhead Grey (Cover page)"/>
    <w:basedOn w:val="SubheadGrey12"/>
    <w:link w:val="12SubheadGreyCoverpageChar"/>
    <w:rsid w:val="00D217A7"/>
    <w:pPr>
      <w:spacing w:line="300" w:lineRule="exact"/>
      <w:ind w:left="0"/>
    </w:pPr>
  </w:style>
  <w:style w:type="paragraph" w:customStyle="1" w:styleId="Listinga-i">
    <w:name w:val="Listing a-i"/>
    <w:basedOn w:val="Bodytextwithindent"/>
    <w:link w:val="Listinga-iChar"/>
    <w:qFormat/>
    <w:rsid w:val="00292AE1"/>
    <w:pPr>
      <w:numPr>
        <w:numId w:val="5"/>
      </w:numPr>
      <w:spacing w:before="60" w:after="60"/>
      <w:ind w:left="1078" w:hanging="284"/>
    </w:pPr>
  </w:style>
  <w:style w:type="character" w:customStyle="1" w:styleId="BodytextwithindentChar">
    <w:name w:val="Body text with indent Char"/>
    <w:basedOn w:val="BodytextChar"/>
    <w:link w:val="Bodytextwithindent"/>
    <w:rsid w:val="00D217A7"/>
    <w:rPr>
      <w:szCs w:val="18"/>
      <w:lang w:val="en-GB"/>
    </w:rPr>
  </w:style>
  <w:style w:type="character" w:customStyle="1" w:styleId="Listinga-iChar">
    <w:name w:val="Listing a-i Char"/>
    <w:basedOn w:val="BodytextwithindentChar"/>
    <w:link w:val="Listinga-i"/>
    <w:rsid w:val="00292AE1"/>
    <w:rPr>
      <w:szCs w:val="18"/>
      <w:lang w:val="en-GB"/>
    </w:rPr>
  </w:style>
  <w:style w:type="paragraph" w:customStyle="1" w:styleId="QuoteBulletBlack">
    <w:name w:val="Quote Bullet Black"/>
    <w:basedOn w:val="Bulletblackplain"/>
    <w:link w:val="QuoteBulletBlackChar"/>
    <w:qFormat/>
    <w:rsid w:val="00E515B4"/>
    <w:rPr>
      <w:i/>
    </w:rPr>
  </w:style>
  <w:style w:type="paragraph" w:customStyle="1" w:styleId="Quotelistinga">
    <w:name w:val="Quote listing (a)"/>
    <w:link w:val="QuotelistingaChar"/>
    <w:qFormat/>
    <w:rsid w:val="00E515B4"/>
    <w:pPr>
      <w:numPr>
        <w:numId w:val="7"/>
      </w:numPr>
      <w:spacing w:before="60" w:after="60" w:line="240" w:lineRule="atLeast"/>
    </w:pPr>
    <w:rPr>
      <w:i/>
      <w:szCs w:val="18"/>
      <w:lang w:val="en-GB"/>
    </w:rPr>
  </w:style>
  <w:style w:type="character" w:customStyle="1" w:styleId="QuoteBulletBlackChar">
    <w:name w:val="Quote Bullet Black Char"/>
    <w:basedOn w:val="BulletblackplainChar"/>
    <w:link w:val="QuoteBulletBlack"/>
    <w:rsid w:val="00E515B4"/>
    <w:rPr>
      <w:i/>
      <w:sz w:val="24"/>
      <w:szCs w:val="24"/>
      <w:lang w:val="en-GB"/>
    </w:rPr>
  </w:style>
  <w:style w:type="paragraph" w:customStyle="1" w:styleId="Quotelistingi">
    <w:name w:val="Quote listing (i)"/>
    <w:basedOn w:val="Quotelistinga"/>
    <w:link w:val="QuotelistingiChar"/>
    <w:qFormat/>
    <w:rsid w:val="001F2DD9"/>
    <w:pPr>
      <w:numPr>
        <w:ilvl w:val="1"/>
      </w:numPr>
    </w:pPr>
  </w:style>
  <w:style w:type="character" w:customStyle="1" w:styleId="QuotelistingaChar">
    <w:name w:val="Quote listing (a) Char"/>
    <w:basedOn w:val="Listinga-iChar"/>
    <w:link w:val="Quotelistinga"/>
    <w:rsid w:val="00E515B4"/>
    <w:rPr>
      <w:i/>
      <w:szCs w:val="18"/>
      <w:lang w:val="en-GB"/>
    </w:rPr>
  </w:style>
  <w:style w:type="paragraph" w:customStyle="1" w:styleId="12Subheadbluecoverpage">
    <w:name w:val="12 Subhead blue (cover page)"/>
    <w:basedOn w:val="SubheadBlue12"/>
    <w:link w:val="12SubheadbluecoverpageChar"/>
    <w:rsid w:val="00FA67AA"/>
    <w:pPr>
      <w:ind w:left="0"/>
    </w:pPr>
  </w:style>
  <w:style w:type="character" w:customStyle="1" w:styleId="QuotelistingiChar">
    <w:name w:val="Quote listing (i) Char"/>
    <w:basedOn w:val="QuotelistingaChar"/>
    <w:link w:val="Quotelistingi"/>
    <w:rsid w:val="001F2DD9"/>
    <w:rPr>
      <w:i/>
      <w:szCs w:val="18"/>
      <w:lang w:val="en-GB"/>
    </w:rPr>
  </w:style>
  <w:style w:type="character" w:customStyle="1" w:styleId="SubheadBlue12Char">
    <w:name w:val="Subhead Blue 12 Char"/>
    <w:basedOn w:val="BoldBodytextChar"/>
    <w:link w:val="SubheadBlue12"/>
    <w:rsid w:val="00A54ECA"/>
    <w:rPr>
      <w:b/>
      <w:bCs w:val="0"/>
      <w:color w:val="0093D5"/>
      <w:sz w:val="24"/>
      <w:szCs w:val="24"/>
      <w:lang w:val="en-GB"/>
    </w:rPr>
  </w:style>
  <w:style w:type="character" w:customStyle="1" w:styleId="SubheadGrey12Char">
    <w:name w:val="Subhead Grey 12 Char"/>
    <w:basedOn w:val="SubheadBlue12Char"/>
    <w:link w:val="SubheadGrey12"/>
    <w:rsid w:val="00681D04"/>
    <w:rPr>
      <w:b/>
      <w:bCs w:val="0"/>
      <w:color w:val="33393A"/>
      <w:sz w:val="24"/>
      <w:szCs w:val="24"/>
      <w:lang w:val="en-GB"/>
    </w:rPr>
  </w:style>
  <w:style w:type="character" w:customStyle="1" w:styleId="12SubheadGreyCoverpageChar">
    <w:name w:val="12 Subhead Grey (Cover page) Char"/>
    <w:basedOn w:val="SubheadGrey12Char"/>
    <w:link w:val="12SubheadGreyCoverpage"/>
    <w:rsid w:val="00D217A7"/>
    <w:rPr>
      <w:b/>
      <w:bCs w:val="0"/>
      <w:color w:val="33393A"/>
      <w:sz w:val="24"/>
      <w:szCs w:val="24"/>
      <w:lang w:val="en-GB"/>
    </w:rPr>
  </w:style>
  <w:style w:type="paragraph" w:customStyle="1" w:styleId="12SubheadGrey">
    <w:name w:val="12 Subhead Grey"/>
    <w:basedOn w:val="Normal"/>
    <w:qFormat/>
    <w:rsid w:val="005856E2"/>
    <w:pPr>
      <w:keepNext/>
      <w:tabs>
        <w:tab w:val="left" w:pos="227"/>
      </w:tabs>
      <w:spacing w:line="300" w:lineRule="exact"/>
      <w:contextualSpacing/>
    </w:pPr>
    <w:rPr>
      <w:color w:val="33393A"/>
      <w:sz w:val="24"/>
      <w:szCs w:val="24"/>
    </w:rPr>
  </w:style>
  <w:style w:type="character" w:customStyle="1" w:styleId="12SubheadbluecoverpageChar">
    <w:name w:val="12 Subhead blue (cover page) Char"/>
    <w:basedOn w:val="SubheadBlue12Char"/>
    <w:link w:val="12Subheadbluecoverpage"/>
    <w:rsid w:val="00FA67AA"/>
    <w:rPr>
      <w:b/>
      <w:bCs w:val="0"/>
      <w:color w:val="0093D5"/>
      <w:sz w:val="24"/>
      <w:szCs w:val="24"/>
      <w:lang w:val="en-GB"/>
    </w:rPr>
  </w:style>
  <w:style w:type="character" w:customStyle="1" w:styleId="ListParagraphChar">
    <w:name w:val="List Paragraph Char"/>
    <w:link w:val="ListParagraph"/>
    <w:uiPriority w:val="34"/>
    <w:locked/>
    <w:rsid w:val="00A54ECA"/>
    <w:rPr>
      <w:sz w:val="24"/>
      <w:szCs w:val="24"/>
      <w:lang w:val="en-GB"/>
    </w:rPr>
  </w:style>
  <w:style w:type="paragraph" w:styleId="FootnoteText">
    <w:name w:val="footnote text"/>
    <w:aliases w:val="Char Char,Footnote Text Char Char, Char Char Char,Char Char1,~Footnote,Harestanes Ref,RSK-FT,RSK-FT1,RSK-FT2"/>
    <w:basedOn w:val="Normal"/>
    <w:link w:val="FootnoteTextChar"/>
    <w:uiPriority w:val="99"/>
    <w:qFormat/>
    <w:locked/>
    <w:rsid w:val="00B0298E"/>
    <w:rPr>
      <w:rFonts w:ascii="Times New Roman" w:eastAsia="Times New Roman" w:hAnsi="Times New Roman" w:cs="Times New Roman"/>
      <w:color w:val="auto"/>
      <w:sz w:val="24"/>
      <w:szCs w:val="24"/>
      <w:lang w:eastAsia="en-GB"/>
    </w:rPr>
  </w:style>
  <w:style w:type="character" w:customStyle="1" w:styleId="FootnoteTextChar">
    <w:name w:val="Footnote Text Char"/>
    <w:aliases w:val="Char Char Char,Footnote Text Char Char Char, Char Char Char Char,Char Char1 Char,~Footnote Char,Harestanes Ref Char,RSK-FT Char,RSK-FT1 Char,RSK-FT2 Char"/>
    <w:basedOn w:val="DefaultParagraphFont"/>
    <w:link w:val="FootnoteText"/>
    <w:uiPriority w:val="99"/>
    <w:rsid w:val="00B0298E"/>
    <w:rPr>
      <w:rFonts w:ascii="Times New Roman" w:eastAsia="Times New Roman" w:hAnsi="Times New Roman" w:cs="Times New Roman"/>
      <w:color w:val="auto"/>
      <w:sz w:val="24"/>
      <w:szCs w:val="24"/>
      <w:lang w:val="en-GB" w:eastAsia="en-GB"/>
    </w:rPr>
  </w:style>
  <w:style w:type="character" w:styleId="FootnoteReference">
    <w:name w:val="footnote reference"/>
    <w:basedOn w:val="DefaultParagraphFont"/>
    <w:uiPriority w:val="99"/>
    <w:locked/>
    <w:rsid w:val="00B0298E"/>
    <w:rPr>
      <w:vertAlign w:val="superscript"/>
    </w:rPr>
  </w:style>
  <w:style w:type="paragraph" w:customStyle="1" w:styleId="Default">
    <w:name w:val="Default"/>
    <w:rsid w:val="00B0298E"/>
    <w:pPr>
      <w:autoSpaceDE w:val="0"/>
      <w:autoSpaceDN w:val="0"/>
      <w:adjustRightInd w:val="0"/>
      <w:spacing w:after="0"/>
    </w:pPr>
    <w:rPr>
      <w:rFonts w:ascii="Verdana" w:hAnsi="Verdana" w:cs="Verdana"/>
      <w:color w:val="000000"/>
      <w:sz w:val="24"/>
      <w:szCs w:val="24"/>
      <w:lang w:val="en-GB"/>
    </w:rPr>
  </w:style>
  <w:style w:type="paragraph" w:styleId="NormalWeb">
    <w:name w:val="Normal (Web)"/>
    <w:basedOn w:val="Normal"/>
    <w:uiPriority w:val="99"/>
    <w:unhideWhenUsed/>
    <w:locked/>
    <w:rsid w:val="00B0298E"/>
    <w:pPr>
      <w:spacing w:before="100" w:beforeAutospacing="1" w:after="100" w:afterAutospacing="1"/>
    </w:pPr>
    <w:rPr>
      <w:rFonts w:ascii="Times New Roman" w:eastAsia="Times New Roman" w:hAnsi="Times New Roman" w:cs="Times New Roman"/>
      <w:color w:val="auto"/>
      <w:sz w:val="24"/>
      <w:szCs w:val="24"/>
      <w:lang w:eastAsia="en-GB"/>
    </w:rPr>
  </w:style>
  <w:style w:type="paragraph" w:styleId="List">
    <w:name w:val="List"/>
    <w:basedOn w:val="Normal"/>
    <w:unhideWhenUsed/>
    <w:locked/>
    <w:rsid w:val="00B0298E"/>
    <w:pPr>
      <w:ind w:left="283" w:hanging="283"/>
    </w:pPr>
    <w:rPr>
      <w:rFonts w:ascii="Times New Roman" w:eastAsia="Times New Roman" w:hAnsi="Times New Roman" w:cs="Times New Roman"/>
      <w:color w:val="auto"/>
      <w:sz w:val="24"/>
      <w:szCs w:val="24"/>
      <w:lang w:eastAsia="en-GB"/>
    </w:rPr>
  </w:style>
  <w:style w:type="character" w:customStyle="1" w:styleId="ReportHeading1Char1">
    <w:name w:val="Report Heading 1 Char1"/>
    <w:link w:val="ReportHeading1"/>
    <w:locked/>
    <w:rsid w:val="00B0298E"/>
    <w:rPr>
      <w:rFonts w:ascii="Times New Roman" w:eastAsia="Times New Roman" w:hAnsi="Times New Roman" w:cs="Times New Roman"/>
      <w:b/>
      <w:kern w:val="20"/>
      <w:sz w:val="44"/>
      <w:lang w:eastAsia="en-GB"/>
    </w:rPr>
  </w:style>
  <w:style w:type="paragraph" w:customStyle="1" w:styleId="ReportHeading1">
    <w:name w:val="Report Heading 1"/>
    <w:basedOn w:val="Heading1"/>
    <w:next w:val="Normal"/>
    <w:link w:val="ReportHeading1Char1"/>
    <w:rsid w:val="00B0298E"/>
    <w:pPr>
      <w:keepNext w:val="0"/>
      <w:keepLines w:val="0"/>
      <w:pageBreakBefore/>
      <w:numPr>
        <w:numId w:val="0"/>
      </w:numPr>
      <w:spacing w:before="60" w:after="60"/>
    </w:pPr>
    <w:rPr>
      <w:rFonts w:ascii="Times New Roman" w:eastAsia="Times New Roman" w:hAnsi="Times New Roman" w:cs="Times New Roman"/>
      <w:bCs w:val="0"/>
      <w:color w:val="000000" w:themeColor="text1"/>
      <w:kern w:val="20"/>
      <w:sz w:val="44"/>
      <w:szCs w:val="20"/>
      <w:lang w:val="en-US" w:eastAsia="en-GB"/>
    </w:rPr>
  </w:style>
  <w:style w:type="paragraph" w:customStyle="1" w:styleId="ListParagraph1">
    <w:name w:val="List Paragraph1"/>
    <w:aliases w:val="F5 List Paragraph,List Paragraph11"/>
    <w:basedOn w:val="Normal"/>
    <w:qFormat/>
    <w:rsid w:val="00B0298E"/>
    <w:pPr>
      <w:ind w:left="720"/>
    </w:pPr>
    <w:rPr>
      <w:rFonts w:ascii="Times New Roman" w:eastAsia="Times New Roman" w:hAnsi="Times New Roman" w:cs="Times New Roman"/>
      <w:color w:val="auto"/>
      <w:sz w:val="24"/>
      <w:szCs w:val="24"/>
      <w:lang w:eastAsia="en-GB"/>
    </w:rPr>
  </w:style>
  <w:style w:type="paragraph" w:customStyle="1" w:styleId="03NumberedHeadings">
    <w:name w:val="03 Numbered Headings"/>
    <w:basedOn w:val="Normal"/>
    <w:next w:val="Normal"/>
    <w:link w:val="03NumberedHeadingsChar"/>
    <w:qFormat/>
    <w:rsid w:val="00B0298E"/>
    <w:pPr>
      <w:numPr>
        <w:numId w:val="9"/>
      </w:numPr>
      <w:spacing w:before="240" w:line="240" w:lineRule="exact"/>
    </w:pPr>
    <w:rPr>
      <w:rFonts w:ascii="Times New Roman" w:eastAsia="MS Mincho" w:hAnsi="Times New Roman" w:cs="Times New Roman"/>
      <w:b/>
      <w:bCs/>
      <w:caps/>
      <w:color w:val="000000"/>
      <w:sz w:val="24"/>
      <w:szCs w:val="24"/>
      <w:lang w:val="en-US" w:eastAsia="en-GB"/>
    </w:rPr>
  </w:style>
  <w:style w:type="character" w:customStyle="1" w:styleId="11BodyChar">
    <w:name w:val="1.1 Body Char"/>
    <w:link w:val="11Body"/>
    <w:locked/>
    <w:rsid w:val="00B0298E"/>
    <w:rPr>
      <w:rFonts w:eastAsia="MS Mincho" w:cs="Times New Roman"/>
      <w:bCs/>
      <w:color w:val="000000"/>
    </w:rPr>
  </w:style>
  <w:style w:type="paragraph" w:customStyle="1" w:styleId="11Body">
    <w:name w:val="1.1 Body"/>
    <w:basedOn w:val="03NumberedHeadings"/>
    <w:link w:val="11BodyChar"/>
    <w:qFormat/>
    <w:rsid w:val="00B0298E"/>
    <w:pPr>
      <w:numPr>
        <w:ilvl w:val="1"/>
      </w:numPr>
      <w:tabs>
        <w:tab w:val="clear" w:pos="1305"/>
        <w:tab w:val="num" w:pos="794"/>
        <w:tab w:val="num" w:pos="867"/>
      </w:tabs>
      <w:ind w:left="867" w:hanging="867"/>
    </w:pPr>
    <w:rPr>
      <w:rFonts w:ascii="Arial" w:hAnsi="Arial"/>
      <w:b w:val="0"/>
      <w:caps w:val="0"/>
      <w:sz w:val="20"/>
      <w:szCs w:val="20"/>
      <w:lang w:eastAsia="ja-JP"/>
    </w:rPr>
  </w:style>
  <w:style w:type="paragraph" w:customStyle="1" w:styleId="111BodyList">
    <w:name w:val="1.1.1 Body List"/>
    <w:basedOn w:val="03NumberedHeadings"/>
    <w:qFormat/>
    <w:rsid w:val="00B0298E"/>
    <w:pPr>
      <w:numPr>
        <w:ilvl w:val="2"/>
      </w:numPr>
      <w:tabs>
        <w:tab w:val="left" w:pos="1304"/>
      </w:tabs>
    </w:pPr>
    <w:rPr>
      <w:b w:val="0"/>
      <w:caps w:val="0"/>
    </w:rPr>
  </w:style>
  <w:style w:type="character" w:customStyle="1" w:styleId="ReportSourceundertableChar">
    <w:name w:val="Report Source under table Char"/>
    <w:link w:val="ReportSourceundertable0"/>
    <w:uiPriority w:val="99"/>
    <w:locked/>
    <w:rsid w:val="00B0298E"/>
    <w:rPr>
      <w:rFonts w:ascii="Arial Narrow" w:eastAsia="Times New Roman" w:hAnsi="Arial Narrow"/>
      <w:iCs/>
      <w:color w:val="000000"/>
      <w:szCs w:val="24"/>
      <w:lang w:eastAsia="en-GB"/>
    </w:rPr>
  </w:style>
  <w:style w:type="paragraph" w:customStyle="1" w:styleId="ReportSourceundertable0">
    <w:name w:val="Report Source under table"/>
    <w:basedOn w:val="Normal"/>
    <w:next w:val="Normal"/>
    <w:link w:val="ReportSourceundertableChar"/>
    <w:uiPriority w:val="99"/>
    <w:rsid w:val="00B0298E"/>
    <w:pPr>
      <w:jc w:val="center"/>
    </w:pPr>
    <w:rPr>
      <w:rFonts w:ascii="Arial Narrow" w:eastAsia="Times New Roman" w:hAnsi="Arial Narrow"/>
      <w:iCs/>
      <w:color w:val="000000"/>
      <w:szCs w:val="24"/>
      <w:lang w:val="en-US" w:eastAsia="en-GB"/>
    </w:rPr>
  </w:style>
  <w:style w:type="character" w:customStyle="1" w:styleId="captionChar">
    <w:name w:val="caption Char"/>
    <w:link w:val="Caption1"/>
    <w:uiPriority w:val="99"/>
    <w:locked/>
    <w:rsid w:val="00B0298E"/>
    <w:rPr>
      <w:rFonts w:ascii="Times New Roman" w:eastAsia="Times New Roman" w:hAnsi="Times New Roman"/>
      <w:b/>
      <w:bCs/>
      <w:sz w:val="24"/>
      <w:szCs w:val="24"/>
      <w:lang w:eastAsia="en-GB"/>
    </w:rPr>
  </w:style>
  <w:style w:type="paragraph" w:customStyle="1" w:styleId="Caption1">
    <w:name w:val="Caption1"/>
    <w:basedOn w:val="Normal"/>
    <w:next w:val="Normal"/>
    <w:link w:val="captionChar"/>
    <w:uiPriority w:val="99"/>
    <w:rsid w:val="00B0298E"/>
    <w:pPr>
      <w:keepNext/>
      <w:spacing w:before="120" w:after="120"/>
      <w:jc w:val="center"/>
    </w:pPr>
    <w:rPr>
      <w:rFonts w:ascii="Times New Roman" w:eastAsia="Times New Roman" w:hAnsi="Times New Roman"/>
      <w:b/>
      <w:bCs/>
      <w:sz w:val="24"/>
      <w:szCs w:val="24"/>
      <w:lang w:val="en-US" w:eastAsia="en-GB"/>
    </w:rPr>
  </w:style>
  <w:style w:type="paragraph" w:customStyle="1" w:styleId="Reporttext">
    <w:name w:val="Report text"/>
    <w:basedOn w:val="Normal"/>
    <w:link w:val="ReporttextCharChar"/>
    <w:rsid w:val="00B0298E"/>
    <w:pPr>
      <w:keepLines/>
      <w:numPr>
        <w:ilvl w:val="1"/>
        <w:numId w:val="10"/>
      </w:numPr>
    </w:pPr>
    <w:rPr>
      <w:rFonts w:ascii="Times New Roman" w:eastAsia="Times New Roman" w:hAnsi="Times New Roman" w:cs="Times New Roman"/>
      <w:color w:val="auto"/>
      <w:sz w:val="24"/>
      <w:szCs w:val="24"/>
      <w:lang w:eastAsia="en-GB"/>
    </w:rPr>
  </w:style>
  <w:style w:type="character" w:customStyle="1" w:styleId="ReporttextCharChar">
    <w:name w:val="Report text Char Char"/>
    <w:link w:val="Reporttext"/>
    <w:rsid w:val="00B0298E"/>
    <w:rPr>
      <w:rFonts w:ascii="Times New Roman" w:eastAsia="Times New Roman" w:hAnsi="Times New Roman" w:cs="Times New Roman"/>
      <w:color w:val="auto"/>
      <w:sz w:val="24"/>
      <w:szCs w:val="24"/>
      <w:lang w:val="en-GB" w:eastAsia="en-GB"/>
    </w:rPr>
  </w:style>
  <w:style w:type="paragraph" w:styleId="PlainText">
    <w:name w:val="Plain Text"/>
    <w:basedOn w:val="Normal"/>
    <w:link w:val="PlainTextChar1"/>
    <w:locked/>
    <w:rsid w:val="00B0298E"/>
    <w:rPr>
      <w:rFonts w:ascii="Calibri" w:eastAsia="Times New Roman" w:hAnsi="Calibri" w:cs="Times New Roman"/>
      <w:color w:val="auto"/>
      <w:sz w:val="21"/>
      <w:szCs w:val="21"/>
      <w:lang w:eastAsia="en-US"/>
    </w:rPr>
  </w:style>
  <w:style w:type="character" w:customStyle="1" w:styleId="PlainTextChar">
    <w:name w:val="Plain Text Char"/>
    <w:basedOn w:val="DefaultParagraphFont"/>
    <w:uiPriority w:val="99"/>
    <w:rsid w:val="00B0298E"/>
    <w:rPr>
      <w:rFonts w:ascii="Consolas" w:hAnsi="Consolas" w:cs="Consolas"/>
      <w:sz w:val="21"/>
      <w:szCs w:val="21"/>
      <w:lang w:val="en-GB"/>
    </w:rPr>
  </w:style>
  <w:style w:type="character" w:customStyle="1" w:styleId="PlainTextChar1">
    <w:name w:val="Plain Text Char1"/>
    <w:link w:val="PlainText"/>
    <w:locked/>
    <w:rsid w:val="00B0298E"/>
    <w:rPr>
      <w:rFonts w:ascii="Calibri" w:eastAsia="Times New Roman" w:hAnsi="Calibri" w:cs="Times New Roman"/>
      <w:color w:val="auto"/>
      <w:sz w:val="21"/>
      <w:szCs w:val="21"/>
      <w:lang w:val="en-GB" w:eastAsia="en-US"/>
    </w:rPr>
  </w:style>
  <w:style w:type="paragraph" w:customStyle="1" w:styleId="ReportHeading2">
    <w:name w:val="Report Heading 2"/>
    <w:basedOn w:val="Heading2"/>
    <w:next w:val="Normal"/>
    <w:link w:val="ReportHeading2Char"/>
    <w:uiPriority w:val="99"/>
    <w:rsid w:val="00B0298E"/>
    <w:pPr>
      <w:keepLines w:val="0"/>
      <w:numPr>
        <w:ilvl w:val="0"/>
        <w:numId w:val="0"/>
      </w:numPr>
      <w:tabs>
        <w:tab w:val="left" w:pos="0"/>
      </w:tabs>
      <w:spacing w:before="0" w:after="240"/>
    </w:pPr>
    <w:rPr>
      <w:rFonts w:ascii="Times New Roman" w:eastAsia="Times New Roman" w:hAnsi="Times New Roman" w:cs="Times New Roman"/>
      <w:bCs w:val="0"/>
      <w:color w:val="auto"/>
      <w:kern w:val="20"/>
      <w:sz w:val="24"/>
      <w:szCs w:val="20"/>
      <w:lang w:eastAsia="en-GB"/>
    </w:rPr>
  </w:style>
  <w:style w:type="character" w:customStyle="1" w:styleId="ReportHeading2Char">
    <w:name w:val="Report Heading 2 Char"/>
    <w:link w:val="ReportHeading2"/>
    <w:uiPriority w:val="99"/>
    <w:rsid w:val="00B0298E"/>
    <w:rPr>
      <w:rFonts w:ascii="Times New Roman" w:eastAsia="Times New Roman" w:hAnsi="Times New Roman" w:cs="Times New Roman"/>
      <w:b/>
      <w:color w:val="auto"/>
      <w:kern w:val="20"/>
      <w:sz w:val="24"/>
      <w:lang w:val="en-GB" w:eastAsia="en-GB"/>
    </w:rPr>
  </w:style>
  <w:style w:type="paragraph" w:customStyle="1" w:styleId="Reportsourceundertable">
    <w:name w:val="Report source under table"/>
    <w:basedOn w:val="Normal"/>
    <w:next w:val="Normal"/>
    <w:rsid w:val="00B0298E"/>
    <w:pPr>
      <w:numPr>
        <w:ilvl w:val="1"/>
        <w:numId w:val="11"/>
      </w:numPr>
      <w:tabs>
        <w:tab w:val="clear" w:pos="867"/>
      </w:tabs>
      <w:ind w:left="0" w:firstLine="0"/>
      <w:jc w:val="center"/>
    </w:pPr>
    <w:rPr>
      <w:rFonts w:ascii="Arial Narrow" w:eastAsia="Times New Roman" w:hAnsi="Arial Narrow" w:cs="Times New Roman"/>
      <w:color w:val="auto"/>
      <w:sz w:val="24"/>
      <w:szCs w:val="24"/>
      <w:lang w:eastAsia="en-GB"/>
    </w:rPr>
  </w:style>
  <w:style w:type="paragraph" w:customStyle="1" w:styleId="Caption2">
    <w:name w:val="Caption2"/>
    <w:basedOn w:val="Normal"/>
    <w:next w:val="Normal"/>
    <w:rsid w:val="00B0298E"/>
    <w:pPr>
      <w:keepNext/>
      <w:spacing w:before="120" w:after="120"/>
      <w:jc w:val="center"/>
    </w:pPr>
    <w:rPr>
      <w:rFonts w:ascii="Times New Roman" w:eastAsia="Times New Roman" w:hAnsi="Times New Roman" w:cs="Times New Roman"/>
      <w:b/>
      <w:bCs/>
      <w:color w:val="auto"/>
      <w:sz w:val="24"/>
      <w:szCs w:val="24"/>
      <w:lang w:eastAsia="en-GB"/>
    </w:rPr>
  </w:style>
  <w:style w:type="paragraph" w:customStyle="1" w:styleId="02Heading-12pt">
    <w:name w:val="02 Heading - 12pt"/>
    <w:basedOn w:val="Normal"/>
    <w:link w:val="02Heading-12ptChar"/>
    <w:qFormat/>
    <w:rsid w:val="00B0298E"/>
    <w:pPr>
      <w:spacing w:after="120" w:line="240" w:lineRule="atLeast"/>
      <w:jc w:val="both"/>
    </w:pPr>
    <w:rPr>
      <w:rFonts w:ascii="Times New Roman" w:eastAsia="Times New Roman" w:hAnsi="Times New Roman" w:cs="Times New Roman"/>
      <w:b/>
      <w:bCs/>
      <w:color w:val="auto"/>
      <w:sz w:val="24"/>
      <w:szCs w:val="24"/>
      <w:lang w:eastAsia="en-GB"/>
    </w:rPr>
  </w:style>
  <w:style w:type="character" w:customStyle="1" w:styleId="02Heading-12ptChar">
    <w:name w:val="02 Heading - 12pt Char"/>
    <w:basedOn w:val="DefaultParagraphFont"/>
    <w:link w:val="02Heading-12pt"/>
    <w:rsid w:val="00B0298E"/>
    <w:rPr>
      <w:rFonts w:ascii="Times New Roman" w:eastAsia="Times New Roman" w:hAnsi="Times New Roman" w:cs="Times New Roman"/>
      <w:b/>
      <w:bCs/>
      <w:color w:val="auto"/>
      <w:sz w:val="24"/>
      <w:szCs w:val="24"/>
      <w:lang w:val="en-GB" w:eastAsia="en-GB"/>
    </w:rPr>
  </w:style>
  <w:style w:type="table" w:customStyle="1" w:styleId="ReportTable1">
    <w:name w:val="Report Table1"/>
    <w:basedOn w:val="TableNormal"/>
    <w:next w:val="TableGrid"/>
    <w:uiPriority w:val="59"/>
    <w:rsid w:val="00B0298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locked/>
    <w:rsid w:val="00B0298E"/>
    <w:pPr>
      <w:spacing w:after="0"/>
    </w:pPr>
    <w:tblPr>
      <w:tblStyleRowBandSize w:val="1"/>
      <w:tblStyleColBandSize w:val="1"/>
      <w:tblBorders>
        <w:top w:val="single" w:sz="8" w:space="0" w:color="0093D5" w:themeColor="accent2"/>
        <w:left w:val="single" w:sz="8" w:space="0" w:color="0093D5" w:themeColor="accent2"/>
        <w:bottom w:val="single" w:sz="8" w:space="0" w:color="0093D5" w:themeColor="accent2"/>
        <w:right w:val="single" w:sz="8" w:space="0" w:color="0093D5" w:themeColor="accent2"/>
      </w:tblBorders>
    </w:tblPr>
    <w:tblStylePr w:type="firstRow">
      <w:pPr>
        <w:spacing w:before="0" w:after="0" w:line="240" w:lineRule="auto"/>
      </w:pPr>
      <w:rPr>
        <w:b/>
        <w:bCs/>
        <w:color w:val="FFFFFF" w:themeColor="background1"/>
      </w:rPr>
      <w:tblPr/>
      <w:tcPr>
        <w:shd w:val="clear" w:color="auto" w:fill="0093D5" w:themeFill="accent2"/>
      </w:tcPr>
    </w:tblStylePr>
    <w:tblStylePr w:type="lastRow">
      <w:pPr>
        <w:spacing w:before="0" w:after="0" w:line="240" w:lineRule="auto"/>
      </w:pPr>
      <w:rPr>
        <w:b/>
        <w:bCs/>
      </w:rPr>
      <w:tblPr/>
      <w:tcPr>
        <w:tcBorders>
          <w:top w:val="double" w:sz="6" w:space="0" w:color="0093D5" w:themeColor="accent2"/>
          <w:left w:val="single" w:sz="8" w:space="0" w:color="0093D5" w:themeColor="accent2"/>
          <w:bottom w:val="single" w:sz="8" w:space="0" w:color="0093D5" w:themeColor="accent2"/>
          <w:right w:val="single" w:sz="8" w:space="0" w:color="0093D5" w:themeColor="accent2"/>
        </w:tcBorders>
      </w:tcPr>
    </w:tblStylePr>
    <w:tblStylePr w:type="firstCol">
      <w:rPr>
        <w:b/>
        <w:bCs/>
      </w:rPr>
    </w:tblStylePr>
    <w:tblStylePr w:type="lastCol">
      <w:rPr>
        <w:b/>
        <w:bCs/>
      </w:rPr>
    </w:tblStylePr>
    <w:tblStylePr w:type="band1Vert">
      <w:tblPr/>
      <w:tcPr>
        <w:tcBorders>
          <w:top w:val="single" w:sz="8" w:space="0" w:color="0093D5" w:themeColor="accent2"/>
          <w:left w:val="single" w:sz="8" w:space="0" w:color="0093D5" w:themeColor="accent2"/>
          <w:bottom w:val="single" w:sz="8" w:space="0" w:color="0093D5" w:themeColor="accent2"/>
          <w:right w:val="single" w:sz="8" w:space="0" w:color="0093D5" w:themeColor="accent2"/>
        </w:tcBorders>
      </w:tcPr>
    </w:tblStylePr>
    <w:tblStylePr w:type="band1Horz">
      <w:tblPr/>
      <w:tcPr>
        <w:tcBorders>
          <w:top w:val="single" w:sz="8" w:space="0" w:color="0093D5" w:themeColor="accent2"/>
          <w:left w:val="single" w:sz="8" w:space="0" w:color="0093D5" w:themeColor="accent2"/>
          <w:bottom w:val="single" w:sz="8" w:space="0" w:color="0093D5" w:themeColor="accent2"/>
          <w:right w:val="single" w:sz="8" w:space="0" w:color="0093D5" w:themeColor="accent2"/>
        </w:tcBorders>
      </w:tcPr>
    </w:tblStylePr>
  </w:style>
  <w:style w:type="table" w:customStyle="1" w:styleId="GLHearntable11">
    <w:name w:val="GL Hearn table 11"/>
    <w:basedOn w:val="TableNormal"/>
    <w:uiPriority w:val="99"/>
    <w:rsid w:val="00B0298E"/>
    <w:pPr>
      <w:spacing w:after="0" w:line="220" w:lineRule="atLeast"/>
    </w:pPr>
    <w:rPr>
      <w:sz w:val="18"/>
    </w:rPr>
    <w:tblPr>
      <w:tblStyleRowBandSize w:val="1"/>
      <w:tblInd w:w="794" w:type="dxa"/>
      <w:tblBorders>
        <w:top w:val="single" w:sz="2" w:space="0" w:color="0093D5"/>
        <w:left w:val="single" w:sz="2" w:space="0" w:color="0093D5"/>
        <w:bottom w:val="single" w:sz="2" w:space="0" w:color="0093D5"/>
        <w:right w:val="single" w:sz="2" w:space="0" w:color="0093D5"/>
        <w:insideH w:val="single" w:sz="2" w:space="0" w:color="0093D5"/>
        <w:insideV w:val="single" w:sz="2" w:space="0" w:color="0093D5"/>
      </w:tblBorders>
    </w:tblPr>
    <w:tcPr>
      <w:shd w:val="clear" w:color="auto" w:fill="auto"/>
    </w:tcPr>
    <w:tblStylePr w:type="firstRow">
      <w:pPr>
        <w:jc w:val="left"/>
      </w:pPr>
      <w:rPr>
        <w:rFonts w:ascii="Arial" w:hAnsi="Arial"/>
        <w:b/>
        <w:color w:val="FFFFFF" w:themeColor="background1"/>
        <w:sz w:val="20"/>
        <w:u w:val="none"/>
      </w:rPr>
      <w:tblPr/>
      <w:tcPr>
        <w:shd w:val="clear" w:color="auto" w:fill="0093D5"/>
        <w:vAlign w:val="center"/>
      </w:tcPr>
    </w:tblStylePr>
    <w:tblStylePr w:type="lastRow">
      <w:rPr>
        <w:rFonts w:ascii="Arial" w:hAnsi="Arial"/>
        <w:b/>
        <w:sz w:val="18"/>
      </w:rPr>
      <w:tblPr/>
      <w:tcPr>
        <w:shd w:val="clear" w:color="auto" w:fill="99D4EE"/>
      </w:tcPr>
    </w:tblStylePr>
    <w:tblStylePr w:type="firstCol">
      <w:rPr>
        <w:rFonts w:ascii="Arial" w:hAnsi="Arial"/>
        <w:b/>
        <w:i w:val="0"/>
        <w:color w:val="000000" w:themeColor="text1"/>
        <w:sz w:val="18"/>
      </w:rPr>
    </w:tblStylePr>
    <w:tblStylePr w:type="band2Horz">
      <w:tblPr/>
      <w:tcPr>
        <w:shd w:val="clear" w:color="auto" w:fill="C3ECFF" w:themeFill="accent2" w:themeFillTint="33"/>
      </w:tcPr>
    </w:tblStylePr>
  </w:style>
  <w:style w:type="paragraph" w:customStyle="1" w:styleId="BlueBullet">
    <w:name w:val="Blue Bullet"/>
    <w:basedOn w:val="111BodyList"/>
    <w:link w:val="BlueBulletChar"/>
    <w:qFormat/>
    <w:rsid w:val="00B0298E"/>
    <w:pPr>
      <w:numPr>
        <w:numId w:val="12"/>
      </w:numPr>
      <w:tabs>
        <w:tab w:val="clear" w:pos="720"/>
        <w:tab w:val="clear" w:pos="1304"/>
        <w:tab w:val="num" w:pos="794"/>
        <w:tab w:val="left" w:pos="1560"/>
      </w:tabs>
      <w:spacing w:before="120" w:line="240" w:lineRule="atLeast"/>
      <w:ind w:left="794" w:hanging="794"/>
    </w:pPr>
    <w:rPr>
      <w:rFonts w:cs="Arial"/>
      <w:lang w:val="en-GB"/>
    </w:rPr>
  </w:style>
  <w:style w:type="character" w:customStyle="1" w:styleId="BlueBulletChar">
    <w:name w:val="Blue Bullet Char"/>
    <w:link w:val="BlueBullet"/>
    <w:rsid w:val="00B0298E"/>
    <w:rPr>
      <w:rFonts w:ascii="Times New Roman" w:eastAsia="MS Mincho" w:hAnsi="Times New Roman"/>
      <w:bCs/>
      <w:color w:val="000000"/>
      <w:sz w:val="24"/>
      <w:szCs w:val="24"/>
      <w:lang w:val="en-GB" w:eastAsia="en-GB"/>
    </w:rPr>
  </w:style>
  <w:style w:type="paragraph" w:customStyle="1" w:styleId="Reportlistbullet">
    <w:name w:val="Report list bullet"/>
    <w:basedOn w:val="Normal"/>
    <w:link w:val="ReportlistbulletChar"/>
    <w:rsid w:val="00B0298E"/>
    <w:pPr>
      <w:tabs>
        <w:tab w:val="num" w:pos="1440"/>
      </w:tabs>
      <w:ind w:left="1440" w:hanging="720"/>
    </w:pPr>
    <w:rPr>
      <w:rFonts w:ascii="Times New Roman" w:eastAsia="Times New Roman" w:hAnsi="Times New Roman" w:cs="Times New Roman"/>
      <w:color w:val="auto"/>
      <w:sz w:val="24"/>
      <w:szCs w:val="24"/>
      <w:lang w:eastAsia="en-GB"/>
    </w:rPr>
  </w:style>
  <w:style w:type="character" w:customStyle="1" w:styleId="ReportlistbulletChar">
    <w:name w:val="Report list bullet Char"/>
    <w:link w:val="Reportlistbullet"/>
    <w:rsid w:val="00B0298E"/>
    <w:rPr>
      <w:rFonts w:ascii="Times New Roman" w:eastAsia="Times New Roman" w:hAnsi="Times New Roman" w:cs="Times New Roman"/>
      <w:color w:val="auto"/>
      <w:sz w:val="24"/>
      <w:szCs w:val="24"/>
      <w:lang w:val="en-GB" w:eastAsia="en-GB"/>
    </w:rPr>
  </w:style>
  <w:style w:type="paragraph" w:customStyle="1" w:styleId="captionfigures">
    <w:name w:val="caption figures"/>
    <w:basedOn w:val="Normal"/>
    <w:autoRedefine/>
    <w:rsid w:val="00B0298E"/>
    <w:pPr>
      <w:widowControl w:val="0"/>
      <w:spacing w:before="60" w:after="60" w:line="300" w:lineRule="auto"/>
      <w:jc w:val="center"/>
    </w:pPr>
    <w:rPr>
      <w:rFonts w:ascii="Times New Roman" w:eastAsia="Times New Roman" w:hAnsi="Times New Roman" w:cs="Times New Roman"/>
      <w:b/>
      <w:bCs/>
      <w:color w:val="auto"/>
      <w:spacing w:val="-2"/>
      <w:sz w:val="24"/>
      <w:szCs w:val="24"/>
      <w:lang w:eastAsia="en-GB"/>
    </w:rPr>
  </w:style>
  <w:style w:type="character" w:customStyle="1" w:styleId="apple-style-span">
    <w:name w:val="apple-style-span"/>
    <w:basedOn w:val="DefaultParagraphFont"/>
    <w:rsid w:val="00B0298E"/>
  </w:style>
  <w:style w:type="paragraph" w:customStyle="1" w:styleId="ReportHeaderLeft">
    <w:name w:val="Report Header Left"/>
    <w:basedOn w:val="Normal"/>
    <w:rsid w:val="00B0298E"/>
    <w:pPr>
      <w:pBdr>
        <w:bottom w:val="dotted" w:sz="4" w:space="3" w:color="auto"/>
      </w:pBdr>
      <w:spacing w:after="120"/>
    </w:pPr>
    <w:rPr>
      <w:rFonts w:ascii="Times New Roman" w:eastAsia="Times New Roman" w:hAnsi="Times New Roman" w:cs="Times New Roman"/>
      <w:i/>
      <w:color w:val="000000"/>
      <w:spacing w:val="20"/>
      <w:kern w:val="20"/>
      <w:sz w:val="18"/>
      <w:szCs w:val="18"/>
      <w:lang w:eastAsia="en-GB"/>
    </w:rPr>
  </w:style>
  <w:style w:type="paragraph" w:customStyle="1" w:styleId="ReportFooterRight">
    <w:name w:val="Report Footer Right"/>
    <w:basedOn w:val="Normal"/>
    <w:rsid w:val="00B0298E"/>
    <w:pPr>
      <w:pBdr>
        <w:top w:val="dotted" w:sz="4" w:space="4" w:color="auto"/>
      </w:pBdr>
      <w:spacing w:before="240"/>
      <w:jc w:val="right"/>
    </w:pPr>
    <w:rPr>
      <w:rFonts w:ascii="Times New Roman" w:eastAsia="Times New Roman" w:hAnsi="Times New Roman" w:cs="Times New Roman"/>
      <w:i/>
      <w:color w:val="000000"/>
      <w:spacing w:val="20"/>
      <w:kern w:val="20"/>
      <w:sz w:val="17"/>
      <w:szCs w:val="17"/>
      <w:lang w:eastAsia="en-GB"/>
    </w:rPr>
  </w:style>
  <w:style w:type="paragraph" w:customStyle="1" w:styleId="ListParagraph2">
    <w:name w:val="List Paragraph2"/>
    <w:basedOn w:val="Normal"/>
    <w:qFormat/>
    <w:rsid w:val="00B0298E"/>
    <w:pPr>
      <w:ind w:left="720"/>
    </w:pPr>
    <w:rPr>
      <w:rFonts w:ascii="Times New Roman" w:eastAsia="Times New Roman" w:hAnsi="Times New Roman" w:cs="Times New Roman"/>
      <w:color w:val="auto"/>
      <w:sz w:val="24"/>
      <w:szCs w:val="24"/>
      <w:lang w:eastAsia="en-GB"/>
    </w:rPr>
  </w:style>
  <w:style w:type="paragraph" w:customStyle="1" w:styleId="Subnumbers">
    <w:name w:val="Sub numbers"/>
    <w:basedOn w:val="Numbers"/>
    <w:rsid w:val="00B0298E"/>
  </w:style>
  <w:style w:type="paragraph" w:customStyle="1" w:styleId="Numbers">
    <w:name w:val="Numbers"/>
    <w:basedOn w:val="Normal"/>
    <w:rsid w:val="00B0298E"/>
    <w:pPr>
      <w:tabs>
        <w:tab w:val="num" w:pos="567"/>
      </w:tabs>
      <w:spacing w:before="120"/>
      <w:ind w:left="567" w:hanging="567"/>
    </w:pPr>
    <w:rPr>
      <w:rFonts w:ascii="Gill Sans MT" w:eastAsia="Times New Roman" w:hAnsi="Gill Sans MT" w:cs="Times New Roman"/>
      <w:color w:val="auto"/>
      <w:sz w:val="24"/>
      <w:szCs w:val="24"/>
      <w:lang w:eastAsia="en-US"/>
    </w:rPr>
  </w:style>
  <w:style w:type="paragraph" w:customStyle="1" w:styleId="SubnumbersDouble">
    <w:name w:val="Sub numbers (Double)"/>
    <w:basedOn w:val="Normal"/>
    <w:rsid w:val="00B0298E"/>
    <w:pPr>
      <w:tabs>
        <w:tab w:val="num" w:pos="567"/>
      </w:tabs>
      <w:spacing w:before="120"/>
      <w:ind w:left="567" w:hanging="567"/>
    </w:pPr>
    <w:rPr>
      <w:rFonts w:ascii="Gill Sans MT" w:eastAsia="Times New Roman" w:hAnsi="Gill Sans MT" w:cs="Times New Roman"/>
      <w:bCs/>
      <w:color w:val="auto"/>
      <w:sz w:val="24"/>
      <w:szCs w:val="24"/>
      <w:lang w:eastAsia="en-US"/>
    </w:rPr>
  </w:style>
  <w:style w:type="paragraph" w:customStyle="1" w:styleId="smallserial">
    <w:name w:val="# small serial"/>
    <w:basedOn w:val="Normal"/>
    <w:link w:val="smallserialChar"/>
    <w:qFormat/>
    <w:rsid w:val="00B0298E"/>
    <w:pPr>
      <w:numPr>
        <w:ilvl w:val="1"/>
        <w:numId w:val="13"/>
      </w:numPr>
      <w:spacing w:after="200" w:line="276" w:lineRule="auto"/>
      <w:jc w:val="both"/>
    </w:pPr>
    <w:rPr>
      <w:rFonts w:ascii="Calibri" w:eastAsia="Times New Roman" w:hAnsi="Calibri" w:cs="Times New Roman"/>
      <w:color w:val="auto"/>
      <w:sz w:val="24"/>
      <w:szCs w:val="22"/>
      <w:lang w:eastAsia="en-GB"/>
    </w:rPr>
  </w:style>
  <w:style w:type="character" w:customStyle="1" w:styleId="smallserialChar">
    <w:name w:val="# small serial Char"/>
    <w:link w:val="smallserial"/>
    <w:rsid w:val="00B0298E"/>
    <w:rPr>
      <w:rFonts w:ascii="Calibri" w:eastAsia="Times New Roman" w:hAnsi="Calibri" w:cs="Times New Roman"/>
      <w:color w:val="auto"/>
      <w:sz w:val="24"/>
      <w:szCs w:val="22"/>
      <w:lang w:val="en-GB" w:eastAsia="en-GB"/>
    </w:rPr>
  </w:style>
  <w:style w:type="paragraph" w:customStyle="1" w:styleId="StyleListParagraphArial10ptJustified">
    <w:name w:val="Style List Paragraph + Arial 10 pt Justified"/>
    <w:basedOn w:val="ListParagraph"/>
    <w:rsid w:val="00B0298E"/>
    <w:pPr>
      <w:spacing w:after="200" w:line="276" w:lineRule="auto"/>
      <w:contextualSpacing w:val="0"/>
      <w:jc w:val="both"/>
    </w:pPr>
    <w:rPr>
      <w:rFonts w:ascii="Times New Roman" w:eastAsia="Times New Roman" w:hAnsi="Times New Roman" w:cs="Times New Roman"/>
      <w:color w:val="auto"/>
      <w:lang w:eastAsia="en-GB"/>
    </w:rPr>
  </w:style>
  <w:style w:type="paragraph" w:customStyle="1" w:styleId="ReportHeaderRight">
    <w:name w:val="Report Header Right"/>
    <w:basedOn w:val="Normal"/>
    <w:rsid w:val="00B0298E"/>
    <w:pPr>
      <w:pBdr>
        <w:bottom w:val="dotted" w:sz="4" w:space="3" w:color="auto"/>
      </w:pBdr>
      <w:spacing w:after="120"/>
      <w:jc w:val="right"/>
    </w:pPr>
    <w:rPr>
      <w:rFonts w:ascii="Times New Roman" w:eastAsia="Times New Roman" w:hAnsi="Times New Roman" w:cs="Times New Roman"/>
      <w:i/>
      <w:color w:val="000000"/>
      <w:spacing w:val="20"/>
      <w:kern w:val="20"/>
      <w:sz w:val="18"/>
      <w:szCs w:val="18"/>
      <w:lang w:eastAsia="en-GB"/>
    </w:rPr>
  </w:style>
  <w:style w:type="character" w:customStyle="1" w:styleId="03NumberedHeadingsChar">
    <w:name w:val="03 Numbered Headings Char"/>
    <w:link w:val="03NumberedHeadings"/>
    <w:rsid w:val="00B0298E"/>
    <w:rPr>
      <w:rFonts w:ascii="Times New Roman" w:eastAsia="MS Mincho" w:hAnsi="Times New Roman" w:cs="Times New Roman"/>
      <w:b/>
      <w:bCs/>
      <w:caps/>
      <w:color w:val="000000"/>
      <w:sz w:val="24"/>
      <w:szCs w:val="24"/>
      <w:lang w:eastAsia="en-GB"/>
    </w:rPr>
  </w:style>
  <w:style w:type="paragraph" w:customStyle="1" w:styleId="ReportText0">
    <w:name w:val="Report Text"/>
    <w:basedOn w:val="Normal"/>
    <w:rsid w:val="00B0298E"/>
    <w:pPr>
      <w:keepLines/>
      <w:tabs>
        <w:tab w:val="num" w:pos="360"/>
        <w:tab w:val="left" w:pos="720"/>
      </w:tabs>
    </w:pPr>
    <w:rPr>
      <w:rFonts w:ascii="Times New Roman" w:eastAsia="Times New Roman" w:hAnsi="Times New Roman" w:cs="Times New Roman"/>
      <w:color w:val="auto"/>
      <w:sz w:val="24"/>
      <w:szCs w:val="24"/>
      <w:lang w:eastAsia="en-GB"/>
    </w:rPr>
  </w:style>
  <w:style w:type="character" w:customStyle="1" w:styleId="CharChar5">
    <w:name w:val="Char Char5"/>
    <w:locked/>
    <w:rsid w:val="00B0298E"/>
    <w:rPr>
      <w:rFonts w:ascii="Courier New" w:hAnsi="Courier New" w:cs="Courier New"/>
      <w:lang w:val="en-GB" w:eastAsia="en-GB" w:bidi="ar-SA"/>
    </w:rPr>
  </w:style>
  <w:style w:type="paragraph" w:customStyle="1" w:styleId="SubHeading">
    <w:name w:val="SubHeading"/>
    <w:basedOn w:val="Normal"/>
    <w:link w:val="SubHeadingChar"/>
    <w:qFormat/>
    <w:rsid w:val="00B0298E"/>
    <w:pPr>
      <w:spacing w:before="240" w:line="240" w:lineRule="exact"/>
      <w:ind w:left="794"/>
    </w:pPr>
    <w:rPr>
      <w:rFonts w:ascii="Times New Roman" w:eastAsia="MS Mincho" w:hAnsi="Times New Roman" w:cs="Times New Roman"/>
      <w:b/>
      <w:color w:val="000000"/>
      <w:sz w:val="24"/>
      <w:szCs w:val="18"/>
      <w:lang w:eastAsia="en-GB"/>
    </w:rPr>
  </w:style>
  <w:style w:type="character" w:customStyle="1" w:styleId="SubHeadingChar">
    <w:name w:val="SubHeading Char"/>
    <w:link w:val="SubHeading"/>
    <w:rsid w:val="00B0298E"/>
    <w:rPr>
      <w:rFonts w:ascii="Times New Roman" w:eastAsia="MS Mincho" w:hAnsi="Times New Roman" w:cs="Times New Roman"/>
      <w:b/>
      <w:color w:val="000000"/>
      <w:sz w:val="24"/>
      <w:szCs w:val="18"/>
      <w:lang w:val="en-GB" w:eastAsia="en-GB"/>
    </w:rPr>
  </w:style>
  <w:style w:type="paragraph" w:styleId="Title">
    <w:name w:val="Title"/>
    <w:basedOn w:val="Normal"/>
    <w:link w:val="TitleChar"/>
    <w:qFormat/>
    <w:locked/>
    <w:rsid w:val="00B0298E"/>
    <w:pPr>
      <w:jc w:val="center"/>
    </w:pPr>
    <w:rPr>
      <w:rFonts w:ascii="Times New Roman" w:eastAsia="Times New Roman" w:hAnsi="Times New Roman" w:cs="Times New Roman"/>
      <w:b/>
      <w:color w:val="000000"/>
      <w:sz w:val="24"/>
      <w:szCs w:val="24"/>
      <w:lang w:eastAsia="en-US"/>
    </w:rPr>
  </w:style>
  <w:style w:type="character" w:customStyle="1" w:styleId="TitleChar">
    <w:name w:val="Title Char"/>
    <w:basedOn w:val="DefaultParagraphFont"/>
    <w:link w:val="Title"/>
    <w:rsid w:val="00B0298E"/>
    <w:rPr>
      <w:rFonts w:ascii="Times New Roman" w:eastAsia="Times New Roman" w:hAnsi="Times New Roman" w:cs="Times New Roman"/>
      <w:b/>
      <w:color w:val="000000"/>
      <w:sz w:val="24"/>
      <w:szCs w:val="24"/>
      <w:lang w:val="en-GB" w:eastAsia="en-US"/>
    </w:rPr>
  </w:style>
  <w:style w:type="paragraph" w:styleId="CommentText">
    <w:name w:val="annotation text"/>
    <w:basedOn w:val="Normal"/>
    <w:link w:val="CommentTextChar"/>
    <w:uiPriority w:val="99"/>
    <w:locked/>
    <w:rsid w:val="00B0298E"/>
    <w:rPr>
      <w:rFonts w:ascii="Times New Roman" w:eastAsia="Times New Roman" w:hAnsi="Times New Roman" w:cs="Times New Roman"/>
      <w:color w:val="auto"/>
      <w:sz w:val="24"/>
      <w:szCs w:val="24"/>
      <w:lang w:eastAsia="en-US"/>
    </w:rPr>
  </w:style>
  <w:style w:type="character" w:customStyle="1" w:styleId="CommentTextChar">
    <w:name w:val="Comment Text Char"/>
    <w:basedOn w:val="DefaultParagraphFont"/>
    <w:link w:val="CommentText"/>
    <w:uiPriority w:val="99"/>
    <w:rsid w:val="00B0298E"/>
    <w:rPr>
      <w:rFonts w:ascii="Times New Roman" w:eastAsia="Times New Roman" w:hAnsi="Times New Roman" w:cs="Times New Roman"/>
      <w:color w:val="auto"/>
      <w:sz w:val="24"/>
      <w:szCs w:val="24"/>
      <w:lang w:val="en-GB" w:eastAsia="en-US"/>
    </w:rPr>
  </w:style>
  <w:style w:type="paragraph" w:styleId="BodyText2">
    <w:name w:val="Body Text 2"/>
    <w:basedOn w:val="Normal"/>
    <w:link w:val="BodyText2Char"/>
    <w:locked/>
    <w:rsid w:val="00B0298E"/>
    <w:pPr>
      <w:spacing w:line="264" w:lineRule="auto"/>
      <w:jc w:val="both"/>
    </w:pPr>
    <w:rPr>
      <w:rFonts w:ascii="Times New Roman" w:eastAsia="Times New Roman" w:hAnsi="Times New Roman" w:cs="Times New Roman"/>
      <w:color w:val="auto"/>
      <w:sz w:val="24"/>
      <w:szCs w:val="24"/>
      <w:lang w:eastAsia="en-US"/>
    </w:rPr>
  </w:style>
  <w:style w:type="character" w:customStyle="1" w:styleId="BodyText2Char">
    <w:name w:val="Body Text 2 Char"/>
    <w:basedOn w:val="DefaultParagraphFont"/>
    <w:link w:val="BodyText2"/>
    <w:rsid w:val="00B0298E"/>
    <w:rPr>
      <w:rFonts w:ascii="Times New Roman" w:eastAsia="Times New Roman" w:hAnsi="Times New Roman" w:cs="Times New Roman"/>
      <w:color w:val="auto"/>
      <w:sz w:val="24"/>
      <w:szCs w:val="24"/>
      <w:lang w:val="en-GB" w:eastAsia="en-US"/>
    </w:rPr>
  </w:style>
  <w:style w:type="paragraph" w:styleId="BodyText">
    <w:name w:val="Body Text"/>
    <w:basedOn w:val="Normal"/>
    <w:link w:val="BodyTextChar0"/>
    <w:locked/>
    <w:rsid w:val="00B0298E"/>
    <w:pPr>
      <w:spacing w:after="120"/>
    </w:pPr>
    <w:rPr>
      <w:rFonts w:ascii="Times New Roman" w:eastAsia="Times New Roman" w:hAnsi="Times New Roman" w:cs="Times New Roman"/>
      <w:color w:val="auto"/>
      <w:sz w:val="24"/>
      <w:szCs w:val="24"/>
      <w:lang w:eastAsia="en-US"/>
    </w:rPr>
  </w:style>
  <w:style w:type="character" w:customStyle="1" w:styleId="BodyTextChar0">
    <w:name w:val="Body Text Char"/>
    <w:basedOn w:val="DefaultParagraphFont"/>
    <w:link w:val="BodyText"/>
    <w:rsid w:val="00B0298E"/>
    <w:rPr>
      <w:rFonts w:ascii="Times New Roman" w:eastAsia="Times New Roman" w:hAnsi="Times New Roman" w:cs="Times New Roman"/>
      <w:color w:val="auto"/>
      <w:sz w:val="24"/>
      <w:szCs w:val="24"/>
      <w:lang w:val="en-GB" w:eastAsia="en-US"/>
    </w:rPr>
  </w:style>
  <w:style w:type="paragraph" w:styleId="BodyTextIndent3">
    <w:name w:val="Body Text Indent 3"/>
    <w:basedOn w:val="Normal"/>
    <w:link w:val="BodyTextIndent3Char"/>
    <w:locked/>
    <w:rsid w:val="00B0298E"/>
    <w:pPr>
      <w:spacing w:after="120"/>
      <w:ind w:left="283"/>
    </w:pPr>
    <w:rPr>
      <w:rFonts w:ascii="Times New Roman" w:eastAsia="Times New Roman" w:hAnsi="Times New Roman" w:cs="Times New Roman"/>
      <w:color w:val="auto"/>
      <w:sz w:val="16"/>
      <w:szCs w:val="16"/>
      <w:lang w:eastAsia="en-US"/>
    </w:rPr>
  </w:style>
  <w:style w:type="character" w:customStyle="1" w:styleId="BodyTextIndent3Char">
    <w:name w:val="Body Text Indent 3 Char"/>
    <w:basedOn w:val="DefaultParagraphFont"/>
    <w:link w:val="BodyTextIndent3"/>
    <w:rsid w:val="00B0298E"/>
    <w:rPr>
      <w:rFonts w:ascii="Times New Roman" w:eastAsia="Times New Roman" w:hAnsi="Times New Roman" w:cs="Times New Roman"/>
      <w:color w:val="auto"/>
      <w:sz w:val="16"/>
      <w:szCs w:val="16"/>
      <w:lang w:val="en-GB" w:eastAsia="en-US"/>
    </w:rPr>
  </w:style>
  <w:style w:type="paragraph" w:styleId="CommentSubject">
    <w:name w:val="annotation subject"/>
    <w:basedOn w:val="CommentText"/>
    <w:next w:val="CommentText"/>
    <w:link w:val="CommentSubjectChar"/>
    <w:locked/>
    <w:rsid w:val="00B0298E"/>
    <w:rPr>
      <w:b/>
      <w:bCs/>
      <w:lang w:eastAsia="en-GB"/>
    </w:rPr>
  </w:style>
  <w:style w:type="character" w:customStyle="1" w:styleId="CommentSubjectChar">
    <w:name w:val="Comment Subject Char"/>
    <w:basedOn w:val="CommentTextChar"/>
    <w:link w:val="CommentSubject"/>
    <w:rsid w:val="00B0298E"/>
    <w:rPr>
      <w:rFonts w:ascii="Times New Roman" w:eastAsia="Times New Roman" w:hAnsi="Times New Roman" w:cs="Times New Roman"/>
      <w:b/>
      <w:bCs/>
      <w:color w:val="auto"/>
      <w:sz w:val="24"/>
      <w:szCs w:val="24"/>
      <w:lang w:val="en-GB" w:eastAsia="en-GB"/>
    </w:rPr>
  </w:style>
  <w:style w:type="paragraph" w:styleId="z-BottomofForm">
    <w:name w:val="HTML Bottom of Form"/>
    <w:basedOn w:val="Normal"/>
    <w:next w:val="Normal"/>
    <w:link w:val="z-BottomofFormChar"/>
    <w:hidden/>
    <w:rsid w:val="00B0298E"/>
    <w:pPr>
      <w:pBdr>
        <w:top w:val="single" w:sz="6" w:space="1" w:color="auto"/>
      </w:pBdr>
      <w:jc w:val="center"/>
    </w:pPr>
    <w:rPr>
      <w:rFonts w:ascii="Times New Roman" w:eastAsia="Times New Roman" w:hAnsi="Times New Roman" w:cs="Times New Roman"/>
      <w:vanish/>
      <w:color w:val="auto"/>
      <w:sz w:val="16"/>
      <w:szCs w:val="16"/>
      <w:lang w:eastAsia="en-GB"/>
    </w:rPr>
  </w:style>
  <w:style w:type="character" w:customStyle="1" w:styleId="z-BottomofFormChar">
    <w:name w:val="z-Bottom of Form Char"/>
    <w:basedOn w:val="DefaultParagraphFont"/>
    <w:link w:val="z-BottomofForm"/>
    <w:rsid w:val="00B0298E"/>
    <w:rPr>
      <w:rFonts w:ascii="Times New Roman" w:eastAsia="Times New Roman" w:hAnsi="Times New Roman" w:cs="Times New Roman"/>
      <w:vanish/>
      <w:color w:val="auto"/>
      <w:sz w:val="16"/>
      <w:szCs w:val="16"/>
      <w:lang w:val="en-GB" w:eastAsia="en-GB"/>
    </w:rPr>
  </w:style>
  <w:style w:type="paragraph" w:customStyle="1" w:styleId="bullets">
    <w:name w:val="bullets"/>
    <w:basedOn w:val="111BodyList"/>
    <w:link w:val="bulletsChar"/>
    <w:qFormat/>
    <w:rsid w:val="00B0298E"/>
    <w:pPr>
      <w:numPr>
        <w:ilvl w:val="0"/>
        <w:numId w:val="0"/>
      </w:numPr>
      <w:tabs>
        <w:tab w:val="clear" w:pos="1304"/>
        <w:tab w:val="num" w:pos="1021"/>
        <w:tab w:val="left" w:pos="1560"/>
      </w:tabs>
      <w:spacing w:before="120"/>
      <w:ind w:left="1021" w:hanging="1021"/>
    </w:pPr>
    <w:rPr>
      <w:rFonts w:cs="Arial"/>
    </w:rPr>
  </w:style>
  <w:style w:type="character" w:customStyle="1" w:styleId="bulletsChar">
    <w:name w:val="bullets Char"/>
    <w:link w:val="bullets"/>
    <w:rsid w:val="00B0298E"/>
    <w:rPr>
      <w:rFonts w:ascii="Times New Roman" w:eastAsia="MS Mincho" w:hAnsi="Times New Roman"/>
      <w:bCs/>
      <w:color w:val="000000"/>
      <w:sz w:val="24"/>
      <w:szCs w:val="24"/>
      <w:lang w:eastAsia="en-GB"/>
    </w:rPr>
  </w:style>
  <w:style w:type="paragraph" w:customStyle="1" w:styleId="05Tableheading">
    <w:name w:val="05 Table heading"/>
    <w:basedOn w:val="Normal"/>
    <w:next w:val="Normal"/>
    <w:qFormat/>
    <w:rsid w:val="00B0298E"/>
    <w:pPr>
      <w:tabs>
        <w:tab w:val="num" w:pos="1021"/>
      </w:tabs>
      <w:spacing w:line="300" w:lineRule="exact"/>
      <w:ind w:left="1021" w:hanging="1021"/>
    </w:pPr>
    <w:rPr>
      <w:rFonts w:ascii="Times New Roman" w:eastAsia="MS Mincho" w:hAnsi="Times New Roman" w:cs="Times New Roman"/>
      <w:b/>
      <w:bCs/>
      <w:color w:val="000000"/>
      <w:sz w:val="24"/>
      <w:szCs w:val="24"/>
      <w:lang w:eastAsia="en-GB"/>
    </w:rPr>
  </w:style>
  <w:style w:type="paragraph" w:customStyle="1" w:styleId="10aIndenttext">
    <w:name w:val="10a Indent text"/>
    <w:basedOn w:val="Normal"/>
    <w:next w:val="03NumberedHeadings"/>
    <w:link w:val="10aIndenttextChar"/>
    <w:qFormat/>
    <w:rsid w:val="00B0298E"/>
    <w:pPr>
      <w:spacing w:line="240" w:lineRule="exact"/>
      <w:ind w:left="1021"/>
    </w:pPr>
    <w:rPr>
      <w:rFonts w:ascii="Times New Roman" w:eastAsia="MS Mincho" w:hAnsi="Times New Roman" w:cs="Times New Roman"/>
      <w:color w:val="000000"/>
      <w:sz w:val="24"/>
      <w:szCs w:val="18"/>
      <w:lang w:eastAsia="en-GB"/>
    </w:rPr>
  </w:style>
  <w:style w:type="character" w:customStyle="1" w:styleId="10aIndenttextChar">
    <w:name w:val="10a Indent text Char"/>
    <w:link w:val="10aIndenttext"/>
    <w:locked/>
    <w:rsid w:val="00B0298E"/>
    <w:rPr>
      <w:rFonts w:ascii="Times New Roman" w:eastAsia="MS Mincho" w:hAnsi="Times New Roman" w:cs="Times New Roman"/>
      <w:color w:val="000000"/>
      <w:sz w:val="24"/>
      <w:szCs w:val="18"/>
      <w:lang w:val="en-GB" w:eastAsia="en-GB"/>
    </w:rPr>
  </w:style>
  <w:style w:type="paragraph" w:customStyle="1" w:styleId="immtextalignjustify1">
    <w:name w:val="immtextalign_justify1"/>
    <w:basedOn w:val="Normal"/>
    <w:rsid w:val="00B0298E"/>
    <w:pPr>
      <w:jc w:val="both"/>
    </w:pPr>
    <w:rPr>
      <w:rFonts w:ascii="Times New Roman" w:eastAsia="Calibri" w:hAnsi="Times New Roman" w:cs="Times New Roman"/>
      <w:color w:val="auto"/>
      <w:sz w:val="24"/>
      <w:szCs w:val="24"/>
      <w:lang w:eastAsia="en-GB"/>
    </w:rPr>
  </w:style>
  <w:style w:type="paragraph" w:customStyle="1" w:styleId="ListParagraph3">
    <w:name w:val="List Paragraph3"/>
    <w:basedOn w:val="Normal"/>
    <w:qFormat/>
    <w:rsid w:val="00B0298E"/>
    <w:pPr>
      <w:ind w:left="720"/>
    </w:pPr>
    <w:rPr>
      <w:rFonts w:ascii="Times New Roman" w:eastAsia="Times New Roman" w:hAnsi="Times New Roman" w:cs="Times New Roman"/>
      <w:color w:val="auto"/>
      <w:sz w:val="24"/>
      <w:szCs w:val="24"/>
      <w:lang w:eastAsia="en-GB"/>
    </w:rPr>
  </w:style>
  <w:style w:type="character" w:customStyle="1" w:styleId="CharChar2">
    <w:name w:val="Char Char2"/>
    <w:rsid w:val="00B0298E"/>
    <w:rPr>
      <w:rFonts w:ascii="Courier New" w:hAnsi="Courier New" w:cs="Courier New"/>
      <w:lang w:val="en-GB" w:eastAsia="en-GB" w:bidi="ar-SA"/>
    </w:rPr>
  </w:style>
  <w:style w:type="paragraph" w:customStyle="1" w:styleId="Headmain">
    <w:name w:val="Head main"/>
    <w:basedOn w:val="Normal"/>
    <w:next w:val="Normal"/>
    <w:link w:val="HeadmainChar"/>
    <w:rsid w:val="00B0298E"/>
    <w:pPr>
      <w:spacing w:after="200" w:line="276" w:lineRule="auto"/>
      <w:outlineLvl w:val="1"/>
    </w:pPr>
    <w:rPr>
      <w:rFonts w:ascii="Calibri" w:eastAsia="Times New Roman" w:hAnsi="Calibri" w:cs="Times New Roman"/>
      <w:b/>
      <w:color w:val="4F81BD"/>
      <w:sz w:val="32"/>
      <w:szCs w:val="22"/>
      <w:lang w:eastAsia="en-US"/>
    </w:rPr>
  </w:style>
  <w:style w:type="character" w:customStyle="1" w:styleId="HeadmainChar">
    <w:name w:val="Head main Char"/>
    <w:link w:val="Headmain"/>
    <w:locked/>
    <w:rsid w:val="00B0298E"/>
    <w:rPr>
      <w:rFonts w:ascii="Calibri" w:eastAsia="Times New Roman" w:hAnsi="Calibri" w:cs="Times New Roman"/>
      <w:b/>
      <w:color w:val="4F81BD"/>
      <w:sz w:val="32"/>
      <w:szCs w:val="22"/>
      <w:lang w:val="en-GB" w:eastAsia="en-US"/>
    </w:rPr>
  </w:style>
  <w:style w:type="paragraph" w:customStyle="1" w:styleId="Headsub">
    <w:name w:val="Head sub"/>
    <w:basedOn w:val="Normal"/>
    <w:next w:val="Normal"/>
    <w:link w:val="HeadsubChar"/>
    <w:rsid w:val="00B0298E"/>
    <w:pPr>
      <w:keepNext/>
      <w:spacing w:after="240"/>
      <w:outlineLvl w:val="1"/>
    </w:pPr>
    <w:rPr>
      <w:rFonts w:ascii="Calibri" w:eastAsia="Times New Roman" w:hAnsi="Calibri" w:cs="Tahoma"/>
      <w:b/>
      <w:bCs/>
      <w:iCs/>
      <w:color w:val="4F81BD"/>
      <w:sz w:val="22"/>
      <w:szCs w:val="22"/>
      <w:lang w:eastAsia="en-GB"/>
    </w:rPr>
  </w:style>
  <w:style w:type="character" w:customStyle="1" w:styleId="HeadsubChar">
    <w:name w:val="Head sub Char"/>
    <w:link w:val="Headsub"/>
    <w:locked/>
    <w:rsid w:val="00B0298E"/>
    <w:rPr>
      <w:rFonts w:ascii="Calibri" w:eastAsia="Times New Roman" w:hAnsi="Calibri" w:cs="Tahoma"/>
      <w:b/>
      <w:bCs/>
      <w:iCs/>
      <w:color w:val="4F81BD"/>
      <w:sz w:val="22"/>
      <w:szCs w:val="22"/>
      <w:lang w:val="en-GB" w:eastAsia="en-GB"/>
    </w:rPr>
  </w:style>
  <w:style w:type="paragraph" w:customStyle="1" w:styleId="bullet">
    <w:name w:val="bullet"/>
    <w:basedOn w:val="Normal"/>
    <w:link w:val="bulletChar"/>
    <w:qFormat/>
    <w:rsid w:val="00B0298E"/>
    <w:pPr>
      <w:numPr>
        <w:numId w:val="14"/>
      </w:numPr>
      <w:spacing w:after="80" w:line="276" w:lineRule="auto"/>
    </w:pPr>
    <w:rPr>
      <w:rFonts w:ascii="Calibri" w:eastAsia="Times New Roman" w:hAnsi="Calibri" w:cs="Times New Roman"/>
      <w:color w:val="auto"/>
      <w:sz w:val="22"/>
      <w:szCs w:val="22"/>
      <w:lang w:eastAsia="en-GB"/>
    </w:rPr>
  </w:style>
  <w:style w:type="character" w:customStyle="1" w:styleId="bulletChar">
    <w:name w:val="bullet Char"/>
    <w:link w:val="bullet"/>
    <w:locked/>
    <w:rsid w:val="00B0298E"/>
    <w:rPr>
      <w:rFonts w:ascii="Calibri" w:eastAsia="Times New Roman" w:hAnsi="Calibri" w:cs="Times New Roman"/>
      <w:color w:val="auto"/>
      <w:sz w:val="22"/>
      <w:szCs w:val="22"/>
      <w:lang w:val="en-GB" w:eastAsia="en-GB"/>
    </w:rPr>
  </w:style>
  <w:style w:type="paragraph" w:styleId="BodyTextIndent">
    <w:name w:val="Body Text Indent"/>
    <w:basedOn w:val="Normal"/>
    <w:link w:val="BodyTextIndentChar"/>
    <w:locked/>
    <w:rsid w:val="00B0298E"/>
    <w:pPr>
      <w:spacing w:after="120"/>
      <w:ind w:left="283"/>
    </w:pPr>
    <w:rPr>
      <w:rFonts w:ascii="Times New Roman" w:eastAsia="Times New Roman" w:hAnsi="Times New Roman" w:cs="Times New Roman"/>
      <w:color w:val="auto"/>
      <w:sz w:val="24"/>
      <w:szCs w:val="24"/>
      <w:lang w:eastAsia="en-GB"/>
    </w:rPr>
  </w:style>
  <w:style w:type="character" w:customStyle="1" w:styleId="BodyTextIndentChar">
    <w:name w:val="Body Text Indent Char"/>
    <w:basedOn w:val="DefaultParagraphFont"/>
    <w:link w:val="BodyTextIndent"/>
    <w:rsid w:val="00B0298E"/>
    <w:rPr>
      <w:rFonts w:ascii="Times New Roman" w:eastAsia="Times New Roman" w:hAnsi="Times New Roman" w:cs="Times New Roman"/>
      <w:color w:val="auto"/>
      <w:sz w:val="24"/>
      <w:szCs w:val="24"/>
      <w:lang w:val="en-GB" w:eastAsia="en-GB"/>
    </w:rPr>
  </w:style>
  <w:style w:type="paragraph" w:customStyle="1" w:styleId="BulletORANGE">
    <w:name w:val="Bullet ORANGE"/>
    <w:basedOn w:val="Normal"/>
    <w:link w:val="BulletORANGEChar"/>
    <w:uiPriority w:val="99"/>
    <w:qFormat/>
    <w:rsid w:val="00B0298E"/>
    <w:pPr>
      <w:numPr>
        <w:numId w:val="15"/>
      </w:numPr>
      <w:spacing w:after="120"/>
    </w:pPr>
    <w:rPr>
      <w:rFonts w:ascii="Times New Roman" w:eastAsia="Times New Roman" w:hAnsi="Times New Roman" w:cs="Times New Roman"/>
      <w:color w:val="auto"/>
      <w:spacing w:val="-4"/>
      <w:sz w:val="24"/>
      <w:szCs w:val="24"/>
      <w:lang w:eastAsia="en-GB"/>
    </w:rPr>
  </w:style>
  <w:style w:type="paragraph" w:customStyle="1" w:styleId="StyleReporttextLinespacing15lines">
    <w:name w:val="Style Report text + Line spacing:  1.5 lines"/>
    <w:basedOn w:val="Reporttext"/>
    <w:rsid w:val="00B0298E"/>
    <w:pPr>
      <w:numPr>
        <w:ilvl w:val="0"/>
        <w:numId w:val="0"/>
      </w:numPr>
      <w:tabs>
        <w:tab w:val="num" w:pos="1362"/>
      </w:tabs>
      <w:ind w:left="1418" w:hanging="340"/>
    </w:pPr>
    <w:rPr>
      <w:rFonts w:asciiTheme="minorHAnsi" w:eastAsiaTheme="minorHAnsi" w:hAnsiTheme="minorHAnsi" w:cstheme="minorBidi"/>
      <w:kern w:val="20"/>
      <w:szCs w:val="22"/>
      <w:lang w:eastAsia="en-US"/>
    </w:rPr>
  </w:style>
  <w:style w:type="paragraph" w:customStyle="1" w:styleId="HeadChapt">
    <w:name w:val="Head Chapt"/>
    <w:basedOn w:val="Normal"/>
    <w:next w:val="Normal"/>
    <w:qFormat/>
    <w:rsid w:val="00B0298E"/>
    <w:pPr>
      <w:numPr>
        <w:numId w:val="16"/>
      </w:numPr>
      <w:pBdr>
        <w:bottom w:val="single" w:sz="4" w:space="1" w:color="4F81BD"/>
      </w:pBdr>
      <w:spacing w:before="1200" w:after="600" w:line="276" w:lineRule="auto"/>
      <w:jc w:val="right"/>
      <w:outlineLvl w:val="0"/>
    </w:pPr>
    <w:rPr>
      <w:rFonts w:ascii="Calibri" w:eastAsia="Calibri" w:hAnsi="Calibri" w:cs="Times New Roman"/>
      <w:b/>
      <w:color w:val="4F81BD"/>
      <w:sz w:val="40"/>
      <w:szCs w:val="24"/>
      <w:lang w:eastAsia="en-GB"/>
    </w:rPr>
  </w:style>
  <w:style w:type="paragraph" w:customStyle="1" w:styleId="smalldecimal">
    <w:name w:val="# small decimal"/>
    <w:basedOn w:val="Normal"/>
    <w:autoRedefine/>
    <w:qFormat/>
    <w:rsid w:val="00B0298E"/>
    <w:pPr>
      <w:numPr>
        <w:ilvl w:val="1"/>
        <w:numId w:val="16"/>
      </w:numPr>
      <w:spacing w:after="200" w:line="276" w:lineRule="auto"/>
      <w:jc w:val="both"/>
    </w:pPr>
    <w:rPr>
      <w:rFonts w:ascii="Calibri" w:eastAsia="Calibri" w:hAnsi="Calibri" w:cs="Times New Roman"/>
      <w:color w:val="auto"/>
      <w:sz w:val="24"/>
      <w:szCs w:val="24"/>
      <w:lang w:eastAsia="en-GB"/>
    </w:rPr>
  </w:style>
  <w:style w:type="paragraph" w:customStyle="1" w:styleId="headmainnumbered">
    <w:name w:val="head main numbered"/>
    <w:basedOn w:val="Headmain"/>
    <w:qFormat/>
    <w:rsid w:val="00B0298E"/>
    <w:pPr>
      <w:numPr>
        <w:numId w:val="17"/>
      </w:numPr>
      <w:tabs>
        <w:tab w:val="num" w:pos="794"/>
      </w:tabs>
      <w:spacing w:before="240"/>
      <w:ind w:left="1440" w:hanging="794"/>
    </w:pPr>
    <w:rPr>
      <w:rFonts w:eastAsia="Calibri"/>
      <w:color w:val="B2B2B2" w:themeColor="text2"/>
      <w:szCs w:val="20"/>
      <w:lang w:eastAsia="en-GB"/>
    </w:rPr>
  </w:style>
  <w:style w:type="paragraph" w:customStyle="1" w:styleId="bigserial">
    <w:name w:val="# big serial"/>
    <w:basedOn w:val="smallserial"/>
    <w:link w:val="bigserialChar"/>
    <w:qFormat/>
    <w:rsid w:val="00CF74BA"/>
    <w:pPr>
      <w:numPr>
        <w:ilvl w:val="0"/>
        <w:numId w:val="18"/>
      </w:numPr>
    </w:pPr>
    <w:rPr>
      <w:rFonts w:ascii="Arial" w:hAnsi="Arial" w:cs="Arial"/>
      <w:szCs w:val="24"/>
    </w:rPr>
  </w:style>
  <w:style w:type="character" w:customStyle="1" w:styleId="bigserialChar">
    <w:name w:val="# big serial Char"/>
    <w:basedOn w:val="smallserialChar"/>
    <w:link w:val="bigserial"/>
    <w:rsid w:val="00CF74BA"/>
    <w:rPr>
      <w:rFonts w:ascii="Calibri" w:eastAsia="Times New Roman" w:hAnsi="Calibri" w:cs="Times New Roman"/>
      <w:color w:val="auto"/>
      <w:sz w:val="24"/>
      <w:szCs w:val="24"/>
      <w:lang w:val="en-GB" w:eastAsia="en-GB"/>
    </w:rPr>
  </w:style>
  <w:style w:type="character" w:styleId="CommentReference">
    <w:name w:val="annotation reference"/>
    <w:uiPriority w:val="99"/>
    <w:locked/>
    <w:rsid w:val="00B0298E"/>
    <w:rPr>
      <w:rFonts w:cs="Times New Roman"/>
      <w:sz w:val="16"/>
      <w:szCs w:val="16"/>
    </w:rPr>
  </w:style>
  <w:style w:type="character" w:customStyle="1" w:styleId="10BulletBodytextChar">
    <w:name w:val="10 Bullet Body text Char"/>
    <w:link w:val="10BulletBodytext"/>
    <w:locked/>
    <w:rsid w:val="00ED1C06"/>
    <w:rPr>
      <w:rFonts w:eastAsia="MS Mincho"/>
      <w:bCs/>
      <w:noProof/>
      <w:color w:val="000000"/>
      <w:sz w:val="24"/>
      <w:szCs w:val="24"/>
    </w:rPr>
  </w:style>
  <w:style w:type="paragraph" w:customStyle="1" w:styleId="10BulletBodytext">
    <w:name w:val="10 Bullet Body text"/>
    <w:basedOn w:val="Normal"/>
    <w:link w:val="10BulletBodytextChar"/>
    <w:qFormat/>
    <w:rsid w:val="00ED1C06"/>
    <w:pPr>
      <w:numPr>
        <w:numId w:val="20"/>
      </w:numPr>
      <w:spacing w:line="240" w:lineRule="exact"/>
      <w:ind w:left="993" w:hanging="284"/>
    </w:pPr>
    <w:rPr>
      <w:rFonts w:eastAsia="MS Mincho"/>
      <w:bCs/>
      <w:noProof/>
      <w:color w:val="000000"/>
      <w:sz w:val="24"/>
      <w:szCs w:val="24"/>
      <w:lang w:val="en-US"/>
    </w:rPr>
  </w:style>
  <w:style w:type="paragraph" w:customStyle="1" w:styleId="Bullet-Blue">
    <w:name w:val="Bullet-Blue"/>
    <w:basedOn w:val="Normal"/>
    <w:link w:val="Bullet-BlueChar"/>
    <w:qFormat/>
    <w:rsid w:val="00B0298E"/>
    <w:pPr>
      <w:numPr>
        <w:numId w:val="21"/>
      </w:numPr>
      <w:spacing w:before="60" w:after="60" w:line="240" w:lineRule="atLeast"/>
      <w:jc w:val="both"/>
    </w:pPr>
    <w:rPr>
      <w:rFonts w:ascii="Times New Roman" w:eastAsia="Times New Roman" w:hAnsi="Times New Roman" w:cstheme="minorBidi"/>
      <w:color w:val="auto"/>
      <w:sz w:val="24"/>
      <w:szCs w:val="22"/>
      <w:lang w:eastAsia="en-GB"/>
    </w:rPr>
  </w:style>
  <w:style w:type="character" w:customStyle="1" w:styleId="Bullet-BlueChar">
    <w:name w:val="Bullet-Blue Char"/>
    <w:basedOn w:val="DefaultParagraphFont"/>
    <w:link w:val="Bullet-Blue"/>
    <w:rsid w:val="00B0298E"/>
    <w:rPr>
      <w:rFonts w:ascii="Times New Roman" w:eastAsia="Times New Roman" w:hAnsi="Times New Roman" w:cstheme="minorBidi"/>
      <w:color w:val="auto"/>
      <w:sz w:val="24"/>
      <w:szCs w:val="22"/>
      <w:lang w:val="en-GB" w:eastAsia="en-GB"/>
    </w:rPr>
  </w:style>
  <w:style w:type="character" w:customStyle="1" w:styleId="casenumber">
    <w:name w:val="casenumber"/>
    <w:basedOn w:val="DefaultParagraphFont"/>
    <w:rsid w:val="00B0298E"/>
  </w:style>
  <w:style w:type="table" w:customStyle="1" w:styleId="ListTable3-Accent21">
    <w:name w:val="List Table 3 - Accent 21"/>
    <w:basedOn w:val="TableNormal"/>
    <w:uiPriority w:val="48"/>
    <w:rsid w:val="00B0298E"/>
    <w:pPr>
      <w:spacing w:after="0"/>
    </w:pPr>
    <w:tblPr>
      <w:tblStyleRowBandSize w:val="1"/>
      <w:tblStyleColBandSize w:val="1"/>
      <w:tblBorders>
        <w:top w:val="single" w:sz="4" w:space="0" w:color="0093D5" w:themeColor="accent2"/>
        <w:left w:val="single" w:sz="4" w:space="0" w:color="0093D5" w:themeColor="accent2"/>
        <w:bottom w:val="single" w:sz="4" w:space="0" w:color="0093D5" w:themeColor="accent2"/>
        <w:right w:val="single" w:sz="4" w:space="0" w:color="0093D5" w:themeColor="accent2"/>
      </w:tblBorders>
    </w:tblPr>
    <w:tblStylePr w:type="firstRow">
      <w:rPr>
        <w:b/>
        <w:bCs/>
        <w:color w:val="FFFFFF" w:themeColor="background1"/>
      </w:rPr>
      <w:tblPr/>
      <w:tcPr>
        <w:shd w:val="clear" w:color="auto" w:fill="0093D5" w:themeFill="accent2"/>
      </w:tcPr>
    </w:tblStylePr>
    <w:tblStylePr w:type="lastRow">
      <w:rPr>
        <w:b/>
        <w:bCs/>
      </w:rPr>
      <w:tblPr/>
      <w:tcPr>
        <w:tcBorders>
          <w:top w:val="double" w:sz="4" w:space="0" w:color="0093D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3D5" w:themeColor="accent2"/>
          <w:right w:val="single" w:sz="4" w:space="0" w:color="0093D5" w:themeColor="accent2"/>
        </w:tcBorders>
      </w:tcPr>
    </w:tblStylePr>
    <w:tblStylePr w:type="band1Horz">
      <w:tblPr/>
      <w:tcPr>
        <w:tcBorders>
          <w:top w:val="single" w:sz="4" w:space="0" w:color="0093D5" w:themeColor="accent2"/>
          <w:bottom w:val="single" w:sz="4" w:space="0" w:color="0093D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3D5" w:themeColor="accent2"/>
          <w:left w:val="nil"/>
        </w:tcBorders>
      </w:tcPr>
    </w:tblStylePr>
    <w:tblStylePr w:type="swCell">
      <w:tblPr/>
      <w:tcPr>
        <w:tcBorders>
          <w:top w:val="double" w:sz="4" w:space="0" w:color="0093D5" w:themeColor="accent2"/>
          <w:right w:val="nil"/>
        </w:tcBorders>
      </w:tcPr>
    </w:tblStylePr>
  </w:style>
  <w:style w:type="numbering" w:customStyle="1" w:styleId="LFO3">
    <w:name w:val="LFO3"/>
    <w:basedOn w:val="NoList"/>
    <w:rsid w:val="00B0298E"/>
    <w:pPr>
      <w:numPr>
        <w:numId w:val="22"/>
      </w:numPr>
    </w:pPr>
  </w:style>
  <w:style w:type="numbering" w:customStyle="1" w:styleId="LFO27">
    <w:name w:val="LFO27"/>
    <w:basedOn w:val="NoList"/>
    <w:rsid w:val="00B0298E"/>
    <w:pPr>
      <w:numPr>
        <w:numId w:val="23"/>
      </w:numPr>
    </w:pPr>
  </w:style>
  <w:style w:type="paragraph" w:customStyle="1" w:styleId="Level1Orange">
    <w:name w:val="Level 1 Orange"/>
    <w:next w:val="Normal"/>
    <w:link w:val="Level1OrangeChar"/>
    <w:qFormat/>
    <w:rsid w:val="00B0298E"/>
    <w:pPr>
      <w:spacing w:before="240" w:after="120"/>
    </w:pPr>
    <w:rPr>
      <w:rFonts w:eastAsia="Times New Roman"/>
      <w:color w:val="D2711C"/>
      <w:sz w:val="28"/>
      <w:szCs w:val="28"/>
      <w:lang w:val="en-GB" w:eastAsia="en-GB"/>
    </w:rPr>
  </w:style>
  <w:style w:type="character" w:customStyle="1" w:styleId="Level1OrangeChar">
    <w:name w:val="Level 1 Orange Char"/>
    <w:link w:val="Level1Orange"/>
    <w:locked/>
    <w:rsid w:val="00B0298E"/>
    <w:rPr>
      <w:rFonts w:eastAsia="Times New Roman"/>
      <w:color w:val="D2711C"/>
      <w:sz w:val="28"/>
      <w:szCs w:val="28"/>
      <w:lang w:val="en-GB" w:eastAsia="en-GB"/>
    </w:rPr>
  </w:style>
  <w:style w:type="paragraph" w:customStyle="1" w:styleId="StyleReporttextLinespacingsingle">
    <w:name w:val="Style Report text + Line spacing:  single"/>
    <w:basedOn w:val="Normal"/>
    <w:rsid w:val="00B0298E"/>
    <w:pPr>
      <w:keepLines/>
      <w:tabs>
        <w:tab w:val="num" w:pos="2099"/>
      </w:tabs>
      <w:ind w:left="720" w:hanging="720"/>
    </w:pPr>
    <w:rPr>
      <w:rFonts w:ascii="Times New Roman" w:eastAsia="MS PGothic" w:hAnsi="Times New Roman" w:cs="Times New Roman"/>
      <w:color w:val="000000"/>
      <w:sz w:val="24"/>
      <w:szCs w:val="24"/>
      <w:lang w:val="en-US" w:eastAsia="en-GB"/>
    </w:rPr>
  </w:style>
  <w:style w:type="paragraph" w:styleId="Revision">
    <w:name w:val="Revision"/>
    <w:hidden/>
    <w:uiPriority w:val="99"/>
    <w:semiHidden/>
    <w:rsid w:val="00B0298E"/>
    <w:pPr>
      <w:spacing w:after="0"/>
    </w:pPr>
    <w:rPr>
      <w:lang w:val="en-GB"/>
    </w:rPr>
  </w:style>
  <w:style w:type="paragraph" w:styleId="Quote">
    <w:name w:val="Quote"/>
    <w:basedOn w:val="Normal"/>
    <w:link w:val="QuoteChar"/>
    <w:uiPriority w:val="4"/>
    <w:qFormat/>
    <w:locked/>
    <w:rsid w:val="00B0298E"/>
    <w:pPr>
      <w:spacing w:before="200" w:after="200" w:line="280" w:lineRule="atLeast"/>
      <w:ind w:left="567" w:right="567"/>
      <w:jc w:val="both"/>
    </w:pPr>
    <w:rPr>
      <w:rFonts w:ascii="Times New Roman" w:eastAsiaTheme="minorHAnsi" w:hAnsi="Times New Roman" w:cs="Times New Roman"/>
      <w:i/>
      <w:iCs/>
      <w:color w:val="auto"/>
      <w:sz w:val="24"/>
      <w:szCs w:val="24"/>
      <w:lang w:eastAsia="en-GB"/>
    </w:rPr>
  </w:style>
  <w:style w:type="character" w:customStyle="1" w:styleId="QuoteChar">
    <w:name w:val="Quote Char"/>
    <w:basedOn w:val="DefaultParagraphFont"/>
    <w:link w:val="Quote"/>
    <w:uiPriority w:val="4"/>
    <w:rsid w:val="00B0298E"/>
    <w:rPr>
      <w:rFonts w:ascii="Times New Roman" w:eastAsiaTheme="minorHAnsi" w:hAnsi="Times New Roman" w:cs="Times New Roman"/>
      <w:i/>
      <w:iCs/>
      <w:color w:val="auto"/>
      <w:sz w:val="24"/>
      <w:szCs w:val="24"/>
      <w:lang w:val="en-GB" w:eastAsia="en-GB"/>
    </w:rPr>
  </w:style>
  <w:style w:type="paragraph" w:styleId="EndnoteText">
    <w:name w:val="endnote text"/>
    <w:basedOn w:val="Normal"/>
    <w:link w:val="EndnoteTextChar"/>
    <w:uiPriority w:val="99"/>
    <w:semiHidden/>
    <w:unhideWhenUsed/>
    <w:locked/>
    <w:rsid w:val="00B0298E"/>
    <w:rPr>
      <w:rFonts w:ascii="Times New Roman" w:eastAsia="Times New Roman" w:hAnsi="Times New Roman" w:cs="Times New Roman"/>
      <w:color w:val="auto"/>
      <w:sz w:val="24"/>
      <w:szCs w:val="24"/>
      <w:lang w:eastAsia="en-GB"/>
    </w:rPr>
  </w:style>
  <w:style w:type="character" w:customStyle="1" w:styleId="EndnoteTextChar">
    <w:name w:val="Endnote Text Char"/>
    <w:basedOn w:val="DefaultParagraphFont"/>
    <w:link w:val="EndnoteText"/>
    <w:uiPriority w:val="99"/>
    <w:semiHidden/>
    <w:rsid w:val="00B0298E"/>
    <w:rPr>
      <w:rFonts w:ascii="Times New Roman" w:eastAsia="Times New Roman" w:hAnsi="Times New Roman" w:cs="Times New Roman"/>
      <w:color w:val="auto"/>
      <w:sz w:val="24"/>
      <w:szCs w:val="24"/>
      <w:lang w:val="en-GB" w:eastAsia="en-GB"/>
    </w:rPr>
  </w:style>
  <w:style w:type="character" w:styleId="EndnoteReference">
    <w:name w:val="endnote reference"/>
    <w:basedOn w:val="DefaultParagraphFont"/>
    <w:uiPriority w:val="99"/>
    <w:semiHidden/>
    <w:unhideWhenUsed/>
    <w:locked/>
    <w:rsid w:val="00B0298E"/>
    <w:rPr>
      <w:vertAlign w:val="superscript"/>
    </w:rPr>
  </w:style>
  <w:style w:type="paragraph" w:customStyle="1" w:styleId="Headsubbold">
    <w:name w:val="Head sub bold"/>
    <w:basedOn w:val="Normal"/>
    <w:link w:val="HeadsubboldChar"/>
    <w:qFormat/>
    <w:rsid w:val="002A1A42"/>
    <w:pPr>
      <w:spacing w:before="240" w:after="120" w:line="360" w:lineRule="auto"/>
      <w:ind w:firstLine="794"/>
      <w:jc w:val="both"/>
    </w:pPr>
    <w:rPr>
      <w:rFonts w:eastAsia="Times New Roman"/>
      <w:b/>
      <w:color w:val="auto"/>
      <w:sz w:val="24"/>
      <w:szCs w:val="24"/>
      <w:lang w:eastAsia="en-GB"/>
    </w:rPr>
  </w:style>
  <w:style w:type="character" w:customStyle="1" w:styleId="HeadsubboldChar">
    <w:name w:val="Head sub bold Char"/>
    <w:link w:val="Headsubbold"/>
    <w:rsid w:val="002A1A42"/>
    <w:rPr>
      <w:rFonts w:eastAsia="Times New Roman"/>
      <w:b/>
      <w:color w:val="auto"/>
      <w:sz w:val="24"/>
      <w:szCs w:val="24"/>
      <w:lang w:val="en-GB" w:eastAsia="en-GB"/>
    </w:rPr>
  </w:style>
  <w:style w:type="table" w:customStyle="1" w:styleId="LightList-Accent11">
    <w:name w:val="Light List - Accent 11"/>
    <w:basedOn w:val="TableNormal"/>
    <w:uiPriority w:val="61"/>
    <w:rsid w:val="00B0298E"/>
    <w:pPr>
      <w:spacing w:after="0"/>
    </w:pPr>
    <w:rPr>
      <w:rFonts w:asciiTheme="minorHAnsi" w:eastAsiaTheme="minorHAnsi" w:hAnsiTheme="minorHAnsi" w:cstheme="minorBidi"/>
      <w:color w:val="auto"/>
      <w:sz w:val="22"/>
      <w:szCs w:val="22"/>
      <w:lang w:val="en-GB" w:eastAsia="en-US"/>
    </w:rPr>
    <w:tblPr>
      <w:tblStyleRowBandSize w:val="1"/>
      <w:tblStyleColBandSize w:val="1"/>
      <w:tblBorders>
        <w:top w:val="single" w:sz="8" w:space="0" w:color="D2711C" w:themeColor="accent1"/>
        <w:left w:val="single" w:sz="8" w:space="0" w:color="D2711C" w:themeColor="accent1"/>
        <w:bottom w:val="single" w:sz="8" w:space="0" w:color="D2711C" w:themeColor="accent1"/>
        <w:right w:val="single" w:sz="8" w:space="0" w:color="D2711C" w:themeColor="accent1"/>
      </w:tblBorders>
    </w:tblPr>
    <w:tblStylePr w:type="firstRow">
      <w:pPr>
        <w:spacing w:before="0" w:after="0" w:line="240" w:lineRule="auto"/>
      </w:pPr>
      <w:rPr>
        <w:b/>
        <w:bCs/>
        <w:color w:val="FFFFFF" w:themeColor="background1"/>
      </w:rPr>
      <w:tblPr/>
      <w:tcPr>
        <w:shd w:val="clear" w:color="auto" w:fill="D2711C" w:themeFill="accent1"/>
      </w:tcPr>
    </w:tblStylePr>
    <w:tblStylePr w:type="lastRow">
      <w:pPr>
        <w:spacing w:before="0" w:after="0" w:line="240" w:lineRule="auto"/>
      </w:pPr>
      <w:rPr>
        <w:b/>
        <w:bCs/>
      </w:rPr>
      <w:tblPr/>
      <w:tcPr>
        <w:tcBorders>
          <w:top w:val="double" w:sz="6" w:space="0" w:color="D2711C" w:themeColor="accent1"/>
          <w:left w:val="single" w:sz="8" w:space="0" w:color="D2711C" w:themeColor="accent1"/>
          <w:bottom w:val="single" w:sz="8" w:space="0" w:color="D2711C" w:themeColor="accent1"/>
          <w:right w:val="single" w:sz="8" w:space="0" w:color="D2711C" w:themeColor="accent1"/>
        </w:tcBorders>
      </w:tcPr>
    </w:tblStylePr>
    <w:tblStylePr w:type="firstCol">
      <w:rPr>
        <w:b/>
        <w:bCs/>
      </w:rPr>
    </w:tblStylePr>
    <w:tblStylePr w:type="lastCol">
      <w:rPr>
        <w:b/>
        <w:bCs/>
      </w:rPr>
    </w:tblStylePr>
    <w:tblStylePr w:type="band1Vert">
      <w:tblPr/>
      <w:tcPr>
        <w:tcBorders>
          <w:top w:val="single" w:sz="8" w:space="0" w:color="D2711C" w:themeColor="accent1"/>
          <w:left w:val="single" w:sz="8" w:space="0" w:color="D2711C" w:themeColor="accent1"/>
          <w:bottom w:val="single" w:sz="8" w:space="0" w:color="D2711C" w:themeColor="accent1"/>
          <w:right w:val="single" w:sz="8" w:space="0" w:color="D2711C" w:themeColor="accent1"/>
        </w:tcBorders>
      </w:tcPr>
    </w:tblStylePr>
    <w:tblStylePr w:type="band1Horz">
      <w:tblPr/>
      <w:tcPr>
        <w:tcBorders>
          <w:top w:val="single" w:sz="8" w:space="0" w:color="D2711C" w:themeColor="accent1"/>
          <w:left w:val="single" w:sz="8" w:space="0" w:color="D2711C" w:themeColor="accent1"/>
          <w:bottom w:val="single" w:sz="8" w:space="0" w:color="D2711C" w:themeColor="accent1"/>
          <w:right w:val="single" w:sz="8" w:space="0" w:color="D2711C" w:themeColor="accent1"/>
        </w:tcBorders>
      </w:tcPr>
    </w:tblStylePr>
  </w:style>
  <w:style w:type="character" w:styleId="Strong">
    <w:name w:val="Strong"/>
    <w:basedOn w:val="DefaultParagraphFont"/>
    <w:uiPriority w:val="22"/>
    <w:qFormat/>
    <w:locked/>
    <w:rsid w:val="001A351F"/>
    <w:rPr>
      <w:bCs/>
    </w:rPr>
  </w:style>
  <w:style w:type="table" w:customStyle="1" w:styleId="MediumShading2-Accent11">
    <w:name w:val="Medium Shading 2 - Accent 11"/>
    <w:basedOn w:val="TableNormal"/>
    <w:uiPriority w:val="64"/>
    <w:rsid w:val="00B0298E"/>
    <w:pPr>
      <w:spacing w:after="0"/>
    </w:pPr>
    <w:rPr>
      <w:rFonts w:asciiTheme="minorHAnsi" w:eastAsiaTheme="minorHAnsi" w:hAnsiTheme="minorHAnsi" w:cstheme="minorBidi"/>
      <w:color w:val="auto"/>
      <w:sz w:val="22"/>
      <w:szCs w:val="22"/>
      <w:lang w:val="en-GB"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711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711C" w:themeFill="accent1"/>
      </w:tcPr>
    </w:tblStylePr>
    <w:tblStylePr w:type="lastCol">
      <w:rPr>
        <w:b/>
        <w:bCs/>
        <w:color w:val="FFFFFF" w:themeColor="background1"/>
      </w:rPr>
      <w:tblPr/>
      <w:tcPr>
        <w:tcBorders>
          <w:left w:val="nil"/>
          <w:right w:val="nil"/>
          <w:insideH w:val="nil"/>
          <w:insideV w:val="nil"/>
        </w:tcBorders>
        <w:shd w:val="clear" w:color="auto" w:fill="D2711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Accent11">
    <w:name w:val="Medium List 1 - Accent 11"/>
    <w:basedOn w:val="TableNormal"/>
    <w:uiPriority w:val="65"/>
    <w:rsid w:val="00B0298E"/>
    <w:pPr>
      <w:spacing w:after="0"/>
    </w:pPr>
    <w:rPr>
      <w:rFonts w:asciiTheme="minorHAnsi" w:eastAsiaTheme="minorHAnsi" w:hAnsiTheme="minorHAnsi" w:cstheme="minorBidi"/>
      <w:sz w:val="22"/>
      <w:szCs w:val="22"/>
      <w:lang w:val="en-GB" w:eastAsia="en-US"/>
    </w:rPr>
    <w:tblPr>
      <w:tblStyleRowBandSize w:val="1"/>
      <w:tblStyleColBandSize w:val="1"/>
      <w:tblBorders>
        <w:top w:val="single" w:sz="8" w:space="0" w:color="D2711C" w:themeColor="accent1"/>
        <w:bottom w:val="single" w:sz="8" w:space="0" w:color="D2711C" w:themeColor="accent1"/>
      </w:tblBorders>
    </w:tblPr>
    <w:tblStylePr w:type="firstRow">
      <w:rPr>
        <w:rFonts w:asciiTheme="majorHAnsi" w:eastAsiaTheme="majorEastAsia" w:hAnsiTheme="majorHAnsi" w:cstheme="majorBidi"/>
      </w:rPr>
      <w:tblPr/>
      <w:tcPr>
        <w:tcBorders>
          <w:top w:val="nil"/>
          <w:bottom w:val="single" w:sz="8" w:space="0" w:color="D2711C" w:themeColor="accent1"/>
        </w:tcBorders>
      </w:tcPr>
    </w:tblStylePr>
    <w:tblStylePr w:type="lastRow">
      <w:rPr>
        <w:b/>
        <w:bCs/>
        <w:color w:val="B2B2B2" w:themeColor="text2"/>
      </w:rPr>
      <w:tblPr/>
      <w:tcPr>
        <w:tcBorders>
          <w:top w:val="single" w:sz="8" w:space="0" w:color="D2711C" w:themeColor="accent1"/>
          <w:bottom w:val="single" w:sz="8" w:space="0" w:color="D2711C" w:themeColor="accent1"/>
        </w:tcBorders>
      </w:tcPr>
    </w:tblStylePr>
    <w:tblStylePr w:type="firstCol">
      <w:rPr>
        <w:b/>
        <w:bCs/>
      </w:rPr>
    </w:tblStylePr>
    <w:tblStylePr w:type="lastCol">
      <w:rPr>
        <w:b/>
        <w:bCs/>
      </w:rPr>
      <w:tblPr/>
      <w:tcPr>
        <w:tcBorders>
          <w:top w:val="single" w:sz="8" w:space="0" w:color="D2711C" w:themeColor="accent1"/>
          <w:bottom w:val="single" w:sz="8" w:space="0" w:color="D2711C" w:themeColor="accent1"/>
        </w:tcBorders>
      </w:tcPr>
    </w:tblStylePr>
    <w:tblStylePr w:type="band1Vert">
      <w:tblPr/>
      <w:tcPr>
        <w:shd w:val="clear" w:color="auto" w:fill="F7DBC3" w:themeFill="accent1" w:themeFillTint="3F"/>
      </w:tcPr>
    </w:tblStylePr>
    <w:tblStylePr w:type="band1Horz">
      <w:tblPr/>
      <w:tcPr>
        <w:shd w:val="clear" w:color="auto" w:fill="F7DBC3" w:themeFill="accent1" w:themeFillTint="3F"/>
      </w:tcPr>
    </w:tblStylePr>
  </w:style>
  <w:style w:type="table" w:styleId="LightGrid-Accent2">
    <w:name w:val="Light Grid Accent 2"/>
    <w:basedOn w:val="TableNormal"/>
    <w:uiPriority w:val="62"/>
    <w:locked/>
    <w:rsid w:val="00B0298E"/>
    <w:pPr>
      <w:spacing w:after="0"/>
    </w:pPr>
    <w:rPr>
      <w:rFonts w:asciiTheme="minorHAnsi" w:eastAsiaTheme="minorHAnsi" w:hAnsiTheme="minorHAnsi" w:cstheme="minorBidi"/>
      <w:color w:val="auto"/>
      <w:sz w:val="22"/>
      <w:szCs w:val="22"/>
      <w:lang w:val="en-GB" w:eastAsia="en-US"/>
    </w:rPr>
    <w:tblPr>
      <w:tblStyleRowBandSize w:val="1"/>
      <w:tblStyleColBandSize w:val="1"/>
      <w:tblBorders>
        <w:top w:val="single" w:sz="8" w:space="0" w:color="0093D5" w:themeColor="accent2"/>
        <w:left w:val="single" w:sz="8" w:space="0" w:color="0093D5" w:themeColor="accent2"/>
        <w:bottom w:val="single" w:sz="8" w:space="0" w:color="0093D5" w:themeColor="accent2"/>
        <w:right w:val="single" w:sz="8" w:space="0" w:color="0093D5" w:themeColor="accent2"/>
        <w:insideH w:val="single" w:sz="8" w:space="0" w:color="0093D5" w:themeColor="accent2"/>
        <w:insideV w:val="single" w:sz="8" w:space="0" w:color="0093D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3D5" w:themeColor="accent2"/>
          <w:left w:val="single" w:sz="8" w:space="0" w:color="0093D5" w:themeColor="accent2"/>
          <w:bottom w:val="single" w:sz="18" w:space="0" w:color="0093D5" w:themeColor="accent2"/>
          <w:right w:val="single" w:sz="8" w:space="0" w:color="0093D5" w:themeColor="accent2"/>
          <w:insideH w:val="nil"/>
          <w:insideV w:val="single" w:sz="8" w:space="0" w:color="0093D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3D5" w:themeColor="accent2"/>
          <w:left w:val="single" w:sz="8" w:space="0" w:color="0093D5" w:themeColor="accent2"/>
          <w:bottom w:val="single" w:sz="8" w:space="0" w:color="0093D5" w:themeColor="accent2"/>
          <w:right w:val="single" w:sz="8" w:space="0" w:color="0093D5" w:themeColor="accent2"/>
          <w:insideH w:val="nil"/>
          <w:insideV w:val="single" w:sz="8" w:space="0" w:color="0093D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3D5" w:themeColor="accent2"/>
          <w:left w:val="single" w:sz="8" w:space="0" w:color="0093D5" w:themeColor="accent2"/>
          <w:bottom w:val="single" w:sz="8" w:space="0" w:color="0093D5" w:themeColor="accent2"/>
          <w:right w:val="single" w:sz="8" w:space="0" w:color="0093D5" w:themeColor="accent2"/>
        </w:tcBorders>
      </w:tcPr>
    </w:tblStylePr>
    <w:tblStylePr w:type="band1Vert">
      <w:tblPr/>
      <w:tcPr>
        <w:tcBorders>
          <w:top w:val="single" w:sz="8" w:space="0" w:color="0093D5" w:themeColor="accent2"/>
          <w:left w:val="single" w:sz="8" w:space="0" w:color="0093D5" w:themeColor="accent2"/>
          <w:bottom w:val="single" w:sz="8" w:space="0" w:color="0093D5" w:themeColor="accent2"/>
          <w:right w:val="single" w:sz="8" w:space="0" w:color="0093D5" w:themeColor="accent2"/>
        </w:tcBorders>
        <w:shd w:val="clear" w:color="auto" w:fill="B5E7FF" w:themeFill="accent2" w:themeFillTint="3F"/>
      </w:tcPr>
    </w:tblStylePr>
    <w:tblStylePr w:type="band1Horz">
      <w:tblPr/>
      <w:tcPr>
        <w:tcBorders>
          <w:top w:val="single" w:sz="8" w:space="0" w:color="0093D5" w:themeColor="accent2"/>
          <w:left w:val="single" w:sz="8" w:space="0" w:color="0093D5" w:themeColor="accent2"/>
          <w:bottom w:val="single" w:sz="8" w:space="0" w:color="0093D5" w:themeColor="accent2"/>
          <w:right w:val="single" w:sz="8" w:space="0" w:color="0093D5" w:themeColor="accent2"/>
          <w:insideV w:val="single" w:sz="8" w:space="0" w:color="0093D5" w:themeColor="accent2"/>
        </w:tcBorders>
        <w:shd w:val="clear" w:color="auto" w:fill="B5E7FF" w:themeFill="accent2" w:themeFillTint="3F"/>
      </w:tcPr>
    </w:tblStylePr>
    <w:tblStylePr w:type="band2Horz">
      <w:tblPr/>
      <w:tcPr>
        <w:tcBorders>
          <w:top w:val="single" w:sz="8" w:space="0" w:color="0093D5" w:themeColor="accent2"/>
          <w:left w:val="single" w:sz="8" w:space="0" w:color="0093D5" w:themeColor="accent2"/>
          <w:bottom w:val="single" w:sz="8" w:space="0" w:color="0093D5" w:themeColor="accent2"/>
          <w:right w:val="single" w:sz="8" w:space="0" w:color="0093D5" w:themeColor="accent2"/>
          <w:insideV w:val="single" w:sz="8" w:space="0" w:color="0093D5" w:themeColor="accent2"/>
        </w:tcBorders>
      </w:tcPr>
    </w:tblStylePr>
  </w:style>
  <w:style w:type="character" w:customStyle="1" w:styleId="hvr">
    <w:name w:val="hvr"/>
    <w:basedOn w:val="DefaultParagraphFont"/>
    <w:rsid w:val="00B0298E"/>
  </w:style>
  <w:style w:type="character" w:styleId="FollowedHyperlink">
    <w:name w:val="FollowedHyperlink"/>
    <w:basedOn w:val="DefaultParagraphFont"/>
    <w:uiPriority w:val="99"/>
    <w:semiHidden/>
    <w:unhideWhenUsed/>
    <w:locked/>
    <w:rsid w:val="00B0298E"/>
    <w:rPr>
      <w:color w:val="DF9B1B" w:themeColor="followedHyperlink"/>
      <w:u w:val="single"/>
    </w:rPr>
  </w:style>
  <w:style w:type="character" w:customStyle="1" w:styleId="apple-converted-space">
    <w:name w:val="apple-converted-space"/>
    <w:rsid w:val="00B0298E"/>
  </w:style>
  <w:style w:type="character" w:customStyle="1" w:styleId="legds2">
    <w:name w:val="legds2"/>
    <w:basedOn w:val="DefaultParagraphFont"/>
    <w:rsid w:val="00B0298E"/>
    <w:rPr>
      <w:vanish/>
      <w:webHidden w:val="0"/>
      <w:specVanish/>
    </w:rPr>
  </w:style>
  <w:style w:type="character" w:customStyle="1" w:styleId="HTMLPreformattedChar">
    <w:name w:val="HTML Preformatted Char"/>
    <w:basedOn w:val="DefaultParagraphFont"/>
    <w:link w:val="HTMLPreformatted"/>
    <w:uiPriority w:val="99"/>
    <w:semiHidden/>
    <w:rsid w:val="00B0298E"/>
    <w:rPr>
      <w:rFonts w:ascii="Courier New" w:eastAsia="Times New Roman" w:hAnsi="Courier New" w:cs="Courier New"/>
      <w:lang w:eastAsia="en-GB"/>
    </w:rPr>
  </w:style>
  <w:style w:type="paragraph" w:styleId="HTMLPreformatted">
    <w:name w:val="HTML Preformatted"/>
    <w:basedOn w:val="Normal"/>
    <w:link w:val="HTMLPreformattedChar"/>
    <w:uiPriority w:val="99"/>
    <w:semiHidden/>
    <w:unhideWhenUsed/>
    <w:locked/>
    <w:rsid w:val="00B029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val="en-US" w:eastAsia="en-GB"/>
    </w:rPr>
  </w:style>
  <w:style w:type="character" w:customStyle="1" w:styleId="HTMLPreformattedChar1">
    <w:name w:val="HTML Preformatted Char1"/>
    <w:basedOn w:val="DefaultParagraphFont"/>
    <w:semiHidden/>
    <w:rsid w:val="00B0298E"/>
    <w:rPr>
      <w:rFonts w:ascii="Consolas" w:hAnsi="Consolas" w:cs="Consolas"/>
      <w:lang w:val="en-GB"/>
    </w:rPr>
  </w:style>
  <w:style w:type="character" w:customStyle="1" w:styleId="CommentTextChar1">
    <w:name w:val="Comment Text Char1"/>
    <w:basedOn w:val="DefaultParagraphFont"/>
    <w:uiPriority w:val="99"/>
    <w:semiHidden/>
    <w:rsid w:val="00B0298E"/>
    <w:rPr>
      <w:rFonts w:ascii="Arial" w:eastAsiaTheme="minorEastAsia" w:hAnsi="Arial" w:cs="Arial"/>
      <w:color w:val="000000" w:themeColor="text1"/>
      <w:sz w:val="20"/>
      <w:szCs w:val="20"/>
    </w:rPr>
  </w:style>
  <w:style w:type="character" w:customStyle="1" w:styleId="BodyTextChar1">
    <w:name w:val="Body Text Char1"/>
    <w:basedOn w:val="DefaultParagraphFont"/>
    <w:uiPriority w:val="99"/>
    <w:semiHidden/>
    <w:rsid w:val="00B0298E"/>
    <w:rPr>
      <w:lang w:val="en-GB"/>
    </w:rPr>
  </w:style>
  <w:style w:type="character" w:customStyle="1" w:styleId="BodyTextIndentChar1">
    <w:name w:val="Body Text Indent Char1"/>
    <w:basedOn w:val="DefaultParagraphFont"/>
    <w:uiPriority w:val="99"/>
    <w:semiHidden/>
    <w:rsid w:val="00B0298E"/>
    <w:rPr>
      <w:lang w:val="en-GB"/>
    </w:rPr>
  </w:style>
  <w:style w:type="character" w:customStyle="1" w:styleId="BodyText2Char1">
    <w:name w:val="Body Text 2 Char1"/>
    <w:basedOn w:val="DefaultParagraphFont"/>
    <w:uiPriority w:val="99"/>
    <w:semiHidden/>
    <w:rsid w:val="00B0298E"/>
    <w:rPr>
      <w:lang w:val="en-GB"/>
    </w:rPr>
  </w:style>
  <w:style w:type="character" w:customStyle="1" w:styleId="BodyTextIndent3Char1">
    <w:name w:val="Body Text Indent 3 Char1"/>
    <w:basedOn w:val="DefaultParagraphFont"/>
    <w:uiPriority w:val="99"/>
    <w:semiHidden/>
    <w:rsid w:val="00B0298E"/>
    <w:rPr>
      <w:sz w:val="16"/>
      <w:szCs w:val="16"/>
      <w:lang w:val="en-GB"/>
    </w:rPr>
  </w:style>
  <w:style w:type="character" w:customStyle="1" w:styleId="CommentSubjectChar1">
    <w:name w:val="Comment Subject Char1"/>
    <w:basedOn w:val="CommentTextChar1"/>
    <w:uiPriority w:val="99"/>
    <w:semiHidden/>
    <w:rsid w:val="00B0298E"/>
    <w:rPr>
      <w:rFonts w:ascii="Arial" w:eastAsiaTheme="minorEastAsia" w:hAnsi="Arial" w:cs="Arial"/>
      <w:b/>
      <w:bCs/>
      <w:color w:val="000000" w:themeColor="text1"/>
      <w:sz w:val="20"/>
      <w:szCs w:val="20"/>
    </w:rPr>
  </w:style>
  <w:style w:type="paragraph" w:customStyle="1" w:styleId="Body2">
    <w:name w:val="Body 2"/>
    <w:basedOn w:val="Normal"/>
    <w:rsid w:val="00B0298E"/>
    <w:pPr>
      <w:ind w:left="851"/>
    </w:pPr>
    <w:rPr>
      <w:rFonts w:ascii="Times New Roman" w:eastAsia="Times New Roman" w:hAnsi="Times New Roman" w:cs="Times New Roman"/>
      <w:color w:val="auto"/>
      <w:sz w:val="24"/>
      <w:szCs w:val="24"/>
      <w:lang w:eastAsia="en-GB"/>
    </w:rPr>
  </w:style>
  <w:style w:type="character" w:customStyle="1" w:styleId="NumberedChar">
    <w:name w:val="Numbered Char"/>
    <w:link w:val="Numbered"/>
    <w:locked/>
    <w:rsid w:val="00B0298E"/>
    <w:rPr>
      <w:rFonts w:eastAsia="Times New Roman"/>
      <w:spacing w:val="-4"/>
      <w:lang w:eastAsia="en-GB"/>
    </w:rPr>
  </w:style>
  <w:style w:type="paragraph" w:customStyle="1" w:styleId="Numbered">
    <w:name w:val="Numbered"/>
    <w:basedOn w:val="Normal"/>
    <w:link w:val="NumberedChar"/>
    <w:qFormat/>
    <w:rsid w:val="00B0298E"/>
    <w:pPr>
      <w:numPr>
        <w:numId w:val="24"/>
      </w:numPr>
      <w:tabs>
        <w:tab w:val="num" w:pos="284"/>
      </w:tabs>
      <w:spacing w:after="120"/>
      <w:ind w:left="644"/>
    </w:pPr>
    <w:rPr>
      <w:rFonts w:eastAsia="Times New Roman"/>
      <w:spacing w:val="-4"/>
      <w:lang w:val="en-US" w:eastAsia="en-GB"/>
    </w:rPr>
  </w:style>
  <w:style w:type="character" w:customStyle="1" w:styleId="BodyORANGEChar">
    <w:name w:val="Body ORANGE Char"/>
    <w:link w:val="BodyORANGE"/>
    <w:locked/>
    <w:rsid w:val="00B0298E"/>
    <w:rPr>
      <w:color w:val="4F81BD"/>
      <w:spacing w:val="-4"/>
      <w:lang w:eastAsia="en-GB"/>
    </w:rPr>
  </w:style>
  <w:style w:type="paragraph" w:customStyle="1" w:styleId="BodyORANGE">
    <w:name w:val="Body ORANGE"/>
    <w:next w:val="BodyText1"/>
    <w:link w:val="BodyORANGEChar"/>
    <w:rsid w:val="00B0298E"/>
    <w:pPr>
      <w:spacing w:before="200" w:after="120"/>
    </w:pPr>
    <w:rPr>
      <w:color w:val="4F81BD"/>
      <w:spacing w:val="-4"/>
      <w:lang w:eastAsia="en-GB"/>
    </w:rPr>
  </w:style>
  <w:style w:type="character" w:customStyle="1" w:styleId="BulletORANGEChar">
    <w:name w:val="Bullet ORANGE Char"/>
    <w:link w:val="BulletORANGE"/>
    <w:uiPriority w:val="99"/>
    <w:locked/>
    <w:rsid w:val="00B0298E"/>
    <w:rPr>
      <w:rFonts w:ascii="Times New Roman" w:eastAsia="Times New Roman" w:hAnsi="Times New Roman" w:cs="Times New Roman"/>
      <w:color w:val="auto"/>
      <w:spacing w:val="-4"/>
      <w:sz w:val="24"/>
      <w:szCs w:val="24"/>
      <w:lang w:val="en-GB" w:eastAsia="en-GB"/>
    </w:rPr>
  </w:style>
  <w:style w:type="paragraph" w:customStyle="1" w:styleId="ReportNumberedList2">
    <w:name w:val="Report Numbered List 2"/>
    <w:basedOn w:val="Normal"/>
    <w:rsid w:val="00B0298E"/>
    <w:pPr>
      <w:numPr>
        <w:numId w:val="25"/>
      </w:numPr>
    </w:pPr>
    <w:rPr>
      <w:rFonts w:ascii="Book Antiqua" w:eastAsia="Times New Roman" w:hAnsi="Book Antiqua" w:cs="Times New Roman"/>
      <w:color w:val="auto"/>
      <w:kern w:val="20"/>
      <w:sz w:val="24"/>
      <w:szCs w:val="24"/>
      <w:lang w:eastAsia="en-GB"/>
    </w:rPr>
  </w:style>
  <w:style w:type="character" w:customStyle="1" w:styleId="z-BottomofFormChar1">
    <w:name w:val="z-Bottom of Form Char1"/>
    <w:basedOn w:val="DefaultParagraphFont"/>
    <w:uiPriority w:val="99"/>
    <w:semiHidden/>
    <w:rsid w:val="00B0298E"/>
    <w:rPr>
      <w:vanish/>
      <w:sz w:val="16"/>
      <w:szCs w:val="16"/>
      <w:lang w:val="en-GB"/>
    </w:rPr>
  </w:style>
  <w:style w:type="paragraph" w:customStyle="1" w:styleId="Quotes">
    <w:name w:val="Quotes"/>
    <w:next w:val="Normal"/>
    <w:uiPriority w:val="99"/>
    <w:rsid w:val="00B0298E"/>
    <w:pPr>
      <w:spacing w:before="240" w:after="240"/>
      <w:ind w:right="956"/>
    </w:pPr>
    <w:rPr>
      <w:rFonts w:eastAsia="Times New Roman"/>
      <w:i/>
      <w:color w:val="D2711C"/>
      <w:spacing w:val="-4"/>
      <w:sz w:val="22"/>
      <w:szCs w:val="24"/>
      <w:lang w:val="en-GB" w:eastAsia="en-GB"/>
    </w:rPr>
  </w:style>
  <w:style w:type="character" w:customStyle="1" w:styleId="maintitle">
    <w:name w:val="maintitle"/>
    <w:rsid w:val="00B0298E"/>
  </w:style>
  <w:style w:type="paragraph" w:customStyle="1" w:styleId="articledetails">
    <w:name w:val="articledetails"/>
    <w:basedOn w:val="Normal"/>
    <w:rsid w:val="00B0298E"/>
    <w:pPr>
      <w:spacing w:before="100" w:beforeAutospacing="1" w:after="100" w:afterAutospacing="1"/>
    </w:pPr>
    <w:rPr>
      <w:rFonts w:ascii="Times New Roman" w:eastAsia="Times New Roman" w:hAnsi="Times New Roman" w:cs="Times New Roman"/>
      <w:color w:val="auto"/>
      <w:sz w:val="24"/>
      <w:szCs w:val="24"/>
      <w:lang w:eastAsia="en-GB"/>
    </w:rPr>
  </w:style>
  <w:style w:type="character" w:customStyle="1" w:styleId="Heading1Char1">
    <w:name w:val="Heading 1 Char1"/>
    <w:aliases w:val="Numbered - 1 Char1,CBC Heading 1 Char1,Section Char1,Level 1 Char1,Section Heading Char1,h1 Char1,H1 Char1,H11 Char1,H12 Char1,H111 Char1,H13 Char1,H112 Char1,H14 Char1,H113 Char1,H15 Char1,H114 Char1,H16 Char1,H115 Char1,H17 Char1"/>
    <w:basedOn w:val="DefaultParagraphFont"/>
    <w:uiPriority w:val="9"/>
    <w:rsid w:val="00B0298E"/>
    <w:rPr>
      <w:rFonts w:asciiTheme="majorHAnsi" w:eastAsiaTheme="majorEastAsia" w:hAnsiTheme="majorHAnsi" w:cstheme="majorBidi"/>
      <w:b/>
      <w:bCs/>
      <w:color w:val="9D5415" w:themeColor="accent1" w:themeShade="BF"/>
      <w:sz w:val="28"/>
      <w:szCs w:val="28"/>
      <w:lang w:val="en-US"/>
    </w:rPr>
  </w:style>
  <w:style w:type="table" w:customStyle="1" w:styleId="ListTable3-Accent22">
    <w:name w:val="List Table 3 - Accent 22"/>
    <w:basedOn w:val="TableNormal"/>
    <w:uiPriority w:val="48"/>
    <w:rsid w:val="00B0298E"/>
    <w:pPr>
      <w:spacing w:after="0"/>
    </w:pPr>
    <w:tblPr>
      <w:tblStyleRowBandSize w:val="1"/>
      <w:tblStyleColBandSize w:val="1"/>
      <w:tblBorders>
        <w:top w:val="single" w:sz="4" w:space="0" w:color="0093D5" w:themeColor="accent2"/>
        <w:left w:val="single" w:sz="4" w:space="0" w:color="0093D5" w:themeColor="accent2"/>
        <w:bottom w:val="single" w:sz="4" w:space="0" w:color="0093D5" w:themeColor="accent2"/>
        <w:right w:val="single" w:sz="4" w:space="0" w:color="0093D5" w:themeColor="accent2"/>
      </w:tblBorders>
    </w:tblPr>
    <w:tblStylePr w:type="firstRow">
      <w:rPr>
        <w:b/>
        <w:bCs/>
        <w:color w:val="FFFFFF" w:themeColor="background1"/>
      </w:rPr>
      <w:tblPr/>
      <w:tcPr>
        <w:shd w:val="clear" w:color="auto" w:fill="0093D5" w:themeFill="accent2"/>
      </w:tcPr>
    </w:tblStylePr>
    <w:tblStylePr w:type="lastRow">
      <w:rPr>
        <w:b/>
        <w:bCs/>
      </w:rPr>
      <w:tblPr/>
      <w:tcPr>
        <w:tcBorders>
          <w:top w:val="double" w:sz="4" w:space="0" w:color="0093D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3D5" w:themeColor="accent2"/>
          <w:right w:val="single" w:sz="4" w:space="0" w:color="0093D5" w:themeColor="accent2"/>
        </w:tcBorders>
      </w:tcPr>
    </w:tblStylePr>
    <w:tblStylePr w:type="band1Horz">
      <w:tblPr/>
      <w:tcPr>
        <w:tcBorders>
          <w:top w:val="single" w:sz="4" w:space="0" w:color="0093D5" w:themeColor="accent2"/>
          <w:bottom w:val="single" w:sz="4" w:space="0" w:color="0093D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3D5" w:themeColor="accent2"/>
          <w:left w:val="nil"/>
        </w:tcBorders>
      </w:tcPr>
    </w:tblStylePr>
    <w:tblStylePr w:type="swCell">
      <w:tblPr/>
      <w:tcPr>
        <w:tcBorders>
          <w:top w:val="double" w:sz="4" w:space="0" w:color="0093D5" w:themeColor="accent2"/>
          <w:right w:val="nil"/>
        </w:tcBorders>
      </w:tcPr>
    </w:tblStylePr>
  </w:style>
  <w:style w:type="table" w:customStyle="1" w:styleId="GridTable4-Accent11">
    <w:name w:val="Grid Table 4 - Accent 11"/>
    <w:basedOn w:val="TableNormal"/>
    <w:uiPriority w:val="49"/>
    <w:rsid w:val="00B0298E"/>
    <w:pPr>
      <w:spacing w:after="0"/>
    </w:pPr>
    <w:rPr>
      <w:rFonts w:asciiTheme="minorHAnsi" w:eastAsiaTheme="minorHAnsi" w:hAnsiTheme="minorHAnsi" w:cstheme="minorBidi"/>
      <w:color w:val="auto"/>
      <w:sz w:val="22"/>
      <w:szCs w:val="22"/>
      <w:lang w:val="en-GB" w:eastAsia="en-US"/>
    </w:rPr>
    <w:tblPr>
      <w:tblStyleRowBandSize w:val="1"/>
      <w:tblStyleColBandSize w:val="1"/>
      <w:tblBorders>
        <w:top w:val="single" w:sz="4" w:space="0" w:color="EBA96E" w:themeColor="accent1" w:themeTint="99"/>
        <w:left w:val="single" w:sz="4" w:space="0" w:color="EBA96E" w:themeColor="accent1" w:themeTint="99"/>
        <w:bottom w:val="single" w:sz="4" w:space="0" w:color="EBA96E" w:themeColor="accent1" w:themeTint="99"/>
        <w:right w:val="single" w:sz="4" w:space="0" w:color="EBA96E" w:themeColor="accent1" w:themeTint="99"/>
        <w:insideH w:val="single" w:sz="4" w:space="0" w:color="EBA96E" w:themeColor="accent1" w:themeTint="99"/>
        <w:insideV w:val="single" w:sz="4" w:space="0" w:color="EBA96E" w:themeColor="accent1" w:themeTint="99"/>
      </w:tblBorders>
    </w:tblPr>
    <w:tblStylePr w:type="firstRow">
      <w:rPr>
        <w:b/>
        <w:bCs/>
        <w:color w:val="FFFFFF" w:themeColor="background1"/>
      </w:rPr>
      <w:tblPr/>
      <w:tcPr>
        <w:tcBorders>
          <w:top w:val="single" w:sz="4" w:space="0" w:color="D2711C" w:themeColor="accent1"/>
          <w:left w:val="single" w:sz="4" w:space="0" w:color="D2711C" w:themeColor="accent1"/>
          <w:bottom w:val="single" w:sz="4" w:space="0" w:color="D2711C" w:themeColor="accent1"/>
          <w:right w:val="single" w:sz="4" w:space="0" w:color="D2711C" w:themeColor="accent1"/>
          <w:insideH w:val="nil"/>
          <w:insideV w:val="nil"/>
        </w:tcBorders>
        <w:shd w:val="clear" w:color="auto" w:fill="D2711C" w:themeFill="accent1"/>
      </w:tcPr>
    </w:tblStylePr>
    <w:tblStylePr w:type="lastRow">
      <w:rPr>
        <w:b/>
        <w:bCs/>
      </w:rPr>
      <w:tblPr/>
      <w:tcPr>
        <w:tcBorders>
          <w:top w:val="double" w:sz="4" w:space="0" w:color="D2711C" w:themeColor="accent1"/>
        </w:tcBorders>
      </w:tcPr>
    </w:tblStylePr>
    <w:tblStylePr w:type="firstCol">
      <w:rPr>
        <w:b/>
        <w:bCs/>
      </w:rPr>
    </w:tblStylePr>
    <w:tblStylePr w:type="lastCol">
      <w:rPr>
        <w:b/>
        <w:bCs/>
      </w:rPr>
    </w:tblStylePr>
    <w:tblStylePr w:type="band1Vert">
      <w:tblPr/>
      <w:tcPr>
        <w:shd w:val="clear" w:color="auto" w:fill="F8E2CE" w:themeFill="accent1" w:themeFillTint="33"/>
      </w:tcPr>
    </w:tblStylePr>
    <w:tblStylePr w:type="band1Horz">
      <w:tblPr/>
      <w:tcPr>
        <w:shd w:val="clear" w:color="auto" w:fill="F8E2CE" w:themeFill="accent1" w:themeFillTint="33"/>
      </w:tcPr>
    </w:tblStylePr>
  </w:style>
  <w:style w:type="character" w:customStyle="1" w:styleId="A1">
    <w:name w:val="A1"/>
    <w:basedOn w:val="DefaultParagraphFont"/>
    <w:uiPriority w:val="99"/>
    <w:rsid w:val="00B0298E"/>
    <w:rPr>
      <w:rFonts w:ascii="Houschka Pro Light" w:hAnsi="Houschka Pro Light" w:hint="default"/>
      <w:color w:val="000000"/>
    </w:rPr>
  </w:style>
  <w:style w:type="paragraph" w:customStyle="1" w:styleId="Appendixpara">
    <w:name w:val="Appendix para"/>
    <w:basedOn w:val="11Bodytext"/>
    <w:link w:val="AppendixparaChar"/>
    <w:qFormat/>
    <w:rsid w:val="00B0298E"/>
    <w:pPr>
      <w:numPr>
        <w:ilvl w:val="0"/>
        <w:numId w:val="0"/>
      </w:numPr>
    </w:pPr>
    <w:rPr>
      <w:rFonts w:ascii="Times New Roman" w:eastAsia="Times New Roman" w:hAnsi="Times New Roman" w:cs="Times New Roman"/>
      <w:color w:val="auto"/>
      <w:lang w:eastAsia="en-GB"/>
    </w:rPr>
  </w:style>
  <w:style w:type="paragraph" w:customStyle="1" w:styleId="BAppendix">
    <w:name w:val="B Appendix"/>
    <w:basedOn w:val="Appendixpara"/>
    <w:link w:val="BAppendixChar"/>
    <w:qFormat/>
    <w:rsid w:val="00B0298E"/>
    <w:pPr>
      <w:numPr>
        <w:numId w:val="26"/>
      </w:numPr>
    </w:pPr>
  </w:style>
  <w:style w:type="character" w:customStyle="1" w:styleId="AppendixparaChar">
    <w:name w:val="Appendix para Char"/>
    <w:basedOn w:val="11BodytextChar"/>
    <w:link w:val="Appendixpara"/>
    <w:rsid w:val="00B0298E"/>
    <w:rPr>
      <w:rFonts w:ascii="Times New Roman" w:eastAsia="Times New Roman" w:hAnsi="Times New Roman" w:cs="Times New Roman"/>
      <w:bCs/>
      <w:color w:val="auto"/>
      <w:sz w:val="24"/>
      <w:szCs w:val="24"/>
      <w:lang w:val="en-GB" w:eastAsia="en-GB"/>
    </w:rPr>
  </w:style>
  <w:style w:type="character" w:customStyle="1" w:styleId="BAppendixChar">
    <w:name w:val="B Appendix Char"/>
    <w:basedOn w:val="AppendixparaChar"/>
    <w:link w:val="BAppendix"/>
    <w:rsid w:val="00B0298E"/>
    <w:rPr>
      <w:rFonts w:ascii="Times New Roman" w:eastAsia="Times New Roman" w:hAnsi="Times New Roman" w:cs="Times New Roman"/>
      <w:bCs/>
      <w:color w:val="auto"/>
      <w:sz w:val="24"/>
      <w:szCs w:val="24"/>
      <w:lang w:val="en-GB" w:eastAsia="en-GB"/>
    </w:rPr>
  </w:style>
  <w:style w:type="paragraph" w:styleId="Caption">
    <w:name w:val="caption"/>
    <w:basedOn w:val="Normal"/>
    <w:link w:val="CaptionChar0"/>
    <w:uiPriority w:val="99"/>
    <w:semiHidden/>
    <w:unhideWhenUsed/>
    <w:qFormat/>
    <w:locked/>
    <w:rsid w:val="00B0298E"/>
    <w:pPr>
      <w:spacing w:before="60" w:after="180" w:line="288" w:lineRule="auto"/>
      <w:ind w:left="567"/>
      <w:jc w:val="both"/>
    </w:pPr>
    <w:rPr>
      <w:rFonts w:ascii="Times New Roman" w:eastAsiaTheme="minorHAnsi" w:hAnsi="Times New Roman" w:cs="Times New Roman"/>
      <w:b/>
      <w:bCs/>
      <w:color w:val="auto"/>
      <w:sz w:val="22"/>
      <w:szCs w:val="22"/>
      <w:lang w:eastAsia="en-US"/>
    </w:rPr>
  </w:style>
  <w:style w:type="table" w:styleId="LightList-Accent1">
    <w:name w:val="Light List Accent 1"/>
    <w:basedOn w:val="TableNormal"/>
    <w:uiPriority w:val="61"/>
    <w:locked/>
    <w:rsid w:val="00B0298E"/>
    <w:pPr>
      <w:spacing w:after="0"/>
    </w:pPr>
    <w:rPr>
      <w:rFonts w:asciiTheme="minorHAnsi" w:eastAsiaTheme="minorHAnsi" w:hAnsiTheme="minorHAnsi" w:cstheme="minorBidi"/>
      <w:color w:val="auto"/>
      <w:sz w:val="22"/>
      <w:szCs w:val="22"/>
      <w:lang w:val="en-GB" w:eastAsia="en-US"/>
    </w:rPr>
    <w:tblPr>
      <w:tblStyleRowBandSize w:val="1"/>
      <w:tblStyleColBandSize w:val="1"/>
      <w:tblBorders>
        <w:top w:val="single" w:sz="8" w:space="0" w:color="D2711C" w:themeColor="accent1"/>
        <w:left w:val="single" w:sz="8" w:space="0" w:color="D2711C" w:themeColor="accent1"/>
        <w:bottom w:val="single" w:sz="8" w:space="0" w:color="D2711C" w:themeColor="accent1"/>
        <w:right w:val="single" w:sz="8" w:space="0" w:color="D2711C" w:themeColor="accent1"/>
      </w:tblBorders>
    </w:tblPr>
    <w:tblStylePr w:type="firstRow">
      <w:pPr>
        <w:spacing w:before="0" w:after="0" w:line="240" w:lineRule="auto"/>
      </w:pPr>
      <w:rPr>
        <w:b/>
        <w:bCs/>
        <w:color w:val="FFFFFF" w:themeColor="background1"/>
      </w:rPr>
      <w:tblPr/>
      <w:tcPr>
        <w:shd w:val="clear" w:color="auto" w:fill="D2711C" w:themeFill="accent1"/>
      </w:tcPr>
    </w:tblStylePr>
    <w:tblStylePr w:type="lastRow">
      <w:pPr>
        <w:spacing w:before="0" w:after="0" w:line="240" w:lineRule="auto"/>
      </w:pPr>
      <w:rPr>
        <w:b/>
        <w:bCs/>
      </w:rPr>
      <w:tblPr/>
      <w:tcPr>
        <w:tcBorders>
          <w:top w:val="double" w:sz="6" w:space="0" w:color="D2711C" w:themeColor="accent1"/>
          <w:left w:val="single" w:sz="8" w:space="0" w:color="D2711C" w:themeColor="accent1"/>
          <w:bottom w:val="single" w:sz="8" w:space="0" w:color="D2711C" w:themeColor="accent1"/>
          <w:right w:val="single" w:sz="8" w:space="0" w:color="D2711C" w:themeColor="accent1"/>
        </w:tcBorders>
      </w:tcPr>
    </w:tblStylePr>
    <w:tblStylePr w:type="firstCol">
      <w:rPr>
        <w:b/>
        <w:bCs/>
      </w:rPr>
    </w:tblStylePr>
    <w:tblStylePr w:type="lastCol">
      <w:rPr>
        <w:b/>
        <w:bCs/>
      </w:rPr>
    </w:tblStylePr>
    <w:tblStylePr w:type="band1Vert">
      <w:tblPr/>
      <w:tcPr>
        <w:tcBorders>
          <w:top w:val="single" w:sz="8" w:space="0" w:color="D2711C" w:themeColor="accent1"/>
          <w:left w:val="single" w:sz="8" w:space="0" w:color="D2711C" w:themeColor="accent1"/>
          <w:bottom w:val="single" w:sz="8" w:space="0" w:color="D2711C" w:themeColor="accent1"/>
          <w:right w:val="single" w:sz="8" w:space="0" w:color="D2711C" w:themeColor="accent1"/>
        </w:tcBorders>
      </w:tcPr>
    </w:tblStylePr>
    <w:tblStylePr w:type="band1Horz">
      <w:tblPr/>
      <w:tcPr>
        <w:tcBorders>
          <w:top w:val="single" w:sz="8" w:space="0" w:color="D2711C" w:themeColor="accent1"/>
          <w:left w:val="single" w:sz="8" w:space="0" w:color="D2711C" w:themeColor="accent1"/>
          <w:bottom w:val="single" w:sz="8" w:space="0" w:color="D2711C" w:themeColor="accent1"/>
          <w:right w:val="single" w:sz="8" w:space="0" w:color="D2711C" w:themeColor="accent1"/>
        </w:tcBorders>
      </w:tcPr>
    </w:tblStylePr>
  </w:style>
  <w:style w:type="table" w:styleId="MediumShading2-Accent1">
    <w:name w:val="Medium Shading 2 Accent 1"/>
    <w:basedOn w:val="TableNormal"/>
    <w:uiPriority w:val="64"/>
    <w:locked/>
    <w:rsid w:val="00B0298E"/>
    <w:pPr>
      <w:spacing w:after="0"/>
    </w:pPr>
    <w:rPr>
      <w:rFonts w:asciiTheme="minorHAnsi" w:eastAsiaTheme="minorHAnsi" w:hAnsiTheme="minorHAnsi" w:cstheme="minorBidi"/>
      <w:color w:val="auto"/>
      <w:sz w:val="22"/>
      <w:szCs w:val="22"/>
      <w:lang w:val="en-GB"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711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711C" w:themeFill="accent1"/>
      </w:tcPr>
    </w:tblStylePr>
    <w:tblStylePr w:type="lastCol">
      <w:rPr>
        <w:b/>
        <w:bCs/>
        <w:color w:val="FFFFFF" w:themeColor="background1"/>
      </w:rPr>
      <w:tblPr/>
      <w:tcPr>
        <w:tcBorders>
          <w:left w:val="nil"/>
          <w:right w:val="nil"/>
          <w:insideH w:val="nil"/>
          <w:insideV w:val="nil"/>
        </w:tcBorders>
        <w:shd w:val="clear" w:color="auto" w:fill="D2711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1">
    <w:name w:val="Medium List 1 Accent 1"/>
    <w:basedOn w:val="TableNormal"/>
    <w:uiPriority w:val="65"/>
    <w:locked/>
    <w:rsid w:val="00B0298E"/>
    <w:pPr>
      <w:spacing w:after="0"/>
    </w:pPr>
    <w:rPr>
      <w:rFonts w:asciiTheme="minorHAnsi" w:eastAsiaTheme="minorHAnsi" w:hAnsiTheme="minorHAnsi" w:cstheme="minorBidi"/>
      <w:sz w:val="22"/>
      <w:szCs w:val="22"/>
      <w:lang w:val="en-GB" w:eastAsia="en-US"/>
    </w:rPr>
    <w:tblPr>
      <w:tblStyleRowBandSize w:val="1"/>
      <w:tblStyleColBandSize w:val="1"/>
      <w:tblBorders>
        <w:top w:val="single" w:sz="8" w:space="0" w:color="D2711C" w:themeColor="accent1"/>
        <w:bottom w:val="single" w:sz="8" w:space="0" w:color="D2711C" w:themeColor="accent1"/>
      </w:tblBorders>
    </w:tblPr>
    <w:tblStylePr w:type="firstRow">
      <w:rPr>
        <w:rFonts w:asciiTheme="majorHAnsi" w:eastAsiaTheme="majorEastAsia" w:hAnsiTheme="majorHAnsi" w:cstheme="majorBidi"/>
      </w:rPr>
      <w:tblPr/>
      <w:tcPr>
        <w:tcBorders>
          <w:top w:val="nil"/>
          <w:bottom w:val="single" w:sz="8" w:space="0" w:color="D2711C" w:themeColor="accent1"/>
        </w:tcBorders>
      </w:tcPr>
    </w:tblStylePr>
    <w:tblStylePr w:type="lastRow">
      <w:rPr>
        <w:b/>
        <w:bCs/>
        <w:color w:val="B2B2B2" w:themeColor="text2"/>
      </w:rPr>
      <w:tblPr/>
      <w:tcPr>
        <w:tcBorders>
          <w:top w:val="single" w:sz="8" w:space="0" w:color="D2711C" w:themeColor="accent1"/>
          <w:bottom w:val="single" w:sz="8" w:space="0" w:color="D2711C" w:themeColor="accent1"/>
        </w:tcBorders>
      </w:tcPr>
    </w:tblStylePr>
    <w:tblStylePr w:type="firstCol">
      <w:rPr>
        <w:b/>
        <w:bCs/>
      </w:rPr>
    </w:tblStylePr>
    <w:tblStylePr w:type="lastCol">
      <w:rPr>
        <w:b/>
        <w:bCs/>
      </w:rPr>
      <w:tblPr/>
      <w:tcPr>
        <w:tcBorders>
          <w:top w:val="single" w:sz="8" w:space="0" w:color="D2711C" w:themeColor="accent1"/>
          <w:bottom w:val="single" w:sz="8" w:space="0" w:color="D2711C" w:themeColor="accent1"/>
        </w:tcBorders>
      </w:tcPr>
    </w:tblStylePr>
    <w:tblStylePr w:type="band1Vert">
      <w:tblPr/>
      <w:tcPr>
        <w:shd w:val="clear" w:color="auto" w:fill="F7DBC3" w:themeFill="accent1" w:themeFillTint="3F"/>
      </w:tcPr>
    </w:tblStylePr>
    <w:tblStylePr w:type="band1Horz">
      <w:tblPr/>
      <w:tcPr>
        <w:shd w:val="clear" w:color="auto" w:fill="F7DBC3" w:themeFill="accent1" w:themeFillTint="3F"/>
      </w:tcPr>
    </w:tblStylePr>
  </w:style>
  <w:style w:type="character" w:styleId="Emphasis">
    <w:name w:val="Emphasis"/>
    <w:basedOn w:val="DefaultParagraphFont"/>
    <w:uiPriority w:val="20"/>
    <w:qFormat/>
    <w:locked/>
    <w:rsid w:val="00B0298E"/>
    <w:rPr>
      <w:i/>
      <w:iCs/>
    </w:rPr>
  </w:style>
  <w:style w:type="table" w:customStyle="1" w:styleId="TableGridLight1">
    <w:name w:val="Table Grid Light1"/>
    <w:basedOn w:val="TableNormal"/>
    <w:uiPriority w:val="40"/>
    <w:rsid w:val="00B0298E"/>
    <w:pPr>
      <w:spacing w:after="0"/>
    </w:pPr>
    <w:rPr>
      <w:rFonts w:ascii="Calibri" w:eastAsia="Times New Roman" w:hAnsi="Calibri" w:cs="Times New Roman"/>
      <w:color w:val="auto"/>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LHearntable12">
    <w:name w:val="GL Hearn table 12"/>
    <w:basedOn w:val="TableNormal"/>
    <w:uiPriority w:val="99"/>
    <w:rsid w:val="00B0298E"/>
    <w:pPr>
      <w:spacing w:after="0" w:line="220" w:lineRule="atLeast"/>
    </w:pPr>
    <w:rPr>
      <w:sz w:val="18"/>
    </w:rPr>
    <w:tblPr>
      <w:tblStyleRowBandSize w:val="1"/>
      <w:tblInd w:w="794" w:type="dxa"/>
      <w:tblBorders>
        <w:top w:val="single" w:sz="2" w:space="0" w:color="0093D5"/>
        <w:left w:val="single" w:sz="2" w:space="0" w:color="0093D5"/>
        <w:bottom w:val="single" w:sz="2" w:space="0" w:color="0093D5"/>
        <w:right w:val="single" w:sz="2" w:space="0" w:color="0093D5"/>
        <w:insideH w:val="single" w:sz="2" w:space="0" w:color="0093D5"/>
        <w:insideV w:val="single" w:sz="2" w:space="0" w:color="0093D5"/>
      </w:tblBorders>
    </w:tblPr>
    <w:tcPr>
      <w:shd w:val="clear" w:color="auto" w:fill="auto"/>
    </w:tcPr>
    <w:tblStylePr w:type="firstRow">
      <w:pPr>
        <w:jc w:val="left"/>
      </w:pPr>
      <w:rPr>
        <w:rFonts w:ascii="Arial" w:hAnsi="Arial"/>
        <w:b/>
        <w:color w:val="FFFFFF" w:themeColor="background1"/>
        <w:sz w:val="20"/>
        <w:u w:val="none"/>
      </w:rPr>
      <w:tblPr/>
      <w:tcPr>
        <w:shd w:val="clear" w:color="auto" w:fill="0093D5"/>
        <w:vAlign w:val="center"/>
      </w:tcPr>
    </w:tblStylePr>
    <w:tblStylePr w:type="lastRow">
      <w:rPr>
        <w:rFonts w:ascii="Arial" w:hAnsi="Arial"/>
        <w:b/>
        <w:sz w:val="18"/>
      </w:rPr>
      <w:tblPr/>
      <w:tcPr>
        <w:shd w:val="clear" w:color="auto" w:fill="99D4EE"/>
      </w:tcPr>
    </w:tblStylePr>
    <w:tblStylePr w:type="firstCol">
      <w:rPr>
        <w:rFonts w:ascii="Arial" w:hAnsi="Arial"/>
        <w:b/>
        <w:i w:val="0"/>
        <w:color w:val="000000" w:themeColor="text1"/>
        <w:sz w:val="18"/>
      </w:rPr>
    </w:tblStylePr>
    <w:tblStylePr w:type="band2Horz">
      <w:tblPr/>
      <w:tcPr>
        <w:shd w:val="clear" w:color="auto" w:fill="C3ECFF" w:themeFill="accent2" w:themeFillTint="33"/>
      </w:tcPr>
    </w:tblStylePr>
  </w:style>
  <w:style w:type="paragraph" w:customStyle="1" w:styleId="Caption21">
    <w:name w:val="Caption21"/>
    <w:basedOn w:val="Normal"/>
    <w:next w:val="Normal"/>
    <w:rsid w:val="00B0298E"/>
    <w:pPr>
      <w:keepNext/>
      <w:spacing w:before="120" w:after="120"/>
      <w:jc w:val="center"/>
    </w:pPr>
    <w:rPr>
      <w:rFonts w:ascii="Times New Roman" w:eastAsia="Times New Roman" w:hAnsi="Times New Roman" w:cs="Times New Roman"/>
      <w:b/>
      <w:bCs/>
      <w:color w:val="auto"/>
      <w:sz w:val="24"/>
      <w:szCs w:val="24"/>
      <w:lang w:eastAsia="en-GB"/>
    </w:rPr>
  </w:style>
  <w:style w:type="paragraph" w:customStyle="1" w:styleId="Maintext">
    <w:name w:val="Main text"/>
    <w:basedOn w:val="Normal"/>
    <w:link w:val="MaintextChar"/>
    <w:qFormat/>
    <w:rsid w:val="00B0298E"/>
    <w:pPr>
      <w:tabs>
        <w:tab w:val="num" w:pos="1361"/>
      </w:tabs>
      <w:spacing w:before="180" w:line="280" w:lineRule="atLeast"/>
      <w:ind w:left="1361" w:hanging="1361"/>
    </w:pPr>
    <w:rPr>
      <w:rFonts w:ascii="Times New Roman" w:eastAsiaTheme="minorHAnsi" w:hAnsi="Times New Roman" w:cs="Times New Roman"/>
      <w:color w:val="auto"/>
      <w:sz w:val="22"/>
      <w:szCs w:val="22"/>
      <w:lang w:eastAsia="en-US"/>
    </w:rPr>
  </w:style>
  <w:style w:type="character" w:customStyle="1" w:styleId="MaintextChar">
    <w:name w:val="Main text Char"/>
    <w:link w:val="Maintext"/>
    <w:locked/>
    <w:rsid w:val="00B0298E"/>
    <w:rPr>
      <w:rFonts w:ascii="Times New Roman" w:eastAsiaTheme="minorHAnsi" w:hAnsi="Times New Roman" w:cs="Times New Roman"/>
      <w:color w:val="auto"/>
      <w:sz w:val="22"/>
      <w:szCs w:val="22"/>
      <w:lang w:val="en-GB" w:eastAsia="en-US"/>
    </w:rPr>
  </w:style>
  <w:style w:type="paragraph" w:customStyle="1" w:styleId="NumberList">
    <w:name w:val="Number List"/>
    <w:basedOn w:val="Normal"/>
    <w:qFormat/>
    <w:rsid w:val="00B0298E"/>
    <w:pPr>
      <w:tabs>
        <w:tab w:val="num" w:pos="1928"/>
      </w:tabs>
      <w:spacing w:before="100" w:after="20" w:line="280" w:lineRule="atLeast"/>
      <w:ind w:left="1928" w:hanging="567"/>
    </w:pPr>
    <w:rPr>
      <w:rFonts w:ascii="Times New Roman" w:eastAsiaTheme="minorHAnsi" w:hAnsi="Times New Roman" w:cstheme="minorBidi"/>
      <w:color w:val="D2711C" w:themeColor="accent1"/>
      <w:sz w:val="22"/>
      <w:szCs w:val="22"/>
      <w:lang w:eastAsia="en-US"/>
    </w:rPr>
  </w:style>
  <w:style w:type="character" w:styleId="SubtleEmphasis">
    <w:name w:val="Subtle Emphasis"/>
    <w:basedOn w:val="DefaultParagraphFont"/>
    <w:uiPriority w:val="19"/>
    <w:qFormat/>
    <w:locked/>
    <w:rsid w:val="00B0298E"/>
    <w:rPr>
      <w:i/>
      <w:iCs/>
      <w:color w:val="808080" w:themeColor="text1" w:themeTint="7F"/>
    </w:rPr>
  </w:style>
  <w:style w:type="paragraph" w:customStyle="1" w:styleId="story-bodyintroduction">
    <w:name w:val="story-body__introduction"/>
    <w:basedOn w:val="Normal"/>
    <w:rsid w:val="00B0298E"/>
    <w:pPr>
      <w:spacing w:before="100" w:beforeAutospacing="1" w:after="100" w:afterAutospacing="1"/>
    </w:pPr>
    <w:rPr>
      <w:rFonts w:ascii="Times New Roman" w:eastAsia="Times New Roman" w:hAnsi="Times New Roman" w:cs="Times New Roman"/>
      <w:color w:val="auto"/>
      <w:sz w:val="24"/>
      <w:szCs w:val="24"/>
      <w:lang w:eastAsia="en-GB"/>
    </w:rPr>
  </w:style>
  <w:style w:type="character" w:customStyle="1" w:styleId="A11">
    <w:name w:val="A11"/>
    <w:uiPriority w:val="99"/>
    <w:rsid w:val="00B0298E"/>
    <w:rPr>
      <w:rFonts w:cs="Gotham"/>
      <w:color w:val="000000"/>
      <w:sz w:val="18"/>
      <w:szCs w:val="18"/>
    </w:rPr>
  </w:style>
  <w:style w:type="character" w:customStyle="1" w:styleId="NoSpacingChar">
    <w:name w:val="No Spacing Char"/>
    <w:basedOn w:val="DefaultParagraphFont"/>
    <w:link w:val="NoSpacing"/>
    <w:uiPriority w:val="1"/>
    <w:rsid w:val="00B0298E"/>
    <w:rPr>
      <w:lang w:val="en-GB"/>
    </w:rPr>
  </w:style>
  <w:style w:type="paragraph" w:customStyle="1" w:styleId="type">
    <w:name w:val="type"/>
    <w:basedOn w:val="Normal"/>
    <w:rsid w:val="00B0298E"/>
    <w:pPr>
      <w:spacing w:before="100" w:beforeAutospacing="1" w:after="100" w:afterAutospacing="1"/>
    </w:pPr>
    <w:rPr>
      <w:rFonts w:ascii="Times New Roman" w:eastAsia="Times New Roman" w:hAnsi="Times New Roman" w:cs="Times New Roman"/>
      <w:color w:val="auto"/>
      <w:sz w:val="24"/>
      <w:szCs w:val="24"/>
      <w:lang w:eastAsia="en-GB"/>
    </w:rPr>
  </w:style>
  <w:style w:type="paragraph" w:customStyle="1" w:styleId="04Bodytext-10pt">
    <w:name w:val="04 Body text - 10pt"/>
    <w:basedOn w:val="Normal"/>
    <w:link w:val="04Bodytext-10ptChar"/>
    <w:qFormat/>
    <w:rsid w:val="00B0298E"/>
    <w:pPr>
      <w:spacing w:line="240" w:lineRule="atLeast"/>
    </w:pPr>
    <w:rPr>
      <w:rFonts w:ascii="Times New Roman" w:eastAsia="Times New Roman" w:hAnsi="Times New Roman" w:cs="Times New Roman"/>
      <w:color w:val="auto"/>
      <w:sz w:val="24"/>
      <w:szCs w:val="18"/>
      <w:lang w:eastAsia="en-GB"/>
    </w:rPr>
  </w:style>
  <w:style w:type="character" w:customStyle="1" w:styleId="04Bodytext-10ptChar">
    <w:name w:val="04 Body text - 10pt Char"/>
    <w:basedOn w:val="DefaultParagraphFont"/>
    <w:link w:val="04Bodytext-10pt"/>
    <w:locked/>
    <w:rsid w:val="00B0298E"/>
    <w:rPr>
      <w:rFonts w:ascii="Times New Roman" w:eastAsia="Times New Roman" w:hAnsi="Times New Roman" w:cs="Times New Roman"/>
      <w:color w:val="auto"/>
      <w:sz w:val="24"/>
      <w:szCs w:val="18"/>
      <w:lang w:val="en-GB" w:eastAsia="en-GB"/>
    </w:rPr>
  </w:style>
  <w:style w:type="paragraph" w:customStyle="1" w:styleId="Style22">
    <w:name w:val="Style22"/>
    <w:basedOn w:val="Normal"/>
    <w:link w:val="Style22Char"/>
    <w:qFormat/>
    <w:rsid w:val="00B0298E"/>
    <w:pPr>
      <w:tabs>
        <w:tab w:val="left" w:pos="567"/>
        <w:tab w:val="num" w:pos="720"/>
      </w:tabs>
      <w:spacing w:before="120" w:after="160" w:line="300" w:lineRule="auto"/>
      <w:ind w:left="794" w:hanging="397"/>
    </w:pPr>
    <w:rPr>
      <w:rFonts w:asciiTheme="minorHAnsi" w:eastAsiaTheme="majorEastAsia" w:hAnsiTheme="minorHAnsi" w:cstheme="majorBidi"/>
      <w:color w:val="auto"/>
      <w:sz w:val="24"/>
      <w:szCs w:val="24"/>
      <w:lang w:eastAsia="en-US"/>
    </w:rPr>
  </w:style>
  <w:style w:type="character" w:customStyle="1" w:styleId="Style22Char">
    <w:name w:val="Style22 Char"/>
    <w:basedOn w:val="DefaultParagraphFont"/>
    <w:link w:val="Style22"/>
    <w:rsid w:val="00B0298E"/>
    <w:rPr>
      <w:rFonts w:asciiTheme="minorHAnsi" w:eastAsiaTheme="majorEastAsia" w:hAnsiTheme="minorHAnsi" w:cstheme="majorBidi"/>
      <w:color w:val="auto"/>
      <w:sz w:val="24"/>
      <w:szCs w:val="24"/>
      <w:lang w:val="en-GB" w:eastAsia="en-US"/>
    </w:rPr>
  </w:style>
  <w:style w:type="paragraph" w:customStyle="1" w:styleId="21">
    <w:name w:val="2.1"/>
    <w:basedOn w:val="Normal"/>
    <w:autoRedefine/>
    <w:qFormat/>
    <w:rsid w:val="00B0298E"/>
    <w:pPr>
      <w:numPr>
        <w:numId w:val="27"/>
      </w:numPr>
      <w:adjustRightInd w:val="0"/>
      <w:spacing w:after="160" w:line="259" w:lineRule="auto"/>
    </w:pPr>
    <w:rPr>
      <w:rFonts w:asciiTheme="minorHAnsi" w:eastAsiaTheme="minorHAnsi" w:hAnsiTheme="minorHAnsi" w:cstheme="minorBidi"/>
      <w:color w:val="auto"/>
      <w:sz w:val="24"/>
      <w:szCs w:val="24"/>
      <w:lang w:eastAsia="en-US"/>
    </w:rPr>
  </w:style>
  <w:style w:type="character" w:styleId="BookTitle">
    <w:name w:val="Book Title"/>
    <w:basedOn w:val="DefaultParagraphFont"/>
    <w:uiPriority w:val="33"/>
    <w:qFormat/>
    <w:locked/>
    <w:rsid w:val="00B0298E"/>
    <w:rPr>
      <w:b/>
      <w:bCs/>
      <w:i/>
      <w:iCs/>
      <w:spacing w:val="5"/>
    </w:rPr>
  </w:style>
  <w:style w:type="paragraph" w:styleId="Subtitle">
    <w:name w:val="Subtitle"/>
    <w:aliases w:val="Policy Title"/>
    <w:basedOn w:val="Normal"/>
    <w:next w:val="Normal"/>
    <w:link w:val="SubtitleChar"/>
    <w:uiPriority w:val="11"/>
    <w:qFormat/>
    <w:locked/>
    <w:rsid w:val="00B0298E"/>
    <w:pPr>
      <w:numPr>
        <w:ilvl w:val="1"/>
      </w:numPr>
      <w:spacing w:after="200" w:line="276" w:lineRule="auto"/>
    </w:pPr>
    <w:rPr>
      <w:rFonts w:asciiTheme="majorHAnsi" w:eastAsiaTheme="majorEastAsia" w:hAnsiTheme="majorHAnsi" w:cstheme="majorBidi"/>
      <w:i/>
      <w:iCs/>
      <w:color w:val="2F9925"/>
      <w:spacing w:val="15"/>
      <w:sz w:val="24"/>
      <w:szCs w:val="24"/>
      <w:lang w:eastAsia="en-US"/>
    </w:rPr>
  </w:style>
  <w:style w:type="character" w:customStyle="1" w:styleId="SubtitleChar">
    <w:name w:val="Subtitle Char"/>
    <w:aliases w:val="Policy Title Char"/>
    <w:basedOn w:val="DefaultParagraphFont"/>
    <w:link w:val="Subtitle"/>
    <w:uiPriority w:val="11"/>
    <w:rsid w:val="00B0298E"/>
    <w:rPr>
      <w:rFonts w:asciiTheme="majorHAnsi" w:eastAsiaTheme="majorEastAsia" w:hAnsiTheme="majorHAnsi" w:cstheme="majorBidi"/>
      <w:i/>
      <w:iCs/>
      <w:color w:val="2F9925"/>
      <w:spacing w:val="15"/>
      <w:sz w:val="24"/>
      <w:szCs w:val="24"/>
      <w:lang w:val="en-GB" w:eastAsia="en-US"/>
    </w:rPr>
  </w:style>
  <w:style w:type="table" w:customStyle="1" w:styleId="Style1">
    <w:name w:val="Style1"/>
    <w:basedOn w:val="TableNormal"/>
    <w:uiPriority w:val="99"/>
    <w:rsid w:val="00B0298E"/>
    <w:pPr>
      <w:spacing w:after="0" w:line="300" w:lineRule="auto"/>
    </w:pPr>
    <w:rPr>
      <w:rFonts w:eastAsiaTheme="minorHAnsi" w:cstheme="minorBidi"/>
      <w:color w:val="auto"/>
      <w:szCs w:val="22"/>
      <w:lang w:val="en-GB" w:eastAsia="en-US"/>
    </w:rPr>
    <w:tblPr>
      <w:tblBorders>
        <w:top w:val="single" w:sz="4" w:space="0" w:color="0093D5" w:themeColor="accent2"/>
        <w:left w:val="single" w:sz="4" w:space="0" w:color="0093D5" w:themeColor="accent2"/>
        <w:bottom w:val="single" w:sz="4" w:space="0" w:color="0093D5" w:themeColor="accent2"/>
        <w:right w:val="single" w:sz="4" w:space="0" w:color="0093D5" w:themeColor="accent2"/>
        <w:insideH w:val="single" w:sz="4" w:space="0" w:color="0093D5" w:themeColor="accent2"/>
        <w:insideV w:val="single" w:sz="4" w:space="0" w:color="0093D5" w:themeColor="accent2"/>
      </w:tblBorders>
    </w:tblPr>
    <w:tblStylePr w:type="firstRow">
      <w:pPr>
        <w:jc w:val="center"/>
      </w:pPr>
      <w:rPr>
        <w:rFonts w:ascii="Arial" w:hAnsi="Arial"/>
        <w:b w:val="0"/>
        <w:i w:val="0"/>
        <w:color w:val="FFFFFF" w:themeColor="background1"/>
        <w:sz w:val="20"/>
      </w:rPr>
      <w:tblPr/>
      <w:tcPr>
        <w:shd w:val="clear" w:color="auto" w:fill="0093D5" w:themeFill="accent2"/>
      </w:tcPr>
    </w:tblStylePr>
    <w:tblStylePr w:type="firstCol">
      <w:pPr>
        <w:jc w:val="left"/>
      </w:pPr>
      <w:tblPr/>
      <w:tcPr>
        <w:vAlign w:val="center"/>
      </w:tcPr>
    </w:tblStylePr>
  </w:style>
  <w:style w:type="character" w:customStyle="1" w:styleId="bulletCBAChar">
    <w:name w:val="bullet CBA Char"/>
    <w:basedOn w:val="DefaultParagraphFont"/>
    <w:link w:val="bulletCBA"/>
    <w:locked/>
    <w:rsid w:val="00B0298E"/>
    <w:rPr>
      <w:rFonts w:asciiTheme="minorHAnsi" w:eastAsiaTheme="majorEastAsia" w:hAnsiTheme="minorHAnsi" w:cstheme="minorBidi"/>
      <w:sz w:val="24"/>
      <w:szCs w:val="24"/>
      <w:lang w:eastAsia="en-GB"/>
    </w:rPr>
  </w:style>
  <w:style w:type="paragraph" w:customStyle="1" w:styleId="bulletCBA">
    <w:name w:val="bullet CBA"/>
    <w:basedOn w:val="Normal"/>
    <w:link w:val="bulletCBAChar"/>
    <w:qFormat/>
    <w:rsid w:val="00B0298E"/>
    <w:pPr>
      <w:numPr>
        <w:numId w:val="31"/>
      </w:numPr>
      <w:spacing w:line="300" w:lineRule="auto"/>
    </w:pPr>
    <w:rPr>
      <w:rFonts w:asciiTheme="minorHAnsi" w:eastAsiaTheme="majorEastAsia" w:hAnsiTheme="minorHAnsi" w:cstheme="minorBidi"/>
      <w:sz w:val="24"/>
      <w:szCs w:val="24"/>
      <w:lang w:val="en-US" w:eastAsia="en-GB"/>
    </w:rPr>
  </w:style>
  <w:style w:type="character" w:customStyle="1" w:styleId="CaptionChar0">
    <w:name w:val="Caption Char"/>
    <w:basedOn w:val="DefaultParagraphFont"/>
    <w:link w:val="Caption"/>
    <w:uiPriority w:val="99"/>
    <w:semiHidden/>
    <w:locked/>
    <w:rsid w:val="00B0298E"/>
    <w:rPr>
      <w:rFonts w:ascii="Times New Roman" w:eastAsiaTheme="minorHAnsi" w:hAnsi="Times New Roman" w:cs="Times New Roman"/>
      <w:b/>
      <w:bCs/>
      <w:color w:val="auto"/>
      <w:sz w:val="22"/>
      <w:szCs w:val="22"/>
      <w:lang w:val="en-GB" w:eastAsia="en-US"/>
    </w:rPr>
  </w:style>
  <w:style w:type="table" w:customStyle="1" w:styleId="GLHearntable13">
    <w:name w:val="GL Hearn table 13"/>
    <w:basedOn w:val="TableNormal"/>
    <w:uiPriority w:val="99"/>
    <w:rsid w:val="004C78CC"/>
    <w:pPr>
      <w:spacing w:after="0" w:line="220" w:lineRule="atLeast"/>
    </w:pPr>
    <w:rPr>
      <w:sz w:val="18"/>
    </w:rPr>
    <w:tblPr>
      <w:tblStyleRowBandSize w:val="1"/>
      <w:tblInd w:w="794" w:type="dxa"/>
      <w:tblBorders>
        <w:top w:val="single" w:sz="2" w:space="0" w:color="0093D5"/>
        <w:left w:val="single" w:sz="2" w:space="0" w:color="0093D5"/>
        <w:bottom w:val="single" w:sz="2" w:space="0" w:color="0093D5"/>
        <w:right w:val="single" w:sz="2" w:space="0" w:color="0093D5"/>
        <w:insideH w:val="single" w:sz="2" w:space="0" w:color="0093D5"/>
        <w:insideV w:val="single" w:sz="2" w:space="0" w:color="0093D5"/>
      </w:tblBorders>
    </w:tblPr>
    <w:tcPr>
      <w:shd w:val="clear" w:color="auto" w:fill="auto"/>
    </w:tcPr>
    <w:tblStylePr w:type="firstRow">
      <w:pPr>
        <w:jc w:val="left"/>
      </w:pPr>
      <w:rPr>
        <w:rFonts w:ascii="Arial" w:hAnsi="Arial"/>
        <w:b/>
        <w:color w:val="FFFFFF" w:themeColor="background1"/>
        <w:sz w:val="20"/>
        <w:u w:val="none"/>
      </w:rPr>
      <w:tblPr/>
      <w:tcPr>
        <w:shd w:val="clear" w:color="auto" w:fill="0093D5"/>
        <w:vAlign w:val="center"/>
      </w:tcPr>
    </w:tblStylePr>
    <w:tblStylePr w:type="lastRow">
      <w:rPr>
        <w:rFonts w:ascii="Arial" w:hAnsi="Arial"/>
        <w:b/>
        <w:sz w:val="18"/>
      </w:rPr>
      <w:tblPr/>
      <w:tcPr>
        <w:shd w:val="clear" w:color="auto" w:fill="99D4EE"/>
      </w:tcPr>
    </w:tblStylePr>
    <w:tblStylePr w:type="firstCol">
      <w:rPr>
        <w:rFonts w:ascii="Arial" w:hAnsi="Arial"/>
        <w:b/>
        <w:i w:val="0"/>
        <w:color w:val="000000" w:themeColor="text1"/>
        <w:sz w:val="18"/>
      </w:rPr>
    </w:tblStylePr>
    <w:tblStylePr w:type="band2Horz">
      <w:tblPr/>
      <w:tcPr>
        <w:shd w:val="clear" w:color="auto" w:fill="C3ECFF" w:themeFill="accent2" w:themeFillTint="33"/>
      </w:tcPr>
    </w:tblStylePr>
  </w:style>
  <w:style w:type="table" w:customStyle="1" w:styleId="TableGridLight11">
    <w:name w:val="Table Grid Light11"/>
    <w:basedOn w:val="TableNormal"/>
    <w:uiPriority w:val="40"/>
    <w:rsid w:val="00F63FBB"/>
    <w:pPr>
      <w:keepNext/>
      <w:spacing w:after="0"/>
    </w:pPr>
    <w:rPr>
      <w:rFonts w:ascii="Calibri" w:eastAsia="Times New Roman" w:hAnsi="Calibri" w:cs="Times New Roman"/>
      <w:color w:val="au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TableNormal"/>
    <w:uiPriority w:val="40"/>
    <w:rsid w:val="00F63FBB"/>
    <w:pPr>
      <w:keepNext/>
      <w:spacing w:after="0"/>
    </w:pPr>
    <w:rPr>
      <w:rFonts w:ascii="Calibri" w:eastAsia="Times New Roman" w:hAnsi="Calibri" w:cs="Times New Roman"/>
      <w:color w:val="au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
    <w:name w:val="Table Grid Light13"/>
    <w:basedOn w:val="TableNormal"/>
    <w:uiPriority w:val="40"/>
    <w:rsid w:val="00F63FBB"/>
    <w:pPr>
      <w:keepNext/>
      <w:spacing w:after="0"/>
    </w:pPr>
    <w:rPr>
      <w:rFonts w:ascii="Calibri" w:eastAsia="Times New Roman" w:hAnsi="Calibri" w:cs="Times New Roman"/>
      <w:color w:val="au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76D7A"/>
    <w:rPr>
      <w:color w:val="605E5C"/>
      <w:shd w:val="clear" w:color="auto" w:fill="E1DFDD"/>
    </w:rPr>
  </w:style>
  <w:style w:type="table" w:customStyle="1" w:styleId="Compressed">
    <w:name w:val="Compressed"/>
    <w:basedOn w:val="TableNormal"/>
    <w:uiPriority w:val="99"/>
    <w:rsid w:val="00600807"/>
    <w:pPr>
      <w:spacing w:after="0"/>
      <w:jc w:val="center"/>
    </w:pPr>
    <w:rPr>
      <w:rFonts w:ascii="Arial Narrow" w:hAnsi="Arial Narrow"/>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jc w:val="center"/>
      </w:pPr>
      <w:rPr>
        <w:b/>
        <w:color w:val="FFFFFF" w:themeColor="background1"/>
        <w:sz w:val="24"/>
      </w:rPr>
      <w:tblPr/>
      <w:tcPr>
        <w:shd w:val="clear" w:color="auto" w:fill="0093D5" w:themeFill="accent2"/>
      </w:tcPr>
    </w:tblStylePr>
    <w:tblStylePr w:type="firstCol">
      <w:pPr>
        <w:jc w:val="left"/>
      </w:pPr>
      <w:rPr>
        <w:sz w:val="24"/>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color w:val="000000" w:themeColor="text1"/>
        <w:lang w:val="en-US" w:eastAsia="ja-JP" w:bidi="ar-SA"/>
      </w:rPr>
    </w:rPrDefault>
    <w:pPrDefault>
      <w:pPr>
        <w:spacing w:after="200"/>
      </w:pPr>
    </w:pPrDefault>
  </w:docDefaults>
  <w:latentStyles w:defLockedState="1" w:defUIPriority="99" w:defSemiHidden="1" w:defUnhideWhenUsed="1" w:defQFormat="0" w:count="267">
    <w:lsdException w:name="Normal" w:locked="0" w:semiHidden="0" w:uiPriority="0" w:unhideWhenUsed="0" w:qFormat="1"/>
    <w:lsdException w:name="heading 1"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locked="0" w:uiPriority="39"/>
    <w:lsdException w:name="toc 2" w:locked="0"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qFormat="1"/>
    <w:lsdException w:name="macro" w:unhideWhenUsed="0"/>
    <w:lsdException w:name="List" w:uiPriority="0"/>
    <w:lsdException w:name="List Bullet" w:unhideWhenUsed="0"/>
    <w:lsdException w:name="List Number" w:unhideWhenUsed="0"/>
    <w:lsdException w:name="Title" w:semiHidden="0" w:uiPriority="0" w:unhideWhenUsed="0" w:qFormat="1"/>
    <w:lsdException w:name="Default Paragraph Font" w:locked="0" w:uiPriority="1"/>
    <w:lsdException w:name="Body Text" w:uiPriority="0"/>
    <w:lsdException w:name="Body Text Indent" w:uiPriority="0"/>
    <w:lsdException w:name="List Continue 3" w:unhideWhenUsed="0"/>
    <w:lsdException w:name="List Continue 4" w:unhideWhenUsed="0"/>
    <w:lsdException w:name="List Continue 5" w:unhideWhenUsed="0"/>
    <w:lsdException w:name="Message Header" w:unhideWhenUsed="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HTML Top of Form" w:locked="0"/>
    <w:lsdException w:name="HTML Bottom of Form" w:locked="0" w:uiPriority="0"/>
    <w:lsdException w:name="Normal Table" w:locked="0"/>
    <w:lsdException w:name="annotation subject" w:uiPriority="0"/>
    <w:lsdException w:name="No List" w:locked="0"/>
    <w:lsdException w:name="Table Grid" w:semiHidden="0" w:uiPriority="39"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4"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0E318F"/>
    <w:pPr>
      <w:spacing w:after="0"/>
    </w:pPr>
    <w:rPr>
      <w:lang w:val="en-GB"/>
    </w:rPr>
  </w:style>
  <w:style w:type="paragraph" w:styleId="Heading1">
    <w:name w:val="heading 1"/>
    <w:aliases w:val="Numbered - 1,CBC Heading 1,Section,Level 1,Section Heading,h1,H1,H11,H12,H111,H13,H112,H14,H113,H15,H114,H16,H115,H17,H116,H18,H117,H19,H118,H110,H119,H120,H1110,H121,H1111,H131,H1121,H141,H1131,H151,H1141,H161,H1151,R1,Heading 1 - chapter,L1"/>
    <w:basedOn w:val="Normal"/>
    <w:next w:val="Normal"/>
    <w:link w:val="Heading1Char"/>
    <w:uiPriority w:val="9"/>
    <w:qFormat/>
    <w:locked/>
    <w:rsid w:val="001C1B1E"/>
    <w:pPr>
      <w:keepNext/>
      <w:keepLines/>
      <w:numPr>
        <w:numId w:val="6"/>
      </w:numPr>
      <w:spacing w:before="480"/>
      <w:outlineLvl w:val="0"/>
    </w:pPr>
    <w:rPr>
      <w:rFonts w:asciiTheme="majorHAnsi" w:eastAsiaTheme="majorEastAsia" w:hAnsiTheme="majorHAnsi" w:cstheme="majorBidi"/>
      <w:b/>
      <w:bCs/>
      <w:color w:val="9D5415" w:themeColor="accent1" w:themeShade="BF"/>
      <w:sz w:val="28"/>
      <w:szCs w:val="28"/>
    </w:rPr>
  </w:style>
  <w:style w:type="paragraph" w:styleId="Heading2">
    <w:name w:val="heading 2"/>
    <w:aliases w:val="F7 Sub Heading,Main Heading,Main Headi,Heading 2a,Sub Heading,Numbered - 2,do not use,h2,2,Titre 2,l2,list + change bar,???,h21,ASection,ash,KJL:1st Level,Reset numbering,PARA2,S Heading,S Heading 2,1.1.1 heading,m,H2,TF-Overskrit 2,2m"/>
    <w:basedOn w:val="Normal"/>
    <w:next w:val="Normal"/>
    <w:link w:val="Heading2Char"/>
    <w:uiPriority w:val="9"/>
    <w:qFormat/>
    <w:locked/>
    <w:rsid w:val="001C1B1E"/>
    <w:pPr>
      <w:keepNext/>
      <w:keepLines/>
      <w:numPr>
        <w:ilvl w:val="1"/>
        <w:numId w:val="6"/>
      </w:numPr>
      <w:spacing w:before="200"/>
      <w:outlineLvl w:val="1"/>
    </w:pPr>
    <w:rPr>
      <w:rFonts w:asciiTheme="majorHAnsi" w:eastAsiaTheme="majorEastAsia" w:hAnsiTheme="majorHAnsi" w:cstheme="majorBidi"/>
      <w:b/>
      <w:bCs/>
      <w:color w:val="D2711C" w:themeColor="accent1"/>
      <w:sz w:val="26"/>
      <w:szCs w:val="26"/>
    </w:rPr>
  </w:style>
  <w:style w:type="paragraph" w:styleId="Heading3">
    <w:name w:val="heading 3"/>
    <w:aliases w:val="F6 Sub sub Heading,Numbered Paragraph,Body of Text Numbering,PA Minor Section,Mia,Heading 3 Char Char Char Char,Heading 3 Char Char Char Char Char,Heading 3 Char Char Char,Heading 3 Char Char Char Char Char Char Char Char Char Char"/>
    <w:basedOn w:val="Normal"/>
    <w:next w:val="Normal"/>
    <w:link w:val="Heading3Char"/>
    <w:uiPriority w:val="9"/>
    <w:qFormat/>
    <w:locked/>
    <w:rsid w:val="001C1B1E"/>
    <w:pPr>
      <w:keepNext/>
      <w:keepLines/>
      <w:numPr>
        <w:ilvl w:val="2"/>
        <w:numId w:val="6"/>
      </w:numPr>
      <w:spacing w:before="200"/>
      <w:outlineLvl w:val="2"/>
    </w:pPr>
    <w:rPr>
      <w:rFonts w:asciiTheme="majorHAnsi" w:eastAsiaTheme="majorEastAsia" w:hAnsiTheme="majorHAnsi" w:cstheme="majorBidi"/>
      <w:b/>
      <w:bCs/>
      <w:color w:val="D2711C" w:themeColor="accent1"/>
    </w:rPr>
  </w:style>
  <w:style w:type="paragraph" w:styleId="Heading4">
    <w:name w:val="heading 4"/>
    <w:basedOn w:val="Normal"/>
    <w:next w:val="Normal"/>
    <w:link w:val="Heading4Char"/>
    <w:uiPriority w:val="9"/>
    <w:semiHidden/>
    <w:qFormat/>
    <w:locked/>
    <w:rsid w:val="001C1B1E"/>
    <w:pPr>
      <w:keepNext/>
      <w:keepLines/>
      <w:numPr>
        <w:ilvl w:val="3"/>
        <w:numId w:val="6"/>
      </w:numPr>
      <w:spacing w:before="200"/>
      <w:outlineLvl w:val="3"/>
    </w:pPr>
    <w:rPr>
      <w:rFonts w:asciiTheme="majorHAnsi" w:eastAsiaTheme="majorEastAsia" w:hAnsiTheme="majorHAnsi" w:cstheme="majorBidi"/>
      <w:b/>
      <w:bCs/>
      <w:i/>
      <w:iCs/>
      <w:color w:val="D2711C" w:themeColor="accent1"/>
    </w:rPr>
  </w:style>
  <w:style w:type="paragraph" w:styleId="Heading5">
    <w:name w:val="heading 5"/>
    <w:aliases w:val="Level 3 - i,h5,1cm Indent,Heading 5(unused),Level 3 - (i),Third Level Heading,Response Type,Response Type1,Response Type2,Response Type3,Response Type4,Response Type5,Response Type6,Response Type7,Appendix A to X,Heading 5   Appendix A to X,H5"/>
    <w:basedOn w:val="Normal"/>
    <w:next w:val="Normal"/>
    <w:link w:val="Heading5Char"/>
    <w:uiPriority w:val="9"/>
    <w:qFormat/>
    <w:locked/>
    <w:rsid w:val="001C1B1E"/>
    <w:pPr>
      <w:keepNext/>
      <w:keepLines/>
      <w:numPr>
        <w:ilvl w:val="4"/>
        <w:numId w:val="6"/>
      </w:numPr>
      <w:spacing w:before="200"/>
      <w:outlineLvl w:val="4"/>
    </w:pPr>
    <w:rPr>
      <w:rFonts w:asciiTheme="majorHAnsi" w:eastAsiaTheme="majorEastAsia" w:hAnsiTheme="majorHAnsi" w:cstheme="majorBidi"/>
      <w:color w:val="68380E" w:themeColor="accent1" w:themeShade="7F"/>
    </w:rPr>
  </w:style>
  <w:style w:type="paragraph" w:styleId="Heading6">
    <w:name w:val="heading 6"/>
    <w:aliases w:val="Legal Level 1.,level 1 bullet 1,level 1 bullet Char,level 1 bullet Char Char Char,level 1 bullet,level 1 bullet 1 Char Char Char,level 1 bullet 1 Char Char Char Char Char Char Char,level 1 bullet 1 Char Char Char Char Char Char Char Cha"/>
    <w:basedOn w:val="Normal"/>
    <w:next w:val="Normal"/>
    <w:link w:val="Heading6Char"/>
    <w:uiPriority w:val="9"/>
    <w:qFormat/>
    <w:locked/>
    <w:rsid w:val="001C1B1E"/>
    <w:pPr>
      <w:keepNext/>
      <w:keepLines/>
      <w:numPr>
        <w:ilvl w:val="5"/>
        <w:numId w:val="6"/>
      </w:numPr>
      <w:spacing w:before="200"/>
      <w:outlineLvl w:val="5"/>
    </w:pPr>
    <w:rPr>
      <w:rFonts w:asciiTheme="majorHAnsi" w:eastAsiaTheme="majorEastAsia" w:hAnsiTheme="majorHAnsi" w:cstheme="majorBidi"/>
      <w:i/>
      <w:iCs/>
      <w:color w:val="68380E" w:themeColor="accent1" w:themeShade="7F"/>
    </w:rPr>
  </w:style>
  <w:style w:type="paragraph" w:styleId="Heading7">
    <w:name w:val="heading 7"/>
    <w:basedOn w:val="Normal"/>
    <w:next w:val="Normal"/>
    <w:link w:val="Heading7Char"/>
    <w:uiPriority w:val="9"/>
    <w:qFormat/>
    <w:locked/>
    <w:rsid w:val="001C1B1E"/>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aliases w:val="Bullet 3"/>
    <w:basedOn w:val="Normal"/>
    <w:next w:val="Normal"/>
    <w:link w:val="Heading8Char"/>
    <w:uiPriority w:val="9"/>
    <w:qFormat/>
    <w:locked/>
    <w:rsid w:val="001C1B1E"/>
    <w:pPr>
      <w:keepNext/>
      <w:keepLines/>
      <w:numPr>
        <w:ilvl w:val="7"/>
        <w:numId w:val="6"/>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qFormat/>
    <w:locked/>
    <w:rsid w:val="001C1B1E"/>
    <w:pPr>
      <w:keepNext/>
      <w:keepLines/>
      <w:numPr>
        <w:ilvl w:val="8"/>
        <w:numId w:val="6"/>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umbered - 1 Char,CBC Heading 1 Char,Section Char,Level 1 Char,Section Heading Char,h1 Char,H1 Char,H11 Char,H12 Char,H111 Char,H13 Char,H112 Char,H14 Char,H113 Char,H15 Char,H114 Char,H16 Char,H115 Char,H17 Char,H116 Char,H18 Char"/>
    <w:basedOn w:val="DefaultParagraphFont"/>
    <w:link w:val="Heading1"/>
    <w:uiPriority w:val="9"/>
    <w:rsid w:val="001C1B1E"/>
    <w:rPr>
      <w:rFonts w:asciiTheme="majorHAnsi" w:eastAsiaTheme="majorEastAsia" w:hAnsiTheme="majorHAnsi" w:cstheme="majorBidi"/>
      <w:b/>
      <w:bCs/>
      <w:color w:val="9D5415" w:themeColor="accent1" w:themeShade="BF"/>
      <w:sz w:val="28"/>
      <w:szCs w:val="28"/>
      <w:lang w:val="en-GB"/>
    </w:rPr>
  </w:style>
  <w:style w:type="character" w:customStyle="1" w:styleId="Heading2Char">
    <w:name w:val="Heading 2 Char"/>
    <w:aliases w:val="F7 Sub Heading Char,Main Heading Char,Main Headi Char,Heading 2a Char,Sub Heading Char,Numbered - 2 Char,do not use Char,h2 Char,2 Char,Titre 2 Char,l2 Char,list + change bar Char,??? Char,h21 Char,ASection Char,ash Char,PARA2 Char,m Char"/>
    <w:basedOn w:val="DefaultParagraphFont"/>
    <w:link w:val="Heading2"/>
    <w:uiPriority w:val="9"/>
    <w:rsid w:val="001C1B1E"/>
    <w:rPr>
      <w:rFonts w:asciiTheme="majorHAnsi" w:eastAsiaTheme="majorEastAsia" w:hAnsiTheme="majorHAnsi" w:cstheme="majorBidi"/>
      <w:b/>
      <w:bCs/>
      <w:color w:val="D2711C" w:themeColor="accent1"/>
      <w:sz w:val="26"/>
      <w:szCs w:val="26"/>
      <w:lang w:val="en-GB"/>
    </w:rPr>
  </w:style>
  <w:style w:type="character" w:customStyle="1" w:styleId="Heading3Char">
    <w:name w:val="Heading 3 Char"/>
    <w:aliases w:val="F6 Sub sub Heading Char,Numbered Paragraph Char,Body of Text Numbering Char,PA Minor Section Char,Mia Char,Heading 3 Char Char Char Char Char1,Heading 3 Char Char Char Char Char Char,Heading 3 Char Char Char Char1"/>
    <w:basedOn w:val="DefaultParagraphFont"/>
    <w:link w:val="Heading3"/>
    <w:uiPriority w:val="9"/>
    <w:rsid w:val="001C1B1E"/>
    <w:rPr>
      <w:rFonts w:asciiTheme="majorHAnsi" w:eastAsiaTheme="majorEastAsia" w:hAnsiTheme="majorHAnsi" w:cstheme="majorBidi"/>
      <w:b/>
      <w:bCs/>
      <w:color w:val="D2711C" w:themeColor="accent1"/>
      <w:lang w:val="en-GB"/>
    </w:rPr>
  </w:style>
  <w:style w:type="character" w:customStyle="1" w:styleId="Heading4Char">
    <w:name w:val="Heading 4 Char"/>
    <w:basedOn w:val="DefaultParagraphFont"/>
    <w:link w:val="Heading4"/>
    <w:uiPriority w:val="9"/>
    <w:semiHidden/>
    <w:rsid w:val="001C1B1E"/>
    <w:rPr>
      <w:rFonts w:asciiTheme="majorHAnsi" w:eastAsiaTheme="majorEastAsia" w:hAnsiTheme="majorHAnsi" w:cstheme="majorBidi"/>
      <w:b/>
      <w:bCs/>
      <w:i/>
      <w:iCs/>
      <w:color w:val="D2711C" w:themeColor="accent1"/>
      <w:lang w:val="en-GB"/>
    </w:rPr>
  </w:style>
  <w:style w:type="character" w:customStyle="1" w:styleId="Heading5Char">
    <w:name w:val="Heading 5 Char"/>
    <w:aliases w:val="Level 3 - i Char,h5 Char,1cm Indent Char,Heading 5(unused) Char,Level 3 - (i) Char,Third Level Heading Char,Response Type Char,Response Type1 Char,Response Type2 Char,Response Type3 Char,Response Type4 Char,Response Type5 Char,H5 Char"/>
    <w:basedOn w:val="DefaultParagraphFont"/>
    <w:link w:val="Heading5"/>
    <w:uiPriority w:val="9"/>
    <w:rsid w:val="001C1B1E"/>
    <w:rPr>
      <w:rFonts w:asciiTheme="majorHAnsi" w:eastAsiaTheme="majorEastAsia" w:hAnsiTheme="majorHAnsi" w:cstheme="majorBidi"/>
      <w:color w:val="68380E" w:themeColor="accent1" w:themeShade="7F"/>
      <w:lang w:val="en-GB"/>
    </w:rPr>
  </w:style>
  <w:style w:type="character" w:customStyle="1" w:styleId="Heading6Char">
    <w:name w:val="Heading 6 Char"/>
    <w:aliases w:val="Legal Level 1. Char,level 1 bullet 1 Char,level 1 bullet Char Char,level 1 bullet Char Char Char Char,level 1 bullet Char1,level 1 bullet 1 Char Char Char Char,level 1 bullet 1 Char Char Char Char Char Char Char Char"/>
    <w:basedOn w:val="DefaultParagraphFont"/>
    <w:link w:val="Heading6"/>
    <w:uiPriority w:val="9"/>
    <w:rsid w:val="001C1B1E"/>
    <w:rPr>
      <w:rFonts w:asciiTheme="majorHAnsi" w:eastAsiaTheme="majorEastAsia" w:hAnsiTheme="majorHAnsi" w:cstheme="majorBidi"/>
      <w:i/>
      <w:iCs/>
      <w:color w:val="68380E" w:themeColor="accent1" w:themeShade="7F"/>
      <w:lang w:val="en-GB"/>
    </w:rPr>
  </w:style>
  <w:style w:type="character" w:customStyle="1" w:styleId="Heading7Char">
    <w:name w:val="Heading 7 Char"/>
    <w:basedOn w:val="DefaultParagraphFont"/>
    <w:link w:val="Heading7"/>
    <w:uiPriority w:val="9"/>
    <w:rsid w:val="001C1B1E"/>
    <w:rPr>
      <w:rFonts w:asciiTheme="majorHAnsi" w:eastAsiaTheme="majorEastAsia" w:hAnsiTheme="majorHAnsi" w:cstheme="majorBidi"/>
      <w:i/>
      <w:iCs/>
      <w:color w:val="404040" w:themeColor="text1" w:themeTint="BF"/>
      <w:lang w:val="en-GB"/>
    </w:rPr>
  </w:style>
  <w:style w:type="character" w:customStyle="1" w:styleId="Heading8Char">
    <w:name w:val="Heading 8 Char"/>
    <w:aliases w:val="Bullet 3 Char"/>
    <w:basedOn w:val="DefaultParagraphFont"/>
    <w:link w:val="Heading8"/>
    <w:uiPriority w:val="9"/>
    <w:rsid w:val="001C1B1E"/>
    <w:rPr>
      <w:rFonts w:asciiTheme="majorHAnsi" w:eastAsiaTheme="majorEastAsia" w:hAnsiTheme="majorHAnsi" w:cstheme="majorBidi"/>
      <w:color w:val="404040" w:themeColor="text1" w:themeTint="BF"/>
      <w:lang w:val="en-GB"/>
    </w:rPr>
  </w:style>
  <w:style w:type="character" w:customStyle="1" w:styleId="Heading9Char">
    <w:name w:val="Heading 9 Char"/>
    <w:basedOn w:val="DefaultParagraphFont"/>
    <w:link w:val="Heading9"/>
    <w:uiPriority w:val="9"/>
    <w:rsid w:val="001C1B1E"/>
    <w:rPr>
      <w:rFonts w:asciiTheme="majorHAnsi" w:eastAsiaTheme="majorEastAsia" w:hAnsiTheme="majorHAnsi" w:cstheme="majorBidi"/>
      <w:i/>
      <w:iCs/>
      <w:color w:val="404040" w:themeColor="text1" w:themeTint="BF"/>
      <w:lang w:val="en-GB"/>
    </w:rPr>
  </w:style>
  <w:style w:type="paragraph" w:customStyle="1" w:styleId="NoParagraphStyle">
    <w:name w:val="[No Paragraph Style]"/>
    <w:rsid w:val="001E5953"/>
    <w:pPr>
      <w:widowControl w:val="0"/>
      <w:autoSpaceDE w:val="0"/>
      <w:autoSpaceDN w:val="0"/>
      <w:adjustRightInd w:val="0"/>
      <w:spacing w:after="0" w:line="288" w:lineRule="auto"/>
      <w:textAlignment w:val="center"/>
    </w:pPr>
    <w:rPr>
      <w:rFonts w:cs="MinionPro-Regular"/>
      <w:color w:val="000000"/>
      <w:lang w:val="en-GB"/>
    </w:rPr>
  </w:style>
  <w:style w:type="paragraph" w:customStyle="1" w:styleId="BasicParagraph">
    <w:name w:val="[Basic Paragraph]"/>
    <w:basedOn w:val="Normal"/>
    <w:uiPriority w:val="99"/>
    <w:semiHidden/>
    <w:locked/>
    <w:rsid w:val="007D44B9"/>
    <w:pPr>
      <w:widowControl w:val="0"/>
      <w:autoSpaceDE w:val="0"/>
      <w:autoSpaceDN w:val="0"/>
      <w:adjustRightInd w:val="0"/>
      <w:spacing w:line="288" w:lineRule="auto"/>
      <w:textAlignment w:val="center"/>
    </w:pPr>
    <w:rPr>
      <w:rFonts w:ascii="Times-Roman" w:hAnsi="Times-Roman" w:cs="Times-Roman"/>
      <w:color w:val="000000"/>
    </w:rPr>
  </w:style>
  <w:style w:type="paragraph" w:customStyle="1" w:styleId="BodyText1">
    <w:name w:val="Body Text1"/>
    <w:basedOn w:val="Normal"/>
    <w:link w:val="BodytextChar"/>
    <w:qFormat/>
    <w:rsid w:val="00D217A7"/>
    <w:pPr>
      <w:spacing w:line="360" w:lineRule="auto"/>
      <w:jc w:val="both"/>
    </w:pPr>
    <w:rPr>
      <w:szCs w:val="18"/>
    </w:rPr>
  </w:style>
  <w:style w:type="character" w:customStyle="1" w:styleId="BodytextChar">
    <w:name w:val="Body text Char"/>
    <w:basedOn w:val="DefaultParagraphFont"/>
    <w:link w:val="BodyText1"/>
    <w:rsid w:val="00D217A7"/>
    <w:rPr>
      <w:szCs w:val="18"/>
      <w:lang w:val="en-GB"/>
    </w:rPr>
  </w:style>
  <w:style w:type="paragraph" w:customStyle="1" w:styleId="BoldBodytext">
    <w:name w:val="Bold Body text"/>
    <w:basedOn w:val="BodyText1"/>
    <w:next w:val="BodyText1"/>
    <w:link w:val="BoldBodytextChar"/>
    <w:qFormat/>
    <w:rsid w:val="00292AE1"/>
    <w:rPr>
      <w:b/>
      <w:bCs/>
    </w:rPr>
  </w:style>
  <w:style w:type="character" w:customStyle="1" w:styleId="BoldBodytextChar">
    <w:name w:val="Bold Body text Char"/>
    <w:basedOn w:val="BodytextChar"/>
    <w:link w:val="BoldBodytext"/>
    <w:rsid w:val="00292AE1"/>
    <w:rPr>
      <w:b/>
      <w:bCs/>
      <w:szCs w:val="18"/>
      <w:lang w:val="en-GB"/>
    </w:rPr>
  </w:style>
  <w:style w:type="table" w:styleId="TableGrid">
    <w:name w:val="Table Grid"/>
    <w:aliases w:val="Report Table"/>
    <w:basedOn w:val="TableNormal"/>
    <w:uiPriority w:val="39"/>
    <w:locked/>
    <w:rsid w:val="00F46D4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Transport &amp; Traffic"/>
    <w:basedOn w:val="Normal"/>
    <w:link w:val="HeaderChar"/>
    <w:uiPriority w:val="99"/>
    <w:locked/>
    <w:rsid w:val="002C6850"/>
    <w:pPr>
      <w:tabs>
        <w:tab w:val="center" w:pos="4320"/>
        <w:tab w:val="right" w:pos="8640"/>
      </w:tabs>
    </w:pPr>
  </w:style>
  <w:style w:type="character" w:customStyle="1" w:styleId="HeaderChar">
    <w:name w:val="Header Char"/>
    <w:aliases w:val="Transport &amp; Traffic Char"/>
    <w:basedOn w:val="DefaultParagraphFont"/>
    <w:link w:val="Header"/>
    <w:uiPriority w:val="99"/>
    <w:rsid w:val="003D03FA"/>
  </w:style>
  <w:style w:type="paragraph" w:customStyle="1" w:styleId="ReportTitle">
    <w:name w:val="Report Title"/>
    <w:basedOn w:val="BodyText1"/>
    <w:link w:val="ReportTitleChar"/>
    <w:qFormat/>
    <w:rsid w:val="003E5F01"/>
    <w:pPr>
      <w:spacing w:line="520" w:lineRule="atLeast"/>
      <w:jc w:val="left"/>
    </w:pPr>
    <w:rPr>
      <w:color w:val="0093D5"/>
      <w:sz w:val="48"/>
      <w:szCs w:val="48"/>
    </w:rPr>
  </w:style>
  <w:style w:type="character" w:customStyle="1" w:styleId="ReportTitleChar">
    <w:name w:val="Report Title Char"/>
    <w:basedOn w:val="BodytextChar"/>
    <w:link w:val="ReportTitle"/>
    <w:rsid w:val="003E5F01"/>
    <w:rPr>
      <w:color w:val="0093D5"/>
      <w:sz w:val="48"/>
      <w:szCs w:val="48"/>
      <w:lang w:val="en-GB"/>
    </w:rPr>
  </w:style>
  <w:style w:type="paragraph" w:styleId="Footer">
    <w:name w:val="footer"/>
    <w:basedOn w:val="Normal"/>
    <w:link w:val="FooterChar"/>
    <w:uiPriority w:val="99"/>
    <w:locked/>
    <w:rsid w:val="002C6850"/>
    <w:pPr>
      <w:tabs>
        <w:tab w:val="center" w:pos="4320"/>
        <w:tab w:val="right" w:pos="8640"/>
      </w:tabs>
    </w:pPr>
  </w:style>
  <w:style w:type="character" w:customStyle="1" w:styleId="FooterChar">
    <w:name w:val="Footer Char"/>
    <w:basedOn w:val="DefaultParagraphFont"/>
    <w:link w:val="Footer"/>
    <w:uiPriority w:val="99"/>
    <w:rsid w:val="003D03FA"/>
  </w:style>
  <w:style w:type="character" w:styleId="PageNumber">
    <w:name w:val="page number"/>
    <w:basedOn w:val="DefaultParagraphFont"/>
    <w:uiPriority w:val="99"/>
    <w:locked/>
    <w:rsid w:val="0071096E"/>
  </w:style>
  <w:style w:type="table" w:customStyle="1" w:styleId="GLHearntable1">
    <w:name w:val="GL Hearn table 1"/>
    <w:basedOn w:val="TableNormal"/>
    <w:uiPriority w:val="99"/>
    <w:rsid w:val="0017356C"/>
    <w:pPr>
      <w:spacing w:after="0" w:line="220" w:lineRule="atLeast"/>
    </w:pPr>
    <w:rPr>
      <w:sz w:val="18"/>
    </w:rPr>
    <w:tblPr>
      <w:tblStyleRowBandSize w:val="1"/>
      <w:tblInd w:w="794" w:type="dxa"/>
      <w:tblBorders>
        <w:top w:val="single" w:sz="2" w:space="0" w:color="0093D5"/>
        <w:left w:val="single" w:sz="2" w:space="0" w:color="0093D5"/>
        <w:bottom w:val="single" w:sz="2" w:space="0" w:color="0093D5"/>
        <w:right w:val="single" w:sz="2" w:space="0" w:color="0093D5"/>
        <w:insideH w:val="single" w:sz="2" w:space="0" w:color="0093D5"/>
        <w:insideV w:val="single" w:sz="2" w:space="0" w:color="0093D5"/>
      </w:tblBorders>
    </w:tblPr>
    <w:tcPr>
      <w:shd w:val="clear" w:color="auto" w:fill="auto"/>
    </w:tcPr>
    <w:tblStylePr w:type="firstRow">
      <w:pPr>
        <w:jc w:val="left"/>
      </w:pPr>
      <w:rPr>
        <w:rFonts w:ascii="Arial" w:hAnsi="Arial"/>
        <w:b/>
        <w:color w:val="FFFFFF" w:themeColor="background1"/>
        <w:sz w:val="20"/>
        <w:u w:val="none"/>
      </w:rPr>
      <w:tblPr/>
      <w:tcPr>
        <w:shd w:val="clear" w:color="auto" w:fill="0093D5"/>
        <w:vAlign w:val="center"/>
      </w:tcPr>
    </w:tblStylePr>
    <w:tblStylePr w:type="lastRow">
      <w:rPr>
        <w:rFonts w:ascii="Arial" w:hAnsi="Arial"/>
        <w:b/>
        <w:sz w:val="18"/>
      </w:rPr>
      <w:tblPr/>
      <w:tcPr>
        <w:shd w:val="clear" w:color="auto" w:fill="99D4EE"/>
      </w:tcPr>
    </w:tblStylePr>
    <w:tblStylePr w:type="firstCol">
      <w:rPr>
        <w:rFonts w:ascii="Arial" w:hAnsi="Arial"/>
        <w:b/>
        <w:i w:val="0"/>
        <w:color w:val="000000" w:themeColor="text1"/>
        <w:sz w:val="18"/>
      </w:rPr>
    </w:tblStylePr>
    <w:tblStylePr w:type="band2Horz">
      <w:tblPr/>
      <w:tcPr>
        <w:shd w:val="clear" w:color="auto" w:fill="C3ECFF" w:themeFill="accent2" w:themeFillTint="33"/>
      </w:tcPr>
    </w:tblStylePr>
  </w:style>
  <w:style w:type="paragraph" w:styleId="BalloonText">
    <w:name w:val="Balloon Text"/>
    <w:basedOn w:val="Normal"/>
    <w:link w:val="BalloonTextChar"/>
    <w:uiPriority w:val="99"/>
    <w:locked/>
    <w:rsid w:val="006B13D5"/>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3D03FA"/>
    <w:rPr>
      <w:rFonts w:ascii="Lucida Grande" w:hAnsi="Lucida Grande" w:cs="Lucida Grande"/>
      <w:sz w:val="18"/>
      <w:szCs w:val="18"/>
    </w:rPr>
  </w:style>
  <w:style w:type="paragraph" w:customStyle="1" w:styleId="Headingbold">
    <w:name w:val="Heading bold"/>
    <w:basedOn w:val="ReportTitle"/>
    <w:link w:val="HeadingboldChar"/>
    <w:qFormat/>
    <w:rsid w:val="00292AE1"/>
    <w:pPr>
      <w:tabs>
        <w:tab w:val="left" w:pos="1021"/>
      </w:tabs>
      <w:spacing w:line="300" w:lineRule="atLeast"/>
    </w:pPr>
    <w:rPr>
      <w:b/>
      <w:bCs/>
      <w:color w:val="000000" w:themeColor="text1"/>
      <w:sz w:val="24"/>
      <w:szCs w:val="24"/>
    </w:rPr>
  </w:style>
  <w:style w:type="character" w:customStyle="1" w:styleId="HeadingboldChar">
    <w:name w:val="Heading bold Char"/>
    <w:basedOn w:val="ReportTitleChar"/>
    <w:link w:val="Headingbold"/>
    <w:rsid w:val="00292AE1"/>
    <w:rPr>
      <w:b/>
      <w:bCs/>
      <w:color w:val="0093D5"/>
      <w:sz w:val="24"/>
      <w:szCs w:val="24"/>
      <w:lang w:val="en-GB"/>
    </w:rPr>
  </w:style>
  <w:style w:type="paragraph" w:customStyle="1" w:styleId="Heading">
    <w:name w:val="Heading"/>
    <w:basedOn w:val="NoParagraphStyle"/>
    <w:uiPriority w:val="99"/>
    <w:semiHidden/>
    <w:locked/>
    <w:rsid w:val="00ED59EA"/>
    <w:pPr>
      <w:tabs>
        <w:tab w:val="left" w:pos="794"/>
      </w:tabs>
      <w:suppressAutoHyphens/>
      <w:spacing w:line="230" w:lineRule="atLeast"/>
    </w:pPr>
    <w:rPr>
      <w:rFonts w:ascii="Arial-BoldMT" w:hAnsi="Arial-BoldMT" w:cs="Arial-BoldMT"/>
      <w:b/>
      <w:bCs/>
      <w:sz w:val="18"/>
      <w:szCs w:val="18"/>
    </w:rPr>
  </w:style>
  <w:style w:type="paragraph" w:customStyle="1" w:styleId="SubheadBlue12">
    <w:name w:val="Subhead Blue 12"/>
    <w:basedOn w:val="BoldBodytext"/>
    <w:next w:val="BoldBodytext"/>
    <w:link w:val="SubheadBlue12Char"/>
    <w:qFormat/>
    <w:rsid w:val="00A54ECA"/>
    <w:pPr>
      <w:keepNext/>
      <w:spacing w:before="240" w:after="120"/>
      <w:ind w:left="426" w:firstLine="368"/>
      <w:contextualSpacing/>
    </w:pPr>
    <w:rPr>
      <w:bCs w:val="0"/>
      <w:color w:val="0093D5"/>
      <w:sz w:val="24"/>
      <w:szCs w:val="24"/>
    </w:rPr>
  </w:style>
  <w:style w:type="table" w:styleId="LightList-Accent3">
    <w:name w:val="Light List Accent 3"/>
    <w:basedOn w:val="TableNormal"/>
    <w:uiPriority w:val="61"/>
    <w:locked/>
    <w:rsid w:val="003D3D56"/>
    <w:pPr>
      <w:spacing w:after="0"/>
    </w:pPr>
    <w:tblPr>
      <w:tblStyleRowBandSize w:val="1"/>
      <w:tblStyleColBandSize w:val="1"/>
      <w:tblBorders>
        <w:top w:val="single" w:sz="8" w:space="0" w:color="71257F" w:themeColor="accent3"/>
        <w:left w:val="single" w:sz="8" w:space="0" w:color="71257F" w:themeColor="accent3"/>
        <w:bottom w:val="single" w:sz="8" w:space="0" w:color="71257F" w:themeColor="accent3"/>
        <w:right w:val="single" w:sz="8" w:space="0" w:color="71257F" w:themeColor="accent3"/>
      </w:tblBorders>
    </w:tblPr>
    <w:tblStylePr w:type="firstRow">
      <w:pPr>
        <w:spacing w:before="0" w:after="0" w:line="240" w:lineRule="auto"/>
      </w:pPr>
      <w:rPr>
        <w:b/>
        <w:bCs/>
        <w:color w:val="FFFFFF" w:themeColor="background1"/>
      </w:rPr>
      <w:tblPr/>
      <w:tcPr>
        <w:shd w:val="clear" w:color="auto" w:fill="71257F" w:themeFill="accent3"/>
      </w:tcPr>
    </w:tblStylePr>
    <w:tblStylePr w:type="lastRow">
      <w:pPr>
        <w:spacing w:before="0" w:after="0" w:line="240" w:lineRule="auto"/>
      </w:pPr>
      <w:rPr>
        <w:b/>
        <w:bCs/>
      </w:rPr>
      <w:tblPr/>
      <w:tcPr>
        <w:tcBorders>
          <w:top w:val="double" w:sz="6" w:space="0" w:color="71257F" w:themeColor="accent3"/>
          <w:left w:val="single" w:sz="8" w:space="0" w:color="71257F" w:themeColor="accent3"/>
          <w:bottom w:val="single" w:sz="8" w:space="0" w:color="71257F" w:themeColor="accent3"/>
          <w:right w:val="single" w:sz="8" w:space="0" w:color="71257F" w:themeColor="accent3"/>
        </w:tcBorders>
      </w:tcPr>
    </w:tblStylePr>
    <w:tblStylePr w:type="firstCol">
      <w:rPr>
        <w:b/>
        <w:bCs/>
      </w:rPr>
    </w:tblStylePr>
    <w:tblStylePr w:type="lastCol">
      <w:rPr>
        <w:b/>
        <w:bCs/>
      </w:rPr>
    </w:tblStylePr>
    <w:tblStylePr w:type="band1Vert">
      <w:tblPr/>
      <w:tcPr>
        <w:tcBorders>
          <w:top w:val="single" w:sz="8" w:space="0" w:color="71257F" w:themeColor="accent3"/>
          <w:left w:val="single" w:sz="8" w:space="0" w:color="71257F" w:themeColor="accent3"/>
          <w:bottom w:val="single" w:sz="8" w:space="0" w:color="71257F" w:themeColor="accent3"/>
          <w:right w:val="single" w:sz="8" w:space="0" w:color="71257F" w:themeColor="accent3"/>
        </w:tcBorders>
      </w:tcPr>
    </w:tblStylePr>
    <w:tblStylePr w:type="band1Horz">
      <w:tblPr/>
      <w:tcPr>
        <w:tcBorders>
          <w:top w:val="single" w:sz="8" w:space="0" w:color="71257F" w:themeColor="accent3"/>
          <w:left w:val="single" w:sz="8" w:space="0" w:color="71257F" w:themeColor="accent3"/>
          <w:bottom w:val="single" w:sz="8" w:space="0" w:color="71257F" w:themeColor="accent3"/>
          <w:right w:val="single" w:sz="8" w:space="0" w:color="71257F" w:themeColor="accent3"/>
        </w:tcBorders>
      </w:tcPr>
    </w:tblStylePr>
  </w:style>
  <w:style w:type="paragraph" w:customStyle="1" w:styleId="Mainheading">
    <w:name w:val="Main heading"/>
    <w:basedOn w:val="NoParagraphStyle"/>
    <w:uiPriority w:val="99"/>
    <w:semiHidden/>
    <w:locked/>
    <w:rsid w:val="00ED59EA"/>
    <w:pPr>
      <w:tabs>
        <w:tab w:val="left" w:pos="794"/>
      </w:tabs>
      <w:suppressAutoHyphens/>
      <w:spacing w:line="300" w:lineRule="atLeast"/>
    </w:pPr>
    <w:rPr>
      <w:rFonts w:ascii="Arial-BoldMT" w:hAnsi="Arial-BoldMT" w:cs="Arial-BoldMT"/>
      <w:b/>
      <w:bCs/>
    </w:rPr>
  </w:style>
  <w:style w:type="paragraph" w:customStyle="1" w:styleId="Largespaceabove">
    <w:name w:val="Large space above"/>
    <w:basedOn w:val="BodyText1"/>
    <w:semiHidden/>
    <w:qFormat/>
    <w:rsid w:val="00410BEB"/>
    <w:pPr>
      <w:spacing w:before="2000"/>
    </w:pPr>
  </w:style>
  <w:style w:type="paragraph" w:customStyle="1" w:styleId="SubheadGrey12">
    <w:name w:val="Subhead Grey 12"/>
    <w:basedOn w:val="SubheadBlue12"/>
    <w:link w:val="SubheadGrey12Char"/>
    <w:qFormat/>
    <w:rsid w:val="00994108"/>
    <w:pPr>
      <w:tabs>
        <w:tab w:val="left" w:pos="227"/>
      </w:tabs>
    </w:pPr>
    <w:rPr>
      <w:color w:val="33393A"/>
    </w:rPr>
  </w:style>
  <w:style w:type="paragraph" w:styleId="NoSpacing">
    <w:name w:val="No Spacing"/>
    <w:link w:val="NoSpacingChar"/>
    <w:uiPriority w:val="1"/>
    <w:qFormat/>
    <w:rsid w:val="00292AE1"/>
    <w:pPr>
      <w:spacing w:after="0"/>
    </w:pPr>
    <w:rPr>
      <w:lang w:val="en-GB"/>
    </w:rPr>
  </w:style>
  <w:style w:type="paragraph" w:styleId="TOC3">
    <w:name w:val="toc 3"/>
    <w:basedOn w:val="Normal"/>
    <w:next w:val="Normal"/>
    <w:autoRedefine/>
    <w:uiPriority w:val="39"/>
    <w:locked/>
    <w:rsid w:val="000365DF"/>
    <w:pPr>
      <w:tabs>
        <w:tab w:val="left" w:pos="1985"/>
        <w:tab w:val="right" w:pos="9072"/>
      </w:tabs>
      <w:spacing w:line="240" w:lineRule="atLeast"/>
      <w:ind w:left="1418"/>
    </w:pPr>
  </w:style>
  <w:style w:type="paragraph" w:styleId="TOC1">
    <w:name w:val="toc 1"/>
    <w:basedOn w:val="Normal"/>
    <w:next w:val="Normal"/>
    <w:link w:val="TOC1Char"/>
    <w:uiPriority w:val="39"/>
    <w:rsid w:val="00292AE1"/>
    <w:pPr>
      <w:tabs>
        <w:tab w:val="left" w:pos="794"/>
        <w:tab w:val="right" w:pos="9072"/>
      </w:tabs>
      <w:spacing w:before="240" w:line="240" w:lineRule="exact"/>
    </w:pPr>
    <w:rPr>
      <w:b/>
      <w:bCs/>
      <w:caps/>
      <w:noProof/>
    </w:rPr>
  </w:style>
  <w:style w:type="character" w:customStyle="1" w:styleId="TOC1Char">
    <w:name w:val="TOC 1 Char"/>
    <w:basedOn w:val="DefaultParagraphFont"/>
    <w:link w:val="TOC1"/>
    <w:uiPriority w:val="39"/>
    <w:rsid w:val="00292AE1"/>
    <w:rPr>
      <w:b/>
      <w:bCs/>
      <w:caps/>
      <w:noProof/>
      <w:lang w:val="en-GB"/>
    </w:rPr>
  </w:style>
  <w:style w:type="paragraph" w:styleId="TOC2">
    <w:name w:val="toc 2"/>
    <w:basedOn w:val="Normal"/>
    <w:next w:val="Normal"/>
    <w:autoRedefine/>
    <w:uiPriority w:val="39"/>
    <w:rsid w:val="000365DF"/>
    <w:pPr>
      <w:tabs>
        <w:tab w:val="left" w:pos="1418"/>
        <w:tab w:val="right" w:pos="9072"/>
      </w:tabs>
      <w:spacing w:before="120" w:line="240" w:lineRule="atLeast"/>
      <w:ind w:left="794"/>
      <w:contextualSpacing/>
    </w:pPr>
    <w:rPr>
      <w:bCs/>
    </w:rPr>
  </w:style>
  <w:style w:type="paragraph" w:styleId="TOC4">
    <w:name w:val="toc 4"/>
    <w:basedOn w:val="Normal"/>
    <w:next w:val="Normal"/>
    <w:autoRedefine/>
    <w:uiPriority w:val="39"/>
    <w:locked/>
    <w:rsid w:val="00ED59EA"/>
    <w:pPr>
      <w:ind w:left="720"/>
    </w:pPr>
  </w:style>
  <w:style w:type="paragraph" w:styleId="TOC5">
    <w:name w:val="toc 5"/>
    <w:basedOn w:val="Normal"/>
    <w:next w:val="Normal"/>
    <w:autoRedefine/>
    <w:uiPriority w:val="39"/>
    <w:locked/>
    <w:rsid w:val="00ED59EA"/>
    <w:pPr>
      <w:ind w:left="960"/>
    </w:pPr>
  </w:style>
  <w:style w:type="paragraph" w:styleId="TOC6">
    <w:name w:val="toc 6"/>
    <w:basedOn w:val="Normal"/>
    <w:next w:val="Normal"/>
    <w:autoRedefine/>
    <w:uiPriority w:val="39"/>
    <w:locked/>
    <w:rsid w:val="00ED59EA"/>
    <w:pPr>
      <w:ind w:left="1200"/>
    </w:pPr>
  </w:style>
  <w:style w:type="paragraph" w:styleId="TOC7">
    <w:name w:val="toc 7"/>
    <w:basedOn w:val="Normal"/>
    <w:next w:val="Normal"/>
    <w:autoRedefine/>
    <w:uiPriority w:val="39"/>
    <w:locked/>
    <w:rsid w:val="00ED59EA"/>
    <w:pPr>
      <w:ind w:left="1440"/>
    </w:pPr>
  </w:style>
  <w:style w:type="paragraph" w:styleId="TOC8">
    <w:name w:val="toc 8"/>
    <w:basedOn w:val="Normal"/>
    <w:next w:val="Normal"/>
    <w:autoRedefine/>
    <w:uiPriority w:val="39"/>
    <w:locked/>
    <w:rsid w:val="00ED59EA"/>
    <w:pPr>
      <w:ind w:left="1680"/>
    </w:pPr>
  </w:style>
  <w:style w:type="paragraph" w:styleId="TOC9">
    <w:name w:val="toc 9"/>
    <w:basedOn w:val="Normal"/>
    <w:next w:val="Normal"/>
    <w:autoRedefine/>
    <w:uiPriority w:val="39"/>
    <w:locked/>
    <w:rsid w:val="00ED59EA"/>
    <w:pPr>
      <w:ind w:left="1920"/>
    </w:pPr>
  </w:style>
  <w:style w:type="paragraph" w:customStyle="1" w:styleId="Text">
    <w:name w:val="Text"/>
    <w:basedOn w:val="NoParagraphStyle"/>
    <w:autoRedefine/>
    <w:uiPriority w:val="99"/>
    <w:locked/>
    <w:rsid w:val="007F5501"/>
    <w:pPr>
      <w:tabs>
        <w:tab w:val="left" w:pos="170"/>
      </w:tabs>
      <w:suppressAutoHyphens/>
      <w:spacing w:line="240" w:lineRule="atLeast"/>
    </w:pPr>
    <w:rPr>
      <w:rFonts w:cs="Arial"/>
      <w:b/>
      <w:color w:val="FFFFFF" w:themeColor="background1"/>
    </w:rPr>
  </w:style>
  <w:style w:type="paragraph" w:customStyle="1" w:styleId="Bodytextwithindent">
    <w:name w:val="Body text with indent"/>
    <w:basedOn w:val="BodyText1"/>
    <w:next w:val="Normal"/>
    <w:link w:val="BodytextwithindentChar"/>
    <w:qFormat/>
    <w:rsid w:val="00D217A7"/>
    <w:pPr>
      <w:spacing w:before="120" w:after="240"/>
      <w:ind w:left="794"/>
    </w:pPr>
  </w:style>
  <w:style w:type="paragraph" w:styleId="ListParagraph">
    <w:name w:val="List Paragraph"/>
    <w:basedOn w:val="Normal"/>
    <w:link w:val="ListParagraphChar"/>
    <w:uiPriority w:val="34"/>
    <w:qFormat/>
    <w:locked/>
    <w:rsid w:val="00A54ECA"/>
    <w:pPr>
      <w:numPr>
        <w:numId w:val="19"/>
      </w:numPr>
      <w:contextualSpacing/>
    </w:pPr>
    <w:rPr>
      <w:sz w:val="24"/>
      <w:szCs w:val="24"/>
    </w:rPr>
  </w:style>
  <w:style w:type="character" w:styleId="LineNumber">
    <w:name w:val="line number"/>
    <w:basedOn w:val="DefaultParagraphFont"/>
    <w:uiPriority w:val="99"/>
    <w:locked/>
    <w:rsid w:val="00FC2FF2"/>
    <w:rPr>
      <w:rFonts w:ascii="Arial" w:hAnsi="Arial"/>
      <w:b w:val="0"/>
      <w:bCs w:val="0"/>
      <w:i w:val="0"/>
      <w:iCs w:val="0"/>
      <w:caps w:val="0"/>
      <w:smallCaps w:val="0"/>
      <w:strike w:val="0"/>
      <w:dstrike w:val="0"/>
      <w:vanish w:val="0"/>
      <w:color w:val="595959" w:themeColor="text1" w:themeTint="A6"/>
      <w:sz w:val="16"/>
      <w:szCs w:val="16"/>
      <w:u w:val="none"/>
      <w:vertAlign w:val="baseline"/>
    </w:rPr>
  </w:style>
  <w:style w:type="paragraph" w:customStyle="1" w:styleId="Referencetext8pt">
    <w:name w:val="Reference text 8pt"/>
    <w:basedOn w:val="BodyText1"/>
    <w:next w:val="BodyText1"/>
    <w:qFormat/>
    <w:rsid w:val="00292AE1"/>
    <w:pPr>
      <w:spacing w:line="220" w:lineRule="exact"/>
    </w:pPr>
    <w:rPr>
      <w:rFonts w:cs="ArialMT"/>
      <w:sz w:val="16"/>
    </w:rPr>
  </w:style>
  <w:style w:type="paragraph" w:customStyle="1" w:styleId="FigureHeading">
    <w:name w:val="Figure Heading"/>
    <w:basedOn w:val="Headingbold"/>
    <w:next w:val="Bodytextwithindent"/>
    <w:qFormat/>
    <w:rsid w:val="00C342B8"/>
    <w:pPr>
      <w:keepNext/>
      <w:numPr>
        <w:numId w:val="1"/>
      </w:numPr>
      <w:tabs>
        <w:tab w:val="clear" w:pos="1021"/>
        <w:tab w:val="left" w:pos="794"/>
        <w:tab w:val="left" w:pos="1843"/>
      </w:tabs>
      <w:spacing w:line="240" w:lineRule="atLeast"/>
      <w:ind w:left="1843" w:hanging="1049"/>
      <w:outlineLvl w:val="0"/>
    </w:pPr>
    <w:rPr>
      <w:rFonts w:asciiTheme="minorHAnsi" w:hAnsiTheme="minorHAnsi" w:cstheme="minorHAnsi"/>
      <w:szCs w:val="32"/>
    </w:rPr>
  </w:style>
  <w:style w:type="paragraph" w:customStyle="1" w:styleId="Tableheading">
    <w:name w:val="Table heading"/>
    <w:basedOn w:val="FigureHeading"/>
    <w:next w:val="Bodytextwithindent"/>
    <w:qFormat/>
    <w:rsid w:val="00A54ECA"/>
    <w:pPr>
      <w:numPr>
        <w:numId w:val="34"/>
      </w:numPr>
      <w:ind w:hanging="76"/>
    </w:pPr>
    <w:rPr>
      <w:bCs w:val="0"/>
    </w:rPr>
  </w:style>
  <w:style w:type="paragraph" w:styleId="TableofFigures">
    <w:name w:val="table of figures"/>
    <w:basedOn w:val="Normal"/>
    <w:next w:val="Normal"/>
    <w:uiPriority w:val="99"/>
    <w:locked/>
    <w:rsid w:val="00D638BC"/>
    <w:pPr>
      <w:tabs>
        <w:tab w:val="left" w:pos="1021"/>
        <w:tab w:val="left" w:pos="8222"/>
      </w:tabs>
      <w:spacing w:after="240" w:line="240" w:lineRule="exact"/>
    </w:pPr>
    <w:rPr>
      <w:b/>
    </w:rPr>
  </w:style>
  <w:style w:type="paragraph" w:customStyle="1" w:styleId="11Bodytext">
    <w:name w:val="1.1 Body text"/>
    <w:basedOn w:val="Normal"/>
    <w:link w:val="11BodytextChar"/>
    <w:qFormat/>
    <w:rsid w:val="00ED1C06"/>
    <w:pPr>
      <w:numPr>
        <w:ilvl w:val="1"/>
        <w:numId w:val="2"/>
      </w:numPr>
      <w:spacing w:before="240" w:after="120" w:line="360" w:lineRule="auto"/>
      <w:jc w:val="both"/>
    </w:pPr>
    <w:rPr>
      <w:rFonts w:asciiTheme="minorHAnsi" w:hAnsiTheme="minorHAnsi" w:cstheme="minorHAnsi"/>
      <w:bCs/>
      <w:sz w:val="24"/>
      <w:szCs w:val="24"/>
    </w:rPr>
  </w:style>
  <w:style w:type="character" w:customStyle="1" w:styleId="11BodytextChar">
    <w:name w:val="1.1 Body text Char"/>
    <w:basedOn w:val="DefaultParagraphFont"/>
    <w:link w:val="11Bodytext"/>
    <w:rsid w:val="00ED1C06"/>
    <w:rPr>
      <w:rFonts w:asciiTheme="minorHAnsi" w:hAnsiTheme="minorHAnsi" w:cstheme="minorHAnsi"/>
      <w:bCs/>
      <w:sz w:val="24"/>
      <w:szCs w:val="24"/>
      <w:lang w:val="en-GB"/>
    </w:rPr>
  </w:style>
  <w:style w:type="paragraph" w:customStyle="1" w:styleId="111Bodytext">
    <w:name w:val="1.1.1 Body text"/>
    <w:basedOn w:val="11Bodytext"/>
    <w:qFormat/>
    <w:rsid w:val="009D1148"/>
    <w:pPr>
      <w:numPr>
        <w:ilvl w:val="3"/>
      </w:numPr>
      <w:spacing w:after="0"/>
    </w:pPr>
    <w:rPr>
      <w:bCs w:val="0"/>
    </w:rPr>
  </w:style>
  <w:style w:type="paragraph" w:customStyle="1" w:styleId="Subheadingbold">
    <w:name w:val="Subheading bold"/>
    <w:basedOn w:val="Headingbold"/>
    <w:qFormat/>
    <w:rsid w:val="00901C92"/>
    <w:pPr>
      <w:tabs>
        <w:tab w:val="clear" w:pos="1021"/>
        <w:tab w:val="left" w:pos="794"/>
      </w:tabs>
      <w:spacing w:before="240" w:after="120" w:line="360" w:lineRule="auto"/>
      <w:ind w:left="1588" w:hanging="794"/>
    </w:pPr>
    <w:rPr>
      <w:szCs w:val="32"/>
    </w:rPr>
  </w:style>
  <w:style w:type="paragraph" w:styleId="TOCHeading">
    <w:name w:val="TOC Heading"/>
    <w:basedOn w:val="Heading1"/>
    <w:next w:val="Normal"/>
    <w:uiPriority w:val="39"/>
    <w:semiHidden/>
    <w:unhideWhenUsed/>
    <w:qFormat/>
    <w:locked/>
    <w:rsid w:val="00BF481C"/>
    <w:pPr>
      <w:spacing w:line="276" w:lineRule="auto"/>
      <w:outlineLvl w:val="9"/>
    </w:pPr>
  </w:style>
  <w:style w:type="character" w:styleId="Hyperlink">
    <w:name w:val="Hyperlink"/>
    <w:basedOn w:val="DefaultParagraphFont"/>
    <w:uiPriority w:val="99"/>
    <w:unhideWhenUsed/>
    <w:locked/>
    <w:rsid w:val="009A15B2"/>
    <w:rPr>
      <w:color w:val="4CAAE4" w:themeColor="hyperlink"/>
      <w:u w:val="single"/>
    </w:rPr>
  </w:style>
  <w:style w:type="paragraph" w:customStyle="1" w:styleId="1Bodytext">
    <w:name w:val="1 Body text"/>
    <w:basedOn w:val="Headingbold"/>
    <w:qFormat/>
    <w:rsid w:val="00433F44"/>
    <w:pPr>
      <w:numPr>
        <w:numId w:val="2"/>
      </w:numPr>
      <w:tabs>
        <w:tab w:val="clear" w:pos="1021"/>
      </w:tabs>
      <w:spacing w:before="240" w:line="240" w:lineRule="atLeast"/>
    </w:pPr>
    <w:rPr>
      <w:caps/>
      <w:szCs w:val="20"/>
    </w:rPr>
  </w:style>
  <w:style w:type="paragraph" w:customStyle="1" w:styleId="Quotetext">
    <w:name w:val="Quote text"/>
    <w:basedOn w:val="Bodytextwithindent"/>
    <w:qFormat/>
    <w:rsid w:val="00A54ECA"/>
    <w:pPr>
      <w:spacing w:line="240" w:lineRule="atLeast"/>
      <w:ind w:left="1077" w:right="284"/>
    </w:pPr>
    <w:rPr>
      <w:i/>
      <w:iCs/>
      <w:sz w:val="24"/>
      <w:szCs w:val="24"/>
      <w:shd w:val="clear" w:color="auto" w:fill="FFFFFF"/>
    </w:rPr>
  </w:style>
  <w:style w:type="paragraph" w:customStyle="1" w:styleId="Bulletblackplain">
    <w:name w:val="Bullet black plain"/>
    <w:basedOn w:val="BodyText1"/>
    <w:link w:val="BulletblackplainChar"/>
    <w:qFormat/>
    <w:rsid w:val="00901C92"/>
    <w:pPr>
      <w:numPr>
        <w:numId w:val="4"/>
      </w:numPr>
      <w:spacing w:before="60" w:after="60" w:line="240" w:lineRule="atLeast"/>
      <w:ind w:left="1078" w:hanging="284"/>
    </w:pPr>
    <w:rPr>
      <w:sz w:val="24"/>
      <w:szCs w:val="24"/>
    </w:rPr>
  </w:style>
  <w:style w:type="character" w:customStyle="1" w:styleId="BulletblackplainChar">
    <w:name w:val="Bullet black plain Char"/>
    <w:basedOn w:val="BodytextChar"/>
    <w:link w:val="Bulletblackplain"/>
    <w:rsid w:val="00901C92"/>
    <w:rPr>
      <w:sz w:val="24"/>
      <w:szCs w:val="24"/>
      <w:lang w:val="en-GB"/>
    </w:rPr>
  </w:style>
  <w:style w:type="paragraph" w:customStyle="1" w:styleId="Addressline1">
    <w:name w:val="Address line 1"/>
    <w:basedOn w:val="12Subheadbluecoverpage"/>
    <w:qFormat/>
    <w:rsid w:val="00B242EB"/>
    <w:pPr>
      <w:ind w:firstLine="794"/>
      <w:jc w:val="left"/>
    </w:pPr>
  </w:style>
  <w:style w:type="paragraph" w:customStyle="1" w:styleId="NameofClient">
    <w:name w:val="Name of Client"/>
    <w:basedOn w:val="12Subheadbluecoverpage"/>
    <w:qFormat/>
    <w:rsid w:val="00573A69"/>
    <w:pPr>
      <w:jc w:val="left"/>
    </w:pPr>
    <w:rPr>
      <w:b w:val="0"/>
    </w:rPr>
  </w:style>
  <w:style w:type="paragraph" w:customStyle="1" w:styleId="Postcode">
    <w:name w:val="Postcode"/>
    <w:basedOn w:val="SubheadBlue12"/>
    <w:qFormat/>
    <w:rsid w:val="00573A69"/>
    <w:pPr>
      <w:ind w:left="0"/>
      <w:jc w:val="left"/>
    </w:pPr>
  </w:style>
  <w:style w:type="paragraph" w:customStyle="1" w:styleId="Dateofreport">
    <w:name w:val="Date of report"/>
    <w:basedOn w:val="SubheadBlue12"/>
    <w:qFormat/>
    <w:rsid w:val="00F276CF"/>
    <w:pPr>
      <w:ind w:left="0" w:firstLine="794"/>
      <w:jc w:val="left"/>
    </w:pPr>
  </w:style>
  <w:style w:type="paragraph" w:customStyle="1" w:styleId="Footerlandscape">
    <w:name w:val="Footer landscape"/>
    <w:basedOn w:val="Normal"/>
    <w:qFormat/>
    <w:rsid w:val="00D217A7"/>
    <w:pPr>
      <w:framePr w:w="14572" w:h="748" w:hRule="exact" w:wrap="around" w:vAnchor="page" w:hAnchor="page" w:x="1379" w:y="10723"/>
      <w:tabs>
        <w:tab w:val="right" w:pos="14572"/>
      </w:tabs>
      <w:spacing w:line="200" w:lineRule="exact"/>
    </w:pPr>
    <w:rPr>
      <w:sz w:val="16"/>
    </w:rPr>
  </w:style>
  <w:style w:type="paragraph" w:customStyle="1" w:styleId="FooterPortrait">
    <w:name w:val="Footer Portrait"/>
    <w:basedOn w:val="Normal"/>
    <w:qFormat/>
    <w:rsid w:val="00D217A7"/>
    <w:pPr>
      <w:framePr w:w="9639" w:h="748" w:hRule="exact" w:wrap="around" w:vAnchor="page" w:hAnchor="page" w:x="1379" w:y="15656"/>
      <w:tabs>
        <w:tab w:val="right" w:pos="9639"/>
      </w:tabs>
      <w:spacing w:line="200" w:lineRule="exact"/>
    </w:pPr>
    <w:rPr>
      <w:sz w:val="16"/>
    </w:rPr>
  </w:style>
  <w:style w:type="character" w:customStyle="1" w:styleId="Filelocation6pt">
    <w:name w:val="File location 6pt"/>
    <w:basedOn w:val="DefaultParagraphFont"/>
    <w:uiPriority w:val="1"/>
    <w:qFormat/>
    <w:rsid w:val="00E15CE9"/>
    <w:rPr>
      <w:rFonts w:ascii="Arial" w:hAnsi="Arial"/>
      <w:b w:val="0"/>
      <w:i w:val="0"/>
      <w:sz w:val="12"/>
    </w:rPr>
  </w:style>
  <w:style w:type="paragraph" w:customStyle="1" w:styleId="Bulletblueplain">
    <w:name w:val="Bullet blue plain"/>
    <w:basedOn w:val="Bulletblackplain"/>
    <w:link w:val="BulletblueplainChar"/>
    <w:qFormat/>
    <w:rsid w:val="00901C92"/>
    <w:pPr>
      <w:numPr>
        <w:numId w:val="3"/>
      </w:numPr>
    </w:pPr>
    <w:rPr>
      <w:szCs w:val="22"/>
    </w:rPr>
  </w:style>
  <w:style w:type="character" w:customStyle="1" w:styleId="BulletblueplainChar">
    <w:name w:val="Bullet blue plain Char"/>
    <w:basedOn w:val="BulletblackplainChar"/>
    <w:link w:val="Bulletblueplain"/>
    <w:rsid w:val="00901C92"/>
    <w:rPr>
      <w:sz w:val="24"/>
      <w:szCs w:val="22"/>
      <w:lang w:val="en-GB"/>
    </w:rPr>
  </w:style>
  <w:style w:type="paragraph" w:customStyle="1" w:styleId="TableBodytext">
    <w:name w:val="Table Body text"/>
    <w:basedOn w:val="Normal"/>
    <w:link w:val="TableBodytextChar"/>
    <w:qFormat/>
    <w:rsid w:val="00292AE1"/>
    <w:pPr>
      <w:spacing w:before="60" w:after="60" w:line="240" w:lineRule="atLeast"/>
    </w:pPr>
    <w:rPr>
      <w:sz w:val="18"/>
      <w:szCs w:val="18"/>
    </w:rPr>
  </w:style>
  <w:style w:type="character" w:customStyle="1" w:styleId="TableBodytextChar">
    <w:name w:val="Table Body text Char"/>
    <w:basedOn w:val="DefaultParagraphFont"/>
    <w:link w:val="TableBodytext"/>
    <w:rsid w:val="00292AE1"/>
    <w:rPr>
      <w:sz w:val="18"/>
      <w:szCs w:val="18"/>
      <w:lang w:val="en-GB"/>
    </w:rPr>
  </w:style>
  <w:style w:type="table" w:customStyle="1" w:styleId="GLHearntable2">
    <w:name w:val="GL Hearn table 2"/>
    <w:basedOn w:val="GLHearntable1"/>
    <w:uiPriority w:val="99"/>
    <w:rsid w:val="0017356C"/>
    <w:tblPr>
      <w:tblBorders>
        <w:top w:val="single" w:sz="2" w:space="0" w:color="1C1C1C"/>
        <w:left w:val="single" w:sz="2" w:space="0" w:color="1C1C1C"/>
        <w:bottom w:val="single" w:sz="2" w:space="0" w:color="1C1C1C"/>
        <w:right w:val="single" w:sz="2" w:space="0" w:color="1C1C1C"/>
        <w:insideH w:val="single" w:sz="2" w:space="0" w:color="1C1C1C"/>
        <w:insideV w:val="single" w:sz="2" w:space="0" w:color="1C1C1C"/>
      </w:tblBorders>
    </w:tblPr>
    <w:tcPr>
      <w:shd w:val="clear" w:color="auto" w:fill="auto"/>
    </w:tcPr>
    <w:tblStylePr w:type="firstRow">
      <w:pPr>
        <w:jc w:val="left"/>
      </w:pPr>
      <w:rPr>
        <w:rFonts w:ascii="Arial" w:hAnsi="Arial"/>
        <w:b/>
        <w:color w:val="FFFFFF" w:themeColor="background1"/>
        <w:sz w:val="20"/>
        <w:u w:val="none"/>
      </w:rPr>
      <w:tblPr/>
      <w:tcPr>
        <w:shd w:val="clear" w:color="auto" w:fill="4D4D4D"/>
        <w:vAlign w:val="center"/>
      </w:tcPr>
    </w:tblStylePr>
    <w:tblStylePr w:type="lastRow">
      <w:rPr>
        <w:rFonts w:ascii="Arial" w:hAnsi="Arial"/>
        <w:b/>
        <w:sz w:val="18"/>
      </w:rPr>
      <w:tblPr/>
      <w:tcPr>
        <w:shd w:val="clear" w:color="auto" w:fill="B2B2B2"/>
      </w:tcPr>
    </w:tblStylePr>
    <w:tblStylePr w:type="firstCol">
      <w:rPr>
        <w:rFonts w:ascii="Arial" w:hAnsi="Arial"/>
        <w:b/>
        <w:i w:val="0"/>
        <w:color w:val="000000" w:themeColor="text1"/>
        <w:sz w:val="18"/>
      </w:rPr>
    </w:tblStylePr>
    <w:tblStylePr w:type="band2Horz">
      <w:tblPr/>
      <w:tcPr>
        <w:shd w:val="clear" w:color="auto" w:fill="E0E0E0" w:themeFill="text2" w:themeFillTint="66"/>
      </w:tcPr>
    </w:tblStylePr>
  </w:style>
  <w:style w:type="paragraph" w:customStyle="1" w:styleId="Pa0">
    <w:name w:val="Pa0"/>
    <w:basedOn w:val="Normal"/>
    <w:next w:val="Normal"/>
    <w:uiPriority w:val="99"/>
    <w:semiHidden/>
    <w:rsid w:val="007B66AD"/>
    <w:pPr>
      <w:widowControl w:val="0"/>
      <w:autoSpaceDE w:val="0"/>
      <w:autoSpaceDN w:val="0"/>
      <w:adjustRightInd w:val="0"/>
      <w:spacing w:line="241" w:lineRule="atLeast"/>
    </w:pPr>
    <w:rPr>
      <w:rFonts w:cs="Times New Roman"/>
      <w:sz w:val="24"/>
      <w:szCs w:val="24"/>
    </w:rPr>
  </w:style>
  <w:style w:type="paragraph" w:customStyle="1" w:styleId="Pa2">
    <w:name w:val="Pa2"/>
    <w:basedOn w:val="Normal"/>
    <w:next w:val="Normal"/>
    <w:uiPriority w:val="99"/>
    <w:semiHidden/>
    <w:rsid w:val="007B66AD"/>
    <w:pPr>
      <w:widowControl w:val="0"/>
      <w:autoSpaceDE w:val="0"/>
      <w:autoSpaceDN w:val="0"/>
      <w:adjustRightInd w:val="0"/>
      <w:spacing w:line="181" w:lineRule="atLeast"/>
    </w:pPr>
    <w:rPr>
      <w:rFonts w:cs="Times New Roman"/>
      <w:sz w:val="24"/>
      <w:szCs w:val="24"/>
    </w:rPr>
  </w:style>
  <w:style w:type="character" w:customStyle="1" w:styleId="A4">
    <w:name w:val="A4"/>
    <w:uiPriority w:val="99"/>
    <w:semiHidden/>
    <w:unhideWhenUsed/>
    <w:rsid w:val="007B66AD"/>
    <w:rPr>
      <w:rFonts w:cs="Arial"/>
      <w:b/>
      <w:bCs/>
      <w:color w:val="221E1F"/>
      <w:sz w:val="20"/>
      <w:szCs w:val="20"/>
    </w:rPr>
  </w:style>
  <w:style w:type="paragraph" w:customStyle="1" w:styleId="Pa3">
    <w:name w:val="Pa3"/>
    <w:basedOn w:val="Normal"/>
    <w:next w:val="Normal"/>
    <w:uiPriority w:val="99"/>
    <w:semiHidden/>
    <w:rsid w:val="007B66AD"/>
    <w:pPr>
      <w:widowControl w:val="0"/>
      <w:autoSpaceDE w:val="0"/>
      <w:autoSpaceDN w:val="0"/>
      <w:adjustRightInd w:val="0"/>
      <w:spacing w:line="201" w:lineRule="atLeast"/>
    </w:pPr>
    <w:rPr>
      <w:rFonts w:cs="Times New Roman"/>
      <w:sz w:val="24"/>
      <w:szCs w:val="24"/>
    </w:rPr>
  </w:style>
  <w:style w:type="paragraph" w:customStyle="1" w:styleId="NameofDevelopment">
    <w:name w:val="Name of Development"/>
    <w:basedOn w:val="NameofClient"/>
    <w:qFormat/>
    <w:rsid w:val="00B242EB"/>
    <w:pPr>
      <w:ind w:firstLine="794"/>
    </w:pPr>
    <w:rPr>
      <w:b/>
    </w:rPr>
  </w:style>
  <w:style w:type="paragraph" w:customStyle="1" w:styleId="Appendices">
    <w:name w:val="Appendices"/>
    <w:qFormat/>
    <w:rsid w:val="00990254"/>
    <w:pPr>
      <w:numPr>
        <w:numId w:val="8"/>
      </w:numPr>
      <w:jc w:val="both"/>
    </w:pPr>
    <w:rPr>
      <w:szCs w:val="24"/>
      <w:lang w:val="en-GB"/>
    </w:rPr>
  </w:style>
  <w:style w:type="character" w:styleId="PlaceholderText">
    <w:name w:val="Placeholder Text"/>
    <w:basedOn w:val="DefaultParagraphFont"/>
    <w:uiPriority w:val="99"/>
    <w:semiHidden/>
    <w:locked/>
    <w:rsid w:val="003851CD"/>
    <w:rPr>
      <w:color w:val="808080"/>
    </w:rPr>
  </w:style>
  <w:style w:type="paragraph" w:customStyle="1" w:styleId="12SubheadGreyCoverpage">
    <w:name w:val="12 Subhead Grey (Cover page)"/>
    <w:basedOn w:val="SubheadGrey12"/>
    <w:link w:val="12SubheadGreyCoverpageChar"/>
    <w:rsid w:val="00D217A7"/>
    <w:pPr>
      <w:spacing w:line="300" w:lineRule="exact"/>
      <w:ind w:left="0"/>
    </w:pPr>
  </w:style>
  <w:style w:type="paragraph" w:customStyle="1" w:styleId="Listinga-i">
    <w:name w:val="Listing a-i"/>
    <w:basedOn w:val="Bodytextwithindent"/>
    <w:link w:val="Listinga-iChar"/>
    <w:qFormat/>
    <w:rsid w:val="00292AE1"/>
    <w:pPr>
      <w:numPr>
        <w:numId w:val="5"/>
      </w:numPr>
      <w:spacing w:before="60" w:after="60"/>
      <w:ind w:left="1078" w:hanging="284"/>
    </w:pPr>
  </w:style>
  <w:style w:type="character" w:customStyle="1" w:styleId="BodytextwithindentChar">
    <w:name w:val="Body text with indent Char"/>
    <w:basedOn w:val="BodytextChar"/>
    <w:link w:val="Bodytextwithindent"/>
    <w:rsid w:val="00D217A7"/>
    <w:rPr>
      <w:szCs w:val="18"/>
      <w:lang w:val="en-GB"/>
    </w:rPr>
  </w:style>
  <w:style w:type="character" w:customStyle="1" w:styleId="Listinga-iChar">
    <w:name w:val="Listing a-i Char"/>
    <w:basedOn w:val="BodytextwithindentChar"/>
    <w:link w:val="Listinga-i"/>
    <w:rsid w:val="00292AE1"/>
    <w:rPr>
      <w:szCs w:val="18"/>
      <w:lang w:val="en-GB"/>
    </w:rPr>
  </w:style>
  <w:style w:type="paragraph" w:customStyle="1" w:styleId="QuoteBulletBlack">
    <w:name w:val="Quote Bullet Black"/>
    <w:basedOn w:val="Bulletblackplain"/>
    <w:link w:val="QuoteBulletBlackChar"/>
    <w:qFormat/>
    <w:rsid w:val="00E515B4"/>
    <w:rPr>
      <w:i/>
    </w:rPr>
  </w:style>
  <w:style w:type="paragraph" w:customStyle="1" w:styleId="Quotelistinga">
    <w:name w:val="Quote listing (a)"/>
    <w:link w:val="QuotelistingaChar"/>
    <w:qFormat/>
    <w:rsid w:val="00E515B4"/>
    <w:pPr>
      <w:numPr>
        <w:numId w:val="7"/>
      </w:numPr>
      <w:spacing w:before="60" w:after="60" w:line="240" w:lineRule="atLeast"/>
    </w:pPr>
    <w:rPr>
      <w:i/>
      <w:szCs w:val="18"/>
      <w:lang w:val="en-GB"/>
    </w:rPr>
  </w:style>
  <w:style w:type="character" w:customStyle="1" w:styleId="QuoteBulletBlackChar">
    <w:name w:val="Quote Bullet Black Char"/>
    <w:basedOn w:val="BulletblackplainChar"/>
    <w:link w:val="QuoteBulletBlack"/>
    <w:rsid w:val="00E515B4"/>
    <w:rPr>
      <w:i/>
      <w:sz w:val="24"/>
      <w:szCs w:val="24"/>
      <w:lang w:val="en-GB"/>
    </w:rPr>
  </w:style>
  <w:style w:type="paragraph" w:customStyle="1" w:styleId="Quotelistingi">
    <w:name w:val="Quote listing (i)"/>
    <w:basedOn w:val="Quotelistinga"/>
    <w:link w:val="QuotelistingiChar"/>
    <w:qFormat/>
    <w:rsid w:val="001F2DD9"/>
    <w:pPr>
      <w:numPr>
        <w:ilvl w:val="1"/>
      </w:numPr>
    </w:pPr>
  </w:style>
  <w:style w:type="character" w:customStyle="1" w:styleId="QuotelistingaChar">
    <w:name w:val="Quote listing (a) Char"/>
    <w:basedOn w:val="Listinga-iChar"/>
    <w:link w:val="Quotelistinga"/>
    <w:rsid w:val="00E515B4"/>
    <w:rPr>
      <w:i/>
      <w:szCs w:val="18"/>
      <w:lang w:val="en-GB"/>
    </w:rPr>
  </w:style>
  <w:style w:type="paragraph" w:customStyle="1" w:styleId="12Subheadbluecoverpage">
    <w:name w:val="12 Subhead blue (cover page)"/>
    <w:basedOn w:val="SubheadBlue12"/>
    <w:link w:val="12SubheadbluecoverpageChar"/>
    <w:rsid w:val="00FA67AA"/>
    <w:pPr>
      <w:ind w:left="0"/>
    </w:pPr>
  </w:style>
  <w:style w:type="character" w:customStyle="1" w:styleId="QuotelistingiChar">
    <w:name w:val="Quote listing (i) Char"/>
    <w:basedOn w:val="QuotelistingaChar"/>
    <w:link w:val="Quotelistingi"/>
    <w:rsid w:val="001F2DD9"/>
    <w:rPr>
      <w:i/>
      <w:szCs w:val="18"/>
      <w:lang w:val="en-GB"/>
    </w:rPr>
  </w:style>
  <w:style w:type="character" w:customStyle="1" w:styleId="SubheadBlue12Char">
    <w:name w:val="Subhead Blue 12 Char"/>
    <w:basedOn w:val="BoldBodytextChar"/>
    <w:link w:val="SubheadBlue12"/>
    <w:rsid w:val="00A54ECA"/>
    <w:rPr>
      <w:b/>
      <w:bCs w:val="0"/>
      <w:color w:val="0093D5"/>
      <w:sz w:val="24"/>
      <w:szCs w:val="24"/>
      <w:lang w:val="en-GB"/>
    </w:rPr>
  </w:style>
  <w:style w:type="character" w:customStyle="1" w:styleId="SubheadGrey12Char">
    <w:name w:val="Subhead Grey 12 Char"/>
    <w:basedOn w:val="SubheadBlue12Char"/>
    <w:link w:val="SubheadGrey12"/>
    <w:rsid w:val="00681D04"/>
    <w:rPr>
      <w:b/>
      <w:bCs w:val="0"/>
      <w:color w:val="33393A"/>
      <w:sz w:val="24"/>
      <w:szCs w:val="24"/>
      <w:lang w:val="en-GB"/>
    </w:rPr>
  </w:style>
  <w:style w:type="character" w:customStyle="1" w:styleId="12SubheadGreyCoverpageChar">
    <w:name w:val="12 Subhead Grey (Cover page) Char"/>
    <w:basedOn w:val="SubheadGrey12Char"/>
    <w:link w:val="12SubheadGreyCoverpage"/>
    <w:rsid w:val="00D217A7"/>
    <w:rPr>
      <w:b/>
      <w:bCs w:val="0"/>
      <w:color w:val="33393A"/>
      <w:sz w:val="24"/>
      <w:szCs w:val="24"/>
      <w:lang w:val="en-GB"/>
    </w:rPr>
  </w:style>
  <w:style w:type="paragraph" w:customStyle="1" w:styleId="12SubheadGrey">
    <w:name w:val="12 Subhead Grey"/>
    <w:basedOn w:val="Normal"/>
    <w:qFormat/>
    <w:rsid w:val="005856E2"/>
    <w:pPr>
      <w:keepNext/>
      <w:tabs>
        <w:tab w:val="left" w:pos="227"/>
      </w:tabs>
      <w:spacing w:line="300" w:lineRule="exact"/>
      <w:contextualSpacing/>
    </w:pPr>
    <w:rPr>
      <w:color w:val="33393A"/>
      <w:sz w:val="24"/>
      <w:szCs w:val="24"/>
    </w:rPr>
  </w:style>
  <w:style w:type="character" w:customStyle="1" w:styleId="12SubheadbluecoverpageChar">
    <w:name w:val="12 Subhead blue (cover page) Char"/>
    <w:basedOn w:val="SubheadBlue12Char"/>
    <w:link w:val="12Subheadbluecoverpage"/>
    <w:rsid w:val="00FA67AA"/>
    <w:rPr>
      <w:b/>
      <w:bCs w:val="0"/>
      <w:color w:val="0093D5"/>
      <w:sz w:val="24"/>
      <w:szCs w:val="24"/>
      <w:lang w:val="en-GB"/>
    </w:rPr>
  </w:style>
  <w:style w:type="character" w:customStyle="1" w:styleId="ListParagraphChar">
    <w:name w:val="List Paragraph Char"/>
    <w:link w:val="ListParagraph"/>
    <w:uiPriority w:val="34"/>
    <w:locked/>
    <w:rsid w:val="00A54ECA"/>
    <w:rPr>
      <w:sz w:val="24"/>
      <w:szCs w:val="24"/>
      <w:lang w:val="en-GB"/>
    </w:rPr>
  </w:style>
  <w:style w:type="paragraph" w:styleId="FootnoteText">
    <w:name w:val="footnote text"/>
    <w:aliases w:val="Char Char,Footnote Text Char Char, Char Char Char,Char Char1,~Footnote,Harestanes Ref,RSK-FT,RSK-FT1,RSK-FT2"/>
    <w:basedOn w:val="Normal"/>
    <w:link w:val="FootnoteTextChar"/>
    <w:uiPriority w:val="99"/>
    <w:qFormat/>
    <w:locked/>
    <w:rsid w:val="00B0298E"/>
    <w:rPr>
      <w:rFonts w:ascii="Times New Roman" w:eastAsia="Times New Roman" w:hAnsi="Times New Roman" w:cs="Times New Roman"/>
      <w:color w:val="auto"/>
      <w:sz w:val="24"/>
      <w:szCs w:val="24"/>
      <w:lang w:eastAsia="en-GB"/>
    </w:rPr>
  </w:style>
  <w:style w:type="character" w:customStyle="1" w:styleId="FootnoteTextChar">
    <w:name w:val="Footnote Text Char"/>
    <w:aliases w:val="Char Char Char,Footnote Text Char Char Char, Char Char Char Char,Char Char1 Char,~Footnote Char,Harestanes Ref Char,RSK-FT Char,RSK-FT1 Char,RSK-FT2 Char"/>
    <w:basedOn w:val="DefaultParagraphFont"/>
    <w:link w:val="FootnoteText"/>
    <w:uiPriority w:val="99"/>
    <w:rsid w:val="00B0298E"/>
    <w:rPr>
      <w:rFonts w:ascii="Times New Roman" w:eastAsia="Times New Roman" w:hAnsi="Times New Roman" w:cs="Times New Roman"/>
      <w:color w:val="auto"/>
      <w:sz w:val="24"/>
      <w:szCs w:val="24"/>
      <w:lang w:val="en-GB" w:eastAsia="en-GB"/>
    </w:rPr>
  </w:style>
  <w:style w:type="character" w:styleId="FootnoteReference">
    <w:name w:val="footnote reference"/>
    <w:basedOn w:val="DefaultParagraphFont"/>
    <w:uiPriority w:val="99"/>
    <w:locked/>
    <w:rsid w:val="00B0298E"/>
    <w:rPr>
      <w:vertAlign w:val="superscript"/>
    </w:rPr>
  </w:style>
  <w:style w:type="paragraph" w:customStyle="1" w:styleId="Default">
    <w:name w:val="Default"/>
    <w:rsid w:val="00B0298E"/>
    <w:pPr>
      <w:autoSpaceDE w:val="0"/>
      <w:autoSpaceDN w:val="0"/>
      <w:adjustRightInd w:val="0"/>
      <w:spacing w:after="0"/>
    </w:pPr>
    <w:rPr>
      <w:rFonts w:ascii="Verdana" w:hAnsi="Verdana" w:cs="Verdana"/>
      <w:color w:val="000000"/>
      <w:sz w:val="24"/>
      <w:szCs w:val="24"/>
      <w:lang w:val="en-GB"/>
    </w:rPr>
  </w:style>
  <w:style w:type="paragraph" w:styleId="NormalWeb">
    <w:name w:val="Normal (Web)"/>
    <w:basedOn w:val="Normal"/>
    <w:uiPriority w:val="99"/>
    <w:unhideWhenUsed/>
    <w:locked/>
    <w:rsid w:val="00B0298E"/>
    <w:pPr>
      <w:spacing w:before="100" w:beforeAutospacing="1" w:after="100" w:afterAutospacing="1"/>
    </w:pPr>
    <w:rPr>
      <w:rFonts w:ascii="Times New Roman" w:eastAsia="Times New Roman" w:hAnsi="Times New Roman" w:cs="Times New Roman"/>
      <w:color w:val="auto"/>
      <w:sz w:val="24"/>
      <w:szCs w:val="24"/>
      <w:lang w:eastAsia="en-GB"/>
    </w:rPr>
  </w:style>
  <w:style w:type="paragraph" w:styleId="List">
    <w:name w:val="List"/>
    <w:basedOn w:val="Normal"/>
    <w:unhideWhenUsed/>
    <w:locked/>
    <w:rsid w:val="00B0298E"/>
    <w:pPr>
      <w:ind w:left="283" w:hanging="283"/>
    </w:pPr>
    <w:rPr>
      <w:rFonts w:ascii="Times New Roman" w:eastAsia="Times New Roman" w:hAnsi="Times New Roman" w:cs="Times New Roman"/>
      <w:color w:val="auto"/>
      <w:sz w:val="24"/>
      <w:szCs w:val="24"/>
      <w:lang w:eastAsia="en-GB"/>
    </w:rPr>
  </w:style>
  <w:style w:type="character" w:customStyle="1" w:styleId="ReportHeading1Char1">
    <w:name w:val="Report Heading 1 Char1"/>
    <w:link w:val="ReportHeading1"/>
    <w:locked/>
    <w:rsid w:val="00B0298E"/>
    <w:rPr>
      <w:rFonts w:ascii="Times New Roman" w:eastAsia="Times New Roman" w:hAnsi="Times New Roman" w:cs="Times New Roman"/>
      <w:b/>
      <w:kern w:val="20"/>
      <w:sz w:val="44"/>
      <w:lang w:eastAsia="en-GB"/>
    </w:rPr>
  </w:style>
  <w:style w:type="paragraph" w:customStyle="1" w:styleId="ReportHeading1">
    <w:name w:val="Report Heading 1"/>
    <w:basedOn w:val="Heading1"/>
    <w:next w:val="Normal"/>
    <w:link w:val="ReportHeading1Char1"/>
    <w:rsid w:val="00B0298E"/>
    <w:pPr>
      <w:keepNext w:val="0"/>
      <w:keepLines w:val="0"/>
      <w:pageBreakBefore/>
      <w:numPr>
        <w:numId w:val="0"/>
      </w:numPr>
      <w:spacing w:before="60" w:after="60"/>
    </w:pPr>
    <w:rPr>
      <w:rFonts w:ascii="Times New Roman" w:eastAsia="Times New Roman" w:hAnsi="Times New Roman" w:cs="Times New Roman"/>
      <w:bCs w:val="0"/>
      <w:color w:val="000000" w:themeColor="text1"/>
      <w:kern w:val="20"/>
      <w:sz w:val="44"/>
      <w:szCs w:val="20"/>
      <w:lang w:val="en-US" w:eastAsia="en-GB"/>
    </w:rPr>
  </w:style>
  <w:style w:type="paragraph" w:customStyle="1" w:styleId="ListParagraph1">
    <w:name w:val="List Paragraph1"/>
    <w:aliases w:val="F5 List Paragraph,List Paragraph11"/>
    <w:basedOn w:val="Normal"/>
    <w:qFormat/>
    <w:rsid w:val="00B0298E"/>
    <w:pPr>
      <w:ind w:left="720"/>
    </w:pPr>
    <w:rPr>
      <w:rFonts w:ascii="Times New Roman" w:eastAsia="Times New Roman" w:hAnsi="Times New Roman" w:cs="Times New Roman"/>
      <w:color w:val="auto"/>
      <w:sz w:val="24"/>
      <w:szCs w:val="24"/>
      <w:lang w:eastAsia="en-GB"/>
    </w:rPr>
  </w:style>
  <w:style w:type="paragraph" w:customStyle="1" w:styleId="03NumberedHeadings">
    <w:name w:val="03 Numbered Headings"/>
    <w:basedOn w:val="Normal"/>
    <w:next w:val="Normal"/>
    <w:link w:val="03NumberedHeadingsChar"/>
    <w:qFormat/>
    <w:rsid w:val="00B0298E"/>
    <w:pPr>
      <w:numPr>
        <w:numId w:val="9"/>
      </w:numPr>
      <w:spacing w:before="240" w:line="240" w:lineRule="exact"/>
    </w:pPr>
    <w:rPr>
      <w:rFonts w:ascii="Times New Roman" w:eastAsia="MS Mincho" w:hAnsi="Times New Roman" w:cs="Times New Roman"/>
      <w:b/>
      <w:bCs/>
      <w:caps/>
      <w:color w:val="000000"/>
      <w:sz w:val="24"/>
      <w:szCs w:val="24"/>
      <w:lang w:val="en-US" w:eastAsia="en-GB"/>
    </w:rPr>
  </w:style>
  <w:style w:type="character" w:customStyle="1" w:styleId="11BodyChar">
    <w:name w:val="1.1 Body Char"/>
    <w:link w:val="11Body"/>
    <w:locked/>
    <w:rsid w:val="00B0298E"/>
    <w:rPr>
      <w:rFonts w:eastAsia="MS Mincho" w:cs="Times New Roman"/>
      <w:bCs/>
      <w:color w:val="000000"/>
    </w:rPr>
  </w:style>
  <w:style w:type="paragraph" w:customStyle="1" w:styleId="11Body">
    <w:name w:val="1.1 Body"/>
    <w:basedOn w:val="03NumberedHeadings"/>
    <w:link w:val="11BodyChar"/>
    <w:qFormat/>
    <w:rsid w:val="00B0298E"/>
    <w:pPr>
      <w:numPr>
        <w:ilvl w:val="1"/>
      </w:numPr>
      <w:tabs>
        <w:tab w:val="clear" w:pos="1305"/>
        <w:tab w:val="num" w:pos="794"/>
        <w:tab w:val="num" w:pos="867"/>
      </w:tabs>
      <w:ind w:left="867" w:hanging="867"/>
    </w:pPr>
    <w:rPr>
      <w:rFonts w:ascii="Arial" w:hAnsi="Arial"/>
      <w:b w:val="0"/>
      <w:caps w:val="0"/>
      <w:sz w:val="20"/>
      <w:szCs w:val="20"/>
      <w:lang w:eastAsia="ja-JP"/>
    </w:rPr>
  </w:style>
  <w:style w:type="paragraph" w:customStyle="1" w:styleId="111BodyList">
    <w:name w:val="1.1.1 Body List"/>
    <w:basedOn w:val="03NumberedHeadings"/>
    <w:qFormat/>
    <w:rsid w:val="00B0298E"/>
    <w:pPr>
      <w:numPr>
        <w:ilvl w:val="2"/>
      </w:numPr>
      <w:tabs>
        <w:tab w:val="left" w:pos="1304"/>
      </w:tabs>
    </w:pPr>
    <w:rPr>
      <w:b w:val="0"/>
      <w:caps w:val="0"/>
    </w:rPr>
  </w:style>
  <w:style w:type="character" w:customStyle="1" w:styleId="ReportSourceundertableChar">
    <w:name w:val="Report Source under table Char"/>
    <w:link w:val="ReportSourceundertable0"/>
    <w:uiPriority w:val="99"/>
    <w:locked/>
    <w:rsid w:val="00B0298E"/>
    <w:rPr>
      <w:rFonts w:ascii="Arial Narrow" w:eastAsia="Times New Roman" w:hAnsi="Arial Narrow"/>
      <w:iCs/>
      <w:color w:val="000000"/>
      <w:szCs w:val="24"/>
      <w:lang w:eastAsia="en-GB"/>
    </w:rPr>
  </w:style>
  <w:style w:type="paragraph" w:customStyle="1" w:styleId="ReportSourceundertable0">
    <w:name w:val="Report Source under table"/>
    <w:basedOn w:val="Normal"/>
    <w:next w:val="Normal"/>
    <w:link w:val="ReportSourceundertableChar"/>
    <w:uiPriority w:val="99"/>
    <w:rsid w:val="00B0298E"/>
    <w:pPr>
      <w:jc w:val="center"/>
    </w:pPr>
    <w:rPr>
      <w:rFonts w:ascii="Arial Narrow" w:eastAsia="Times New Roman" w:hAnsi="Arial Narrow"/>
      <w:iCs/>
      <w:color w:val="000000"/>
      <w:szCs w:val="24"/>
      <w:lang w:val="en-US" w:eastAsia="en-GB"/>
    </w:rPr>
  </w:style>
  <w:style w:type="character" w:customStyle="1" w:styleId="captionChar">
    <w:name w:val="caption Char"/>
    <w:link w:val="Caption1"/>
    <w:uiPriority w:val="99"/>
    <w:locked/>
    <w:rsid w:val="00B0298E"/>
    <w:rPr>
      <w:rFonts w:ascii="Times New Roman" w:eastAsia="Times New Roman" w:hAnsi="Times New Roman"/>
      <w:b/>
      <w:bCs/>
      <w:sz w:val="24"/>
      <w:szCs w:val="24"/>
      <w:lang w:eastAsia="en-GB"/>
    </w:rPr>
  </w:style>
  <w:style w:type="paragraph" w:customStyle="1" w:styleId="Caption1">
    <w:name w:val="Caption1"/>
    <w:basedOn w:val="Normal"/>
    <w:next w:val="Normal"/>
    <w:link w:val="captionChar"/>
    <w:uiPriority w:val="99"/>
    <w:rsid w:val="00B0298E"/>
    <w:pPr>
      <w:keepNext/>
      <w:spacing w:before="120" w:after="120"/>
      <w:jc w:val="center"/>
    </w:pPr>
    <w:rPr>
      <w:rFonts w:ascii="Times New Roman" w:eastAsia="Times New Roman" w:hAnsi="Times New Roman"/>
      <w:b/>
      <w:bCs/>
      <w:sz w:val="24"/>
      <w:szCs w:val="24"/>
      <w:lang w:val="en-US" w:eastAsia="en-GB"/>
    </w:rPr>
  </w:style>
  <w:style w:type="paragraph" w:customStyle="1" w:styleId="Reporttext">
    <w:name w:val="Report text"/>
    <w:basedOn w:val="Normal"/>
    <w:link w:val="ReporttextCharChar"/>
    <w:rsid w:val="00B0298E"/>
    <w:pPr>
      <w:keepLines/>
      <w:numPr>
        <w:ilvl w:val="1"/>
        <w:numId w:val="10"/>
      </w:numPr>
    </w:pPr>
    <w:rPr>
      <w:rFonts w:ascii="Times New Roman" w:eastAsia="Times New Roman" w:hAnsi="Times New Roman" w:cs="Times New Roman"/>
      <w:color w:val="auto"/>
      <w:sz w:val="24"/>
      <w:szCs w:val="24"/>
      <w:lang w:eastAsia="en-GB"/>
    </w:rPr>
  </w:style>
  <w:style w:type="character" w:customStyle="1" w:styleId="ReporttextCharChar">
    <w:name w:val="Report text Char Char"/>
    <w:link w:val="Reporttext"/>
    <w:rsid w:val="00B0298E"/>
    <w:rPr>
      <w:rFonts w:ascii="Times New Roman" w:eastAsia="Times New Roman" w:hAnsi="Times New Roman" w:cs="Times New Roman"/>
      <w:color w:val="auto"/>
      <w:sz w:val="24"/>
      <w:szCs w:val="24"/>
      <w:lang w:val="en-GB" w:eastAsia="en-GB"/>
    </w:rPr>
  </w:style>
  <w:style w:type="paragraph" w:styleId="PlainText">
    <w:name w:val="Plain Text"/>
    <w:basedOn w:val="Normal"/>
    <w:link w:val="PlainTextChar1"/>
    <w:locked/>
    <w:rsid w:val="00B0298E"/>
    <w:rPr>
      <w:rFonts w:ascii="Calibri" w:eastAsia="Times New Roman" w:hAnsi="Calibri" w:cs="Times New Roman"/>
      <w:color w:val="auto"/>
      <w:sz w:val="21"/>
      <w:szCs w:val="21"/>
      <w:lang w:eastAsia="en-US"/>
    </w:rPr>
  </w:style>
  <w:style w:type="character" w:customStyle="1" w:styleId="PlainTextChar">
    <w:name w:val="Plain Text Char"/>
    <w:basedOn w:val="DefaultParagraphFont"/>
    <w:uiPriority w:val="99"/>
    <w:rsid w:val="00B0298E"/>
    <w:rPr>
      <w:rFonts w:ascii="Consolas" w:hAnsi="Consolas" w:cs="Consolas"/>
      <w:sz w:val="21"/>
      <w:szCs w:val="21"/>
      <w:lang w:val="en-GB"/>
    </w:rPr>
  </w:style>
  <w:style w:type="character" w:customStyle="1" w:styleId="PlainTextChar1">
    <w:name w:val="Plain Text Char1"/>
    <w:link w:val="PlainText"/>
    <w:locked/>
    <w:rsid w:val="00B0298E"/>
    <w:rPr>
      <w:rFonts w:ascii="Calibri" w:eastAsia="Times New Roman" w:hAnsi="Calibri" w:cs="Times New Roman"/>
      <w:color w:val="auto"/>
      <w:sz w:val="21"/>
      <w:szCs w:val="21"/>
      <w:lang w:val="en-GB" w:eastAsia="en-US"/>
    </w:rPr>
  </w:style>
  <w:style w:type="paragraph" w:customStyle="1" w:styleId="ReportHeading2">
    <w:name w:val="Report Heading 2"/>
    <w:basedOn w:val="Heading2"/>
    <w:next w:val="Normal"/>
    <w:link w:val="ReportHeading2Char"/>
    <w:uiPriority w:val="99"/>
    <w:rsid w:val="00B0298E"/>
    <w:pPr>
      <w:keepLines w:val="0"/>
      <w:numPr>
        <w:ilvl w:val="0"/>
        <w:numId w:val="0"/>
      </w:numPr>
      <w:tabs>
        <w:tab w:val="left" w:pos="0"/>
      </w:tabs>
      <w:spacing w:before="0" w:after="240"/>
    </w:pPr>
    <w:rPr>
      <w:rFonts w:ascii="Times New Roman" w:eastAsia="Times New Roman" w:hAnsi="Times New Roman" w:cs="Times New Roman"/>
      <w:bCs w:val="0"/>
      <w:color w:val="auto"/>
      <w:kern w:val="20"/>
      <w:sz w:val="24"/>
      <w:szCs w:val="20"/>
      <w:lang w:eastAsia="en-GB"/>
    </w:rPr>
  </w:style>
  <w:style w:type="character" w:customStyle="1" w:styleId="ReportHeading2Char">
    <w:name w:val="Report Heading 2 Char"/>
    <w:link w:val="ReportHeading2"/>
    <w:uiPriority w:val="99"/>
    <w:rsid w:val="00B0298E"/>
    <w:rPr>
      <w:rFonts w:ascii="Times New Roman" w:eastAsia="Times New Roman" w:hAnsi="Times New Roman" w:cs="Times New Roman"/>
      <w:b/>
      <w:color w:val="auto"/>
      <w:kern w:val="20"/>
      <w:sz w:val="24"/>
      <w:lang w:val="en-GB" w:eastAsia="en-GB"/>
    </w:rPr>
  </w:style>
  <w:style w:type="paragraph" w:customStyle="1" w:styleId="Reportsourceundertable">
    <w:name w:val="Report source under table"/>
    <w:basedOn w:val="Normal"/>
    <w:next w:val="Normal"/>
    <w:rsid w:val="00B0298E"/>
    <w:pPr>
      <w:numPr>
        <w:ilvl w:val="1"/>
        <w:numId w:val="11"/>
      </w:numPr>
      <w:tabs>
        <w:tab w:val="clear" w:pos="867"/>
      </w:tabs>
      <w:ind w:left="0" w:firstLine="0"/>
      <w:jc w:val="center"/>
    </w:pPr>
    <w:rPr>
      <w:rFonts w:ascii="Arial Narrow" w:eastAsia="Times New Roman" w:hAnsi="Arial Narrow" w:cs="Times New Roman"/>
      <w:color w:val="auto"/>
      <w:sz w:val="24"/>
      <w:szCs w:val="24"/>
      <w:lang w:eastAsia="en-GB"/>
    </w:rPr>
  </w:style>
  <w:style w:type="paragraph" w:customStyle="1" w:styleId="Caption2">
    <w:name w:val="Caption2"/>
    <w:basedOn w:val="Normal"/>
    <w:next w:val="Normal"/>
    <w:rsid w:val="00B0298E"/>
    <w:pPr>
      <w:keepNext/>
      <w:spacing w:before="120" w:after="120"/>
      <w:jc w:val="center"/>
    </w:pPr>
    <w:rPr>
      <w:rFonts w:ascii="Times New Roman" w:eastAsia="Times New Roman" w:hAnsi="Times New Roman" w:cs="Times New Roman"/>
      <w:b/>
      <w:bCs/>
      <w:color w:val="auto"/>
      <w:sz w:val="24"/>
      <w:szCs w:val="24"/>
      <w:lang w:eastAsia="en-GB"/>
    </w:rPr>
  </w:style>
  <w:style w:type="paragraph" w:customStyle="1" w:styleId="02Heading-12pt">
    <w:name w:val="02 Heading - 12pt"/>
    <w:basedOn w:val="Normal"/>
    <w:link w:val="02Heading-12ptChar"/>
    <w:qFormat/>
    <w:rsid w:val="00B0298E"/>
    <w:pPr>
      <w:spacing w:after="120" w:line="240" w:lineRule="atLeast"/>
      <w:jc w:val="both"/>
    </w:pPr>
    <w:rPr>
      <w:rFonts w:ascii="Times New Roman" w:eastAsia="Times New Roman" w:hAnsi="Times New Roman" w:cs="Times New Roman"/>
      <w:b/>
      <w:bCs/>
      <w:color w:val="auto"/>
      <w:sz w:val="24"/>
      <w:szCs w:val="24"/>
      <w:lang w:eastAsia="en-GB"/>
    </w:rPr>
  </w:style>
  <w:style w:type="character" w:customStyle="1" w:styleId="02Heading-12ptChar">
    <w:name w:val="02 Heading - 12pt Char"/>
    <w:basedOn w:val="DefaultParagraphFont"/>
    <w:link w:val="02Heading-12pt"/>
    <w:rsid w:val="00B0298E"/>
    <w:rPr>
      <w:rFonts w:ascii="Times New Roman" w:eastAsia="Times New Roman" w:hAnsi="Times New Roman" w:cs="Times New Roman"/>
      <w:b/>
      <w:bCs/>
      <w:color w:val="auto"/>
      <w:sz w:val="24"/>
      <w:szCs w:val="24"/>
      <w:lang w:val="en-GB" w:eastAsia="en-GB"/>
    </w:rPr>
  </w:style>
  <w:style w:type="table" w:customStyle="1" w:styleId="ReportTable1">
    <w:name w:val="Report Table1"/>
    <w:basedOn w:val="TableNormal"/>
    <w:next w:val="TableGrid"/>
    <w:uiPriority w:val="59"/>
    <w:rsid w:val="00B0298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locked/>
    <w:rsid w:val="00B0298E"/>
    <w:pPr>
      <w:spacing w:after="0"/>
    </w:pPr>
    <w:tblPr>
      <w:tblStyleRowBandSize w:val="1"/>
      <w:tblStyleColBandSize w:val="1"/>
      <w:tblBorders>
        <w:top w:val="single" w:sz="8" w:space="0" w:color="0093D5" w:themeColor="accent2"/>
        <w:left w:val="single" w:sz="8" w:space="0" w:color="0093D5" w:themeColor="accent2"/>
        <w:bottom w:val="single" w:sz="8" w:space="0" w:color="0093D5" w:themeColor="accent2"/>
        <w:right w:val="single" w:sz="8" w:space="0" w:color="0093D5" w:themeColor="accent2"/>
      </w:tblBorders>
    </w:tblPr>
    <w:tblStylePr w:type="firstRow">
      <w:pPr>
        <w:spacing w:before="0" w:after="0" w:line="240" w:lineRule="auto"/>
      </w:pPr>
      <w:rPr>
        <w:b/>
        <w:bCs/>
        <w:color w:val="FFFFFF" w:themeColor="background1"/>
      </w:rPr>
      <w:tblPr/>
      <w:tcPr>
        <w:shd w:val="clear" w:color="auto" w:fill="0093D5" w:themeFill="accent2"/>
      </w:tcPr>
    </w:tblStylePr>
    <w:tblStylePr w:type="lastRow">
      <w:pPr>
        <w:spacing w:before="0" w:after="0" w:line="240" w:lineRule="auto"/>
      </w:pPr>
      <w:rPr>
        <w:b/>
        <w:bCs/>
      </w:rPr>
      <w:tblPr/>
      <w:tcPr>
        <w:tcBorders>
          <w:top w:val="double" w:sz="6" w:space="0" w:color="0093D5" w:themeColor="accent2"/>
          <w:left w:val="single" w:sz="8" w:space="0" w:color="0093D5" w:themeColor="accent2"/>
          <w:bottom w:val="single" w:sz="8" w:space="0" w:color="0093D5" w:themeColor="accent2"/>
          <w:right w:val="single" w:sz="8" w:space="0" w:color="0093D5" w:themeColor="accent2"/>
        </w:tcBorders>
      </w:tcPr>
    </w:tblStylePr>
    <w:tblStylePr w:type="firstCol">
      <w:rPr>
        <w:b/>
        <w:bCs/>
      </w:rPr>
    </w:tblStylePr>
    <w:tblStylePr w:type="lastCol">
      <w:rPr>
        <w:b/>
        <w:bCs/>
      </w:rPr>
    </w:tblStylePr>
    <w:tblStylePr w:type="band1Vert">
      <w:tblPr/>
      <w:tcPr>
        <w:tcBorders>
          <w:top w:val="single" w:sz="8" w:space="0" w:color="0093D5" w:themeColor="accent2"/>
          <w:left w:val="single" w:sz="8" w:space="0" w:color="0093D5" w:themeColor="accent2"/>
          <w:bottom w:val="single" w:sz="8" w:space="0" w:color="0093D5" w:themeColor="accent2"/>
          <w:right w:val="single" w:sz="8" w:space="0" w:color="0093D5" w:themeColor="accent2"/>
        </w:tcBorders>
      </w:tcPr>
    </w:tblStylePr>
    <w:tblStylePr w:type="band1Horz">
      <w:tblPr/>
      <w:tcPr>
        <w:tcBorders>
          <w:top w:val="single" w:sz="8" w:space="0" w:color="0093D5" w:themeColor="accent2"/>
          <w:left w:val="single" w:sz="8" w:space="0" w:color="0093D5" w:themeColor="accent2"/>
          <w:bottom w:val="single" w:sz="8" w:space="0" w:color="0093D5" w:themeColor="accent2"/>
          <w:right w:val="single" w:sz="8" w:space="0" w:color="0093D5" w:themeColor="accent2"/>
        </w:tcBorders>
      </w:tcPr>
    </w:tblStylePr>
  </w:style>
  <w:style w:type="table" w:customStyle="1" w:styleId="GLHearntable11">
    <w:name w:val="GL Hearn table 11"/>
    <w:basedOn w:val="TableNormal"/>
    <w:uiPriority w:val="99"/>
    <w:rsid w:val="00B0298E"/>
    <w:pPr>
      <w:spacing w:after="0" w:line="220" w:lineRule="atLeast"/>
    </w:pPr>
    <w:rPr>
      <w:sz w:val="18"/>
    </w:rPr>
    <w:tblPr>
      <w:tblStyleRowBandSize w:val="1"/>
      <w:tblInd w:w="794" w:type="dxa"/>
      <w:tblBorders>
        <w:top w:val="single" w:sz="2" w:space="0" w:color="0093D5"/>
        <w:left w:val="single" w:sz="2" w:space="0" w:color="0093D5"/>
        <w:bottom w:val="single" w:sz="2" w:space="0" w:color="0093D5"/>
        <w:right w:val="single" w:sz="2" w:space="0" w:color="0093D5"/>
        <w:insideH w:val="single" w:sz="2" w:space="0" w:color="0093D5"/>
        <w:insideV w:val="single" w:sz="2" w:space="0" w:color="0093D5"/>
      </w:tblBorders>
    </w:tblPr>
    <w:tcPr>
      <w:shd w:val="clear" w:color="auto" w:fill="auto"/>
    </w:tcPr>
    <w:tblStylePr w:type="firstRow">
      <w:pPr>
        <w:jc w:val="left"/>
      </w:pPr>
      <w:rPr>
        <w:rFonts w:ascii="Arial" w:hAnsi="Arial"/>
        <w:b/>
        <w:color w:val="FFFFFF" w:themeColor="background1"/>
        <w:sz w:val="20"/>
        <w:u w:val="none"/>
      </w:rPr>
      <w:tblPr/>
      <w:tcPr>
        <w:shd w:val="clear" w:color="auto" w:fill="0093D5"/>
        <w:vAlign w:val="center"/>
      </w:tcPr>
    </w:tblStylePr>
    <w:tblStylePr w:type="lastRow">
      <w:rPr>
        <w:rFonts w:ascii="Arial" w:hAnsi="Arial"/>
        <w:b/>
        <w:sz w:val="18"/>
      </w:rPr>
      <w:tblPr/>
      <w:tcPr>
        <w:shd w:val="clear" w:color="auto" w:fill="99D4EE"/>
      </w:tcPr>
    </w:tblStylePr>
    <w:tblStylePr w:type="firstCol">
      <w:rPr>
        <w:rFonts w:ascii="Arial" w:hAnsi="Arial"/>
        <w:b/>
        <w:i w:val="0"/>
        <w:color w:val="000000" w:themeColor="text1"/>
        <w:sz w:val="18"/>
      </w:rPr>
    </w:tblStylePr>
    <w:tblStylePr w:type="band2Horz">
      <w:tblPr/>
      <w:tcPr>
        <w:shd w:val="clear" w:color="auto" w:fill="C3ECFF" w:themeFill="accent2" w:themeFillTint="33"/>
      </w:tcPr>
    </w:tblStylePr>
  </w:style>
  <w:style w:type="paragraph" w:customStyle="1" w:styleId="BlueBullet">
    <w:name w:val="Blue Bullet"/>
    <w:basedOn w:val="111BodyList"/>
    <w:link w:val="BlueBulletChar"/>
    <w:qFormat/>
    <w:rsid w:val="00B0298E"/>
    <w:pPr>
      <w:numPr>
        <w:numId w:val="12"/>
      </w:numPr>
      <w:tabs>
        <w:tab w:val="clear" w:pos="720"/>
        <w:tab w:val="clear" w:pos="1304"/>
        <w:tab w:val="num" w:pos="794"/>
        <w:tab w:val="left" w:pos="1560"/>
      </w:tabs>
      <w:spacing w:before="120" w:line="240" w:lineRule="atLeast"/>
      <w:ind w:left="794" w:hanging="794"/>
    </w:pPr>
    <w:rPr>
      <w:rFonts w:cs="Arial"/>
      <w:lang w:val="en-GB"/>
    </w:rPr>
  </w:style>
  <w:style w:type="character" w:customStyle="1" w:styleId="BlueBulletChar">
    <w:name w:val="Blue Bullet Char"/>
    <w:link w:val="BlueBullet"/>
    <w:rsid w:val="00B0298E"/>
    <w:rPr>
      <w:rFonts w:ascii="Times New Roman" w:eastAsia="MS Mincho" w:hAnsi="Times New Roman"/>
      <w:bCs/>
      <w:color w:val="000000"/>
      <w:sz w:val="24"/>
      <w:szCs w:val="24"/>
      <w:lang w:val="en-GB" w:eastAsia="en-GB"/>
    </w:rPr>
  </w:style>
  <w:style w:type="paragraph" w:customStyle="1" w:styleId="Reportlistbullet">
    <w:name w:val="Report list bullet"/>
    <w:basedOn w:val="Normal"/>
    <w:link w:val="ReportlistbulletChar"/>
    <w:rsid w:val="00B0298E"/>
    <w:pPr>
      <w:tabs>
        <w:tab w:val="num" w:pos="1440"/>
      </w:tabs>
      <w:ind w:left="1440" w:hanging="720"/>
    </w:pPr>
    <w:rPr>
      <w:rFonts w:ascii="Times New Roman" w:eastAsia="Times New Roman" w:hAnsi="Times New Roman" w:cs="Times New Roman"/>
      <w:color w:val="auto"/>
      <w:sz w:val="24"/>
      <w:szCs w:val="24"/>
      <w:lang w:eastAsia="en-GB"/>
    </w:rPr>
  </w:style>
  <w:style w:type="character" w:customStyle="1" w:styleId="ReportlistbulletChar">
    <w:name w:val="Report list bullet Char"/>
    <w:link w:val="Reportlistbullet"/>
    <w:rsid w:val="00B0298E"/>
    <w:rPr>
      <w:rFonts w:ascii="Times New Roman" w:eastAsia="Times New Roman" w:hAnsi="Times New Roman" w:cs="Times New Roman"/>
      <w:color w:val="auto"/>
      <w:sz w:val="24"/>
      <w:szCs w:val="24"/>
      <w:lang w:val="en-GB" w:eastAsia="en-GB"/>
    </w:rPr>
  </w:style>
  <w:style w:type="paragraph" w:customStyle="1" w:styleId="captionfigures">
    <w:name w:val="caption figures"/>
    <w:basedOn w:val="Normal"/>
    <w:autoRedefine/>
    <w:rsid w:val="00B0298E"/>
    <w:pPr>
      <w:widowControl w:val="0"/>
      <w:spacing w:before="60" w:after="60" w:line="300" w:lineRule="auto"/>
      <w:jc w:val="center"/>
    </w:pPr>
    <w:rPr>
      <w:rFonts w:ascii="Times New Roman" w:eastAsia="Times New Roman" w:hAnsi="Times New Roman" w:cs="Times New Roman"/>
      <w:b/>
      <w:bCs/>
      <w:color w:val="auto"/>
      <w:spacing w:val="-2"/>
      <w:sz w:val="24"/>
      <w:szCs w:val="24"/>
      <w:lang w:eastAsia="en-GB"/>
    </w:rPr>
  </w:style>
  <w:style w:type="character" w:customStyle="1" w:styleId="apple-style-span">
    <w:name w:val="apple-style-span"/>
    <w:basedOn w:val="DefaultParagraphFont"/>
    <w:rsid w:val="00B0298E"/>
  </w:style>
  <w:style w:type="paragraph" w:customStyle="1" w:styleId="ReportHeaderLeft">
    <w:name w:val="Report Header Left"/>
    <w:basedOn w:val="Normal"/>
    <w:rsid w:val="00B0298E"/>
    <w:pPr>
      <w:pBdr>
        <w:bottom w:val="dotted" w:sz="4" w:space="3" w:color="auto"/>
      </w:pBdr>
      <w:spacing w:after="120"/>
    </w:pPr>
    <w:rPr>
      <w:rFonts w:ascii="Times New Roman" w:eastAsia="Times New Roman" w:hAnsi="Times New Roman" w:cs="Times New Roman"/>
      <w:i/>
      <w:color w:val="000000"/>
      <w:spacing w:val="20"/>
      <w:kern w:val="20"/>
      <w:sz w:val="18"/>
      <w:szCs w:val="18"/>
      <w:lang w:eastAsia="en-GB"/>
    </w:rPr>
  </w:style>
  <w:style w:type="paragraph" w:customStyle="1" w:styleId="ReportFooterRight">
    <w:name w:val="Report Footer Right"/>
    <w:basedOn w:val="Normal"/>
    <w:rsid w:val="00B0298E"/>
    <w:pPr>
      <w:pBdr>
        <w:top w:val="dotted" w:sz="4" w:space="4" w:color="auto"/>
      </w:pBdr>
      <w:spacing w:before="240"/>
      <w:jc w:val="right"/>
    </w:pPr>
    <w:rPr>
      <w:rFonts w:ascii="Times New Roman" w:eastAsia="Times New Roman" w:hAnsi="Times New Roman" w:cs="Times New Roman"/>
      <w:i/>
      <w:color w:val="000000"/>
      <w:spacing w:val="20"/>
      <w:kern w:val="20"/>
      <w:sz w:val="17"/>
      <w:szCs w:val="17"/>
      <w:lang w:eastAsia="en-GB"/>
    </w:rPr>
  </w:style>
  <w:style w:type="paragraph" w:customStyle="1" w:styleId="ListParagraph2">
    <w:name w:val="List Paragraph2"/>
    <w:basedOn w:val="Normal"/>
    <w:qFormat/>
    <w:rsid w:val="00B0298E"/>
    <w:pPr>
      <w:ind w:left="720"/>
    </w:pPr>
    <w:rPr>
      <w:rFonts w:ascii="Times New Roman" w:eastAsia="Times New Roman" w:hAnsi="Times New Roman" w:cs="Times New Roman"/>
      <w:color w:val="auto"/>
      <w:sz w:val="24"/>
      <w:szCs w:val="24"/>
      <w:lang w:eastAsia="en-GB"/>
    </w:rPr>
  </w:style>
  <w:style w:type="paragraph" w:customStyle="1" w:styleId="Subnumbers">
    <w:name w:val="Sub numbers"/>
    <w:basedOn w:val="Numbers"/>
    <w:rsid w:val="00B0298E"/>
  </w:style>
  <w:style w:type="paragraph" w:customStyle="1" w:styleId="Numbers">
    <w:name w:val="Numbers"/>
    <w:basedOn w:val="Normal"/>
    <w:rsid w:val="00B0298E"/>
    <w:pPr>
      <w:tabs>
        <w:tab w:val="num" w:pos="567"/>
      </w:tabs>
      <w:spacing w:before="120"/>
      <w:ind w:left="567" w:hanging="567"/>
    </w:pPr>
    <w:rPr>
      <w:rFonts w:ascii="Gill Sans MT" w:eastAsia="Times New Roman" w:hAnsi="Gill Sans MT" w:cs="Times New Roman"/>
      <w:color w:val="auto"/>
      <w:sz w:val="24"/>
      <w:szCs w:val="24"/>
      <w:lang w:eastAsia="en-US"/>
    </w:rPr>
  </w:style>
  <w:style w:type="paragraph" w:customStyle="1" w:styleId="SubnumbersDouble">
    <w:name w:val="Sub numbers (Double)"/>
    <w:basedOn w:val="Normal"/>
    <w:rsid w:val="00B0298E"/>
    <w:pPr>
      <w:tabs>
        <w:tab w:val="num" w:pos="567"/>
      </w:tabs>
      <w:spacing w:before="120"/>
      <w:ind w:left="567" w:hanging="567"/>
    </w:pPr>
    <w:rPr>
      <w:rFonts w:ascii="Gill Sans MT" w:eastAsia="Times New Roman" w:hAnsi="Gill Sans MT" w:cs="Times New Roman"/>
      <w:bCs/>
      <w:color w:val="auto"/>
      <w:sz w:val="24"/>
      <w:szCs w:val="24"/>
      <w:lang w:eastAsia="en-US"/>
    </w:rPr>
  </w:style>
  <w:style w:type="paragraph" w:customStyle="1" w:styleId="smallserial">
    <w:name w:val="# small serial"/>
    <w:basedOn w:val="Normal"/>
    <w:link w:val="smallserialChar"/>
    <w:qFormat/>
    <w:rsid w:val="00B0298E"/>
    <w:pPr>
      <w:numPr>
        <w:ilvl w:val="1"/>
        <w:numId w:val="13"/>
      </w:numPr>
      <w:spacing w:after="200" w:line="276" w:lineRule="auto"/>
      <w:jc w:val="both"/>
    </w:pPr>
    <w:rPr>
      <w:rFonts w:ascii="Calibri" w:eastAsia="Times New Roman" w:hAnsi="Calibri" w:cs="Times New Roman"/>
      <w:color w:val="auto"/>
      <w:sz w:val="24"/>
      <w:szCs w:val="22"/>
      <w:lang w:eastAsia="en-GB"/>
    </w:rPr>
  </w:style>
  <w:style w:type="character" w:customStyle="1" w:styleId="smallserialChar">
    <w:name w:val="# small serial Char"/>
    <w:link w:val="smallserial"/>
    <w:rsid w:val="00B0298E"/>
    <w:rPr>
      <w:rFonts w:ascii="Calibri" w:eastAsia="Times New Roman" w:hAnsi="Calibri" w:cs="Times New Roman"/>
      <w:color w:val="auto"/>
      <w:sz w:val="24"/>
      <w:szCs w:val="22"/>
      <w:lang w:val="en-GB" w:eastAsia="en-GB"/>
    </w:rPr>
  </w:style>
  <w:style w:type="paragraph" w:customStyle="1" w:styleId="StyleListParagraphArial10ptJustified">
    <w:name w:val="Style List Paragraph + Arial 10 pt Justified"/>
    <w:basedOn w:val="ListParagraph"/>
    <w:rsid w:val="00B0298E"/>
    <w:pPr>
      <w:spacing w:after="200" w:line="276" w:lineRule="auto"/>
      <w:contextualSpacing w:val="0"/>
      <w:jc w:val="both"/>
    </w:pPr>
    <w:rPr>
      <w:rFonts w:ascii="Times New Roman" w:eastAsia="Times New Roman" w:hAnsi="Times New Roman" w:cs="Times New Roman"/>
      <w:color w:val="auto"/>
      <w:lang w:eastAsia="en-GB"/>
    </w:rPr>
  </w:style>
  <w:style w:type="paragraph" w:customStyle="1" w:styleId="ReportHeaderRight">
    <w:name w:val="Report Header Right"/>
    <w:basedOn w:val="Normal"/>
    <w:rsid w:val="00B0298E"/>
    <w:pPr>
      <w:pBdr>
        <w:bottom w:val="dotted" w:sz="4" w:space="3" w:color="auto"/>
      </w:pBdr>
      <w:spacing w:after="120"/>
      <w:jc w:val="right"/>
    </w:pPr>
    <w:rPr>
      <w:rFonts w:ascii="Times New Roman" w:eastAsia="Times New Roman" w:hAnsi="Times New Roman" w:cs="Times New Roman"/>
      <w:i/>
      <w:color w:val="000000"/>
      <w:spacing w:val="20"/>
      <w:kern w:val="20"/>
      <w:sz w:val="18"/>
      <w:szCs w:val="18"/>
      <w:lang w:eastAsia="en-GB"/>
    </w:rPr>
  </w:style>
  <w:style w:type="character" w:customStyle="1" w:styleId="03NumberedHeadingsChar">
    <w:name w:val="03 Numbered Headings Char"/>
    <w:link w:val="03NumberedHeadings"/>
    <w:rsid w:val="00B0298E"/>
    <w:rPr>
      <w:rFonts w:ascii="Times New Roman" w:eastAsia="MS Mincho" w:hAnsi="Times New Roman" w:cs="Times New Roman"/>
      <w:b/>
      <w:bCs/>
      <w:caps/>
      <w:color w:val="000000"/>
      <w:sz w:val="24"/>
      <w:szCs w:val="24"/>
      <w:lang w:eastAsia="en-GB"/>
    </w:rPr>
  </w:style>
  <w:style w:type="paragraph" w:customStyle="1" w:styleId="ReportText0">
    <w:name w:val="Report Text"/>
    <w:basedOn w:val="Normal"/>
    <w:rsid w:val="00B0298E"/>
    <w:pPr>
      <w:keepLines/>
      <w:tabs>
        <w:tab w:val="num" w:pos="360"/>
        <w:tab w:val="left" w:pos="720"/>
      </w:tabs>
    </w:pPr>
    <w:rPr>
      <w:rFonts w:ascii="Times New Roman" w:eastAsia="Times New Roman" w:hAnsi="Times New Roman" w:cs="Times New Roman"/>
      <w:color w:val="auto"/>
      <w:sz w:val="24"/>
      <w:szCs w:val="24"/>
      <w:lang w:eastAsia="en-GB"/>
    </w:rPr>
  </w:style>
  <w:style w:type="character" w:customStyle="1" w:styleId="CharChar5">
    <w:name w:val="Char Char5"/>
    <w:locked/>
    <w:rsid w:val="00B0298E"/>
    <w:rPr>
      <w:rFonts w:ascii="Courier New" w:hAnsi="Courier New" w:cs="Courier New"/>
      <w:lang w:val="en-GB" w:eastAsia="en-GB" w:bidi="ar-SA"/>
    </w:rPr>
  </w:style>
  <w:style w:type="paragraph" w:customStyle="1" w:styleId="SubHeading">
    <w:name w:val="SubHeading"/>
    <w:basedOn w:val="Normal"/>
    <w:link w:val="SubHeadingChar"/>
    <w:qFormat/>
    <w:rsid w:val="00B0298E"/>
    <w:pPr>
      <w:spacing w:before="240" w:line="240" w:lineRule="exact"/>
      <w:ind w:left="794"/>
    </w:pPr>
    <w:rPr>
      <w:rFonts w:ascii="Times New Roman" w:eastAsia="MS Mincho" w:hAnsi="Times New Roman" w:cs="Times New Roman"/>
      <w:b/>
      <w:color w:val="000000"/>
      <w:sz w:val="24"/>
      <w:szCs w:val="18"/>
      <w:lang w:eastAsia="en-GB"/>
    </w:rPr>
  </w:style>
  <w:style w:type="character" w:customStyle="1" w:styleId="SubHeadingChar">
    <w:name w:val="SubHeading Char"/>
    <w:link w:val="SubHeading"/>
    <w:rsid w:val="00B0298E"/>
    <w:rPr>
      <w:rFonts w:ascii="Times New Roman" w:eastAsia="MS Mincho" w:hAnsi="Times New Roman" w:cs="Times New Roman"/>
      <w:b/>
      <w:color w:val="000000"/>
      <w:sz w:val="24"/>
      <w:szCs w:val="18"/>
      <w:lang w:val="en-GB" w:eastAsia="en-GB"/>
    </w:rPr>
  </w:style>
  <w:style w:type="paragraph" w:styleId="Title">
    <w:name w:val="Title"/>
    <w:basedOn w:val="Normal"/>
    <w:link w:val="TitleChar"/>
    <w:qFormat/>
    <w:locked/>
    <w:rsid w:val="00B0298E"/>
    <w:pPr>
      <w:jc w:val="center"/>
    </w:pPr>
    <w:rPr>
      <w:rFonts w:ascii="Times New Roman" w:eastAsia="Times New Roman" w:hAnsi="Times New Roman" w:cs="Times New Roman"/>
      <w:b/>
      <w:color w:val="000000"/>
      <w:sz w:val="24"/>
      <w:szCs w:val="24"/>
      <w:lang w:eastAsia="en-US"/>
    </w:rPr>
  </w:style>
  <w:style w:type="character" w:customStyle="1" w:styleId="TitleChar">
    <w:name w:val="Title Char"/>
    <w:basedOn w:val="DefaultParagraphFont"/>
    <w:link w:val="Title"/>
    <w:rsid w:val="00B0298E"/>
    <w:rPr>
      <w:rFonts w:ascii="Times New Roman" w:eastAsia="Times New Roman" w:hAnsi="Times New Roman" w:cs="Times New Roman"/>
      <w:b/>
      <w:color w:val="000000"/>
      <w:sz w:val="24"/>
      <w:szCs w:val="24"/>
      <w:lang w:val="en-GB" w:eastAsia="en-US"/>
    </w:rPr>
  </w:style>
  <w:style w:type="paragraph" w:styleId="CommentText">
    <w:name w:val="annotation text"/>
    <w:basedOn w:val="Normal"/>
    <w:link w:val="CommentTextChar"/>
    <w:uiPriority w:val="99"/>
    <w:locked/>
    <w:rsid w:val="00B0298E"/>
    <w:rPr>
      <w:rFonts w:ascii="Times New Roman" w:eastAsia="Times New Roman" w:hAnsi="Times New Roman" w:cs="Times New Roman"/>
      <w:color w:val="auto"/>
      <w:sz w:val="24"/>
      <w:szCs w:val="24"/>
      <w:lang w:eastAsia="en-US"/>
    </w:rPr>
  </w:style>
  <w:style w:type="character" w:customStyle="1" w:styleId="CommentTextChar">
    <w:name w:val="Comment Text Char"/>
    <w:basedOn w:val="DefaultParagraphFont"/>
    <w:link w:val="CommentText"/>
    <w:uiPriority w:val="99"/>
    <w:rsid w:val="00B0298E"/>
    <w:rPr>
      <w:rFonts w:ascii="Times New Roman" w:eastAsia="Times New Roman" w:hAnsi="Times New Roman" w:cs="Times New Roman"/>
      <w:color w:val="auto"/>
      <w:sz w:val="24"/>
      <w:szCs w:val="24"/>
      <w:lang w:val="en-GB" w:eastAsia="en-US"/>
    </w:rPr>
  </w:style>
  <w:style w:type="paragraph" w:styleId="BodyText2">
    <w:name w:val="Body Text 2"/>
    <w:basedOn w:val="Normal"/>
    <w:link w:val="BodyText2Char"/>
    <w:locked/>
    <w:rsid w:val="00B0298E"/>
    <w:pPr>
      <w:spacing w:line="264" w:lineRule="auto"/>
      <w:jc w:val="both"/>
    </w:pPr>
    <w:rPr>
      <w:rFonts w:ascii="Times New Roman" w:eastAsia="Times New Roman" w:hAnsi="Times New Roman" w:cs="Times New Roman"/>
      <w:color w:val="auto"/>
      <w:sz w:val="24"/>
      <w:szCs w:val="24"/>
      <w:lang w:eastAsia="en-US"/>
    </w:rPr>
  </w:style>
  <w:style w:type="character" w:customStyle="1" w:styleId="BodyText2Char">
    <w:name w:val="Body Text 2 Char"/>
    <w:basedOn w:val="DefaultParagraphFont"/>
    <w:link w:val="BodyText2"/>
    <w:rsid w:val="00B0298E"/>
    <w:rPr>
      <w:rFonts w:ascii="Times New Roman" w:eastAsia="Times New Roman" w:hAnsi="Times New Roman" w:cs="Times New Roman"/>
      <w:color w:val="auto"/>
      <w:sz w:val="24"/>
      <w:szCs w:val="24"/>
      <w:lang w:val="en-GB" w:eastAsia="en-US"/>
    </w:rPr>
  </w:style>
  <w:style w:type="paragraph" w:styleId="BodyText">
    <w:name w:val="Body Text"/>
    <w:basedOn w:val="Normal"/>
    <w:link w:val="BodyTextChar0"/>
    <w:locked/>
    <w:rsid w:val="00B0298E"/>
    <w:pPr>
      <w:spacing w:after="120"/>
    </w:pPr>
    <w:rPr>
      <w:rFonts w:ascii="Times New Roman" w:eastAsia="Times New Roman" w:hAnsi="Times New Roman" w:cs="Times New Roman"/>
      <w:color w:val="auto"/>
      <w:sz w:val="24"/>
      <w:szCs w:val="24"/>
      <w:lang w:eastAsia="en-US"/>
    </w:rPr>
  </w:style>
  <w:style w:type="character" w:customStyle="1" w:styleId="BodyTextChar0">
    <w:name w:val="Body Text Char"/>
    <w:basedOn w:val="DefaultParagraphFont"/>
    <w:link w:val="BodyText"/>
    <w:rsid w:val="00B0298E"/>
    <w:rPr>
      <w:rFonts w:ascii="Times New Roman" w:eastAsia="Times New Roman" w:hAnsi="Times New Roman" w:cs="Times New Roman"/>
      <w:color w:val="auto"/>
      <w:sz w:val="24"/>
      <w:szCs w:val="24"/>
      <w:lang w:val="en-GB" w:eastAsia="en-US"/>
    </w:rPr>
  </w:style>
  <w:style w:type="paragraph" w:styleId="BodyTextIndent3">
    <w:name w:val="Body Text Indent 3"/>
    <w:basedOn w:val="Normal"/>
    <w:link w:val="BodyTextIndent3Char"/>
    <w:locked/>
    <w:rsid w:val="00B0298E"/>
    <w:pPr>
      <w:spacing w:after="120"/>
      <w:ind w:left="283"/>
    </w:pPr>
    <w:rPr>
      <w:rFonts w:ascii="Times New Roman" w:eastAsia="Times New Roman" w:hAnsi="Times New Roman" w:cs="Times New Roman"/>
      <w:color w:val="auto"/>
      <w:sz w:val="16"/>
      <w:szCs w:val="16"/>
      <w:lang w:eastAsia="en-US"/>
    </w:rPr>
  </w:style>
  <w:style w:type="character" w:customStyle="1" w:styleId="BodyTextIndent3Char">
    <w:name w:val="Body Text Indent 3 Char"/>
    <w:basedOn w:val="DefaultParagraphFont"/>
    <w:link w:val="BodyTextIndent3"/>
    <w:rsid w:val="00B0298E"/>
    <w:rPr>
      <w:rFonts w:ascii="Times New Roman" w:eastAsia="Times New Roman" w:hAnsi="Times New Roman" w:cs="Times New Roman"/>
      <w:color w:val="auto"/>
      <w:sz w:val="16"/>
      <w:szCs w:val="16"/>
      <w:lang w:val="en-GB" w:eastAsia="en-US"/>
    </w:rPr>
  </w:style>
  <w:style w:type="paragraph" w:styleId="CommentSubject">
    <w:name w:val="annotation subject"/>
    <w:basedOn w:val="CommentText"/>
    <w:next w:val="CommentText"/>
    <w:link w:val="CommentSubjectChar"/>
    <w:locked/>
    <w:rsid w:val="00B0298E"/>
    <w:rPr>
      <w:b/>
      <w:bCs/>
      <w:lang w:eastAsia="en-GB"/>
    </w:rPr>
  </w:style>
  <w:style w:type="character" w:customStyle="1" w:styleId="CommentSubjectChar">
    <w:name w:val="Comment Subject Char"/>
    <w:basedOn w:val="CommentTextChar"/>
    <w:link w:val="CommentSubject"/>
    <w:rsid w:val="00B0298E"/>
    <w:rPr>
      <w:rFonts w:ascii="Times New Roman" w:eastAsia="Times New Roman" w:hAnsi="Times New Roman" w:cs="Times New Roman"/>
      <w:b/>
      <w:bCs/>
      <w:color w:val="auto"/>
      <w:sz w:val="24"/>
      <w:szCs w:val="24"/>
      <w:lang w:val="en-GB" w:eastAsia="en-GB"/>
    </w:rPr>
  </w:style>
  <w:style w:type="paragraph" w:styleId="z-BottomofForm">
    <w:name w:val="HTML Bottom of Form"/>
    <w:basedOn w:val="Normal"/>
    <w:next w:val="Normal"/>
    <w:link w:val="z-BottomofFormChar"/>
    <w:hidden/>
    <w:rsid w:val="00B0298E"/>
    <w:pPr>
      <w:pBdr>
        <w:top w:val="single" w:sz="6" w:space="1" w:color="auto"/>
      </w:pBdr>
      <w:jc w:val="center"/>
    </w:pPr>
    <w:rPr>
      <w:rFonts w:ascii="Times New Roman" w:eastAsia="Times New Roman" w:hAnsi="Times New Roman" w:cs="Times New Roman"/>
      <w:vanish/>
      <w:color w:val="auto"/>
      <w:sz w:val="16"/>
      <w:szCs w:val="16"/>
      <w:lang w:eastAsia="en-GB"/>
    </w:rPr>
  </w:style>
  <w:style w:type="character" w:customStyle="1" w:styleId="z-BottomofFormChar">
    <w:name w:val="z-Bottom of Form Char"/>
    <w:basedOn w:val="DefaultParagraphFont"/>
    <w:link w:val="z-BottomofForm"/>
    <w:rsid w:val="00B0298E"/>
    <w:rPr>
      <w:rFonts w:ascii="Times New Roman" w:eastAsia="Times New Roman" w:hAnsi="Times New Roman" w:cs="Times New Roman"/>
      <w:vanish/>
      <w:color w:val="auto"/>
      <w:sz w:val="16"/>
      <w:szCs w:val="16"/>
      <w:lang w:val="en-GB" w:eastAsia="en-GB"/>
    </w:rPr>
  </w:style>
  <w:style w:type="paragraph" w:customStyle="1" w:styleId="bullets">
    <w:name w:val="bullets"/>
    <w:basedOn w:val="111BodyList"/>
    <w:link w:val="bulletsChar"/>
    <w:qFormat/>
    <w:rsid w:val="00B0298E"/>
    <w:pPr>
      <w:numPr>
        <w:ilvl w:val="0"/>
        <w:numId w:val="0"/>
      </w:numPr>
      <w:tabs>
        <w:tab w:val="clear" w:pos="1304"/>
        <w:tab w:val="num" w:pos="1021"/>
        <w:tab w:val="left" w:pos="1560"/>
      </w:tabs>
      <w:spacing w:before="120"/>
      <w:ind w:left="1021" w:hanging="1021"/>
    </w:pPr>
    <w:rPr>
      <w:rFonts w:cs="Arial"/>
    </w:rPr>
  </w:style>
  <w:style w:type="character" w:customStyle="1" w:styleId="bulletsChar">
    <w:name w:val="bullets Char"/>
    <w:link w:val="bullets"/>
    <w:rsid w:val="00B0298E"/>
    <w:rPr>
      <w:rFonts w:ascii="Times New Roman" w:eastAsia="MS Mincho" w:hAnsi="Times New Roman"/>
      <w:bCs/>
      <w:color w:val="000000"/>
      <w:sz w:val="24"/>
      <w:szCs w:val="24"/>
      <w:lang w:eastAsia="en-GB"/>
    </w:rPr>
  </w:style>
  <w:style w:type="paragraph" w:customStyle="1" w:styleId="05Tableheading">
    <w:name w:val="05 Table heading"/>
    <w:basedOn w:val="Normal"/>
    <w:next w:val="Normal"/>
    <w:qFormat/>
    <w:rsid w:val="00B0298E"/>
    <w:pPr>
      <w:tabs>
        <w:tab w:val="num" w:pos="1021"/>
      </w:tabs>
      <w:spacing w:line="300" w:lineRule="exact"/>
      <w:ind w:left="1021" w:hanging="1021"/>
    </w:pPr>
    <w:rPr>
      <w:rFonts w:ascii="Times New Roman" w:eastAsia="MS Mincho" w:hAnsi="Times New Roman" w:cs="Times New Roman"/>
      <w:b/>
      <w:bCs/>
      <w:color w:val="000000"/>
      <w:sz w:val="24"/>
      <w:szCs w:val="24"/>
      <w:lang w:eastAsia="en-GB"/>
    </w:rPr>
  </w:style>
  <w:style w:type="paragraph" w:customStyle="1" w:styleId="10aIndenttext">
    <w:name w:val="10a Indent text"/>
    <w:basedOn w:val="Normal"/>
    <w:next w:val="03NumberedHeadings"/>
    <w:link w:val="10aIndenttextChar"/>
    <w:qFormat/>
    <w:rsid w:val="00B0298E"/>
    <w:pPr>
      <w:spacing w:line="240" w:lineRule="exact"/>
      <w:ind w:left="1021"/>
    </w:pPr>
    <w:rPr>
      <w:rFonts w:ascii="Times New Roman" w:eastAsia="MS Mincho" w:hAnsi="Times New Roman" w:cs="Times New Roman"/>
      <w:color w:val="000000"/>
      <w:sz w:val="24"/>
      <w:szCs w:val="18"/>
      <w:lang w:eastAsia="en-GB"/>
    </w:rPr>
  </w:style>
  <w:style w:type="character" w:customStyle="1" w:styleId="10aIndenttextChar">
    <w:name w:val="10a Indent text Char"/>
    <w:link w:val="10aIndenttext"/>
    <w:locked/>
    <w:rsid w:val="00B0298E"/>
    <w:rPr>
      <w:rFonts w:ascii="Times New Roman" w:eastAsia="MS Mincho" w:hAnsi="Times New Roman" w:cs="Times New Roman"/>
      <w:color w:val="000000"/>
      <w:sz w:val="24"/>
      <w:szCs w:val="18"/>
      <w:lang w:val="en-GB" w:eastAsia="en-GB"/>
    </w:rPr>
  </w:style>
  <w:style w:type="paragraph" w:customStyle="1" w:styleId="immtextalignjustify1">
    <w:name w:val="immtextalign_justify1"/>
    <w:basedOn w:val="Normal"/>
    <w:rsid w:val="00B0298E"/>
    <w:pPr>
      <w:jc w:val="both"/>
    </w:pPr>
    <w:rPr>
      <w:rFonts w:ascii="Times New Roman" w:eastAsia="Calibri" w:hAnsi="Times New Roman" w:cs="Times New Roman"/>
      <w:color w:val="auto"/>
      <w:sz w:val="24"/>
      <w:szCs w:val="24"/>
      <w:lang w:eastAsia="en-GB"/>
    </w:rPr>
  </w:style>
  <w:style w:type="paragraph" w:customStyle="1" w:styleId="ListParagraph3">
    <w:name w:val="List Paragraph3"/>
    <w:basedOn w:val="Normal"/>
    <w:qFormat/>
    <w:rsid w:val="00B0298E"/>
    <w:pPr>
      <w:ind w:left="720"/>
    </w:pPr>
    <w:rPr>
      <w:rFonts w:ascii="Times New Roman" w:eastAsia="Times New Roman" w:hAnsi="Times New Roman" w:cs="Times New Roman"/>
      <w:color w:val="auto"/>
      <w:sz w:val="24"/>
      <w:szCs w:val="24"/>
      <w:lang w:eastAsia="en-GB"/>
    </w:rPr>
  </w:style>
  <w:style w:type="character" w:customStyle="1" w:styleId="CharChar2">
    <w:name w:val="Char Char2"/>
    <w:rsid w:val="00B0298E"/>
    <w:rPr>
      <w:rFonts w:ascii="Courier New" w:hAnsi="Courier New" w:cs="Courier New"/>
      <w:lang w:val="en-GB" w:eastAsia="en-GB" w:bidi="ar-SA"/>
    </w:rPr>
  </w:style>
  <w:style w:type="paragraph" w:customStyle="1" w:styleId="Headmain">
    <w:name w:val="Head main"/>
    <w:basedOn w:val="Normal"/>
    <w:next w:val="Normal"/>
    <w:link w:val="HeadmainChar"/>
    <w:rsid w:val="00B0298E"/>
    <w:pPr>
      <w:spacing w:after="200" w:line="276" w:lineRule="auto"/>
      <w:outlineLvl w:val="1"/>
    </w:pPr>
    <w:rPr>
      <w:rFonts w:ascii="Calibri" w:eastAsia="Times New Roman" w:hAnsi="Calibri" w:cs="Times New Roman"/>
      <w:b/>
      <w:color w:val="4F81BD"/>
      <w:sz w:val="32"/>
      <w:szCs w:val="22"/>
      <w:lang w:eastAsia="en-US"/>
    </w:rPr>
  </w:style>
  <w:style w:type="character" w:customStyle="1" w:styleId="HeadmainChar">
    <w:name w:val="Head main Char"/>
    <w:link w:val="Headmain"/>
    <w:locked/>
    <w:rsid w:val="00B0298E"/>
    <w:rPr>
      <w:rFonts w:ascii="Calibri" w:eastAsia="Times New Roman" w:hAnsi="Calibri" w:cs="Times New Roman"/>
      <w:b/>
      <w:color w:val="4F81BD"/>
      <w:sz w:val="32"/>
      <w:szCs w:val="22"/>
      <w:lang w:val="en-GB" w:eastAsia="en-US"/>
    </w:rPr>
  </w:style>
  <w:style w:type="paragraph" w:customStyle="1" w:styleId="Headsub">
    <w:name w:val="Head sub"/>
    <w:basedOn w:val="Normal"/>
    <w:next w:val="Normal"/>
    <w:link w:val="HeadsubChar"/>
    <w:rsid w:val="00B0298E"/>
    <w:pPr>
      <w:keepNext/>
      <w:spacing w:after="240"/>
      <w:outlineLvl w:val="1"/>
    </w:pPr>
    <w:rPr>
      <w:rFonts w:ascii="Calibri" w:eastAsia="Times New Roman" w:hAnsi="Calibri" w:cs="Tahoma"/>
      <w:b/>
      <w:bCs/>
      <w:iCs/>
      <w:color w:val="4F81BD"/>
      <w:sz w:val="22"/>
      <w:szCs w:val="22"/>
      <w:lang w:eastAsia="en-GB"/>
    </w:rPr>
  </w:style>
  <w:style w:type="character" w:customStyle="1" w:styleId="HeadsubChar">
    <w:name w:val="Head sub Char"/>
    <w:link w:val="Headsub"/>
    <w:locked/>
    <w:rsid w:val="00B0298E"/>
    <w:rPr>
      <w:rFonts w:ascii="Calibri" w:eastAsia="Times New Roman" w:hAnsi="Calibri" w:cs="Tahoma"/>
      <w:b/>
      <w:bCs/>
      <w:iCs/>
      <w:color w:val="4F81BD"/>
      <w:sz w:val="22"/>
      <w:szCs w:val="22"/>
      <w:lang w:val="en-GB" w:eastAsia="en-GB"/>
    </w:rPr>
  </w:style>
  <w:style w:type="paragraph" w:customStyle="1" w:styleId="bullet">
    <w:name w:val="bullet"/>
    <w:basedOn w:val="Normal"/>
    <w:link w:val="bulletChar"/>
    <w:qFormat/>
    <w:rsid w:val="00B0298E"/>
    <w:pPr>
      <w:numPr>
        <w:numId w:val="14"/>
      </w:numPr>
      <w:spacing w:after="80" w:line="276" w:lineRule="auto"/>
    </w:pPr>
    <w:rPr>
      <w:rFonts w:ascii="Calibri" w:eastAsia="Times New Roman" w:hAnsi="Calibri" w:cs="Times New Roman"/>
      <w:color w:val="auto"/>
      <w:sz w:val="22"/>
      <w:szCs w:val="22"/>
      <w:lang w:eastAsia="en-GB"/>
    </w:rPr>
  </w:style>
  <w:style w:type="character" w:customStyle="1" w:styleId="bulletChar">
    <w:name w:val="bullet Char"/>
    <w:link w:val="bullet"/>
    <w:locked/>
    <w:rsid w:val="00B0298E"/>
    <w:rPr>
      <w:rFonts w:ascii="Calibri" w:eastAsia="Times New Roman" w:hAnsi="Calibri" w:cs="Times New Roman"/>
      <w:color w:val="auto"/>
      <w:sz w:val="22"/>
      <w:szCs w:val="22"/>
      <w:lang w:val="en-GB" w:eastAsia="en-GB"/>
    </w:rPr>
  </w:style>
  <w:style w:type="paragraph" w:styleId="BodyTextIndent">
    <w:name w:val="Body Text Indent"/>
    <w:basedOn w:val="Normal"/>
    <w:link w:val="BodyTextIndentChar"/>
    <w:locked/>
    <w:rsid w:val="00B0298E"/>
    <w:pPr>
      <w:spacing w:after="120"/>
      <w:ind w:left="283"/>
    </w:pPr>
    <w:rPr>
      <w:rFonts w:ascii="Times New Roman" w:eastAsia="Times New Roman" w:hAnsi="Times New Roman" w:cs="Times New Roman"/>
      <w:color w:val="auto"/>
      <w:sz w:val="24"/>
      <w:szCs w:val="24"/>
      <w:lang w:eastAsia="en-GB"/>
    </w:rPr>
  </w:style>
  <w:style w:type="character" w:customStyle="1" w:styleId="BodyTextIndentChar">
    <w:name w:val="Body Text Indent Char"/>
    <w:basedOn w:val="DefaultParagraphFont"/>
    <w:link w:val="BodyTextIndent"/>
    <w:rsid w:val="00B0298E"/>
    <w:rPr>
      <w:rFonts w:ascii="Times New Roman" w:eastAsia="Times New Roman" w:hAnsi="Times New Roman" w:cs="Times New Roman"/>
      <w:color w:val="auto"/>
      <w:sz w:val="24"/>
      <w:szCs w:val="24"/>
      <w:lang w:val="en-GB" w:eastAsia="en-GB"/>
    </w:rPr>
  </w:style>
  <w:style w:type="paragraph" w:customStyle="1" w:styleId="BulletORANGE">
    <w:name w:val="Bullet ORANGE"/>
    <w:basedOn w:val="Normal"/>
    <w:link w:val="BulletORANGEChar"/>
    <w:uiPriority w:val="99"/>
    <w:qFormat/>
    <w:rsid w:val="00B0298E"/>
    <w:pPr>
      <w:numPr>
        <w:numId w:val="15"/>
      </w:numPr>
      <w:spacing w:after="120"/>
    </w:pPr>
    <w:rPr>
      <w:rFonts w:ascii="Times New Roman" w:eastAsia="Times New Roman" w:hAnsi="Times New Roman" w:cs="Times New Roman"/>
      <w:color w:val="auto"/>
      <w:spacing w:val="-4"/>
      <w:sz w:val="24"/>
      <w:szCs w:val="24"/>
      <w:lang w:eastAsia="en-GB"/>
    </w:rPr>
  </w:style>
  <w:style w:type="paragraph" w:customStyle="1" w:styleId="StyleReporttextLinespacing15lines">
    <w:name w:val="Style Report text + Line spacing:  1.5 lines"/>
    <w:basedOn w:val="Reporttext"/>
    <w:rsid w:val="00B0298E"/>
    <w:pPr>
      <w:numPr>
        <w:ilvl w:val="0"/>
        <w:numId w:val="0"/>
      </w:numPr>
      <w:tabs>
        <w:tab w:val="num" w:pos="1362"/>
      </w:tabs>
      <w:ind w:left="1418" w:hanging="340"/>
    </w:pPr>
    <w:rPr>
      <w:rFonts w:asciiTheme="minorHAnsi" w:eastAsiaTheme="minorHAnsi" w:hAnsiTheme="minorHAnsi" w:cstheme="minorBidi"/>
      <w:kern w:val="20"/>
      <w:szCs w:val="22"/>
      <w:lang w:eastAsia="en-US"/>
    </w:rPr>
  </w:style>
  <w:style w:type="paragraph" w:customStyle="1" w:styleId="HeadChapt">
    <w:name w:val="Head Chapt"/>
    <w:basedOn w:val="Normal"/>
    <w:next w:val="Normal"/>
    <w:qFormat/>
    <w:rsid w:val="00B0298E"/>
    <w:pPr>
      <w:numPr>
        <w:numId w:val="16"/>
      </w:numPr>
      <w:pBdr>
        <w:bottom w:val="single" w:sz="4" w:space="1" w:color="4F81BD"/>
      </w:pBdr>
      <w:spacing w:before="1200" w:after="600" w:line="276" w:lineRule="auto"/>
      <w:jc w:val="right"/>
      <w:outlineLvl w:val="0"/>
    </w:pPr>
    <w:rPr>
      <w:rFonts w:ascii="Calibri" w:eastAsia="Calibri" w:hAnsi="Calibri" w:cs="Times New Roman"/>
      <w:b/>
      <w:color w:val="4F81BD"/>
      <w:sz w:val="40"/>
      <w:szCs w:val="24"/>
      <w:lang w:eastAsia="en-GB"/>
    </w:rPr>
  </w:style>
  <w:style w:type="paragraph" w:customStyle="1" w:styleId="smalldecimal">
    <w:name w:val="# small decimal"/>
    <w:basedOn w:val="Normal"/>
    <w:autoRedefine/>
    <w:qFormat/>
    <w:rsid w:val="00B0298E"/>
    <w:pPr>
      <w:numPr>
        <w:ilvl w:val="1"/>
        <w:numId w:val="16"/>
      </w:numPr>
      <w:spacing w:after="200" w:line="276" w:lineRule="auto"/>
      <w:jc w:val="both"/>
    </w:pPr>
    <w:rPr>
      <w:rFonts w:ascii="Calibri" w:eastAsia="Calibri" w:hAnsi="Calibri" w:cs="Times New Roman"/>
      <w:color w:val="auto"/>
      <w:sz w:val="24"/>
      <w:szCs w:val="24"/>
      <w:lang w:eastAsia="en-GB"/>
    </w:rPr>
  </w:style>
  <w:style w:type="paragraph" w:customStyle="1" w:styleId="headmainnumbered">
    <w:name w:val="head main numbered"/>
    <w:basedOn w:val="Headmain"/>
    <w:qFormat/>
    <w:rsid w:val="00B0298E"/>
    <w:pPr>
      <w:numPr>
        <w:numId w:val="17"/>
      </w:numPr>
      <w:tabs>
        <w:tab w:val="num" w:pos="794"/>
      </w:tabs>
      <w:spacing w:before="240"/>
      <w:ind w:left="1440" w:hanging="794"/>
    </w:pPr>
    <w:rPr>
      <w:rFonts w:eastAsia="Calibri"/>
      <w:color w:val="B2B2B2" w:themeColor="text2"/>
      <w:szCs w:val="20"/>
      <w:lang w:eastAsia="en-GB"/>
    </w:rPr>
  </w:style>
  <w:style w:type="paragraph" w:customStyle="1" w:styleId="bigserial">
    <w:name w:val="# big serial"/>
    <w:basedOn w:val="smallserial"/>
    <w:link w:val="bigserialChar"/>
    <w:qFormat/>
    <w:rsid w:val="00CF74BA"/>
    <w:pPr>
      <w:numPr>
        <w:ilvl w:val="0"/>
        <w:numId w:val="18"/>
      </w:numPr>
    </w:pPr>
    <w:rPr>
      <w:rFonts w:ascii="Arial" w:hAnsi="Arial" w:cs="Arial"/>
      <w:szCs w:val="24"/>
    </w:rPr>
  </w:style>
  <w:style w:type="character" w:customStyle="1" w:styleId="bigserialChar">
    <w:name w:val="# big serial Char"/>
    <w:basedOn w:val="smallserialChar"/>
    <w:link w:val="bigserial"/>
    <w:rsid w:val="00CF74BA"/>
    <w:rPr>
      <w:rFonts w:ascii="Calibri" w:eastAsia="Times New Roman" w:hAnsi="Calibri" w:cs="Times New Roman"/>
      <w:color w:val="auto"/>
      <w:sz w:val="24"/>
      <w:szCs w:val="24"/>
      <w:lang w:val="en-GB" w:eastAsia="en-GB"/>
    </w:rPr>
  </w:style>
  <w:style w:type="character" w:styleId="CommentReference">
    <w:name w:val="annotation reference"/>
    <w:uiPriority w:val="99"/>
    <w:locked/>
    <w:rsid w:val="00B0298E"/>
    <w:rPr>
      <w:rFonts w:cs="Times New Roman"/>
      <w:sz w:val="16"/>
      <w:szCs w:val="16"/>
    </w:rPr>
  </w:style>
  <w:style w:type="character" w:customStyle="1" w:styleId="10BulletBodytextChar">
    <w:name w:val="10 Bullet Body text Char"/>
    <w:link w:val="10BulletBodytext"/>
    <w:locked/>
    <w:rsid w:val="00ED1C06"/>
    <w:rPr>
      <w:rFonts w:eastAsia="MS Mincho"/>
      <w:bCs/>
      <w:noProof/>
      <w:color w:val="000000"/>
      <w:sz w:val="24"/>
      <w:szCs w:val="24"/>
    </w:rPr>
  </w:style>
  <w:style w:type="paragraph" w:customStyle="1" w:styleId="10BulletBodytext">
    <w:name w:val="10 Bullet Body text"/>
    <w:basedOn w:val="Normal"/>
    <w:link w:val="10BulletBodytextChar"/>
    <w:qFormat/>
    <w:rsid w:val="00ED1C06"/>
    <w:pPr>
      <w:numPr>
        <w:numId w:val="20"/>
      </w:numPr>
      <w:spacing w:line="240" w:lineRule="exact"/>
      <w:ind w:left="993" w:hanging="284"/>
    </w:pPr>
    <w:rPr>
      <w:rFonts w:eastAsia="MS Mincho"/>
      <w:bCs/>
      <w:noProof/>
      <w:color w:val="000000"/>
      <w:sz w:val="24"/>
      <w:szCs w:val="24"/>
      <w:lang w:val="en-US"/>
    </w:rPr>
  </w:style>
  <w:style w:type="paragraph" w:customStyle="1" w:styleId="Bullet-Blue">
    <w:name w:val="Bullet-Blue"/>
    <w:basedOn w:val="Normal"/>
    <w:link w:val="Bullet-BlueChar"/>
    <w:qFormat/>
    <w:rsid w:val="00B0298E"/>
    <w:pPr>
      <w:numPr>
        <w:numId w:val="21"/>
      </w:numPr>
      <w:spacing w:before="60" w:after="60" w:line="240" w:lineRule="atLeast"/>
      <w:jc w:val="both"/>
    </w:pPr>
    <w:rPr>
      <w:rFonts w:ascii="Times New Roman" w:eastAsia="Times New Roman" w:hAnsi="Times New Roman" w:cstheme="minorBidi"/>
      <w:color w:val="auto"/>
      <w:sz w:val="24"/>
      <w:szCs w:val="22"/>
      <w:lang w:eastAsia="en-GB"/>
    </w:rPr>
  </w:style>
  <w:style w:type="character" w:customStyle="1" w:styleId="Bullet-BlueChar">
    <w:name w:val="Bullet-Blue Char"/>
    <w:basedOn w:val="DefaultParagraphFont"/>
    <w:link w:val="Bullet-Blue"/>
    <w:rsid w:val="00B0298E"/>
    <w:rPr>
      <w:rFonts w:ascii="Times New Roman" w:eastAsia="Times New Roman" w:hAnsi="Times New Roman" w:cstheme="minorBidi"/>
      <w:color w:val="auto"/>
      <w:sz w:val="24"/>
      <w:szCs w:val="22"/>
      <w:lang w:val="en-GB" w:eastAsia="en-GB"/>
    </w:rPr>
  </w:style>
  <w:style w:type="character" w:customStyle="1" w:styleId="casenumber">
    <w:name w:val="casenumber"/>
    <w:basedOn w:val="DefaultParagraphFont"/>
    <w:rsid w:val="00B0298E"/>
  </w:style>
  <w:style w:type="table" w:customStyle="1" w:styleId="ListTable3-Accent21">
    <w:name w:val="List Table 3 - Accent 21"/>
    <w:basedOn w:val="TableNormal"/>
    <w:uiPriority w:val="48"/>
    <w:rsid w:val="00B0298E"/>
    <w:pPr>
      <w:spacing w:after="0"/>
    </w:pPr>
    <w:tblPr>
      <w:tblStyleRowBandSize w:val="1"/>
      <w:tblStyleColBandSize w:val="1"/>
      <w:tblBorders>
        <w:top w:val="single" w:sz="4" w:space="0" w:color="0093D5" w:themeColor="accent2"/>
        <w:left w:val="single" w:sz="4" w:space="0" w:color="0093D5" w:themeColor="accent2"/>
        <w:bottom w:val="single" w:sz="4" w:space="0" w:color="0093D5" w:themeColor="accent2"/>
        <w:right w:val="single" w:sz="4" w:space="0" w:color="0093D5" w:themeColor="accent2"/>
      </w:tblBorders>
    </w:tblPr>
    <w:tblStylePr w:type="firstRow">
      <w:rPr>
        <w:b/>
        <w:bCs/>
        <w:color w:val="FFFFFF" w:themeColor="background1"/>
      </w:rPr>
      <w:tblPr/>
      <w:tcPr>
        <w:shd w:val="clear" w:color="auto" w:fill="0093D5" w:themeFill="accent2"/>
      </w:tcPr>
    </w:tblStylePr>
    <w:tblStylePr w:type="lastRow">
      <w:rPr>
        <w:b/>
        <w:bCs/>
      </w:rPr>
      <w:tblPr/>
      <w:tcPr>
        <w:tcBorders>
          <w:top w:val="double" w:sz="4" w:space="0" w:color="0093D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3D5" w:themeColor="accent2"/>
          <w:right w:val="single" w:sz="4" w:space="0" w:color="0093D5" w:themeColor="accent2"/>
        </w:tcBorders>
      </w:tcPr>
    </w:tblStylePr>
    <w:tblStylePr w:type="band1Horz">
      <w:tblPr/>
      <w:tcPr>
        <w:tcBorders>
          <w:top w:val="single" w:sz="4" w:space="0" w:color="0093D5" w:themeColor="accent2"/>
          <w:bottom w:val="single" w:sz="4" w:space="0" w:color="0093D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3D5" w:themeColor="accent2"/>
          <w:left w:val="nil"/>
        </w:tcBorders>
      </w:tcPr>
    </w:tblStylePr>
    <w:tblStylePr w:type="swCell">
      <w:tblPr/>
      <w:tcPr>
        <w:tcBorders>
          <w:top w:val="double" w:sz="4" w:space="0" w:color="0093D5" w:themeColor="accent2"/>
          <w:right w:val="nil"/>
        </w:tcBorders>
      </w:tcPr>
    </w:tblStylePr>
  </w:style>
  <w:style w:type="numbering" w:customStyle="1" w:styleId="LFO3">
    <w:name w:val="LFO3"/>
    <w:basedOn w:val="NoList"/>
    <w:rsid w:val="00B0298E"/>
    <w:pPr>
      <w:numPr>
        <w:numId w:val="22"/>
      </w:numPr>
    </w:pPr>
  </w:style>
  <w:style w:type="numbering" w:customStyle="1" w:styleId="LFO27">
    <w:name w:val="LFO27"/>
    <w:basedOn w:val="NoList"/>
    <w:rsid w:val="00B0298E"/>
    <w:pPr>
      <w:numPr>
        <w:numId w:val="23"/>
      </w:numPr>
    </w:pPr>
  </w:style>
  <w:style w:type="paragraph" w:customStyle="1" w:styleId="Level1Orange">
    <w:name w:val="Level 1 Orange"/>
    <w:next w:val="Normal"/>
    <w:link w:val="Level1OrangeChar"/>
    <w:qFormat/>
    <w:rsid w:val="00B0298E"/>
    <w:pPr>
      <w:spacing w:before="240" w:after="120"/>
    </w:pPr>
    <w:rPr>
      <w:rFonts w:eastAsia="Times New Roman"/>
      <w:color w:val="D2711C"/>
      <w:sz w:val="28"/>
      <w:szCs w:val="28"/>
      <w:lang w:val="en-GB" w:eastAsia="en-GB"/>
    </w:rPr>
  </w:style>
  <w:style w:type="character" w:customStyle="1" w:styleId="Level1OrangeChar">
    <w:name w:val="Level 1 Orange Char"/>
    <w:link w:val="Level1Orange"/>
    <w:locked/>
    <w:rsid w:val="00B0298E"/>
    <w:rPr>
      <w:rFonts w:eastAsia="Times New Roman"/>
      <w:color w:val="D2711C"/>
      <w:sz w:val="28"/>
      <w:szCs w:val="28"/>
      <w:lang w:val="en-GB" w:eastAsia="en-GB"/>
    </w:rPr>
  </w:style>
  <w:style w:type="paragraph" w:customStyle="1" w:styleId="StyleReporttextLinespacingsingle">
    <w:name w:val="Style Report text + Line spacing:  single"/>
    <w:basedOn w:val="Normal"/>
    <w:rsid w:val="00B0298E"/>
    <w:pPr>
      <w:keepLines/>
      <w:tabs>
        <w:tab w:val="num" w:pos="2099"/>
      </w:tabs>
      <w:ind w:left="720" w:hanging="720"/>
    </w:pPr>
    <w:rPr>
      <w:rFonts w:ascii="Times New Roman" w:eastAsia="MS PGothic" w:hAnsi="Times New Roman" w:cs="Times New Roman"/>
      <w:color w:val="000000"/>
      <w:sz w:val="24"/>
      <w:szCs w:val="24"/>
      <w:lang w:val="en-US" w:eastAsia="en-GB"/>
    </w:rPr>
  </w:style>
  <w:style w:type="paragraph" w:styleId="Revision">
    <w:name w:val="Revision"/>
    <w:hidden/>
    <w:uiPriority w:val="99"/>
    <w:semiHidden/>
    <w:rsid w:val="00B0298E"/>
    <w:pPr>
      <w:spacing w:after="0"/>
    </w:pPr>
    <w:rPr>
      <w:lang w:val="en-GB"/>
    </w:rPr>
  </w:style>
  <w:style w:type="paragraph" w:styleId="Quote">
    <w:name w:val="Quote"/>
    <w:basedOn w:val="Normal"/>
    <w:link w:val="QuoteChar"/>
    <w:uiPriority w:val="4"/>
    <w:qFormat/>
    <w:locked/>
    <w:rsid w:val="00B0298E"/>
    <w:pPr>
      <w:spacing w:before="200" w:after="200" w:line="280" w:lineRule="atLeast"/>
      <w:ind w:left="567" w:right="567"/>
      <w:jc w:val="both"/>
    </w:pPr>
    <w:rPr>
      <w:rFonts w:ascii="Times New Roman" w:eastAsiaTheme="minorHAnsi" w:hAnsi="Times New Roman" w:cs="Times New Roman"/>
      <w:i/>
      <w:iCs/>
      <w:color w:val="auto"/>
      <w:sz w:val="24"/>
      <w:szCs w:val="24"/>
      <w:lang w:eastAsia="en-GB"/>
    </w:rPr>
  </w:style>
  <w:style w:type="character" w:customStyle="1" w:styleId="QuoteChar">
    <w:name w:val="Quote Char"/>
    <w:basedOn w:val="DefaultParagraphFont"/>
    <w:link w:val="Quote"/>
    <w:uiPriority w:val="4"/>
    <w:rsid w:val="00B0298E"/>
    <w:rPr>
      <w:rFonts w:ascii="Times New Roman" w:eastAsiaTheme="minorHAnsi" w:hAnsi="Times New Roman" w:cs="Times New Roman"/>
      <w:i/>
      <w:iCs/>
      <w:color w:val="auto"/>
      <w:sz w:val="24"/>
      <w:szCs w:val="24"/>
      <w:lang w:val="en-GB" w:eastAsia="en-GB"/>
    </w:rPr>
  </w:style>
  <w:style w:type="paragraph" w:styleId="EndnoteText">
    <w:name w:val="endnote text"/>
    <w:basedOn w:val="Normal"/>
    <w:link w:val="EndnoteTextChar"/>
    <w:uiPriority w:val="99"/>
    <w:semiHidden/>
    <w:unhideWhenUsed/>
    <w:locked/>
    <w:rsid w:val="00B0298E"/>
    <w:rPr>
      <w:rFonts w:ascii="Times New Roman" w:eastAsia="Times New Roman" w:hAnsi="Times New Roman" w:cs="Times New Roman"/>
      <w:color w:val="auto"/>
      <w:sz w:val="24"/>
      <w:szCs w:val="24"/>
      <w:lang w:eastAsia="en-GB"/>
    </w:rPr>
  </w:style>
  <w:style w:type="character" w:customStyle="1" w:styleId="EndnoteTextChar">
    <w:name w:val="Endnote Text Char"/>
    <w:basedOn w:val="DefaultParagraphFont"/>
    <w:link w:val="EndnoteText"/>
    <w:uiPriority w:val="99"/>
    <w:semiHidden/>
    <w:rsid w:val="00B0298E"/>
    <w:rPr>
      <w:rFonts w:ascii="Times New Roman" w:eastAsia="Times New Roman" w:hAnsi="Times New Roman" w:cs="Times New Roman"/>
      <w:color w:val="auto"/>
      <w:sz w:val="24"/>
      <w:szCs w:val="24"/>
      <w:lang w:val="en-GB" w:eastAsia="en-GB"/>
    </w:rPr>
  </w:style>
  <w:style w:type="character" w:styleId="EndnoteReference">
    <w:name w:val="endnote reference"/>
    <w:basedOn w:val="DefaultParagraphFont"/>
    <w:uiPriority w:val="99"/>
    <w:semiHidden/>
    <w:unhideWhenUsed/>
    <w:locked/>
    <w:rsid w:val="00B0298E"/>
    <w:rPr>
      <w:vertAlign w:val="superscript"/>
    </w:rPr>
  </w:style>
  <w:style w:type="paragraph" w:customStyle="1" w:styleId="Headsubbold">
    <w:name w:val="Head sub bold"/>
    <w:basedOn w:val="Normal"/>
    <w:link w:val="HeadsubboldChar"/>
    <w:qFormat/>
    <w:rsid w:val="002A1A42"/>
    <w:pPr>
      <w:spacing w:before="240" w:after="120" w:line="360" w:lineRule="auto"/>
      <w:ind w:firstLine="794"/>
      <w:jc w:val="both"/>
    </w:pPr>
    <w:rPr>
      <w:rFonts w:eastAsia="Times New Roman"/>
      <w:b/>
      <w:color w:val="auto"/>
      <w:sz w:val="24"/>
      <w:szCs w:val="24"/>
      <w:lang w:eastAsia="en-GB"/>
    </w:rPr>
  </w:style>
  <w:style w:type="character" w:customStyle="1" w:styleId="HeadsubboldChar">
    <w:name w:val="Head sub bold Char"/>
    <w:link w:val="Headsubbold"/>
    <w:rsid w:val="002A1A42"/>
    <w:rPr>
      <w:rFonts w:eastAsia="Times New Roman"/>
      <w:b/>
      <w:color w:val="auto"/>
      <w:sz w:val="24"/>
      <w:szCs w:val="24"/>
      <w:lang w:val="en-GB" w:eastAsia="en-GB"/>
    </w:rPr>
  </w:style>
  <w:style w:type="table" w:customStyle="1" w:styleId="LightList-Accent11">
    <w:name w:val="Light List - Accent 11"/>
    <w:basedOn w:val="TableNormal"/>
    <w:uiPriority w:val="61"/>
    <w:rsid w:val="00B0298E"/>
    <w:pPr>
      <w:spacing w:after="0"/>
    </w:pPr>
    <w:rPr>
      <w:rFonts w:asciiTheme="minorHAnsi" w:eastAsiaTheme="minorHAnsi" w:hAnsiTheme="minorHAnsi" w:cstheme="minorBidi"/>
      <w:color w:val="auto"/>
      <w:sz w:val="22"/>
      <w:szCs w:val="22"/>
      <w:lang w:val="en-GB" w:eastAsia="en-US"/>
    </w:rPr>
    <w:tblPr>
      <w:tblStyleRowBandSize w:val="1"/>
      <w:tblStyleColBandSize w:val="1"/>
      <w:tblBorders>
        <w:top w:val="single" w:sz="8" w:space="0" w:color="D2711C" w:themeColor="accent1"/>
        <w:left w:val="single" w:sz="8" w:space="0" w:color="D2711C" w:themeColor="accent1"/>
        <w:bottom w:val="single" w:sz="8" w:space="0" w:color="D2711C" w:themeColor="accent1"/>
        <w:right w:val="single" w:sz="8" w:space="0" w:color="D2711C" w:themeColor="accent1"/>
      </w:tblBorders>
    </w:tblPr>
    <w:tblStylePr w:type="firstRow">
      <w:pPr>
        <w:spacing w:before="0" w:after="0" w:line="240" w:lineRule="auto"/>
      </w:pPr>
      <w:rPr>
        <w:b/>
        <w:bCs/>
        <w:color w:val="FFFFFF" w:themeColor="background1"/>
      </w:rPr>
      <w:tblPr/>
      <w:tcPr>
        <w:shd w:val="clear" w:color="auto" w:fill="D2711C" w:themeFill="accent1"/>
      </w:tcPr>
    </w:tblStylePr>
    <w:tblStylePr w:type="lastRow">
      <w:pPr>
        <w:spacing w:before="0" w:after="0" w:line="240" w:lineRule="auto"/>
      </w:pPr>
      <w:rPr>
        <w:b/>
        <w:bCs/>
      </w:rPr>
      <w:tblPr/>
      <w:tcPr>
        <w:tcBorders>
          <w:top w:val="double" w:sz="6" w:space="0" w:color="D2711C" w:themeColor="accent1"/>
          <w:left w:val="single" w:sz="8" w:space="0" w:color="D2711C" w:themeColor="accent1"/>
          <w:bottom w:val="single" w:sz="8" w:space="0" w:color="D2711C" w:themeColor="accent1"/>
          <w:right w:val="single" w:sz="8" w:space="0" w:color="D2711C" w:themeColor="accent1"/>
        </w:tcBorders>
      </w:tcPr>
    </w:tblStylePr>
    <w:tblStylePr w:type="firstCol">
      <w:rPr>
        <w:b/>
        <w:bCs/>
      </w:rPr>
    </w:tblStylePr>
    <w:tblStylePr w:type="lastCol">
      <w:rPr>
        <w:b/>
        <w:bCs/>
      </w:rPr>
    </w:tblStylePr>
    <w:tblStylePr w:type="band1Vert">
      <w:tblPr/>
      <w:tcPr>
        <w:tcBorders>
          <w:top w:val="single" w:sz="8" w:space="0" w:color="D2711C" w:themeColor="accent1"/>
          <w:left w:val="single" w:sz="8" w:space="0" w:color="D2711C" w:themeColor="accent1"/>
          <w:bottom w:val="single" w:sz="8" w:space="0" w:color="D2711C" w:themeColor="accent1"/>
          <w:right w:val="single" w:sz="8" w:space="0" w:color="D2711C" w:themeColor="accent1"/>
        </w:tcBorders>
      </w:tcPr>
    </w:tblStylePr>
    <w:tblStylePr w:type="band1Horz">
      <w:tblPr/>
      <w:tcPr>
        <w:tcBorders>
          <w:top w:val="single" w:sz="8" w:space="0" w:color="D2711C" w:themeColor="accent1"/>
          <w:left w:val="single" w:sz="8" w:space="0" w:color="D2711C" w:themeColor="accent1"/>
          <w:bottom w:val="single" w:sz="8" w:space="0" w:color="D2711C" w:themeColor="accent1"/>
          <w:right w:val="single" w:sz="8" w:space="0" w:color="D2711C" w:themeColor="accent1"/>
        </w:tcBorders>
      </w:tcPr>
    </w:tblStylePr>
  </w:style>
  <w:style w:type="character" w:styleId="Strong">
    <w:name w:val="Strong"/>
    <w:basedOn w:val="DefaultParagraphFont"/>
    <w:uiPriority w:val="22"/>
    <w:qFormat/>
    <w:locked/>
    <w:rsid w:val="001A351F"/>
    <w:rPr>
      <w:bCs/>
    </w:rPr>
  </w:style>
  <w:style w:type="table" w:customStyle="1" w:styleId="MediumShading2-Accent11">
    <w:name w:val="Medium Shading 2 - Accent 11"/>
    <w:basedOn w:val="TableNormal"/>
    <w:uiPriority w:val="64"/>
    <w:rsid w:val="00B0298E"/>
    <w:pPr>
      <w:spacing w:after="0"/>
    </w:pPr>
    <w:rPr>
      <w:rFonts w:asciiTheme="minorHAnsi" w:eastAsiaTheme="minorHAnsi" w:hAnsiTheme="minorHAnsi" w:cstheme="minorBidi"/>
      <w:color w:val="auto"/>
      <w:sz w:val="22"/>
      <w:szCs w:val="22"/>
      <w:lang w:val="en-GB"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711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711C" w:themeFill="accent1"/>
      </w:tcPr>
    </w:tblStylePr>
    <w:tblStylePr w:type="lastCol">
      <w:rPr>
        <w:b/>
        <w:bCs/>
        <w:color w:val="FFFFFF" w:themeColor="background1"/>
      </w:rPr>
      <w:tblPr/>
      <w:tcPr>
        <w:tcBorders>
          <w:left w:val="nil"/>
          <w:right w:val="nil"/>
          <w:insideH w:val="nil"/>
          <w:insideV w:val="nil"/>
        </w:tcBorders>
        <w:shd w:val="clear" w:color="auto" w:fill="D2711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Accent11">
    <w:name w:val="Medium List 1 - Accent 11"/>
    <w:basedOn w:val="TableNormal"/>
    <w:uiPriority w:val="65"/>
    <w:rsid w:val="00B0298E"/>
    <w:pPr>
      <w:spacing w:after="0"/>
    </w:pPr>
    <w:rPr>
      <w:rFonts w:asciiTheme="minorHAnsi" w:eastAsiaTheme="minorHAnsi" w:hAnsiTheme="minorHAnsi" w:cstheme="minorBidi"/>
      <w:sz w:val="22"/>
      <w:szCs w:val="22"/>
      <w:lang w:val="en-GB" w:eastAsia="en-US"/>
    </w:rPr>
    <w:tblPr>
      <w:tblStyleRowBandSize w:val="1"/>
      <w:tblStyleColBandSize w:val="1"/>
      <w:tblBorders>
        <w:top w:val="single" w:sz="8" w:space="0" w:color="D2711C" w:themeColor="accent1"/>
        <w:bottom w:val="single" w:sz="8" w:space="0" w:color="D2711C" w:themeColor="accent1"/>
      </w:tblBorders>
    </w:tblPr>
    <w:tblStylePr w:type="firstRow">
      <w:rPr>
        <w:rFonts w:asciiTheme="majorHAnsi" w:eastAsiaTheme="majorEastAsia" w:hAnsiTheme="majorHAnsi" w:cstheme="majorBidi"/>
      </w:rPr>
      <w:tblPr/>
      <w:tcPr>
        <w:tcBorders>
          <w:top w:val="nil"/>
          <w:bottom w:val="single" w:sz="8" w:space="0" w:color="D2711C" w:themeColor="accent1"/>
        </w:tcBorders>
      </w:tcPr>
    </w:tblStylePr>
    <w:tblStylePr w:type="lastRow">
      <w:rPr>
        <w:b/>
        <w:bCs/>
        <w:color w:val="B2B2B2" w:themeColor="text2"/>
      </w:rPr>
      <w:tblPr/>
      <w:tcPr>
        <w:tcBorders>
          <w:top w:val="single" w:sz="8" w:space="0" w:color="D2711C" w:themeColor="accent1"/>
          <w:bottom w:val="single" w:sz="8" w:space="0" w:color="D2711C" w:themeColor="accent1"/>
        </w:tcBorders>
      </w:tcPr>
    </w:tblStylePr>
    <w:tblStylePr w:type="firstCol">
      <w:rPr>
        <w:b/>
        <w:bCs/>
      </w:rPr>
    </w:tblStylePr>
    <w:tblStylePr w:type="lastCol">
      <w:rPr>
        <w:b/>
        <w:bCs/>
      </w:rPr>
      <w:tblPr/>
      <w:tcPr>
        <w:tcBorders>
          <w:top w:val="single" w:sz="8" w:space="0" w:color="D2711C" w:themeColor="accent1"/>
          <w:bottom w:val="single" w:sz="8" w:space="0" w:color="D2711C" w:themeColor="accent1"/>
        </w:tcBorders>
      </w:tcPr>
    </w:tblStylePr>
    <w:tblStylePr w:type="band1Vert">
      <w:tblPr/>
      <w:tcPr>
        <w:shd w:val="clear" w:color="auto" w:fill="F7DBC3" w:themeFill="accent1" w:themeFillTint="3F"/>
      </w:tcPr>
    </w:tblStylePr>
    <w:tblStylePr w:type="band1Horz">
      <w:tblPr/>
      <w:tcPr>
        <w:shd w:val="clear" w:color="auto" w:fill="F7DBC3" w:themeFill="accent1" w:themeFillTint="3F"/>
      </w:tcPr>
    </w:tblStylePr>
  </w:style>
  <w:style w:type="table" w:styleId="LightGrid-Accent2">
    <w:name w:val="Light Grid Accent 2"/>
    <w:basedOn w:val="TableNormal"/>
    <w:uiPriority w:val="62"/>
    <w:locked/>
    <w:rsid w:val="00B0298E"/>
    <w:pPr>
      <w:spacing w:after="0"/>
    </w:pPr>
    <w:rPr>
      <w:rFonts w:asciiTheme="minorHAnsi" w:eastAsiaTheme="minorHAnsi" w:hAnsiTheme="minorHAnsi" w:cstheme="minorBidi"/>
      <w:color w:val="auto"/>
      <w:sz w:val="22"/>
      <w:szCs w:val="22"/>
      <w:lang w:val="en-GB" w:eastAsia="en-US"/>
    </w:rPr>
    <w:tblPr>
      <w:tblStyleRowBandSize w:val="1"/>
      <w:tblStyleColBandSize w:val="1"/>
      <w:tblBorders>
        <w:top w:val="single" w:sz="8" w:space="0" w:color="0093D5" w:themeColor="accent2"/>
        <w:left w:val="single" w:sz="8" w:space="0" w:color="0093D5" w:themeColor="accent2"/>
        <w:bottom w:val="single" w:sz="8" w:space="0" w:color="0093D5" w:themeColor="accent2"/>
        <w:right w:val="single" w:sz="8" w:space="0" w:color="0093D5" w:themeColor="accent2"/>
        <w:insideH w:val="single" w:sz="8" w:space="0" w:color="0093D5" w:themeColor="accent2"/>
        <w:insideV w:val="single" w:sz="8" w:space="0" w:color="0093D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3D5" w:themeColor="accent2"/>
          <w:left w:val="single" w:sz="8" w:space="0" w:color="0093D5" w:themeColor="accent2"/>
          <w:bottom w:val="single" w:sz="18" w:space="0" w:color="0093D5" w:themeColor="accent2"/>
          <w:right w:val="single" w:sz="8" w:space="0" w:color="0093D5" w:themeColor="accent2"/>
          <w:insideH w:val="nil"/>
          <w:insideV w:val="single" w:sz="8" w:space="0" w:color="0093D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3D5" w:themeColor="accent2"/>
          <w:left w:val="single" w:sz="8" w:space="0" w:color="0093D5" w:themeColor="accent2"/>
          <w:bottom w:val="single" w:sz="8" w:space="0" w:color="0093D5" w:themeColor="accent2"/>
          <w:right w:val="single" w:sz="8" w:space="0" w:color="0093D5" w:themeColor="accent2"/>
          <w:insideH w:val="nil"/>
          <w:insideV w:val="single" w:sz="8" w:space="0" w:color="0093D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3D5" w:themeColor="accent2"/>
          <w:left w:val="single" w:sz="8" w:space="0" w:color="0093D5" w:themeColor="accent2"/>
          <w:bottom w:val="single" w:sz="8" w:space="0" w:color="0093D5" w:themeColor="accent2"/>
          <w:right w:val="single" w:sz="8" w:space="0" w:color="0093D5" w:themeColor="accent2"/>
        </w:tcBorders>
      </w:tcPr>
    </w:tblStylePr>
    <w:tblStylePr w:type="band1Vert">
      <w:tblPr/>
      <w:tcPr>
        <w:tcBorders>
          <w:top w:val="single" w:sz="8" w:space="0" w:color="0093D5" w:themeColor="accent2"/>
          <w:left w:val="single" w:sz="8" w:space="0" w:color="0093D5" w:themeColor="accent2"/>
          <w:bottom w:val="single" w:sz="8" w:space="0" w:color="0093D5" w:themeColor="accent2"/>
          <w:right w:val="single" w:sz="8" w:space="0" w:color="0093D5" w:themeColor="accent2"/>
        </w:tcBorders>
        <w:shd w:val="clear" w:color="auto" w:fill="B5E7FF" w:themeFill="accent2" w:themeFillTint="3F"/>
      </w:tcPr>
    </w:tblStylePr>
    <w:tblStylePr w:type="band1Horz">
      <w:tblPr/>
      <w:tcPr>
        <w:tcBorders>
          <w:top w:val="single" w:sz="8" w:space="0" w:color="0093D5" w:themeColor="accent2"/>
          <w:left w:val="single" w:sz="8" w:space="0" w:color="0093D5" w:themeColor="accent2"/>
          <w:bottom w:val="single" w:sz="8" w:space="0" w:color="0093D5" w:themeColor="accent2"/>
          <w:right w:val="single" w:sz="8" w:space="0" w:color="0093D5" w:themeColor="accent2"/>
          <w:insideV w:val="single" w:sz="8" w:space="0" w:color="0093D5" w:themeColor="accent2"/>
        </w:tcBorders>
        <w:shd w:val="clear" w:color="auto" w:fill="B5E7FF" w:themeFill="accent2" w:themeFillTint="3F"/>
      </w:tcPr>
    </w:tblStylePr>
    <w:tblStylePr w:type="band2Horz">
      <w:tblPr/>
      <w:tcPr>
        <w:tcBorders>
          <w:top w:val="single" w:sz="8" w:space="0" w:color="0093D5" w:themeColor="accent2"/>
          <w:left w:val="single" w:sz="8" w:space="0" w:color="0093D5" w:themeColor="accent2"/>
          <w:bottom w:val="single" w:sz="8" w:space="0" w:color="0093D5" w:themeColor="accent2"/>
          <w:right w:val="single" w:sz="8" w:space="0" w:color="0093D5" w:themeColor="accent2"/>
          <w:insideV w:val="single" w:sz="8" w:space="0" w:color="0093D5" w:themeColor="accent2"/>
        </w:tcBorders>
      </w:tcPr>
    </w:tblStylePr>
  </w:style>
  <w:style w:type="character" w:customStyle="1" w:styleId="hvr">
    <w:name w:val="hvr"/>
    <w:basedOn w:val="DefaultParagraphFont"/>
    <w:rsid w:val="00B0298E"/>
  </w:style>
  <w:style w:type="character" w:styleId="FollowedHyperlink">
    <w:name w:val="FollowedHyperlink"/>
    <w:basedOn w:val="DefaultParagraphFont"/>
    <w:uiPriority w:val="99"/>
    <w:semiHidden/>
    <w:unhideWhenUsed/>
    <w:locked/>
    <w:rsid w:val="00B0298E"/>
    <w:rPr>
      <w:color w:val="DF9B1B" w:themeColor="followedHyperlink"/>
      <w:u w:val="single"/>
    </w:rPr>
  </w:style>
  <w:style w:type="character" w:customStyle="1" w:styleId="apple-converted-space">
    <w:name w:val="apple-converted-space"/>
    <w:rsid w:val="00B0298E"/>
  </w:style>
  <w:style w:type="character" w:customStyle="1" w:styleId="legds2">
    <w:name w:val="legds2"/>
    <w:basedOn w:val="DefaultParagraphFont"/>
    <w:rsid w:val="00B0298E"/>
    <w:rPr>
      <w:vanish/>
      <w:webHidden w:val="0"/>
      <w:specVanish/>
    </w:rPr>
  </w:style>
  <w:style w:type="character" w:customStyle="1" w:styleId="HTMLPreformattedChar">
    <w:name w:val="HTML Preformatted Char"/>
    <w:basedOn w:val="DefaultParagraphFont"/>
    <w:link w:val="HTMLPreformatted"/>
    <w:uiPriority w:val="99"/>
    <w:semiHidden/>
    <w:rsid w:val="00B0298E"/>
    <w:rPr>
      <w:rFonts w:ascii="Courier New" w:eastAsia="Times New Roman" w:hAnsi="Courier New" w:cs="Courier New"/>
      <w:lang w:eastAsia="en-GB"/>
    </w:rPr>
  </w:style>
  <w:style w:type="paragraph" w:styleId="HTMLPreformatted">
    <w:name w:val="HTML Preformatted"/>
    <w:basedOn w:val="Normal"/>
    <w:link w:val="HTMLPreformattedChar"/>
    <w:uiPriority w:val="99"/>
    <w:semiHidden/>
    <w:unhideWhenUsed/>
    <w:locked/>
    <w:rsid w:val="00B029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val="en-US" w:eastAsia="en-GB"/>
    </w:rPr>
  </w:style>
  <w:style w:type="character" w:customStyle="1" w:styleId="HTMLPreformattedChar1">
    <w:name w:val="HTML Preformatted Char1"/>
    <w:basedOn w:val="DefaultParagraphFont"/>
    <w:semiHidden/>
    <w:rsid w:val="00B0298E"/>
    <w:rPr>
      <w:rFonts w:ascii="Consolas" w:hAnsi="Consolas" w:cs="Consolas"/>
      <w:lang w:val="en-GB"/>
    </w:rPr>
  </w:style>
  <w:style w:type="character" w:customStyle="1" w:styleId="CommentTextChar1">
    <w:name w:val="Comment Text Char1"/>
    <w:basedOn w:val="DefaultParagraphFont"/>
    <w:uiPriority w:val="99"/>
    <w:semiHidden/>
    <w:rsid w:val="00B0298E"/>
    <w:rPr>
      <w:rFonts w:ascii="Arial" w:eastAsiaTheme="minorEastAsia" w:hAnsi="Arial" w:cs="Arial"/>
      <w:color w:val="000000" w:themeColor="text1"/>
      <w:sz w:val="20"/>
      <w:szCs w:val="20"/>
    </w:rPr>
  </w:style>
  <w:style w:type="character" w:customStyle="1" w:styleId="BodyTextChar1">
    <w:name w:val="Body Text Char1"/>
    <w:basedOn w:val="DefaultParagraphFont"/>
    <w:uiPriority w:val="99"/>
    <w:semiHidden/>
    <w:rsid w:val="00B0298E"/>
    <w:rPr>
      <w:lang w:val="en-GB"/>
    </w:rPr>
  </w:style>
  <w:style w:type="character" w:customStyle="1" w:styleId="BodyTextIndentChar1">
    <w:name w:val="Body Text Indent Char1"/>
    <w:basedOn w:val="DefaultParagraphFont"/>
    <w:uiPriority w:val="99"/>
    <w:semiHidden/>
    <w:rsid w:val="00B0298E"/>
    <w:rPr>
      <w:lang w:val="en-GB"/>
    </w:rPr>
  </w:style>
  <w:style w:type="character" w:customStyle="1" w:styleId="BodyText2Char1">
    <w:name w:val="Body Text 2 Char1"/>
    <w:basedOn w:val="DefaultParagraphFont"/>
    <w:uiPriority w:val="99"/>
    <w:semiHidden/>
    <w:rsid w:val="00B0298E"/>
    <w:rPr>
      <w:lang w:val="en-GB"/>
    </w:rPr>
  </w:style>
  <w:style w:type="character" w:customStyle="1" w:styleId="BodyTextIndent3Char1">
    <w:name w:val="Body Text Indent 3 Char1"/>
    <w:basedOn w:val="DefaultParagraphFont"/>
    <w:uiPriority w:val="99"/>
    <w:semiHidden/>
    <w:rsid w:val="00B0298E"/>
    <w:rPr>
      <w:sz w:val="16"/>
      <w:szCs w:val="16"/>
      <w:lang w:val="en-GB"/>
    </w:rPr>
  </w:style>
  <w:style w:type="character" w:customStyle="1" w:styleId="CommentSubjectChar1">
    <w:name w:val="Comment Subject Char1"/>
    <w:basedOn w:val="CommentTextChar1"/>
    <w:uiPriority w:val="99"/>
    <w:semiHidden/>
    <w:rsid w:val="00B0298E"/>
    <w:rPr>
      <w:rFonts w:ascii="Arial" w:eastAsiaTheme="minorEastAsia" w:hAnsi="Arial" w:cs="Arial"/>
      <w:b/>
      <w:bCs/>
      <w:color w:val="000000" w:themeColor="text1"/>
      <w:sz w:val="20"/>
      <w:szCs w:val="20"/>
    </w:rPr>
  </w:style>
  <w:style w:type="paragraph" w:customStyle="1" w:styleId="Body2">
    <w:name w:val="Body 2"/>
    <w:basedOn w:val="Normal"/>
    <w:rsid w:val="00B0298E"/>
    <w:pPr>
      <w:ind w:left="851"/>
    </w:pPr>
    <w:rPr>
      <w:rFonts w:ascii="Times New Roman" w:eastAsia="Times New Roman" w:hAnsi="Times New Roman" w:cs="Times New Roman"/>
      <w:color w:val="auto"/>
      <w:sz w:val="24"/>
      <w:szCs w:val="24"/>
      <w:lang w:eastAsia="en-GB"/>
    </w:rPr>
  </w:style>
  <w:style w:type="character" w:customStyle="1" w:styleId="NumberedChar">
    <w:name w:val="Numbered Char"/>
    <w:link w:val="Numbered"/>
    <w:locked/>
    <w:rsid w:val="00B0298E"/>
    <w:rPr>
      <w:rFonts w:eastAsia="Times New Roman"/>
      <w:spacing w:val="-4"/>
      <w:lang w:eastAsia="en-GB"/>
    </w:rPr>
  </w:style>
  <w:style w:type="paragraph" w:customStyle="1" w:styleId="Numbered">
    <w:name w:val="Numbered"/>
    <w:basedOn w:val="Normal"/>
    <w:link w:val="NumberedChar"/>
    <w:qFormat/>
    <w:rsid w:val="00B0298E"/>
    <w:pPr>
      <w:numPr>
        <w:numId w:val="24"/>
      </w:numPr>
      <w:tabs>
        <w:tab w:val="num" w:pos="284"/>
      </w:tabs>
      <w:spacing w:after="120"/>
      <w:ind w:left="644"/>
    </w:pPr>
    <w:rPr>
      <w:rFonts w:eastAsia="Times New Roman"/>
      <w:spacing w:val="-4"/>
      <w:lang w:val="en-US" w:eastAsia="en-GB"/>
    </w:rPr>
  </w:style>
  <w:style w:type="character" w:customStyle="1" w:styleId="BodyORANGEChar">
    <w:name w:val="Body ORANGE Char"/>
    <w:link w:val="BodyORANGE"/>
    <w:locked/>
    <w:rsid w:val="00B0298E"/>
    <w:rPr>
      <w:color w:val="4F81BD"/>
      <w:spacing w:val="-4"/>
      <w:lang w:eastAsia="en-GB"/>
    </w:rPr>
  </w:style>
  <w:style w:type="paragraph" w:customStyle="1" w:styleId="BodyORANGE">
    <w:name w:val="Body ORANGE"/>
    <w:next w:val="BodyText1"/>
    <w:link w:val="BodyORANGEChar"/>
    <w:rsid w:val="00B0298E"/>
    <w:pPr>
      <w:spacing w:before="200" w:after="120"/>
    </w:pPr>
    <w:rPr>
      <w:color w:val="4F81BD"/>
      <w:spacing w:val="-4"/>
      <w:lang w:eastAsia="en-GB"/>
    </w:rPr>
  </w:style>
  <w:style w:type="character" w:customStyle="1" w:styleId="BulletORANGEChar">
    <w:name w:val="Bullet ORANGE Char"/>
    <w:link w:val="BulletORANGE"/>
    <w:uiPriority w:val="99"/>
    <w:locked/>
    <w:rsid w:val="00B0298E"/>
    <w:rPr>
      <w:rFonts w:ascii="Times New Roman" w:eastAsia="Times New Roman" w:hAnsi="Times New Roman" w:cs="Times New Roman"/>
      <w:color w:val="auto"/>
      <w:spacing w:val="-4"/>
      <w:sz w:val="24"/>
      <w:szCs w:val="24"/>
      <w:lang w:val="en-GB" w:eastAsia="en-GB"/>
    </w:rPr>
  </w:style>
  <w:style w:type="paragraph" w:customStyle="1" w:styleId="ReportNumberedList2">
    <w:name w:val="Report Numbered List 2"/>
    <w:basedOn w:val="Normal"/>
    <w:rsid w:val="00B0298E"/>
    <w:pPr>
      <w:numPr>
        <w:numId w:val="25"/>
      </w:numPr>
    </w:pPr>
    <w:rPr>
      <w:rFonts w:ascii="Book Antiqua" w:eastAsia="Times New Roman" w:hAnsi="Book Antiqua" w:cs="Times New Roman"/>
      <w:color w:val="auto"/>
      <w:kern w:val="20"/>
      <w:sz w:val="24"/>
      <w:szCs w:val="24"/>
      <w:lang w:eastAsia="en-GB"/>
    </w:rPr>
  </w:style>
  <w:style w:type="character" w:customStyle="1" w:styleId="z-BottomofFormChar1">
    <w:name w:val="z-Bottom of Form Char1"/>
    <w:basedOn w:val="DefaultParagraphFont"/>
    <w:uiPriority w:val="99"/>
    <w:semiHidden/>
    <w:rsid w:val="00B0298E"/>
    <w:rPr>
      <w:vanish/>
      <w:sz w:val="16"/>
      <w:szCs w:val="16"/>
      <w:lang w:val="en-GB"/>
    </w:rPr>
  </w:style>
  <w:style w:type="paragraph" w:customStyle="1" w:styleId="Quotes">
    <w:name w:val="Quotes"/>
    <w:next w:val="Normal"/>
    <w:uiPriority w:val="99"/>
    <w:rsid w:val="00B0298E"/>
    <w:pPr>
      <w:spacing w:before="240" w:after="240"/>
      <w:ind w:right="956"/>
    </w:pPr>
    <w:rPr>
      <w:rFonts w:eastAsia="Times New Roman"/>
      <w:i/>
      <w:color w:val="D2711C"/>
      <w:spacing w:val="-4"/>
      <w:sz w:val="22"/>
      <w:szCs w:val="24"/>
      <w:lang w:val="en-GB" w:eastAsia="en-GB"/>
    </w:rPr>
  </w:style>
  <w:style w:type="character" w:customStyle="1" w:styleId="maintitle">
    <w:name w:val="maintitle"/>
    <w:rsid w:val="00B0298E"/>
  </w:style>
  <w:style w:type="paragraph" w:customStyle="1" w:styleId="articledetails">
    <w:name w:val="articledetails"/>
    <w:basedOn w:val="Normal"/>
    <w:rsid w:val="00B0298E"/>
    <w:pPr>
      <w:spacing w:before="100" w:beforeAutospacing="1" w:after="100" w:afterAutospacing="1"/>
    </w:pPr>
    <w:rPr>
      <w:rFonts w:ascii="Times New Roman" w:eastAsia="Times New Roman" w:hAnsi="Times New Roman" w:cs="Times New Roman"/>
      <w:color w:val="auto"/>
      <w:sz w:val="24"/>
      <w:szCs w:val="24"/>
      <w:lang w:eastAsia="en-GB"/>
    </w:rPr>
  </w:style>
  <w:style w:type="character" w:customStyle="1" w:styleId="Heading1Char1">
    <w:name w:val="Heading 1 Char1"/>
    <w:aliases w:val="Numbered - 1 Char1,CBC Heading 1 Char1,Section Char1,Level 1 Char1,Section Heading Char1,h1 Char1,H1 Char1,H11 Char1,H12 Char1,H111 Char1,H13 Char1,H112 Char1,H14 Char1,H113 Char1,H15 Char1,H114 Char1,H16 Char1,H115 Char1,H17 Char1"/>
    <w:basedOn w:val="DefaultParagraphFont"/>
    <w:uiPriority w:val="9"/>
    <w:rsid w:val="00B0298E"/>
    <w:rPr>
      <w:rFonts w:asciiTheme="majorHAnsi" w:eastAsiaTheme="majorEastAsia" w:hAnsiTheme="majorHAnsi" w:cstheme="majorBidi"/>
      <w:b/>
      <w:bCs/>
      <w:color w:val="9D5415" w:themeColor="accent1" w:themeShade="BF"/>
      <w:sz w:val="28"/>
      <w:szCs w:val="28"/>
      <w:lang w:val="en-US"/>
    </w:rPr>
  </w:style>
  <w:style w:type="table" w:customStyle="1" w:styleId="ListTable3-Accent22">
    <w:name w:val="List Table 3 - Accent 22"/>
    <w:basedOn w:val="TableNormal"/>
    <w:uiPriority w:val="48"/>
    <w:rsid w:val="00B0298E"/>
    <w:pPr>
      <w:spacing w:after="0"/>
    </w:pPr>
    <w:tblPr>
      <w:tblStyleRowBandSize w:val="1"/>
      <w:tblStyleColBandSize w:val="1"/>
      <w:tblBorders>
        <w:top w:val="single" w:sz="4" w:space="0" w:color="0093D5" w:themeColor="accent2"/>
        <w:left w:val="single" w:sz="4" w:space="0" w:color="0093D5" w:themeColor="accent2"/>
        <w:bottom w:val="single" w:sz="4" w:space="0" w:color="0093D5" w:themeColor="accent2"/>
        <w:right w:val="single" w:sz="4" w:space="0" w:color="0093D5" w:themeColor="accent2"/>
      </w:tblBorders>
    </w:tblPr>
    <w:tblStylePr w:type="firstRow">
      <w:rPr>
        <w:b/>
        <w:bCs/>
        <w:color w:val="FFFFFF" w:themeColor="background1"/>
      </w:rPr>
      <w:tblPr/>
      <w:tcPr>
        <w:shd w:val="clear" w:color="auto" w:fill="0093D5" w:themeFill="accent2"/>
      </w:tcPr>
    </w:tblStylePr>
    <w:tblStylePr w:type="lastRow">
      <w:rPr>
        <w:b/>
        <w:bCs/>
      </w:rPr>
      <w:tblPr/>
      <w:tcPr>
        <w:tcBorders>
          <w:top w:val="double" w:sz="4" w:space="0" w:color="0093D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3D5" w:themeColor="accent2"/>
          <w:right w:val="single" w:sz="4" w:space="0" w:color="0093D5" w:themeColor="accent2"/>
        </w:tcBorders>
      </w:tcPr>
    </w:tblStylePr>
    <w:tblStylePr w:type="band1Horz">
      <w:tblPr/>
      <w:tcPr>
        <w:tcBorders>
          <w:top w:val="single" w:sz="4" w:space="0" w:color="0093D5" w:themeColor="accent2"/>
          <w:bottom w:val="single" w:sz="4" w:space="0" w:color="0093D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3D5" w:themeColor="accent2"/>
          <w:left w:val="nil"/>
        </w:tcBorders>
      </w:tcPr>
    </w:tblStylePr>
    <w:tblStylePr w:type="swCell">
      <w:tblPr/>
      <w:tcPr>
        <w:tcBorders>
          <w:top w:val="double" w:sz="4" w:space="0" w:color="0093D5" w:themeColor="accent2"/>
          <w:right w:val="nil"/>
        </w:tcBorders>
      </w:tcPr>
    </w:tblStylePr>
  </w:style>
  <w:style w:type="table" w:customStyle="1" w:styleId="GridTable4-Accent11">
    <w:name w:val="Grid Table 4 - Accent 11"/>
    <w:basedOn w:val="TableNormal"/>
    <w:uiPriority w:val="49"/>
    <w:rsid w:val="00B0298E"/>
    <w:pPr>
      <w:spacing w:after="0"/>
    </w:pPr>
    <w:rPr>
      <w:rFonts w:asciiTheme="minorHAnsi" w:eastAsiaTheme="minorHAnsi" w:hAnsiTheme="minorHAnsi" w:cstheme="minorBidi"/>
      <w:color w:val="auto"/>
      <w:sz w:val="22"/>
      <w:szCs w:val="22"/>
      <w:lang w:val="en-GB" w:eastAsia="en-US"/>
    </w:rPr>
    <w:tblPr>
      <w:tblStyleRowBandSize w:val="1"/>
      <w:tblStyleColBandSize w:val="1"/>
      <w:tblBorders>
        <w:top w:val="single" w:sz="4" w:space="0" w:color="EBA96E" w:themeColor="accent1" w:themeTint="99"/>
        <w:left w:val="single" w:sz="4" w:space="0" w:color="EBA96E" w:themeColor="accent1" w:themeTint="99"/>
        <w:bottom w:val="single" w:sz="4" w:space="0" w:color="EBA96E" w:themeColor="accent1" w:themeTint="99"/>
        <w:right w:val="single" w:sz="4" w:space="0" w:color="EBA96E" w:themeColor="accent1" w:themeTint="99"/>
        <w:insideH w:val="single" w:sz="4" w:space="0" w:color="EBA96E" w:themeColor="accent1" w:themeTint="99"/>
        <w:insideV w:val="single" w:sz="4" w:space="0" w:color="EBA96E" w:themeColor="accent1" w:themeTint="99"/>
      </w:tblBorders>
    </w:tblPr>
    <w:tblStylePr w:type="firstRow">
      <w:rPr>
        <w:b/>
        <w:bCs/>
        <w:color w:val="FFFFFF" w:themeColor="background1"/>
      </w:rPr>
      <w:tblPr/>
      <w:tcPr>
        <w:tcBorders>
          <w:top w:val="single" w:sz="4" w:space="0" w:color="D2711C" w:themeColor="accent1"/>
          <w:left w:val="single" w:sz="4" w:space="0" w:color="D2711C" w:themeColor="accent1"/>
          <w:bottom w:val="single" w:sz="4" w:space="0" w:color="D2711C" w:themeColor="accent1"/>
          <w:right w:val="single" w:sz="4" w:space="0" w:color="D2711C" w:themeColor="accent1"/>
          <w:insideH w:val="nil"/>
          <w:insideV w:val="nil"/>
        </w:tcBorders>
        <w:shd w:val="clear" w:color="auto" w:fill="D2711C" w:themeFill="accent1"/>
      </w:tcPr>
    </w:tblStylePr>
    <w:tblStylePr w:type="lastRow">
      <w:rPr>
        <w:b/>
        <w:bCs/>
      </w:rPr>
      <w:tblPr/>
      <w:tcPr>
        <w:tcBorders>
          <w:top w:val="double" w:sz="4" w:space="0" w:color="D2711C" w:themeColor="accent1"/>
        </w:tcBorders>
      </w:tcPr>
    </w:tblStylePr>
    <w:tblStylePr w:type="firstCol">
      <w:rPr>
        <w:b/>
        <w:bCs/>
      </w:rPr>
    </w:tblStylePr>
    <w:tblStylePr w:type="lastCol">
      <w:rPr>
        <w:b/>
        <w:bCs/>
      </w:rPr>
    </w:tblStylePr>
    <w:tblStylePr w:type="band1Vert">
      <w:tblPr/>
      <w:tcPr>
        <w:shd w:val="clear" w:color="auto" w:fill="F8E2CE" w:themeFill="accent1" w:themeFillTint="33"/>
      </w:tcPr>
    </w:tblStylePr>
    <w:tblStylePr w:type="band1Horz">
      <w:tblPr/>
      <w:tcPr>
        <w:shd w:val="clear" w:color="auto" w:fill="F8E2CE" w:themeFill="accent1" w:themeFillTint="33"/>
      </w:tcPr>
    </w:tblStylePr>
  </w:style>
  <w:style w:type="character" w:customStyle="1" w:styleId="A1">
    <w:name w:val="A1"/>
    <w:basedOn w:val="DefaultParagraphFont"/>
    <w:uiPriority w:val="99"/>
    <w:rsid w:val="00B0298E"/>
    <w:rPr>
      <w:rFonts w:ascii="Houschka Pro Light" w:hAnsi="Houschka Pro Light" w:hint="default"/>
      <w:color w:val="000000"/>
    </w:rPr>
  </w:style>
  <w:style w:type="paragraph" w:customStyle="1" w:styleId="Appendixpara">
    <w:name w:val="Appendix para"/>
    <w:basedOn w:val="11Bodytext"/>
    <w:link w:val="AppendixparaChar"/>
    <w:qFormat/>
    <w:rsid w:val="00B0298E"/>
    <w:pPr>
      <w:numPr>
        <w:ilvl w:val="0"/>
        <w:numId w:val="0"/>
      </w:numPr>
    </w:pPr>
    <w:rPr>
      <w:rFonts w:ascii="Times New Roman" w:eastAsia="Times New Roman" w:hAnsi="Times New Roman" w:cs="Times New Roman"/>
      <w:color w:val="auto"/>
      <w:lang w:eastAsia="en-GB"/>
    </w:rPr>
  </w:style>
  <w:style w:type="paragraph" w:customStyle="1" w:styleId="BAppendix">
    <w:name w:val="B Appendix"/>
    <w:basedOn w:val="Appendixpara"/>
    <w:link w:val="BAppendixChar"/>
    <w:qFormat/>
    <w:rsid w:val="00B0298E"/>
    <w:pPr>
      <w:numPr>
        <w:numId w:val="26"/>
      </w:numPr>
    </w:pPr>
  </w:style>
  <w:style w:type="character" w:customStyle="1" w:styleId="AppendixparaChar">
    <w:name w:val="Appendix para Char"/>
    <w:basedOn w:val="11BodytextChar"/>
    <w:link w:val="Appendixpara"/>
    <w:rsid w:val="00B0298E"/>
    <w:rPr>
      <w:rFonts w:ascii="Times New Roman" w:eastAsia="Times New Roman" w:hAnsi="Times New Roman" w:cs="Times New Roman"/>
      <w:bCs/>
      <w:color w:val="auto"/>
      <w:sz w:val="24"/>
      <w:szCs w:val="24"/>
      <w:lang w:val="en-GB" w:eastAsia="en-GB"/>
    </w:rPr>
  </w:style>
  <w:style w:type="character" w:customStyle="1" w:styleId="BAppendixChar">
    <w:name w:val="B Appendix Char"/>
    <w:basedOn w:val="AppendixparaChar"/>
    <w:link w:val="BAppendix"/>
    <w:rsid w:val="00B0298E"/>
    <w:rPr>
      <w:rFonts w:ascii="Times New Roman" w:eastAsia="Times New Roman" w:hAnsi="Times New Roman" w:cs="Times New Roman"/>
      <w:bCs/>
      <w:color w:val="auto"/>
      <w:sz w:val="24"/>
      <w:szCs w:val="24"/>
      <w:lang w:val="en-GB" w:eastAsia="en-GB"/>
    </w:rPr>
  </w:style>
  <w:style w:type="paragraph" w:styleId="Caption">
    <w:name w:val="caption"/>
    <w:basedOn w:val="Normal"/>
    <w:link w:val="CaptionChar0"/>
    <w:uiPriority w:val="99"/>
    <w:semiHidden/>
    <w:unhideWhenUsed/>
    <w:qFormat/>
    <w:locked/>
    <w:rsid w:val="00B0298E"/>
    <w:pPr>
      <w:spacing w:before="60" w:after="180" w:line="288" w:lineRule="auto"/>
      <w:ind w:left="567"/>
      <w:jc w:val="both"/>
    </w:pPr>
    <w:rPr>
      <w:rFonts w:ascii="Times New Roman" w:eastAsiaTheme="minorHAnsi" w:hAnsi="Times New Roman" w:cs="Times New Roman"/>
      <w:b/>
      <w:bCs/>
      <w:color w:val="auto"/>
      <w:sz w:val="22"/>
      <w:szCs w:val="22"/>
      <w:lang w:eastAsia="en-US"/>
    </w:rPr>
  </w:style>
  <w:style w:type="table" w:styleId="LightList-Accent1">
    <w:name w:val="Light List Accent 1"/>
    <w:basedOn w:val="TableNormal"/>
    <w:uiPriority w:val="61"/>
    <w:locked/>
    <w:rsid w:val="00B0298E"/>
    <w:pPr>
      <w:spacing w:after="0"/>
    </w:pPr>
    <w:rPr>
      <w:rFonts w:asciiTheme="minorHAnsi" w:eastAsiaTheme="minorHAnsi" w:hAnsiTheme="minorHAnsi" w:cstheme="minorBidi"/>
      <w:color w:val="auto"/>
      <w:sz w:val="22"/>
      <w:szCs w:val="22"/>
      <w:lang w:val="en-GB" w:eastAsia="en-US"/>
    </w:rPr>
    <w:tblPr>
      <w:tblStyleRowBandSize w:val="1"/>
      <w:tblStyleColBandSize w:val="1"/>
      <w:tblBorders>
        <w:top w:val="single" w:sz="8" w:space="0" w:color="D2711C" w:themeColor="accent1"/>
        <w:left w:val="single" w:sz="8" w:space="0" w:color="D2711C" w:themeColor="accent1"/>
        <w:bottom w:val="single" w:sz="8" w:space="0" w:color="D2711C" w:themeColor="accent1"/>
        <w:right w:val="single" w:sz="8" w:space="0" w:color="D2711C" w:themeColor="accent1"/>
      </w:tblBorders>
    </w:tblPr>
    <w:tblStylePr w:type="firstRow">
      <w:pPr>
        <w:spacing w:before="0" w:after="0" w:line="240" w:lineRule="auto"/>
      </w:pPr>
      <w:rPr>
        <w:b/>
        <w:bCs/>
        <w:color w:val="FFFFFF" w:themeColor="background1"/>
      </w:rPr>
      <w:tblPr/>
      <w:tcPr>
        <w:shd w:val="clear" w:color="auto" w:fill="D2711C" w:themeFill="accent1"/>
      </w:tcPr>
    </w:tblStylePr>
    <w:tblStylePr w:type="lastRow">
      <w:pPr>
        <w:spacing w:before="0" w:after="0" w:line="240" w:lineRule="auto"/>
      </w:pPr>
      <w:rPr>
        <w:b/>
        <w:bCs/>
      </w:rPr>
      <w:tblPr/>
      <w:tcPr>
        <w:tcBorders>
          <w:top w:val="double" w:sz="6" w:space="0" w:color="D2711C" w:themeColor="accent1"/>
          <w:left w:val="single" w:sz="8" w:space="0" w:color="D2711C" w:themeColor="accent1"/>
          <w:bottom w:val="single" w:sz="8" w:space="0" w:color="D2711C" w:themeColor="accent1"/>
          <w:right w:val="single" w:sz="8" w:space="0" w:color="D2711C" w:themeColor="accent1"/>
        </w:tcBorders>
      </w:tcPr>
    </w:tblStylePr>
    <w:tblStylePr w:type="firstCol">
      <w:rPr>
        <w:b/>
        <w:bCs/>
      </w:rPr>
    </w:tblStylePr>
    <w:tblStylePr w:type="lastCol">
      <w:rPr>
        <w:b/>
        <w:bCs/>
      </w:rPr>
    </w:tblStylePr>
    <w:tblStylePr w:type="band1Vert">
      <w:tblPr/>
      <w:tcPr>
        <w:tcBorders>
          <w:top w:val="single" w:sz="8" w:space="0" w:color="D2711C" w:themeColor="accent1"/>
          <w:left w:val="single" w:sz="8" w:space="0" w:color="D2711C" w:themeColor="accent1"/>
          <w:bottom w:val="single" w:sz="8" w:space="0" w:color="D2711C" w:themeColor="accent1"/>
          <w:right w:val="single" w:sz="8" w:space="0" w:color="D2711C" w:themeColor="accent1"/>
        </w:tcBorders>
      </w:tcPr>
    </w:tblStylePr>
    <w:tblStylePr w:type="band1Horz">
      <w:tblPr/>
      <w:tcPr>
        <w:tcBorders>
          <w:top w:val="single" w:sz="8" w:space="0" w:color="D2711C" w:themeColor="accent1"/>
          <w:left w:val="single" w:sz="8" w:space="0" w:color="D2711C" w:themeColor="accent1"/>
          <w:bottom w:val="single" w:sz="8" w:space="0" w:color="D2711C" w:themeColor="accent1"/>
          <w:right w:val="single" w:sz="8" w:space="0" w:color="D2711C" w:themeColor="accent1"/>
        </w:tcBorders>
      </w:tcPr>
    </w:tblStylePr>
  </w:style>
  <w:style w:type="table" w:styleId="MediumShading2-Accent1">
    <w:name w:val="Medium Shading 2 Accent 1"/>
    <w:basedOn w:val="TableNormal"/>
    <w:uiPriority w:val="64"/>
    <w:locked/>
    <w:rsid w:val="00B0298E"/>
    <w:pPr>
      <w:spacing w:after="0"/>
    </w:pPr>
    <w:rPr>
      <w:rFonts w:asciiTheme="minorHAnsi" w:eastAsiaTheme="minorHAnsi" w:hAnsiTheme="minorHAnsi" w:cstheme="minorBidi"/>
      <w:color w:val="auto"/>
      <w:sz w:val="22"/>
      <w:szCs w:val="22"/>
      <w:lang w:val="en-GB"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711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711C" w:themeFill="accent1"/>
      </w:tcPr>
    </w:tblStylePr>
    <w:tblStylePr w:type="lastCol">
      <w:rPr>
        <w:b/>
        <w:bCs/>
        <w:color w:val="FFFFFF" w:themeColor="background1"/>
      </w:rPr>
      <w:tblPr/>
      <w:tcPr>
        <w:tcBorders>
          <w:left w:val="nil"/>
          <w:right w:val="nil"/>
          <w:insideH w:val="nil"/>
          <w:insideV w:val="nil"/>
        </w:tcBorders>
        <w:shd w:val="clear" w:color="auto" w:fill="D2711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1">
    <w:name w:val="Medium List 1 Accent 1"/>
    <w:basedOn w:val="TableNormal"/>
    <w:uiPriority w:val="65"/>
    <w:locked/>
    <w:rsid w:val="00B0298E"/>
    <w:pPr>
      <w:spacing w:after="0"/>
    </w:pPr>
    <w:rPr>
      <w:rFonts w:asciiTheme="minorHAnsi" w:eastAsiaTheme="minorHAnsi" w:hAnsiTheme="minorHAnsi" w:cstheme="minorBidi"/>
      <w:sz w:val="22"/>
      <w:szCs w:val="22"/>
      <w:lang w:val="en-GB" w:eastAsia="en-US"/>
    </w:rPr>
    <w:tblPr>
      <w:tblStyleRowBandSize w:val="1"/>
      <w:tblStyleColBandSize w:val="1"/>
      <w:tblBorders>
        <w:top w:val="single" w:sz="8" w:space="0" w:color="D2711C" w:themeColor="accent1"/>
        <w:bottom w:val="single" w:sz="8" w:space="0" w:color="D2711C" w:themeColor="accent1"/>
      </w:tblBorders>
    </w:tblPr>
    <w:tblStylePr w:type="firstRow">
      <w:rPr>
        <w:rFonts w:asciiTheme="majorHAnsi" w:eastAsiaTheme="majorEastAsia" w:hAnsiTheme="majorHAnsi" w:cstheme="majorBidi"/>
      </w:rPr>
      <w:tblPr/>
      <w:tcPr>
        <w:tcBorders>
          <w:top w:val="nil"/>
          <w:bottom w:val="single" w:sz="8" w:space="0" w:color="D2711C" w:themeColor="accent1"/>
        </w:tcBorders>
      </w:tcPr>
    </w:tblStylePr>
    <w:tblStylePr w:type="lastRow">
      <w:rPr>
        <w:b/>
        <w:bCs/>
        <w:color w:val="B2B2B2" w:themeColor="text2"/>
      </w:rPr>
      <w:tblPr/>
      <w:tcPr>
        <w:tcBorders>
          <w:top w:val="single" w:sz="8" w:space="0" w:color="D2711C" w:themeColor="accent1"/>
          <w:bottom w:val="single" w:sz="8" w:space="0" w:color="D2711C" w:themeColor="accent1"/>
        </w:tcBorders>
      </w:tcPr>
    </w:tblStylePr>
    <w:tblStylePr w:type="firstCol">
      <w:rPr>
        <w:b/>
        <w:bCs/>
      </w:rPr>
    </w:tblStylePr>
    <w:tblStylePr w:type="lastCol">
      <w:rPr>
        <w:b/>
        <w:bCs/>
      </w:rPr>
      <w:tblPr/>
      <w:tcPr>
        <w:tcBorders>
          <w:top w:val="single" w:sz="8" w:space="0" w:color="D2711C" w:themeColor="accent1"/>
          <w:bottom w:val="single" w:sz="8" w:space="0" w:color="D2711C" w:themeColor="accent1"/>
        </w:tcBorders>
      </w:tcPr>
    </w:tblStylePr>
    <w:tblStylePr w:type="band1Vert">
      <w:tblPr/>
      <w:tcPr>
        <w:shd w:val="clear" w:color="auto" w:fill="F7DBC3" w:themeFill="accent1" w:themeFillTint="3F"/>
      </w:tcPr>
    </w:tblStylePr>
    <w:tblStylePr w:type="band1Horz">
      <w:tblPr/>
      <w:tcPr>
        <w:shd w:val="clear" w:color="auto" w:fill="F7DBC3" w:themeFill="accent1" w:themeFillTint="3F"/>
      </w:tcPr>
    </w:tblStylePr>
  </w:style>
  <w:style w:type="character" w:styleId="Emphasis">
    <w:name w:val="Emphasis"/>
    <w:basedOn w:val="DefaultParagraphFont"/>
    <w:uiPriority w:val="20"/>
    <w:qFormat/>
    <w:locked/>
    <w:rsid w:val="00B0298E"/>
    <w:rPr>
      <w:i/>
      <w:iCs/>
    </w:rPr>
  </w:style>
  <w:style w:type="table" w:customStyle="1" w:styleId="TableGridLight1">
    <w:name w:val="Table Grid Light1"/>
    <w:basedOn w:val="TableNormal"/>
    <w:uiPriority w:val="40"/>
    <w:rsid w:val="00B0298E"/>
    <w:pPr>
      <w:spacing w:after="0"/>
    </w:pPr>
    <w:rPr>
      <w:rFonts w:ascii="Calibri" w:eastAsia="Times New Roman" w:hAnsi="Calibri" w:cs="Times New Roman"/>
      <w:color w:val="auto"/>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LHearntable12">
    <w:name w:val="GL Hearn table 12"/>
    <w:basedOn w:val="TableNormal"/>
    <w:uiPriority w:val="99"/>
    <w:rsid w:val="00B0298E"/>
    <w:pPr>
      <w:spacing w:after="0" w:line="220" w:lineRule="atLeast"/>
    </w:pPr>
    <w:rPr>
      <w:sz w:val="18"/>
    </w:rPr>
    <w:tblPr>
      <w:tblStyleRowBandSize w:val="1"/>
      <w:tblInd w:w="794" w:type="dxa"/>
      <w:tblBorders>
        <w:top w:val="single" w:sz="2" w:space="0" w:color="0093D5"/>
        <w:left w:val="single" w:sz="2" w:space="0" w:color="0093D5"/>
        <w:bottom w:val="single" w:sz="2" w:space="0" w:color="0093D5"/>
        <w:right w:val="single" w:sz="2" w:space="0" w:color="0093D5"/>
        <w:insideH w:val="single" w:sz="2" w:space="0" w:color="0093D5"/>
        <w:insideV w:val="single" w:sz="2" w:space="0" w:color="0093D5"/>
      </w:tblBorders>
    </w:tblPr>
    <w:tcPr>
      <w:shd w:val="clear" w:color="auto" w:fill="auto"/>
    </w:tcPr>
    <w:tblStylePr w:type="firstRow">
      <w:pPr>
        <w:jc w:val="left"/>
      </w:pPr>
      <w:rPr>
        <w:rFonts w:ascii="Arial" w:hAnsi="Arial"/>
        <w:b/>
        <w:color w:val="FFFFFF" w:themeColor="background1"/>
        <w:sz w:val="20"/>
        <w:u w:val="none"/>
      </w:rPr>
      <w:tblPr/>
      <w:tcPr>
        <w:shd w:val="clear" w:color="auto" w:fill="0093D5"/>
        <w:vAlign w:val="center"/>
      </w:tcPr>
    </w:tblStylePr>
    <w:tblStylePr w:type="lastRow">
      <w:rPr>
        <w:rFonts w:ascii="Arial" w:hAnsi="Arial"/>
        <w:b/>
        <w:sz w:val="18"/>
      </w:rPr>
      <w:tblPr/>
      <w:tcPr>
        <w:shd w:val="clear" w:color="auto" w:fill="99D4EE"/>
      </w:tcPr>
    </w:tblStylePr>
    <w:tblStylePr w:type="firstCol">
      <w:rPr>
        <w:rFonts w:ascii="Arial" w:hAnsi="Arial"/>
        <w:b/>
        <w:i w:val="0"/>
        <w:color w:val="000000" w:themeColor="text1"/>
        <w:sz w:val="18"/>
      </w:rPr>
    </w:tblStylePr>
    <w:tblStylePr w:type="band2Horz">
      <w:tblPr/>
      <w:tcPr>
        <w:shd w:val="clear" w:color="auto" w:fill="C3ECFF" w:themeFill="accent2" w:themeFillTint="33"/>
      </w:tcPr>
    </w:tblStylePr>
  </w:style>
  <w:style w:type="paragraph" w:customStyle="1" w:styleId="Caption21">
    <w:name w:val="Caption21"/>
    <w:basedOn w:val="Normal"/>
    <w:next w:val="Normal"/>
    <w:rsid w:val="00B0298E"/>
    <w:pPr>
      <w:keepNext/>
      <w:spacing w:before="120" w:after="120"/>
      <w:jc w:val="center"/>
    </w:pPr>
    <w:rPr>
      <w:rFonts w:ascii="Times New Roman" w:eastAsia="Times New Roman" w:hAnsi="Times New Roman" w:cs="Times New Roman"/>
      <w:b/>
      <w:bCs/>
      <w:color w:val="auto"/>
      <w:sz w:val="24"/>
      <w:szCs w:val="24"/>
      <w:lang w:eastAsia="en-GB"/>
    </w:rPr>
  </w:style>
  <w:style w:type="paragraph" w:customStyle="1" w:styleId="Maintext">
    <w:name w:val="Main text"/>
    <w:basedOn w:val="Normal"/>
    <w:link w:val="MaintextChar"/>
    <w:qFormat/>
    <w:rsid w:val="00B0298E"/>
    <w:pPr>
      <w:tabs>
        <w:tab w:val="num" w:pos="1361"/>
      </w:tabs>
      <w:spacing w:before="180" w:line="280" w:lineRule="atLeast"/>
      <w:ind w:left="1361" w:hanging="1361"/>
    </w:pPr>
    <w:rPr>
      <w:rFonts w:ascii="Times New Roman" w:eastAsiaTheme="minorHAnsi" w:hAnsi="Times New Roman" w:cs="Times New Roman"/>
      <w:color w:val="auto"/>
      <w:sz w:val="22"/>
      <w:szCs w:val="22"/>
      <w:lang w:eastAsia="en-US"/>
    </w:rPr>
  </w:style>
  <w:style w:type="character" w:customStyle="1" w:styleId="MaintextChar">
    <w:name w:val="Main text Char"/>
    <w:link w:val="Maintext"/>
    <w:locked/>
    <w:rsid w:val="00B0298E"/>
    <w:rPr>
      <w:rFonts w:ascii="Times New Roman" w:eastAsiaTheme="minorHAnsi" w:hAnsi="Times New Roman" w:cs="Times New Roman"/>
      <w:color w:val="auto"/>
      <w:sz w:val="22"/>
      <w:szCs w:val="22"/>
      <w:lang w:val="en-GB" w:eastAsia="en-US"/>
    </w:rPr>
  </w:style>
  <w:style w:type="paragraph" w:customStyle="1" w:styleId="NumberList">
    <w:name w:val="Number List"/>
    <w:basedOn w:val="Normal"/>
    <w:qFormat/>
    <w:rsid w:val="00B0298E"/>
    <w:pPr>
      <w:tabs>
        <w:tab w:val="num" w:pos="1928"/>
      </w:tabs>
      <w:spacing w:before="100" w:after="20" w:line="280" w:lineRule="atLeast"/>
      <w:ind w:left="1928" w:hanging="567"/>
    </w:pPr>
    <w:rPr>
      <w:rFonts w:ascii="Times New Roman" w:eastAsiaTheme="minorHAnsi" w:hAnsi="Times New Roman" w:cstheme="minorBidi"/>
      <w:color w:val="D2711C" w:themeColor="accent1"/>
      <w:sz w:val="22"/>
      <w:szCs w:val="22"/>
      <w:lang w:eastAsia="en-US"/>
    </w:rPr>
  </w:style>
  <w:style w:type="character" w:styleId="SubtleEmphasis">
    <w:name w:val="Subtle Emphasis"/>
    <w:basedOn w:val="DefaultParagraphFont"/>
    <w:uiPriority w:val="19"/>
    <w:qFormat/>
    <w:locked/>
    <w:rsid w:val="00B0298E"/>
    <w:rPr>
      <w:i/>
      <w:iCs/>
      <w:color w:val="808080" w:themeColor="text1" w:themeTint="7F"/>
    </w:rPr>
  </w:style>
  <w:style w:type="paragraph" w:customStyle="1" w:styleId="story-bodyintroduction">
    <w:name w:val="story-body__introduction"/>
    <w:basedOn w:val="Normal"/>
    <w:rsid w:val="00B0298E"/>
    <w:pPr>
      <w:spacing w:before="100" w:beforeAutospacing="1" w:after="100" w:afterAutospacing="1"/>
    </w:pPr>
    <w:rPr>
      <w:rFonts w:ascii="Times New Roman" w:eastAsia="Times New Roman" w:hAnsi="Times New Roman" w:cs="Times New Roman"/>
      <w:color w:val="auto"/>
      <w:sz w:val="24"/>
      <w:szCs w:val="24"/>
      <w:lang w:eastAsia="en-GB"/>
    </w:rPr>
  </w:style>
  <w:style w:type="character" w:customStyle="1" w:styleId="A11">
    <w:name w:val="A11"/>
    <w:uiPriority w:val="99"/>
    <w:rsid w:val="00B0298E"/>
    <w:rPr>
      <w:rFonts w:cs="Gotham"/>
      <w:color w:val="000000"/>
      <w:sz w:val="18"/>
      <w:szCs w:val="18"/>
    </w:rPr>
  </w:style>
  <w:style w:type="character" w:customStyle="1" w:styleId="NoSpacingChar">
    <w:name w:val="No Spacing Char"/>
    <w:basedOn w:val="DefaultParagraphFont"/>
    <w:link w:val="NoSpacing"/>
    <w:uiPriority w:val="1"/>
    <w:rsid w:val="00B0298E"/>
    <w:rPr>
      <w:lang w:val="en-GB"/>
    </w:rPr>
  </w:style>
  <w:style w:type="paragraph" w:customStyle="1" w:styleId="type">
    <w:name w:val="type"/>
    <w:basedOn w:val="Normal"/>
    <w:rsid w:val="00B0298E"/>
    <w:pPr>
      <w:spacing w:before="100" w:beforeAutospacing="1" w:after="100" w:afterAutospacing="1"/>
    </w:pPr>
    <w:rPr>
      <w:rFonts w:ascii="Times New Roman" w:eastAsia="Times New Roman" w:hAnsi="Times New Roman" w:cs="Times New Roman"/>
      <w:color w:val="auto"/>
      <w:sz w:val="24"/>
      <w:szCs w:val="24"/>
      <w:lang w:eastAsia="en-GB"/>
    </w:rPr>
  </w:style>
  <w:style w:type="paragraph" w:customStyle="1" w:styleId="04Bodytext-10pt">
    <w:name w:val="04 Body text - 10pt"/>
    <w:basedOn w:val="Normal"/>
    <w:link w:val="04Bodytext-10ptChar"/>
    <w:qFormat/>
    <w:rsid w:val="00B0298E"/>
    <w:pPr>
      <w:spacing w:line="240" w:lineRule="atLeast"/>
    </w:pPr>
    <w:rPr>
      <w:rFonts w:ascii="Times New Roman" w:eastAsia="Times New Roman" w:hAnsi="Times New Roman" w:cs="Times New Roman"/>
      <w:color w:val="auto"/>
      <w:sz w:val="24"/>
      <w:szCs w:val="18"/>
      <w:lang w:eastAsia="en-GB"/>
    </w:rPr>
  </w:style>
  <w:style w:type="character" w:customStyle="1" w:styleId="04Bodytext-10ptChar">
    <w:name w:val="04 Body text - 10pt Char"/>
    <w:basedOn w:val="DefaultParagraphFont"/>
    <w:link w:val="04Bodytext-10pt"/>
    <w:locked/>
    <w:rsid w:val="00B0298E"/>
    <w:rPr>
      <w:rFonts w:ascii="Times New Roman" w:eastAsia="Times New Roman" w:hAnsi="Times New Roman" w:cs="Times New Roman"/>
      <w:color w:val="auto"/>
      <w:sz w:val="24"/>
      <w:szCs w:val="18"/>
      <w:lang w:val="en-GB" w:eastAsia="en-GB"/>
    </w:rPr>
  </w:style>
  <w:style w:type="paragraph" w:customStyle="1" w:styleId="Style22">
    <w:name w:val="Style22"/>
    <w:basedOn w:val="Normal"/>
    <w:link w:val="Style22Char"/>
    <w:qFormat/>
    <w:rsid w:val="00B0298E"/>
    <w:pPr>
      <w:tabs>
        <w:tab w:val="left" w:pos="567"/>
        <w:tab w:val="num" w:pos="720"/>
      </w:tabs>
      <w:spacing w:before="120" w:after="160" w:line="300" w:lineRule="auto"/>
      <w:ind w:left="794" w:hanging="397"/>
    </w:pPr>
    <w:rPr>
      <w:rFonts w:asciiTheme="minorHAnsi" w:eastAsiaTheme="majorEastAsia" w:hAnsiTheme="minorHAnsi" w:cstheme="majorBidi"/>
      <w:color w:val="auto"/>
      <w:sz w:val="24"/>
      <w:szCs w:val="24"/>
      <w:lang w:eastAsia="en-US"/>
    </w:rPr>
  </w:style>
  <w:style w:type="character" w:customStyle="1" w:styleId="Style22Char">
    <w:name w:val="Style22 Char"/>
    <w:basedOn w:val="DefaultParagraphFont"/>
    <w:link w:val="Style22"/>
    <w:rsid w:val="00B0298E"/>
    <w:rPr>
      <w:rFonts w:asciiTheme="minorHAnsi" w:eastAsiaTheme="majorEastAsia" w:hAnsiTheme="minorHAnsi" w:cstheme="majorBidi"/>
      <w:color w:val="auto"/>
      <w:sz w:val="24"/>
      <w:szCs w:val="24"/>
      <w:lang w:val="en-GB" w:eastAsia="en-US"/>
    </w:rPr>
  </w:style>
  <w:style w:type="paragraph" w:customStyle="1" w:styleId="21">
    <w:name w:val="2.1"/>
    <w:basedOn w:val="Normal"/>
    <w:autoRedefine/>
    <w:qFormat/>
    <w:rsid w:val="00B0298E"/>
    <w:pPr>
      <w:numPr>
        <w:numId w:val="27"/>
      </w:numPr>
      <w:adjustRightInd w:val="0"/>
      <w:spacing w:after="160" w:line="259" w:lineRule="auto"/>
    </w:pPr>
    <w:rPr>
      <w:rFonts w:asciiTheme="minorHAnsi" w:eastAsiaTheme="minorHAnsi" w:hAnsiTheme="minorHAnsi" w:cstheme="minorBidi"/>
      <w:color w:val="auto"/>
      <w:sz w:val="24"/>
      <w:szCs w:val="24"/>
      <w:lang w:eastAsia="en-US"/>
    </w:rPr>
  </w:style>
  <w:style w:type="character" w:styleId="BookTitle">
    <w:name w:val="Book Title"/>
    <w:basedOn w:val="DefaultParagraphFont"/>
    <w:uiPriority w:val="33"/>
    <w:qFormat/>
    <w:locked/>
    <w:rsid w:val="00B0298E"/>
    <w:rPr>
      <w:b/>
      <w:bCs/>
      <w:i/>
      <w:iCs/>
      <w:spacing w:val="5"/>
    </w:rPr>
  </w:style>
  <w:style w:type="paragraph" w:styleId="Subtitle">
    <w:name w:val="Subtitle"/>
    <w:aliases w:val="Policy Title"/>
    <w:basedOn w:val="Normal"/>
    <w:next w:val="Normal"/>
    <w:link w:val="SubtitleChar"/>
    <w:uiPriority w:val="11"/>
    <w:qFormat/>
    <w:locked/>
    <w:rsid w:val="00B0298E"/>
    <w:pPr>
      <w:numPr>
        <w:ilvl w:val="1"/>
      </w:numPr>
      <w:spacing w:after="200" w:line="276" w:lineRule="auto"/>
    </w:pPr>
    <w:rPr>
      <w:rFonts w:asciiTheme="majorHAnsi" w:eastAsiaTheme="majorEastAsia" w:hAnsiTheme="majorHAnsi" w:cstheme="majorBidi"/>
      <w:i/>
      <w:iCs/>
      <w:color w:val="2F9925"/>
      <w:spacing w:val="15"/>
      <w:sz w:val="24"/>
      <w:szCs w:val="24"/>
      <w:lang w:eastAsia="en-US"/>
    </w:rPr>
  </w:style>
  <w:style w:type="character" w:customStyle="1" w:styleId="SubtitleChar">
    <w:name w:val="Subtitle Char"/>
    <w:aliases w:val="Policy Title Char"/>
    <w:basedOn w:val="DefaultParagraphFont"/>
    <w:link w:val="Subtitle"/>
    <w:uiPriority w:val="11"/>
    <w:rsid w:val="00B0298E"/>
    <w:rPr>
      <w:rFonts w:asciiTheme="majorHAnsi" w:eastAsiaTheme="majorEastAsia" w:hAnsiTheme="majorHAnsi" w:cstheme="majorBidi"/>
      <w:i/>
      <w:iCs/>
      <w:color w:val="2F9925"/>
      <w:spacing w:val="15"/>
      <w:sz w:val="24"/>
      <w:szCs w:val="24"/>
      <w:lang w:val="en-GB" w:eastAsia="en-US"/>
    </w:rPr>
  </w:style>
  <w:style w:type="table" w:customStyle="1" w:styleId="Style1">
    <w:name w:val="Style1"/>
    <w:basedOn w:val="TableNormal"/>
    <w:uiPriority w:val="99"/>
    <w:rsid w:val="00B0298E"/>
    <w:pPr>
      <w:spacing w:after="0" w:line="300" w:lineRule="auto"/>
    </w:pPr>
    <w:rPr>
      <w:rFonts w:eastAsiaTheme="minorHAnsi" w:cstheme="minorBidi"/>
      <w:color w:val="auto"/>
      <w:szCs w:val="22"/>
      <w:lang w:val="en-GB" w:eastAsia="en-US"/>
    </w:rPr>
    <w:tblPr>
      <w:tblBorders>
        <w:top w:val="single" w:sz="4" w:space="0" w:color="0093D5" w:themeColor="accent2"/>
        <w:left w:val="single" w:sz="4" w:space="0" w:color="0093D5" w:themeColor="accent2"/>
        <w:bottom w:val="single" w:sz="4" w:space="0" w:color="0093D5" w:themeColor="accent2"/>
        <w:right w:val="single" w:sz="4" w:space="0" w:color="0093D5" w:themeColor="accent2"/>
        <w:insideH w:val="single" w:sz="4" w:space="0" w:color="0093D5" w:themeColor="accent2"/>
        <w:insideV w:val="single" w:sz="4" w:space="0" w:color="0093D5" w:themeColor="accent2"/>
      </w:tblBorders>
    </w:tblPr>
    <w:tblStylePr w:type="firstRow">
      <w:pPr>
        <w:jc w:val="center"/>
      </w:pPr>
      <w:rPr>
        <w:rFonts w:ascii="Arial" w:hAnsi="Arial"/>
        <w:b w:val="0"/>
        <w:i w:val="0"/>
        <w:color w:val="FFFFFF" w:themeColor="background1"/>
        <w:sz w:val="20"/>
      </w:rPr>
      <w:tblPr/>
      <w:tcPr>
        <w:shd w:val="clear" w:color="auto" w:fill="0093D5" w:themeFill="accent2"/>
      </w:tcPr>
    </w:tblStylePr>
    <w:tblStylePr w:type="firstCol">
      <w:pPr>
        <w:jc w:val="left"/>
      </w:pPr>
      <w:tblPr/>
      <w:tcPr>
        <w:vAlign w:val="center"/>
      </w:tcPr>
    </w:tblStylePr>
  </w:style>
  <w:style w:type="character" w:customStyle="1" w:styleId="bulletCBAChar">
    <w:name w:val="bullet CBA Char"/>
    <w:basedOn w:val="DefaultParagraphFont"/>
    <w:link w:val="bulletCBA"/>
    <w:locked/>
    <w:rsid w:val="00B0298E"/>
    <w:rPr>
      <w:rFonts w:asciiTheme="minorHAnsi" w:eastAsiaTheme="majorEastAsia" w:hAnsiTheme="minorHAnsi" w:cstheme="minorBidi"/>
      <w:sz w:val="24"/>
      <w:szCs w:val="24"/>
      <w:lang w:eastAsia="en-GB"/>
    </w:rPr>
  </w:style>
  <w:style w:type="paragraph" w:customStyle="1" w:styleId="bulletCBA">
    <w:name w:val="bullet CBA"/>
    <w:basedOn w:val="Normal"/>
    <w:link w:val="bulletCBAChar"/>
    <w:qFormat/>
    <w:rsid w:val="00B0298E"/>
    <w:pPr>
      <w:numPr>
        <w:numId w:val="31"/>
      </w:numPr>
      <w:spacing w:line="300" w:lineRule="auto"/>
    </w:pPr>
    <w:rPr>
      <w:rFonts w:asciiTheme="minorHAnsi" w:eastAsiaTheme="majorEastAsia" w:hAnsiTheme="minorHAnsi" w:cstheme="minorBidi"/>
      <w:sz w:val="24"/>
      <w:szCs w:val="24"/>
      <w:lang w:val="en-US" w:eastAsia="en-GB"/>
    </w:rPr>
  </w:style>
  <w:style w:type="character" w:customStyle="1" w:styleId="CaptionChar0">
    <w:name w:val="Caption Char"/>
    <w:basedOn w:val="DefaultParagraphFont"/>
    <w:link w:val="Caption"/>
    <w:uiPriority w:val="99"/>
    <w:semiHidden/>
    <w:locked/>
    <w:rsid w:val="00B0298E"/>
    <w:rPr>
      <w:rFonts w:ascii="Times New Roman" w:eastAsiaTheme="minorHAnsi" w:hAnsi="Times New Roman" w:cs="Times New Roman"/>
      <w:b/>
      <w:bCs/>
      <w:color w:val="auto"/>
      <w:sz w:val="22"/>
      <w:szCs w:val="22"/>
      <w:lang w:val="en-GB" w:eastAsia="en-US"/>
    </w:rPr>
  </w:style>
  <w:style w:type="table" w:customStyle="1" w:styleId="GLHearntable13">
    <w:name w:val="GL Hearn table 13"/>
    <w:basedOn w:val="TableNormal"/>
    <w:uiPriority w:val="99"/>
    <w:rsid w:val="004C78CC"/>
    <w:pPr>
      <w:spacing w:after="0" w:line="220" w:lineRule="atLeast"/>
    </w:pPr>
    <w:rPr>
      <w:sz w:val="18"/>
    </w:rPr>
    <w:tblPr>
      <w:tblStyleRowBandSize w:val="1"/>
      <w:tblInd w:w="794" w:type="dxa"/>
      <w:tblBorders>
        <w:top w:val="single" w:sz="2" w:space="0" w:color="0093D5"/>
        <w:left w:val="single" w:sz="2" w:space="0" w:color="0093D5"/>
        <w:bottom w:val="single" w:sz="2" w:space="0" w:color="0093D5"/>
        <w:right w:val="single" w:sz="2" w:space="0" w:color="0093D5"/>
        <w:insideH w:val="single" w:sz="2" w:space="0" w:color="0093D5"/>
        <w:insideV w:val="single" w:sz="2" w:space="0" w:color="0093D5"/>
      </w:tblBorders>
    </w:tblPr>
    <w:tcPr>
      <w:shd w:val="clear" w:color="auto" w:fill="auto"/>
    </w:tcPr>
    <w:tblStylePr w:type="firstRow">
      <w:pPr>
        <w:jc w:val="left"/>
      </w:pPr>
      <w:rPr>
        <w:rFonts w:ascii="Arial" w:hAnsi="Arial"/>
        <w:b/>
        <w:color w:val="FFFFFF" w:themeColor="background1"/>
        <w:sz w:val="20"/>
        <w:u w:val="none"/>
      </w:rPr>
      <w:tblPr/>
      <w:tcPr>
        <w:shd w:val="clear" w:color="auto" w:fill="0093D5"/>
        <w:vAlign w:val="center"/>
      </w:tcPr>
    </w:tblStylePr>
    <w:tblStylePr w:type="lastRow">
      <w:rPr>
        <w:rFonts w:ascii="Arial" w:hAnsi="Arial"/>
        <w:b/>
        <w:sz w:val="18"/>
      </w:rPr>
      <w:tblPr/>
      <w:tcPr>
        <w:shd w:val="clear" w:color="auto" w:fill="99D4EE"/>
      </w:tcPr>
    </w:tblStylePr>
    <w:tblStylePr w:type="firstCol">
      <w:rPr>
        <w:rFonts w:ascii="Arial" w:hAnsi="Arial"/>
        <w:b/>
        <w:i w:val="0"/>
        <w:color w:val="000000" w:themeColor="text1"/>
        <w:sz w:val="18"/>
      </w:rPr>
    </w:tblStylePr>
    <w:tblStylePr w:type="band2Horz">
      <w:tblPr/>
      <w:tcPr>
        <w:shd w:val="clear" w:color="auto" w:fill="C3ECFF" w:themeFill="accent2" w:themeFillTint="33"/>
      </w:tcPr>
    </w:tblStylePr>
  </w:style>
  <w:style w:type="table" w:customStyle="1" w:styleId="TableGridLight11">
    <w:name w:val="Table Grid Light11"/>
    <w:basedOn w:val="TableNormal"/>
    <w:uiPriority w:val="40"/>
    <w:rsid w:val="00F63FBB"/>
    <w:pPr>
      <w:keepNext/>
      <w:spacing w:after="0"/>
    </w:pPr>
    <w:rPr>
      <w:rFonts w:ascii="Calibri" w:eastAsia="Times New Roman" w:hAnsi="Calibri" w:cs="Times New Roman"/>
      <w:color w:val="au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TableNormal"/>
    <w:uiPriority w:val="40"/>
    <w:rsid w:val="00F63FBB"/>
    <w:pPr>
      <w:keepNext/>
      <w:spacing w:after="0"/>
    </w:pPr>
    <w:rPr>
      <w:rFonts w:ascii="Calibri" w:eastAsia="Times New Roman" w:hAnsi="Calibri" w:cs="Times New Roman"/>
      <w:color w:val="au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
    <w:name w:val="Table Grid Light13"/>
    <w:basedOn w:val="TableNormal"/>
    <w:uiPriority w:val="40"/>
    <w:rsid w:val="00F63FBB"/>
    <w:pPr>
      <w:keepNext/>
      <w:spacing w:after="0"/>
    </w:pPr>
    <w:rPr>
      <w:rFonts w:ascii="Calibri" w:eastAsia="Times New Roman" w:hAnsi="Calibri" w:cs="Times New Roman"/>
      <w:color w:val="au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76D7A"/>
    <w:rPr>
      <w:color w:val="605E5C"/>
      <w:shd w:val="clear" w:color="auto" w:fill="E1DFDD"/>
    </w:rPr>
  </w:style>
  <w:style w:type="table" w:customStyle="1" w:styleId="Compressed">
    <w:name w:val="Compressed"/>
    <w:basedOn w:val="TableNormal"/>
    <w:uiPriority w:val="99"/>
    <w:rsid w:val="00600807"/>
    <w:pPr>
      <w:spacing w:after="0"/>
      <w:jc w:val="center"/>
    </w:pPr>
    <w:rPr>
      <w:rFonts w:ascii="Arial Narrow" w:hAnsi="Arial Narrow"/>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jc w:val="center"/>
      </w:pPr>
      <w:rPr>
        <w:b/>
        <w:color w:val="FFFFFF" w:themeColor="background1"/>
        <w:sz w:val="24"/>
      </w:rPr>
      <w:tblPr/>
      <w:tcPr>
        <w:shd w:val="clear" w:color="auto" w:fill="0093D5" w:themeFill="accent2"/>
      </w:tcPr>
    </w:tblStylePr>
    <w:tblStylePr w:type="firstCol">
      <w:pPr>
        <w:jc w:val="left"/>
      </w:pPr>
      <w:rPr>
        <w:sz w:val="24"/>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9833">
      <w:bodyDiv w:val="1"/>
      <w:marLeft w:val="0"/>
      <w:marRight w:val="0"/>
      <w:marTop w:val="0"/>
      <w:marBottom w:val="0"/>
      <w:divBdr>
        <w:top w:val="none" w:sz="0" w:space="0" w:color="auto"/>
        <w:left w:val="none" w:sz="0" w:space="0" w:color="auto"/>
        <w:bottom w:val="none" w:sz="0" w:space="0" w:color="auto"/>
        <w:right w:val="none" w:sz="0" w:space="0" w:color="auto"/>
      </w:divBdr>
    </w:div>
    <w:div w:id="18045911">
      <w:bodyDiv w:val="1"/>
      <w:marLeft w:val="0"/>
      <w:marRight w:val="0"/>
      <w:marTop w:val="0"/>
      <w:marBottom w:val="0"/>
      <w:divBdr>
        <w:top w:val="none" w:sz="0" w:space="0" w:color="auto"/>
        <w:left w:val="none" w:sz="0" w:space="0" w:color="auto"/>
        <w:bottom w:val="none" w:sz="0" w:space="0" w:color="auto"/>
        <w:right w:val="none" w:sz="0" w:space="0" w:color="auto"/>
      </w:divBdr>
    </w:div>
    <w:div w:id="93284978">
      <w:bodyDiv w:val="1"/>
      <w:marLeft w:val="0"/>
      <w:marRight w:val="0"/>
      <w:marTop w:val="0"/>
      <w:marBottom w:val="0"/>
      <w:divBdr>
        <w:top w:val="none" w:sz="0" w:space="0" w:color="auto"/>
        <w:left w:val="none" w:sz="0" w:space="0" w:color="auto"/>
        <w:bottom w:val="none" w:sz="0" w:space="0" w:color="auto"/>
        <w:right w:val="none" w:sz="0" w:space="0" w:color="auto"/>
      </w:divBdr>
    </w:div>
    <w:div w:id="126164577">
      <w:bodyDiv w:val="1"/>
      <w:marLeft w:val="0"/>
      <w:marRight w:val="0"/>
      <w:marTop w:val="0"/>
      <w:marBottom w:val="0"/>
      <w:divBdr>
        <w:top w:val="none" w:sz="0" w:space="0" w:color="auto"/>
        <w:left w:val="none" w:sz="0" w:space="0" w:color="auto"/>
        <w:bottom w:val="none" w:sz="0" w:space="0" w:color="auto"/>
        <w:right w:val="none" w:sz="0" w:space="0" w:color="auto"/>
      </w:divBdr>
    </w:div>
    <w:div w:id="169494838">
      <w:bodyDiv w:val="1"/>
      <w:marLeft w:val="0"/>
      <w:marRight w:val="0"/>
      <w:marTop w:val="0"/>
      <w:marBottom w:val="0"/>
      <w:divBdr>
        <w:top w:val="none" w:sz="0" w:space="0" w:color="auto"/>
        <w:left w:val="none" w:sz="0" w:space="0" w:color="auto"/>
        <w:bottom w:val="none" w:sz="0" w:space="0" w:color="auto"/>
        <w:right w:val="none" w:sz="0" w:space="0" w:color="auto"/>
      </w:divBdr>
    </w:div>
    <w:div w:id="169833025">
      <w:bodyDiv w:val="1"/>
      <w:marLeft w:val="0"/>
      <w:marRight w:val="0"/>
      <w:marTop w:val="0"/>
      <w:marBottom w:val="0"/>
      <w:divBdr>
        <w:top w:val="none" w:sz="0" w:space="0" w:color="auto"/>
        <w:left w:val="none" w:sz="0" w:space="0" w:color="auto"/>
        <w:bottom w:val="none" w:sz="0" w:space="0" w:color="auto"/>
        <w:right w:val="none" w:sz="0" w:space="0" w:color="auto"/>
      </w:divBdr>
    </w:div>
    <w:div w:id="198593986">
      <w:bodyDiv w:val="1"/>
      <w:marLeft w:val="0"/>
      <w:marRight w:val="0"/>
      <w:marTop w:val="0"/>
      <w:marBottom w:val="0"/>
      <w:divBdr>
        <w:top w:val="none" w:sz="0" w:space="0" w:color="auto"/>
        <w:left w:val="none" w:sz="0" w:space="0" w:color="auto"/>
        <w:bottom w:val="none" w:sz="0" w:space="0" w:color="auto"/>
        <w:right w:val="none" w:sz="0" w:space="0" w:color="auto"/>
      </w:divBdr>
    </w:div>
    <w:div w:id="205290165">
      <w:bodyDiv w:val="1"/>
      <w:marLeft w:val="0"/>
      <w:marRight w:val="0"/>
      <w:marTop w:val="0"/>
      <w:marBottom w:val="0"/>
      <w:divBdr>
        <w:top w:val="none" w:sz="0" w:space="0" w:color="auto"/>
        <w:left w:val="none" w:sz="0" w:space="0" w:color="auto"/>
        <w:bottom w:val="none" w:sz="0" w:space="0" w:color="auto"/>
        <w:right w:val="none" w:sz="0" w:space="0" w:color="auto"/>
      </w:divBdr>
    </w:div>
    <w:div w:id="250937735">
      <w:bodyDiv w:val="1"/>
      <w:marLeft w:val="0"/>
      <w:marRight w:val="0"/>
      <w:marTop w:val="0"/>
      <w:marBottom w:val="0"/>
      <w:divBdr>
        <w:top w:val="none" w:sz="0" w:space="0" w:color="auto"/>
        <w:left w:val="none" w:sz="0" w:space="0" w:color="auto"/>
        <w:bottom w:val="none" w:sz="0" w:space="0" w:color="auto"/>
        <w:right w:val="none" w:sz="0" w:space="0" w:color="auto"/>
      </w:divBdr>
    </w:div>
    <w:div w:id="259484341">
      <w:bodyDiv w:val="1"/>
      <w:marLeft w:val="0"/>
      <w:marRight w:val="0"/>
      <w:marTop w:val="0"/>
      <w:marBottom w:val="0"/>
      <w:divBdr>
        <w:top w:val="none" w:sz="0" w:space="0" w:color="auto"/>
        <w:left w:val="none" w:sz="0" w:space="0" w:color="auto"/>
        <w:bottom w:val="none" w:sz="0" w:space="0" w:color="auto"/>
        <w:right w:val="none" w:sz="0" w:space="0" w:color="auto"/>
      </w:divBdr>
    </w:div>
    <w:div w:id="261112057">
      <w:bodyDiv w:val="1"/>
      <w:marLeft w:val="0"/>
      <w:marRight w:val="0"/>
      <w:marTop w:val="0"/>
      <w:marBottom w:val="0"/>
      <w:divBdr>
        <w:top w:val="none" w:sz="0" w:space="0" w:color="auto"/>
        <w:left w:val="none" w:sz="0" w:space="0" w:color="auto"/>
        <w:bottom w:val="none" w:sz="0" w:space="0" w:color="auto"/>
        <w:right w:val="none" w:sz="0" w:space="0" w:color="auto"/>
      </w:divBdr>
    </w:div>
    <w:div w:id="286476633">
      <w:bodyDiv w:val="1"/>
      <w:marLeft w:val="0"/>
      <w:marRight w:val="0"/>
      <w:marTop w:val="0"/>
      <w:marBottom w:val="0"/>
      <w:divBdr>
        <w:top w:val="none" w:sz="0" w:space="0" w:color="auto"/>
        <w:left w:val="none" w:sz="0" w:space="0" w:color="auto"/>
        <w:bottom w:val="none" w:sz="0" w:space="0" w:color="auto"/>
        <w:right w:val="none" w:sz="0" w:space="0" w:color="auto"/>
      </w:divBdr>
    </w:div>
    <w:div w:id="304701683">
      <w:bodyDiv w:val="1"/>
      <w:marLeft w:val="0"/>
      <w:marRight w:val="0"/>
      <w:marTop w:val="0"/>
      <w:marBottom w:val="0"/>
      <w:divBdr>
        <w:top w:val="none" w:sz="0" w:space="0" w:color="auto"/>
        <w:left w:val="none" w:sz="0" w:space="0" w:color="auto"/>
        <w:bottom w:val="none" w:sz="0" w:space="0" w:color="auto"/>
        <w:right w:val="none" w:sz="0" w:space="0" w:color="auto"/>
      </w:divBdr>
    </w:div>
    <w:div w:id="317881121">
      <w:bodyDiv w:val="1"/>
      <w:marLeft w:val="0"/>
      <w:marRight w:val="0"/>
      <w:marTop w:val="0"/>
      <w:marBottom w:val="0"/>
      <w:divBdr>
        <w:top w:val="none" w:sz="0" w:space="0" w:color="auto"/>
        <w:left w:val="none" w:sz="0" w:space="0" w:color="auto"/>
        <w:bottom w:val="none" w:sz="0" w:space="0" w:color="auto"/>
        <w:right w:val="none" w:sz="0" w:space="0" w:color="auto"/>
      </w:divBdr>
    </w:div>
    <w:div w:id="326590261">
      <w:bodyDiv w:val="1"/>
      <w:marLeft w:val="0"/>
      <w:marRight w:val="0"/>
      <w:marTop w:val="0"/>
      <w:marBottom w:val="0"/>
      <w:divBdr>
        <w:top w:val="none" w:sz="0" w:space="0" w:color="auto"/>
        <w:left w:val="none" w:sz="0" w:space="0" w:color="auto"/>
        <w:bottom w:val="none" w:sz="0" w:space="0" w:color="auto"/>
        <w:right w:val="none" w:sz="0" w:space="0" w:color="auto"/>
      </w:divBdr>
    </w:div>
    <w:div w:id="385954730">
      <w:bodyDiv w:val="1"/>
      <w:marLeft w:val="0"/>
      <w:marRight w:val="0"/>
      <w:marTop w:val="0"/>
      <w:marBottom w:val="0"/>
      <w:divBdr>
        <w:top w:val="none" w:sz="0" w:space="0" w:color="auto"/>
        <w:left w:val="none" w:sz="0" w:space="0" w:color="auto"/>
        <w:bottom w:val="none" w:sz="0" w:space="0" w:color="auto"/>
        <w:right w:val="none" w:sz="0" w:space="0" w:color="auto"/>
      </w:divBdr>
    </w:div>
    <w:div w:id="414981370">
      <w:bodyDiv w:val="1"/>
      <w:marLeft w:val="0"/>
      <w:marRight w:val="0"/>
      <w:marTop w:val="0"/>
      <w:marBottom w:val="0"/>
      <w:divBdr>
        <w:top w:val="none" w:sz="0" w:space="0" w:color="auto"/>
        <w:left w:val="none" w:sz="0" w:space="0" w:color="auto"/>
        <w:bottom w:val="none" w:sz="0" w:space="0" w:color="auto"/>
        <w:right w:val="none" w:sz="0" w:space="0" w:color="auto"/>
      </w:divBdr>
    </w:div>
    <w:div w:id="441923941">
      <w:bodyDiv w:val="1"/>
      <w:marLeft w:val="0"/>
      <w:marRight w:val="0"/>
      <w:marTop w:val="0"/>
      <w:marBottom w:val="0"/>
      <w:divBdr>
        <w:top w:val="none" w:sz="0" w:space="0" w:color="auto"/>
        <w:left w:val="none" w:sz="0" w:space="0" w:color="auto"/>
        <w:bottom w:val="none" w:sz="0" w:space="0" w:color="auto"/>
        <w:right w:val="none" w:sz="0" w:space="0" w:color="auto"/>
      </w:divBdr>
    </w:div>
    <w:div w:id="460196667">
      <w:bodyDiv w:val="1"/>
      <w:marLeft w:val="0"/>
      <w:marRight w:val="0"/>
      <w:marTop w:val="0"/>
      <w:marBottom w:val="0"/>
      <w:divBdr>
        <w:top w:val="none" w:sz="0" w:space="0" w:color="auto"/>
        <w:left w:val="none" w:sz="0" w:space="0" w:color="auto"/>
        <w:bottom w:val="none" w:sz="0" w:space="0" w:color="auto"/>
        <w:right w:val="none" w:sz="0" w:space="0" w:color="auto"/>
      </w:divBdr>
    </w:div>
    <w:div w:id="467749558">
      <w:bodyDiv w:val="1"/>
      <w:marLeft w:val="0"/>
      <w:marRight w:val="0"/>
      <w:marTop w:val="0"/>
      <w:marBottom w:val="0"/>
      <w:divBdr>
        <w:top w:val="none" w:sz="0" w:space="0" w:color="auto"/>
        <w:left w:val="none" w:sz="0" w:space="0" w:color="auto"/>
        <w:bottom w:val="none" w:sz="0" w:space="0" w:color="auto"/>
        <w:right w:val="none" w:sz="0" w:space="0" w:color="auto"/>
      </w:divBdr>
    </w:div>
    <w:div w:id="481315146">
      <w:bodyDiv w:val="1"/>
      <w:marLeft w:val="0"/>
      <w:marRight w:val="0"/>
      <w:marTop w:val="0"/>
      <w:marBottom w:val="0"/>
      <w:divBdr>
        <w:top w:val="none" w:sz="0" w:space="0" w:color="auto"/>
        <w:left w:val="none" w:sz="0" w:space="0" w:color="auto"/>
        <w:bottom w:val="none" w:sz="0" w:space="0" w:color="auto"/>
        <w:right w:val="none" w:sz="0" w:space="0" w:color="auto"/>
      </w:divBdr>
    </w:div>
    <w:div w:id="508447845">
      <w:bodyDiv w:val="1"/>
      <w:marLeft w:val="0"/>
      <w:marRight w:val="0"/>
      <w:marTop w:val="0"/>
      <w:marBottom w:val="0"/>
      <w:divBdr>
        <w:top w:val="none" w:sz="0" w:space="0" w:color="auto"/>
        <w:left w:val="none" w:sz="0" w:space="0" w:color="auto"/>
        <w:bottom w:val="none" w:sz="0" w:space="0" w:color="auto"/>
        <w:right w:val="none" w:sz="0" w:space="0" w:color="auto"/>
      </w:divBdr>
    </w:div>
    <w:div w:id="526211951">
      <w:bodyDiv w:val="1"/>
      <w:marLeft w:val="0"/>
      <w:marRight w:val="0"/>
      <w:marTop w:val="0"/>
      <w:marBottom w:val="0"/>
      <w:divBdr>
        <w:top w:val="none" w:sz="0" w:space="0" w:color="auto"/>
        <w:left w:val="none" w:sz="0" w:space="0" w:color="auto"/>
        <w:bottom w:val="none" w:sz="0" w:space="0" w:color="auto"/>
        <w:right w:val="none" w:sz="0" w:space="0" w:color="auto"/>
      </w:divBdr>
    </w:div>
    <w:div w:id="572466920">
      <w:bodyDiv w:val="1"/>
      <w:marLeft w:val="0"/>
      <w:marRight w:val="0"/>
      <w:marTop w:val="0"/>
      <w:marBottom w:val="0"/>
      <w:divBdr>
        <w:top w:val="none" w:sz="0" w:space="0" w:color="auto"/>
        <w:left w:val="none" w:sz="0" w:space="0" w:color="auto"/>
        <w:bottom w:val="none" w:sz="0" w:space="0" w:color="auto"/>
        <w:right w:val="none" w:sz="0" w:space="0" w:color="auto"/>
      </w:divBdr>
    </w:div>
    <w:div w:id="583153382">
      <w:bodyDiv w:val="1"/>
      <w:marLeft w:val="0"/>
      <w:marRight w:val="0"/>
      <w:marTop w:val="0"/>
      <w:marBottom w:val="0"/>
      <w:divBdr>
        <w:top w:val="none" w:sz="0" w:space="0" w:color="auto"/>
        <w:left w:val="none" w:sz="0" w:space="0" w:color="auto"/>
        <w:bottom w:val="none" w:sz="0" w:space="0" w:color="auto"/>
        <w:right w:val="none" w:sz="0" w:space="0" w:color="auto"/>
      </w:divBdr>
    </w:div>
    <w:div w:id="584341344">
      <w:bodyDiv w:val="1"/>
      <w:marLeft w:val="0"/>
      <w:marRight w:val="0"/>
      <w:marTop w:val="0"/>
      <w:marBottom w:val="0"/>
      <w:divBdr>
        <w:top w:val="none" w:sz="0" w:space="0" w:color="auto"/>
        <w:left w:val="none" w:sz="0" w:space="0" w:color="auto"/>
        <w:bottom w:val="none" w:sz="0" w:space="0" w:color="auto"/>
        <w:right w:val="none" w:sz="0" w:space="0" w:color="auto"/>
      </w:divBdr>
    </w:div>
    <w:div w:id="600527355">
      <w:bodyDiv w:val="1"/>
      <w:marLeft w:val="0"/>
      <w:marRight w:val="0"/>
      <w:marTop w:val="0"/>
      <w:marBottom w:val="0"/>
      <w:divBdr>
        <w:top w:val="none" w:sz="0" w:space="0" w:color="auto"/>
        <w:left w:val="none" w:sz="0" w:space="0" w:color="auto"/>
        <w:bottom w:val="none" w:sz="0" w:space="0" w:color="auto"/>
        <w:right w:val="none" w:sz="0" w:space="0" w:color="auto"/>
      </w:divBdr>
    </w:div>
    <w:div w:id="617445323">
      <w:bodyDiv w:val="1"/>
      <w:marLeft w:val="0"/>
      <w:marRight w:val="0"/>
      <w:marTop w:val="0"/>
      <w:marBottom w:val="0"/>
      <w:divBdr>
        <w:top w:val="none" w:sz="0" w:space="0" w:color="auto"/>
        <w:left w:val="none" w:sz="0" w:space="0" w:color="auto"/>
        <w:bottom w:val="none" w:sz="0" w:space="0" w:color="auto"/>
        <w:right w:val="none" w:sz="0" w:space="0" w:color="auto"/>
      </w:divBdr>
    </w:div>
    <w:div w:id="636374538">
      <w:bodyDiv w:val="1"/>
      <w:marLeft w:val="0"/>
      <w:marRight w:val="0"/>
      <w:marTop w:val="0"/>
      <w:marBottom w:val="0"/>
      <w:divBdr>
        <w:top w:val="none" w:sz="0" w:space="0" w:color="auto"/>
        <w:left w:val="none" w:sz="0" w:space="0" w:color="auto"/>
        <w:bottom w:val="none" w:sz="0" w:space="0" w:color="auto"/>
        <w:right w:val="none" w:sz="0" w:space="0" w:color="auto"/>
      </w:divBdr>
    </w:div>
    <w:div w:id="665476606">
      <w:bodyDiv w:val="1"/>
      <w:marLeft w:val="0"/>
      <w:marRight w:val="0"/>
      <w:marTop w:val="0"/>
      <w:marBottom w:val="0"/>
      <w:divBdr>
        <w:top w:val="none" w:sz="0" w:space="0" w:color="auto"/>
        <w:left w:val="none" w:sz="0" w:space="0" w:color="auto"/>
        <w:bottom w:val="none" w:sz="0" w:space="0" w:color="auto"/>
        <w:right w:val="none" w:sz="0" w:space="0" w:color="auto"/>
      </w:divBdr>
    </w:div>
    <w:div w:id="677393266">
      <w:bodyDiv w:val="1"/>
      <w:marLeft w:val="0"/>
      <w:marRight w:val="0"/>
      <w:marTop w:val="0"/>
      <w:marBottom w:val="0"/>
      <w:divBdr>
        <w:top w:val="none" w:sz="0" w:space="0" w:color="auto"/>
        <w:left w:val="none" w:sz="0" w:space="0" w:color="auto"/>
        <w:bottom w:val="none" w:sz="0" w:space="0" w:color="auto"/>
        <w:right w:val="none" w:sz="0" w:space="0" w:color="auto"/>
      </w:divBdr>
    </w:div>
    <w:div w:id="691153416">
      <w:bodyDiv w:val="1"/>
      <w:marLeft w:val="0"/>
      <w:marRight w:val="0"/>
      <w:marTop w:val="0"/>
      <w:marBottom w:val="0"/>
      <w:divBdr>
        <w:top w:val="none" w:sz="0" w:space="0" w:color="auto"/>
        <w:left w:val="none" w:sz="0" w:space="0" w:color="auto"/>
        <w:bottom w:val="none" w:sz="0" w:space="0" w:color="auto"/>
        <w:right w:val="none" w:sz="0" w:space="0" w:color="auto"/>
      </w:divBdr>
    </w:div>
    <w:div w:id="700860770">
      <w:bodyDiv w:val="1"/>
      <w:marLeft w:val="0"/>
      <w:marRight w:val="0"/>
      <w:marTop w:val="0"/>
      <w:marBottom w:val="0"/>
      <w:divBdr>
        <w:top w:val="none" w:sz="0" w:space="0" w:color="auto"/>
        <w:left w:val="none" w:sz="0" w:space="0" w:color="auto"/>
        <w:bottom w:val="none" w:sz="0" w:space="0" w:color="auto"/>
        <w:right w:val="none" w:sz="0" w:space="0" w:color="auto"/>
      </w:divBdr>
    </w:div>
    <w:div w:id="714112886">
      <w:bodyDiv w:val="1"/>
      <w:marLeft w:val="0"/>
      <w:marRight w:val="0"/>
      <w:marTop w:val="0"/>
      <w:marBottom w:val="0"/>
      <w:divBdr>
        <w:top w:val="none" w:sz="0" w:space="0" w:color="auto"/>
        <w:left w:val="none" w:sz="0" w:space="0" w:color="auto"/>
        <w:bottom w:val="none" w:sz="0" w:space="0" w:color="auto"/>
        <w:right w:val="none" w:sz="0" w:space="0" w:color="auto"/>
      </w:divBdr>
    </w:div>
    <w:div w:id="725758627">
      <w:bodyDiv w:val="1"/>
      <w:marLeft w:val="0"/>
      <w:marRight w:val="0"/>
      <w:marTop w:val="0"/>
      <w:marBottom w:val="0"/>
      <w:divBdr>
        <w:top w:val="none" w:sz="0" w:space="0" w:color="auto"/>
        <w:left w:val="none" w:sz="0" w:space="0" w:color="auto"/>
        <w:bottom w:val="none" w:sz="0" w:space="0" w:color="auto"/>
        <w:right w:val="none" w:sz="0" w:space="0" w:color="auto"/>
      </w:divBdr>
    </w:div>
    <w:div w:id="727919108">
      <w:bodyDiv w:val="1"/>
      <w:marLeft w:val="0"/>
      <w:marRight w:val="0"/>
      <w:marTop w:val="0"/>
      <w:marBottom w:val="0"/>
      <w:divBdr>
        <w:top w:val="none" w:sz="0" w:space="0" w:color="auto"/>
        <w:left w:val="none" w:sz="0" w:space="0" w:color="auto"/>
        <w:bottom w:val="none" w:sz="0" w:space="0" w:color="auto"/>
        <w:right w:val="none" w:sz="0" w:space="0" w:color="auto"/>
      </w:divBdr>
    </w:div>
    <w:div w:id="750734485">
      <w:bodyDiv w:val="1"/>
      <w:marLeft w:val="0"/>
      <w:marRight w:val="0"/>
      <w:marTop w:val="0"/>
      <w:marBottom w:val="0"/>
      <w:divBdr>
        <w:top w:val="none" w:sz="0" w:space="0" w:color="auto"/>
        <w:left w:val="none" w:sz="0" w:space="0" w:color="auto"/>
        <w:bottom w:val="none" w:sz="0" w:space="0" w:color="auto"/>
        <w:right w:val="none" w:sz="0" w:space="0" w:color="auto"/>
      </w:divBdr>
    </w:div>
    <w:div w:id="753821475">
      <w:bodyDiv w:val="1"/>
      <w:marLeft w:val="0"/>
      <w:marRight w:val="0"/>
      <w:marTop w:val="0"/>
      <w:marBottom w:val="0"/>
      <w:divBdr>
        <w:top w:val="none" w:sz="0" w:space="0" w:color="auto"/>
        <w:left w:val="none" w:sz="0" w:space="0" w:color="auto"/>
        <w:bottom w:val="none" w:sz="0" w:space="0" w:color="auto"/>
        <w:right w:val="none" w:sz="0" w:space="0" w:color="auto"/>
      </w:divBdr>
    </w:div>
    <w:div w:id="797649706">
      <w:bodyDiv w:val="1"/>
      <w:marLeft w:val="0"/>
      <w:marRight w:val="0"/>
      <w:marTop w:val="0"/>
      <w:marBottom w:val="0"/>
      <w:divBdr>
        <w:top w:val="none" w:sz="0" w:space="0" w:color="auto"/>
        <w:left w:val="none" w:sz="0" w:space="0" w:color="auto"/>
        <w:bottom w:val="none" w:sz="0" w:space="0" w:color="auto"/>
        <w:right w:val="none" w:sz="0" w:space="0" w:color="auto"/>
      </w:divBdr>
      <w:divsChild>
        <w:div w:id="130490246">
          <w:marLeft w:val="418"/>
          <w:marRight w:val="0"/>
          <w:marTop w:val="0"/>
          <w:marBottom w:val="0"/>
          <w:divBdr>
            <w:top w:val="none" w:sz="0" w:space="0" w:color="auto"/>
            <w:left w:val="none" w:sz="0" w:space="0" w:color="auto"/>
            <w:bottom w:val="none" w:sz="0" w:space="0" w:color="auto"/>
            <w:right w:val="none" w:sz="0" w:space="0" w:color="auto"/>
          </w:divBdr>
        </w:div>
        <w:div w:id="188297408">
          <w:marLeft w:val="418"/>
          <w:marRight w:val="0"/>
          <w:marTop w:val="0"/>
          <w:marBottom w:val="0"/>
          <w:divBdr>
            <w:top w:val="none" w:sz="0" w:space="0" w:color="auto"/>
            <w:left w:val="none" w:sz="0" w:space="0" w:color="auto"/>
            <w:bottom w:val="none" w:sz="0" w:space="0" w:color="auto"/>
            <w:right w:val="none" w:sz="0" w:space="0" w:color="auto"/>
          </w:divBdr>
        </w:div>
        <w:div w:id="544609622">
          <w:marLeft w:val="418"/>
          <w:marRight w:val="0"/>
          <w:marTop w:val="0"/>
          <w:marBottom w:val="0"/>
          <w:divBdr>
            <w:top w:val="none" w:sz="0" w:space="0" w:color="auto"/>
            <w:left w:val="none" w:sz="0" w:space="0" w:color="auto"/>
            <w:bottom w:val="none" w:sz="0" w:space="0" w:color="auto"/>
            <w:right w:val="none" w:sz="0" w:space="0" w:color="auto"/>
          </w:divBdr>
        </w:div>
        <w:div w:id="827097087">
          <w:marLeft w:val="1022"/>
          <w:marRight w:val="0"/>
          <w:marTop w:val="0"/>
          <w:marBottom w:val="0"/>
          <w:divBdr>
            <w:top w:val="none" w:sz="0" w:space="0" w:color="auto"/>
            <w:left w:val="none" w:sz="0" w:space="0" w:color="auto"/>
            <w:bottom w:val="none" w:sz="0" w:space="0" w:color="auto"/>
            <w:right w:val="none" w:sz="0" w:space="0" w:color="auto"/>
          </w:divBdr>
        </w:div>
        <w:div w:id="1072463845">
          <w:marLeft w:val="418"/>
          <w:marRight w:val="0"/>
          <w:marTop w:val="0"/>
          <w:marBottom w:val="0"/>
          <w:divBdr>
            <w:top w:val="none" w:sz="0" w:space="0" w:color="auto"/>
            <w:left w:val="none" w:sz="0" w:space="0" w:color="auto"/>
            <w:bottom w:val="none" w:sz="0" w:space="0" w:color="auto"/>
            <w:right w:val="none" w:sz="0" w:space="0" w:color="auto"/>
          </w:divBdr>
        </w:div>
        <w:div w:id="1134174959">
          <w:marLeft w:val="1022"/>
          <w:marRight w:val="0"/>
          <w:marTop w:val="0"/>
          <w:marBottom w:val="0"/>
          <w:divBdr>
            <w:top w:val="none" w:sz="0" w:space="0" w:color="auto"/>
            <w:left w:val="none" w:sz="0" w:space="0" w:color="auto"/>
            <w:bottom w:val="none" w:sz="0" w:space="0" w:color="auto"/>
            <w:right w:val="none" w:sz="0" w:space="0" w:color="auto"/>
          </w:divBdr>
        </w:div>
        <w:div w:id="1485975263">
          <w:marLeft w:val="418"/>
          <w:marRight w:val="0"/>
          <w:marTop w:val="0"/>
          <w:marBottom w:val="0"/>
          <w:divBdr>
            <w:top w:val="none" w:sz="0" w:space="0" w:color="auto"/>
            <w:left w:val="none" w:sz="0" w:space="0" w:color="auto"/>
            <w:bottom w:val="none" w:sz="0" w:space="0" w:color="auto"/>
            <w:right w:val="none" w:sz="0" w:space="0" w:color="auto"/>
          </w:divBdr>
        </w:div>
        <w:div w:id="1669671347">
          <w:marLeft w:val="1022"/>
          <w:marRight w:val="0"/>
          <w:marTop w:val="0"/>
          <w:marBottom w:val="0"/>
          <w:divBdr>
            <w:top w:val="none" w:sz="0" w:space="0" w:color="auto"/>
            <w:left w:val="none" w:sz="0" w:space="0" w:color="auto"/>
            <w:bottom w:val="none" w:sz="0" w:space="0" w:color="auto"/>
            <w:right w:val="none" w:sz="0" w:space="0" w:color="auto"/>
          </w:divBdr>
        </w:div>
      </w:divsChild>
    </w:div>
    <w:div w:id="811563823">
      <w:bodyDiv w:val="1"/>
      <w:marLeft w:val="0"/>
      <w:marRight w:val="0"/>
      <w:marTop w:val="0"/>
      <w:marBottom w:val="0"/>
      <w:divBdr>
        <w:top w:val="none" w:sz="0" w:space="0" w:color="auto"/>
        <w:left w:val="none" w:sz="0" w:space="0" w:color="auto"/>
        <w:bottom w:val="none" w:sz="0" w:space="0" w:color="auto"/>
        <w:right w:val="none" w:sz="0" w:space="0" w:color="auto"/>
      </w:divBdr>
    </w:div>
    <w:div w:id="823088326">
      <w:bodyDiv w:val="1"/>
      <w:marLeft w:val="0"/>
      <w:marRight w:val="0"/>
      <w:marTop w:val="0"/>
      <w:marBottom w:val="0"/>
      <w:divBdr>
        <w:top w:val="none" w:sz="0" w:space="0" w:color="auto"/>
        <w:left w:val="none" w:sz="0" w:space="0" w:color="auto"/>
        <w:bottom w:val="none" w:sz="0" w:space="0" w:color="auto"/>
        <w:right w:val="none" w:sz="0" w:space="0" w:color="auto"/>
      </w:divBdr>
    </w:div>
    <w:div w:id="855076323">
      <w:bodyDiv w:val="1"/>
      <w:marLeft w:val="0"/>
      <w:marRight w:val="0"/>
      <w:marTop w:val="0"/>
      <w:marBottom w:val="0"/>
      <w:divBdr>
        <w:top w:val="none" w:sz="0" w:space="0" w:color="auto"/>
        <w:left w:val="none" w:sz="0" w:space="0" w:color="auto"/>
        <w:bottom w:val="none" w:sz="0" w:space="0" w:color="auto"/>
        <w:right w:val="none" w:sz="0" w:space="0" w:color="auto"/>
      </w:divBdr>
    </w:div>
    <w:div w:id="862136403">
      <w:bodyDiv w:val="1"/>
      <w:marLeft w:val="0"/>
      <w:marRight w:val="0"/>
      <w:marTop w:val="0"/>
      <w:marBottom w:val="0"/>
      <w:divBdr>
        <w:top w:val="none" w:sz="0" w:space="0" w:color="auto"/>
        <w:left w:val="none" w:sz="0" w:space="0" w:color="auto"/>
        <w:bottom w:val="none" w:sz="0" w:space="0" w:color="auto"/>
        <w:right w:val="none" w:sz="0" w:space="0" w:color="auto"/>
      </w:divBdr>
    </w:div>
    <w:div w:id="865219914">
      <w:bodyDiv w:val="1"/>
      <w:marLeft w:val="0"/>
      <w:marRight w:val="0"/>
      <w:marTop w:val="0"/>
      <w:marBottom w:val="0"/>
      <w:divBdr>
        <w:top w:val="none" w:sz="0" w:space="0" w:color="auto"/>
        <w:left w:val="none" w:sz="0" w:space="0" w:color="auto"/>
        <w:bottom w:val="none" w:sz="0" w:space="0" w:color="auto"/>
        <w:right w:val="none" w:sz="0" w:space="0" w:color="auto"/>
      </w:divBdr>
    </w:div>
    <w:div w:id="909538604">
      <w:bodyDiv w:val="1"/>
      <w:marLeft w:val="0"/>
      <w:marRight w:val="0"/>
      <w:marTop w:val="0"/>
      <w:marBottom w:val="0"/>
      <w:divBdr>
        <w:top w:val="none" w:sz="0" w:space="0" w:color="auto"/>
        <w:left w:val="none" w:sz="0" w:space="0" w:color="auto"/>
        <w:bottom w:val="none" w:sz="0" w:space="0" w:color="auto"/>
        <w:right w:val="none" w:sz="0" w:space="0" w:color="auto"/>
      </w:divBdr>
    </w:div>
    <w:div w:id="961692520">
      <w:bodyDiv w:val="1"/>
      <w:marLeft w:val="0"/>
      <w:marRight w:val="0"/>
      <w:marTop w:val="0"/>
      <w:marBottom w:val="0"/>
      <w:divBdr>
        <w:top w:val="none" w:sz="0" w:space="0" w:color="auto"/>
        <w:left w:val="none" w:sz="0" w:space="0" w:color="auto"/>
        <w:bottom w:val="none" w:sz="0" w:space="0" w:color="auto"/>
        <w:right w:val="none" w:sz="0" w:space="0" w:color="auto"/>
      </w:divBdr>
    </w:div>
    <w:div w:id="963848077">
      <w:bodyDiv w:val="1"/>
      <w:marLeft w:val="0"/>
      <w:marRight w:val="0"/>
      <w:marTop w:val="0"/>
      <w:marBottom w:val="0"/>
      <w:divBdr>
        <w:top w:val="none" w:sz="0" w:space="0" w:color="auto"/>
        <w:left w:val="none" w:sz="0" w:space="0" w:color="auto"/>
        <w:bottom w:val="none" w:sz="0" w:space="0" w:color="auto"/>
        <w:right w:val="none" w:sz="0" w:space="0" w:color="auto"/>
      </w:divBdr>
    </w:div>
    <w:div w:id="967395486">
      <w:bodyDiv w:val="1"/>
      <w:marLeft w:val="0"/>
      <w:marRight w:val="0"/>
      <w:marTop w:val="0"/>
      <w:marBottom w:val="0"/>
      <w:divBdr>
        <w:top w:val="none" w:sz="0" w:space="0" w:color="auto"/>
        <w:left w:val="none" w:sz="0" w:space="0" w:color="auto"/>
        <w:bottom w:val="none" w:sz="0" w:space="0" w:color="auto"/>
        <w:right w:val="none" w:sz="0" w:space="0" w:color="auto"/>
      </w:divBdr>
    </w:div>
    <w:div w:id="980691745">
      <w:bodyDiv w:val="1"/>
      <w:marLeft w:val="0"/>
      <w:marRight w:val="0"/>
      <w:marTop w:val="0"/>
      <w:marBottom w:val="0"/>
      <w:divBdr>
        <w:top w:val="none" w:sz="0" w:space="0" w:color="auto"/>
        <w:left w:val="none" w:sz="0" w:space="0" w:color="auto"/>
        <w:bottom w:val="none" w:sz="0" w:space="0" w:color="auto"/>
        <w:right w:val="none" w:sz="0" w:space="0" w:color="auto"/>
      </w:divBdr>
    </w:div>
    <w:div w:id="1002510454">
      <w:bodyDiv w:val="1"/>
      <w:marLeft w:val="0"/>
      <w:marRight w:val="0"/>
      <w:marTop w:val="0"/>
      <w:marBottom w:val="0"/>
      <w:divBdr>
        <w:top w:val="none" w:sz="0" w:space="0" w:color="auto"/>
        <w:left w:val="none" w:sz="0" w:space="0" w:color="auto"/>
        <w:bottom w:val="none" w:sz="0" w:space="0" w:color="auto"/>
        <w:right w:val="none" w:sz="0" w:space="0" w:color="auto"/>
      </w:divBdr>
    </w:div>
    <w:div w:id="1005287832">
      <w:bodyDiv w:val="1"/>
      <w:marLeft w:val="0"/>
      <w:marRight w:val="0"/>
      <w:marTop w:val="0"/>
      <w:marBottom w:val="0"/>
      <w:divBdr>
        <w:top w:val="none" w:sz="0" w:space="0" w:color="auto"/>
        <w:left w:val="none" w:sz="0" w:space="0" w:color="auto"/>
        <w:bottom w:val="none" w:sz="0" w:space="0" w:color="auto"/>
        <w:right w:val="none" w:sz="0" w:space="0" w:color="auto"/>
      </w:divBdr>
    </w:div>
    <w:div w:id="1015350762">
      <w:bodyDiv w:val="1"/>
      <w:marLeft w:val="0"/>
      <w:marRight w:val="0"/>
      <w:marTop w:val="0"/>
      <w:marBottom w:val="0"/>
      <w:divBdr>
        <w:top w:val="none" w:sz="0" w:space="0" w:color="auto"/>
        <w:left w:val="none" w:sz="0" w:space="0" w:color="auto"/>
        <w:bottom w:val="none" w:sz="0" w:space="0" w:color="auto"/>
        <w:right w:val="none" w:sz="0" w:space="0" w:color="auto"/>
      </w:divBdr>
    </w:div>
    <w:div w:id="1020542727">
      <w:bodyDiv w:val="1"/>
      <w:marLeft w:val="0"/>
      <w:marRight w:val="0"/>
      <w:marTop w:val="0"/>
      <w:marBottom w:val="0"/>
      <w:divBdr>
        <w:top w:val="none" w:sz="0" w:space="0" w:color="auto"/>
        <w:left w:val="none" w:sz="0" w:space="0" w:color="auto"/>
        <w:bottom w:val="none" w:sz="0" w:space="0" w:color="auto"/>
        <w:right w:val="none" w:sz="0" w:space="0" w:color="auto"/>
      </w:divBdr>
    </w:div>
    <w:div w:id="1032656448">
      <w:bodyDiv w:val="1"/>
      <w:marLeft w:val="0"/>
      <w:marRight w:val="0"/>
      <w:marTop w:val="0"/>
      <w:marBottom w:val="0"/>
      <w:divBdr>
        <w:top w:val="none" w:sz="0" w:space="0" w:color="auto"/>
        <w:left w:val="none" w:sz="0" w:space="0" w:color="auto"/>
        <w:bottom w:val="none" w:sz="0" w:space="0" w:color="auto"/>
        <w:right w:val="none" w:sz="0" w:space="0" w:color="auto"/>
      </w:divBdr>
    </w:div>
    <w:div w:id="1058936823">
      <w:bodyDiv w:val="1"/>
      <w:marLeft w:val="0"/>
      <w:marRight w:val="0"/>
      <w:marTop w:val="0"/>
      <w:marBottom w:val="0"/>
      <w:divBdr>
        <w:top w:val="none" w:sz="0" w:space="0" w:color="auto"/>
        <w:left w:val="none" w:sz="0" w:space="0" w:color="auto"/>
        <w:bottom w:val="none" w:sz="0" w:space="0" w:color="auto"/>
        <w:right w:val="none" w:sz="0" w:space="0" w:color="auto"/>
      </w:divBdr>
    </w:div>
    <w:div w:id="1072890901">
      <w:bodyDiv w:val="1"/>
      <w:marLeft w:val="0"/>
      <w:marRight w:val="0"/>
      <w:marTop w:val="0"/>
      <w:marBottom w:val="0"/>
      <w:divBdr>
        <w:top w:val="none" w:sz="0" w:space="0" w:color="auto"/>
        <w:left w:val="none" w:sz="0" w:space="0" w:color="auto"/>
        <w:bottom w:val="none" w:sz="0" w:space="0" w:color="auto"/>
        <w:right w:val="none" w:sz="0" w:space="0" w:color="auto"/>
      </w:divBdr>
    </w:div>
    <w:div w:id="1100100956">
      <w:bodyDiv w:val="1"/>
      <w:marLeft w:val="0"/>
      <w:marRight w:val="0"/>
      <w:marTop w:val="0"/>
      <w:marBottom w:val="0"/>
      <w:divBdr>
        <w:top w:val="none" w:sz="0" w:space="0" w:color="auto"/>
        <w:left w:val="none" w:sz="0" w:space="0" w:color="auto"/>
        <w:bottom w:val="none" w:sz="0" w:space="0" w:color="auto"/>
        <w:right w:val="none" w:sz="0" w:space="0" w:color="auto"/>
      </w:divBdr>
    </w:div>
    <w:div w:id="1114902384">
      <w:bodyDiv w:val="1"/>
      <w:marLeft w:val="0"/>
      <w:marRight w:val="0"/>
      <w:marTop w:val="0"/>
      <w:marBottom w:val="0"/>
      <w:divBdr>
        <w:top w:val="none" w:sz="0" w:space="0" w:color="auto"/>
        <w:left w:val="none" w:sz="0" w:space="0" w:color="auto"/>
        <w:bottom w:val="none" w:sz="0" w:space="0" w:color="auto"/>
        <w:right w:val="none" w:sz="0" w:space="0" w:color="auto"/>
      </w:divBdr>
    </w:div>
    <w:div w:id="1125581750">
      <w:bodyDiv w:val="1"/>
      <w:marLeft w:val="0"/>
      <w:marRight w:val="0"/>
      <w:marTop w:val="0"/>
      <w:marBottom w:val="0"/>
      <w:divBdr>
        <w:top w:val="none" w:sz="0" w:space="0" w:color="auto"/>
        <w:left w:val="none" w:sz="0" w:space="0" w:color="auto"/>
        <w:bottom w:val="none" w:sz="0" w:space="0" w:color="auto"/>
        <w:right w:val="none" w:sz="0" w:space="0" w:color="auto"/>
      </w:divBdr>
    </w:div>
    <w:div w:id="1132792103">
      <w:bodyDiv w:val="1"/>
      <w:marLeft w:val="0"/>
      <w:marRight w:val="0"/>
      <w:marTop w:val="0"/>
      <w:marBottom w:val="0"/>
      <w:divBdr>
        <w:top w:val="none" w:sz="0" w:space="0" w:color="auto"/>
        <w:left w:val="none" w:sz="0" w:space="0" w:color="auto"/>
        <w:bottom w:val="none" w:sz="0" w:space="0" w:color="auto"/>
        <w:right w:val="none" w:sz="0" w:space="0" w:color="auto"/>
      </w:divBdr>
    </w:div>
    <w:div w:id="1166095565">
      <w:bodyDiv w:val="1"/>
      <w:marLeft w:val="0"/>
      <w:marRight w:val="0"/>
      <w:marTop w:val="0"/>
      <w:marBottom w:val="0"/>
      <w:divBdr>
        <w:top w:val="none" w:sz="0" w:space="0" w:color="auto"/>
        <w:left w:val="none" w:sz="0" w:space="0" w:color="auto"/>
        <w:bottom w:val="none" w:sz="0" w:space="0" w:color="auto"/>
        <w:right w:val="none" w:sz="0" w:space="0" w:color="auto"/>
      </w:divBdr>
    </w:div>
    <w:div w:id="1175344156">
      <w:bodyDiv w:val="1"/>
      <w:marLeft w:val="0"/>
      <w:marRight w:val="0"/>
      <w:marTop w:val="0"/>
      <w:marBottom w:val="0"/>
      <w:divBdr>
        <w:top w:val="none" w:sz="0" w:space="0" w:color="auto"/>
        <w:left w:val="none" w:sz="0" w:space="0" w:color="auto"/>
        <w:bottom w:val="none" w:sz="0" w:space="0" w:color="auto"/>
        <w:right w:val="none" w:sz="0" w:space="0" w:color="auto"/>
      </w:divBdr>
    </w:div>
    <w:div w:id="1187788836">
      <w:bodyDiv w:val="1"/>
      <w:marLeft w:val="0"/>
      <w:marRight w:val="0"/>
      <w:marTop w:val="0"/>
      <w:marBottom w:val="0"/>
      <w:divBdr>
        <w:top w:val="none" w:sz="0" w:space="0" w:color="auto"/>
        <w:left w:val="none" w:sz="0" w:space="0" w:color="auto"/>
        <w:bottom w:val="none" w:sz="0" w:space="0" w:color="auto"/>
        <w:right w:val="none" w:sz="0" w:space="0" w:color="auto"/>
      </w:divBdr>
    </w:div>
    <w:div w:id="1230773176">
      <w:bodyDiv w:val="1"/>
      <w:marLeft w:val="0"/>
      <w:marRight w:val="0"/>
      <w:marTop w:val="0"/>
      <w:marBottom w:val="0"/>
      <w:divBdr>
        <w:top w:val="none" w:sz="0" w:space="0" w:color="auto"/>
        <w:left w:val="none" w:sz="0" w:space="0" w:color="auto"/>
        <w:bottom w:val="none" w:sz="0" w:space="0" w:color="auto"/>
        <w:right w:val="none" w:sz="0" w:space="0" w:color="auto"/>
      </w:divBdr>
      <w:divsChild>
        <w:div w:id="866143543">
          <w:marLeft w:val="360"/>
          <w:marRight w:val="0"/>
          <w:marTop w:val="0"/>
          <w:marBottom w:val="0"/>
          <w:divBdr>
            <w:top w:val="none" w:sz="0" w:space="0" w:color="auto"/>
            <w:left w:val="none" w:sz="0" w:space="0" w:color="auto"/>
            <w:bottom w:val="none" w:sz="0" w:space="0" w:color="auto"/>
            <w:right w:val="none" w:sz="0" w:space="0" w:color="auto"/>
          </w:divBdr>
        </w:div>
        <w:div w:id="1203900679">
          <w:marLeft w:val="360"/>
          <w:marRight w:val="0"/>
          <w:marTop w:val="0"/>
          <w:marBottom w:val="0"/>
          <w:divBdr>
            <w:top w:val="none" w:sz="0" w:space="0" w:color="auto"/>
            <w:left w:val="none" w:sz="0" w:space="0" w:color="auto"/>
            <w:bottom w:val="none" w:sz="0" w:space="0" w:color="auto"/>
            <w:right w:val="none" w:sz="0" w:space="0" w:color="auto"/>
          </w:divBdr>
        </w:div>
        <w:div w:id="1734691470">
          <w:marLeft w:val="360"/>
          <w:marRight w:val="0"/>
          <w:marTop w:val="0"/>
          <w:marBottom w:val="0"/>
          <w:divBdr>
            <w:top w:val="none" w:sz="0" w:space="0" w:color="auto"/>
            <w:left w:val="none" w:sz="0" w:space="0" w:color="auto"/>
            <w:bottom w:val="none" w:sz="0" w:space="0" w:color="auto"/>
            <w:right w:val="none" w:sz="0" w:space="0" w:color="auto"/>
          </w:divBdr>
        </w:div>
        <w:div w:id="1835491330">
          <w:marLeft w:val="360"/>
          <w:marRight w:val="0"/>
          <w:marTop w:val="0"/>
          <w:marBottom w:val="0"/>
          <w:divBdr>
            <w:top w:val="none" w:sz="0" w:space="0" w:color="auto"/>
            <w:left w:val="none" w:sz="0" w:space="0" w:color="auto"/>
            <w:bottom w:val="none" w:sz="0" w:space="0" w:color="auto"/>
            <w:right w:val="none" w:sz="0" w:space="0" w:color="auto"/>
          </w:divBdr>
        </w:div>
      </w:divsChild>
    </w:div>
    <w:div w:id="1242443665">
      <w:bodyDiv w:val="1"/>
      <w:marLeft w:val="0"/>
      <w:marRight w:val="0"/>
      <w:marTop w:val="0"/>
      <w:marBottom w:val="0"/>
      <w:divBdr>
        <w:top w:val="none" w:sz="0" w:space="0" w:color="auto"/>
        <w:left w:val="none" w:sz="0" w:space="0" w:color="auto"/>
        <w:bottom w:val="none" w:sz="0" w:space="0" w:color="auto"/>
        <w:right w:val="none" w:sz="0" w:space="0" w:color="auto"/>
      </w:divBdr>
    </w:div>
    <w:div w:id="1250458651">
      <w:bodyDiv w:val="1"/>
      <w:marLeft w:val="0"/>
      <w:marRight w:val="0"/>
      <w:marTop w:val="0"/>
      <w:marBottom w:val="0"/>
      <w:divBdr>
        <w:top w:val="none" w:sz="0" w:space="0" w:color="auto"/>
        <w:left w:val="none" w:sz="0" w:space="0" w:color="auto"/>
        <w:bottom w:val="none" w:sz="0" w:space="0" w:color="auto"/>
        <w:right w:val="none" w:sz="0" w:space="0" w:color="auto"/>
      </w:divBdr>
    </w:div>
    <w:div w:id="1292712712">
      <w:bodyDiv w:val="1"/>
      <w:marLeft w:val="0"/>
      <w:marRight w:val="0"/>
      <w:marTop w:val="0"/>
      <w:marBottom w:val="0"/>
      <w:divBdr>
        <w:top w:val="none" w:sz="0" w:space="0" w:color="auto"/>
        <w:left w:val="none" w:sz="0" w:space="0" w:color="auto"/>
        <w:bottom w:val="none" w:sz="0" w:space="0" w:color="auto"/>
        <w:right w:val="none" w:sz="0" w:space="0" w:color="auto"/>
      </w:divBdr>
    </w:div>
    <w:div w:id="1320957265">
      <w:bodyDiv w:val="1"/>
      <w:marLeft w:val="0"/>
      <w:marRight w:val="0"/>
      <w:marTop w:val="0"/>
      <w:marBottom w:val="0"/>
      <w:divBdr>
        <w:top w:val="none" w:sz="0" w:space="0" w:color="auto"/>
        <w:left w:val="none" w:sz="0" w:space="0" w:color="auto"/>
        <w:bottom w:val="none" w:sz="0" w:space="0" w:color="auto"/>
        <w:right w:val="none" w:sz="0" w:space="0" w:color="auto"/>
      </w:divBdr>
    </w:div>
    <w:div w:id="1376198900">
      <w:bodyDiv w:val="1"/>
      <w:marLeft w:val="0"/>
      <w:marRight w:val="0"/>
      <w:marTop w:val="0"/>
      <w:marBottom w:val="0"/>
      <w:divBdr>
        <w:top w:val="none" w:sz="0" w:space="0" w:color="auto"/>
        <w:left w:val="none" w:sz="0" w:space="0" w:color="auto"/>
        <w:bottom w:val="none" w:sz="0" w:space="0" w:color="auto"/>
        <w:right w:val="none" w:sz="0" w:space="0" w:color="auto"/>
      </w:divBdr>
    </w:div>
    <w:div w:id="1493328282">
      <w:bodyDiv w:val="1"/>
      <w:marLeft w:val="0"/>
      <w:marRight w:val="0"/>
      <w:marTop w:val="0"/>
      <w:marBottom w:val="0"/>
      <w:divBdr>
        <w:top w:val="none" w:sz="0" w:space="0" w:color="auto"/>
        <w:left w:val="none" w:sz="0" w:space="0" w:color="auto"/>
        <w:bottom w:val="none" w:sz="0" w:space="0" w:color="auto"/>
        <w:right w:val="none" w:sz="0" w:space="0" w:color="auto"/>
      </w:divBdr>
    </w:div>
    <w:div w:id="1496216666">
      <w:bodyDiv w:val="1"/>
      <w:marLeft w:val="0"/>
      <w:marRight w:val="0"/>
      <w:marTop w:val="0"/>
      <w:marBottom w:val="0"/>
      <w:divBdr>
        <w:top w:val="none" w:sz="0" w:space="0" w:color="auto"/>
        <w:left w:val="none" w:sz="0" w:space="0" w:color="auto"/>
        <w:bottom w:val="none" w:sz="0" w:space="0" w:color="auto"/>
        <w:right w:val="none" w:sz="0" w:space="0" w:color="auto"/>
      </w:divBdr>
    </w:div>
    <w:div w:id="1496650673">
      <w:bodyDiv w:val="1"/>
      <w:marLeft w:val="0"/>
      <w:marRight w:val="0"/>
      <w:marTop w:val="0"/>
      <w:marBottom w:val="0"/>
      <w:divBdr>
        <w:top w:val="none" w:sz="0" w:space="0" w:color="auto"/>
        <w:left w:val="none" w:sz="0" w:space="0" w:color="auto"/>
        <w:bottom w:val="none" w:sz="0" w:space="0" w:color="auto"/>
        <w:right w:val="none" w:sz="0" w:space="0" w:color="auto"/>
      </w:divBdr>
    </w:div>
    <w:div w:id="1527254043">
      <w:bodyDiv w:val="1"/>
      <w:marLeft w:val="0"/>
      <w:marRight w:val="0"/>
      <w:marTop w:val="0"/>
      <w:marBottom w:val="0"/>
      <w:divBdr>
        <w:top w:val="none" w:sz="0" w:space="0" w:color="auto"/>
        <w:left w:val="none" w:sz="0" w:space="0" w:color="auto"/>
        <w:bottom w:val="none" w:sz="0" w:space="0" w:color="auto"/>
        <w:right w:val="none" w:sz="0" w:space="0" w:color="auto"/>
      </w:divBdr>
    </w:div>
    <w:div w:id="1545632230">
      <w:bodyDiv w:val="1"/>
      <w:marLeft w:val="0"/>
      <w:marRight w:val="0"/>
      <w:marTop w:val="0"/>
      <w:marBottom w:val="0"/>
      <w:divBdr>
        <w:top w:val="none" w:sz="0" w:space="0" w:color="auto"/>
        <w:left w:val="none" w:sz="0" w:space="0" w:color="auto"/>
        <w:bottom w:val="none" w:sz="0" w:space="0" w:color="auto"/>
        <w:right w:val="none" w:sz="0" w:space="0" w:color="auto"/>
      </w:divBdr>
    </w:div>
    <w:div w:id="1550647930">
      <w:bodyDiv w:val="1"/>
      <w:marLeft w:val="0"/>
      <w:marRight w:val="0"/>
      <w:marTop w:val="0"/>
      <w:marBottom w:val="0"/>
      <w:divBdr>
        <w:top w:val="none" w:sz="0" w:space="0" w:color="auto"/>
        <w:left w:val="none" w:sz="0" w:space="0" w:color="auto"/>
        <w:bottom w:val="none" w:sz="0" w:space="0" w:color="auto"/>
        <w:right w:val="none" w:sz="0" w:space="0" w:color="auto"/>
      </w:divBdr>
    </w:div>
    <w:div w:id="1554581960">
      <w:bodyDiv w:val="1"/>
      <w:marLeft w:val="0"/>
      <w:marRight w:val="0"/>
      <w:marTop w:val="0"/>
      <w:marBottom w:val="0"/>
      <w:divBdr>
        <w:top w:val="none" w:sz="0" w:space="0" w:color="auto"/>
        <w:left w:val="none" w:sz="0" w:space="0" w:color="auto"/>
        <w:bottom w:val="none" w:sz="0" w:space="0" w:color="auto"/>
        <w:right w:val="none" w:sz="0" w:space="0" w:color="auto"/>
      </w:divBdr>
    </w:div>
    <w:div w:id="1561942849">
      <w:bodyDiv w:val="1"/>
      <w:marLeft w:val="0"/>
      <w:marRight w:val="0"/>
      <w:marTop w:val="0"/>
      <w:marBottom w:val="0"/>
      <w:divBdr>
        <w:top w:val="none" w:sz="0" w:space="0" w:color="auto"/>
        <w:left w:val="none" w:sz="0" w:space="0" w:color="auto"/>
        <w:bottom w:val="none" w:sz="0" w:space="0" w:color="auto"/>
        <w:right w:val="none" w:sz="0" w:space="0" w:color="auto"/>
      </w:divBdr>
    </w:div>
    <w:div w:id="1582061905">
      <w:bodyDiv w:val="1"/>
      <w:marLeft w:val="0"/>
      <w:marRight w:val="0"/>
      <w:marTop w:val="0"/>
      <w:marBottom w:val="0"/>
      <w:divBdr>
        <w:top w:val="none" w:sz="0" w:space="0" w:color="auto"/>
        <w:left w:val="none" w:sz="0" w:space="0" w:color="auto"/>
        <w:bottom w:val="none" w:sz="0" w:space="0" w:color="auto"/>
        <w:right w:val="none" w:sz="0" w:space="0" w:color="auto"/>
      </w:divBdr>
    </w:div>
    <w:div w:id="1589197300">
      <w:bodyDiv w:val="1"/>
      <w:marLeft w:val="0"/>
      <w:marRight w:val="0"/>
      <w:marTop w:val="0"/>
      <w:marBottom w:val="0"/>
      <w:divBdr>
        <w:top w:val="none" w:sz="0" w:space="0" w:color="auto"/>
        <w:left w:val="none" w:sz="0" w:space="0" w:color="auto"/>
        <w:bottom w:val="none" w:sz="0" w:space="0" w:color="auto"/>
        <w:right w:val="none" w:sz="0" w:space="0" w:color="auto"/>
      </w:divBdr>
    </w:div>
    <w:div w:id="1589734607">
      <w:bodyDiv w:val="1"/>
      <w:marLeft w:val="0"/>
      <w:marRight w:val="0"/>
      <w:marTop w:val="0"/>
      <w:marBottom w:val="0"/>
      <w:divBdr>
        <w:top w:val="none" w:sz="0" w:space="0" w:color="auto"/>
        <w:left w:val="none" w:sz="0" w:space="0" w:color="auto"/>
        <w:bottom w:val="none" w:sz="0" w:space="0" w:color="auto"/>
        <w:right w:val="none" w:sz="0" w:space="0" w:color="auto"/>
      </w:divBdr>
    </w:div>
    <w:div w:id="1608467466">
      <w:bodyDiv w:val="1"/>
      <w:marLeft w:val="0"/>
      <w:marRight w:val="0"/>
      <w:marTop w:val="0"/>
      <w:marBottom w:val="0"/>
      <w:divBdr>
        <w:top w:val="none" w:sz="0" w:space="0" w:color="auto"/>
        <w:left w:val="none" w:sz="0" w:space="0" w:color="auto"/>
        <w:bottom w:val="none" w:sz="0" w:space="0" w:color="auto"/>
        <w:right w:val="none" w:sz="0" w:space="0" w:color="auto"/>
      </w:divBdr>
    </w:div>
    <w:div w:id="1646157112">
      <w:bodyDiv w:val="1"/>
      <w:marLeft w:val="0"/>
      <w:marRight w:val="0"/>
      <w:marTop w:val="0"/>
      <w:marBottom w:val="0"/>
      <w:divBdr>
        <w:top w:val="none" w:sz="0" w:space="0" w:color="auto"/>
        <w:left w:val="none" w:sz="0" w:space="0" w:color="auto"/>
        <w:bottom w:val="none" w:sz="0" w:space="0" w:color="auto"/>
        <w:right w:val="none" w:sz="0" w:space="0" w:color="auto"/>
      </w:divBdr>
    </w:div>
    <w:div w:id="1648779344">
      <w:bodyDiv w:val="1"/>
      <w:marLeft w:val="0"/>
      <w:marRight w:val="0"/>
      <w:marTop w:val="0"/>
      <w:marBottom w:val="0"/>
      <w:divBdr>
        <w:top w:val="none" w:sz="0" w:space="0" w:color="auto"/>
        <w:left w:val="none" w:sz="0" w:space="0" w:color="auto"/>
        <w:bottom w:val="none" w:sz="0" w:space="0" w:color="auto"/>
        <w:right w:val="none" w:sz="0" w:space="0" w:color="auto"/>
      </w:divBdr>
    </w:div>
    <w:div w:id="1672297025">
      <w:bodyDiv w:val="1"/>
      <w:marLeft w:val="0"/>
      <w:marRight w:val="0"/>
      <w:marTop w:val="0"/>
      <w:marBottom w:val="0"/>
      <w:divBdr>
        <w:top w:val="none" w:sz="0" w:space="0" w:color="auto"/>
        <w:left w:val="none" w:sz="0" w:space="0" w:color="auto"/>
        <w:bottom w:val="none" w:sz="0" w:space="0" w:color="auto"/>
        <w:right w:val="none" w:sz="0" w:space="0" w:color="auto"/>
      </w:divBdr>
    </w:div>
    <w:div w:id="1676228667">
      <w:bodyDiv w:val="1"/>
      <w:marLeft w:val="0"/>
      <w:marRight w:val="0"/>
      <w:marTop w:val="0"/>
      <w:marBottom w:val="0"/>
      <w:divBdr>
        <w:top w:val="none" w:sz="0" w:space="0" w:color="auto"/>
        <w:left w:val="none" w:sz="0" w:space="0" w:color="auto"/>
        <w:bottom w:val="none" w:sz="0" w:space="0" w:color="auto"/>
        <w:right w:val="none" w:sz="0" w:space="0" w:color="auto"/>
      </w:divBdr>
    </w:div>
    <w:div w:id="1727803598">
      <w:bodyDiv w:val="1"/>
      <w:marLeft w:val="0"/>
      <w:marRight w:val="0"/>
      <w:marTop w:val="0"/>
      <w:marBottom w:val="0"/>
      <w:divBdr>
        <w:top w:val="none" w:sz="0" w:space="0" w:color="auto"/>
        <w:left w:val="none" w:sz="0" w:space="0" w:color="auto"/>
        <w:bottom w:val="none" w:sz="0" w:space="0" w:color="auto"/>
        <w:right w:val="none" w:sz="0" w:space="0" w:color="auto"/>
      </w:divBdr>
    </w:div>
    <w:div w:id="1743718721">
      <w:bodyDiv w:val="1"/>
      <w:marLeft w:val="0"/>
      <w:marRight w:val="0"/>
      <w:marTop w:val="0"/>
      <w:marBottom w:val="0"/>
      <w:divBdr>
        <w:top w:val="none" w:sz="0" w:space="0" w:color="auto"/>
        <w:left w:val="none" w:sz="0" w:space="0" w:color="auto"/>
        <w:bottom w:val="none" w:sz="0" w:space="0" w:color="auto"/>
        <w:right w:val="none" w:sz="0" w:space="0" w:color="auto"/>
      </w:divBdr>
    </w:div>
    <w:div w:id="1750230194">
      <w:bodyDiv w:val="1"/>
      <w:marLeft w:val="0"/>
      <w:marRight w:val="0"/>
      <w:marTop w:val="0"/>
      <w:marBottom w:val="0"/>
      <w:divBdr>
        <w:top w:val="none" w:sz="0" w:space="0" w:color="auto"/>
        <w:left w:val="none" w:sz="0" w:space="0" w:color="auto"/>
        <w:bottom w:val="none" w:sz="0" w:space="0" w:color="auto"/>
        <w:right w:val="none" w:sz="0" w:space="0" w:color="auto"/>
      </w:divBdr>
    </w:div>
    <w:div w:id="1751350119">
      <w:bodyDiv w:val="1"/>
      <w:marLeft w:val="0"/>
      <w:marRight w:val="0"/>
      <w:marTop w:val="0"/>
      <w:marBottom w:val="0"/>
      <w:divBdr>
        <w:top w:val="none" w:sz="0" w:space="0" w:color="auto"/>
        <w:left w:val="none" w:sz="0" w:space="0" w:color="auto"/>
        <w:bottom w:val="none" w:sz="0" w:space="0" w:color="auto"/>
        <w:right w:val="none" w:sz="0" w:space="0" w:color="auto"/>
      </w:divBdr>
    </w:div>
    <w:div w:id="1760907546">
      <w:bodyDiv w:val="1"/>
      <w:marLeft w:val="0"/>
      <w:marRight w:val="0"/>
      <w:marTop w:val="0"/>
      <w:marBottom w:val="0"/>
      <w:divBdr>
        <w:top w:val="none" w:sz="0" w:space="0" w:color="auto"/>
        <w:left w:val="none" w:sz="0" w:space="0" w:color="auto"/>
        <w:bottom w:val="none" w:sz="0" w:space="0" w:color="auto"/>
        <w:right w:val="none" w:sz="0" w:space="0" w:color="auto"/>
      </w:divBdr>
    </w:div>
    <w:div w:id="1769084258">
      <w:bodyDiv w:val="1"/>
      <w:marLeft w:val="0"/>
      <w:marRight w:val="0"/>
      <w:marTop w:val="0"/>
      <w:marBottom w:val="0"/>
      <w:divBdr>
        <w:top w:val="none" w:sz="0" w:space="0" w:color="auto"/>
        <w:left w:val="none" w:sz="0" w:space="0" w:color="auto"/>
        <w:bottom w:val="none" w:sz="0" w:space="0" w:color="auto"/>
        <w:right w:val="none" w:sz="0" w:space="0" w:color="auto"/>
      </w:divBdr>
    </w:div>
    <w:div w:id="1774278069">
      <w:bodyDiv w:val="1"/>
      <w:marLeft w:val="0"/>
      <w:marRight w:val="0"/>
      <w:marTop w:val="0"/>
      <w:marBottom w:val="0"/>
      <w:divBdr>
        <w:top w:val="none" w:sz="0" w:space="0" w:color="auto"/>
        <w:left w:val="none" w:sz="0" w:space="0" w:color="auto"/>
        <w:bottom w:val="none" w:sz="0" w:space="0" w:color="auto"/>
        <w:right w:val="none" w:sz="0" w:space="0" w:color="auto"/>
      </w:divBdr>
    </w:div>
    <w:div w:id="1775513940">
      <w:bodyDiv w:val="1"/>
      <w:marLeft w:val="0"/>
      <w:marRight w:val="0"/>
      <w:marTop w:val="0"/>
      <w:marBottom w:val="0"/>
      <w:divBdr>
        <w:top w:val="none" w:sz="0" w:space="0" w:color="auto"/>
        <w:left w:val="none" w:sz="0" w:space="0" w:color="auto"/>
        <w:bottom w:val="none" w:sz="0" w:space="0" w:color="auto"/>
        <w:right w:val="none" w:sz="0" w:space="0" w:color="auto"/>
      </w:divBdr>
    </w:div>
    <w:div w:id="1810786460">
      <w:bodyDiv w:val="1"/>
      <w:marLeft w:val="0"/>
      <w:marRight w:val="0"/>
      <w:marTop w:val="0"/>
      <w:marBottom w:val="0"/>
      <w:divBdr>
        <w:top w:val="none" w:sz="0" w:space="0" w:color="auto"/>
        <w:left w:val="none" w:sz="0" w:space="0" w:color="auto"/>
        <w:bottom w:val="none" w:sz="0" w:space="0" w:color="auto"/>
        <w:right w:val="none" w:sz="0" w:space="0" w:color="auto"/>
      </w:divBdr>
    </w:div>
    <w:div w:id="1836922189">
      <w:bodyDiv w:val="1"/>
      <w:marLeft w:val="0"/>
      <w:marRight w:val="0"/>
      <w:marTop w:val="0"/>
      <w:marBottom w:val="0"/>
      <w:divBdr>
        <w:top w:val="none" w:sz="0" w:space="0" w:color="auto"/>
        <w:left w:val="none" w:sz="0" w:space="0" w:color="auto"/>
        <w:bottom w:val="none" w:sz="0" w:space="0" w:color="auto"/>
        <w:right w:val="none" w:sz="0" w:space="0" w:color="auto"/>
      </w:divBdr>
    </w:div>
    <w:div w:id="1837109604">
      <w:bodyDiv w:val="1"/>
      <w:marLeft w:val="0"/>
      <w:marRight w:val="0"/>
      <w:marTop w:val="0"/>
      <w:marBottom w:val="0"/>
      <w:divBdr>
        <w:top w:val="none" w:sz="0" w:space="0" w:color="auto"/>
        <w:left w:val="none" w:sz="0" w:space="0" w:color="auto"/>
        <w:bottom w:val="none" w:sz="0" w:space="0" w:color="auto"/>
        <w:right w:val="none" w:sz="0" w:space="0" w:color="auto"/>
      </w:divBdr>
    </w:div>
    <w:div w:id="1869760911">
      <w:bodyDiv w:val="1"/>
      <w:marLeft w:val="0"/>
      <w:marRight w:val="0"/>
      <w:marTop w:val="0"/>
      <w:marBottom w:val="0"/>
      <w:divBdr>
        <w:top w:val="none" w:sz="0" w:space="0" w:color="auto"/>
        <w:left w:val="none" w:sz="0" w:space="0" w:color="auto"/>
        <w:bottom w:val="none" w:sz="0" w:space="0" w:color="auto"/>
        <w:right w:val="none" w:sz="0" w:space="0" w:color="auto"/>
      </w:divBdr>
    </w:div>
    <w:div w:id="1882089271">
      <w:bodyDiv w:val="1"/>
      <w:marLeft w:val="0"/>
      <w:marRight w:val="0"/>
      <w:marTop w:val="0"/>
      <w:marBottom w:val="0"/>
      <w:divBdr>
        <w:top w:val="none" w:sz="0" w:space="0" w:color="auto"/>
        <w:left w:val="none" w:sz="0" w:space="0" w:color="auto"/>
        <w:bottom w:val="none" w:sz="0" w:space="0" w:color="auto"/>
        <w:right w:val="none" w:sz="0" w:space="0" w:color="auto"/>
      </w:divBdr>
    </w:div>
    <w:div w:id="1904414719">
      <w:bodyDiv w:val="1"/>
      <w:marLeft w:val="0"/>
      <w:marRight w:val="0"/>
      <w:marTop w:val="0"/>
      <w:marBottom w:val="0"/>
      <w:divBdr>
        <w:top w:val="none" w:sz="0" w:space="0" w:color="auto"/>
        <w:left w:val="none" w:sz="0" w:space="0" w:color="auto"/>
        <w:bottom w:val="none" w:sz="0" w:space="0" w:color="auto"/>
        <w:right w:val="none" w:sz="0" w:space="0" w:color="auto"/>
      </w:divBdr>
    </w:div>
    <w:div w:id="1907953803">
      <w:bodyDiv w:val="1"/>
      <w:marLeft w:val="0"/>
      <w:marRight w:val="0"/>
      <w:marTop w:val="0"/>
      <w:marBottom w:val="0"/>
      <w:divBdr>
        <w:top w:val="none" w:sz="0" w:space="0" w:color="auto"/>
        <w:left w:val="none" w:sz="0" w:space="0" w:color="auto"/>
        <w:bottom w:val="none" w:sz="0" w:space="0" w:color="auto"/>
        <w:right w:val="none" w:sz="0" w:space="0" w:color="auto"/>
      </w:divBdr>
    </w:div>
    <w:div w:id="1918592837">
      <w:bodyDiv w:val="1"/>
      <w:marLeft w:val="0"/>
      <w:marRight w:val="0"/>
      <w:marTop w:val="0"/>
      <w:marBottom w:val="0"/>
      <w:divBdr>
        <w:top w:val="none" w:sz="0" w:space="0" w:color="auto"/>
        <w:left w:val="none" w:sz="0" w:space="0" w:color="auto"/>
        <w:bottom w:val="none" w:sz="0" w:space="0" w:color="auto"/>
        <w:right w:val="none" w:sz="0" w:space="0" w:color="auto"/>
      </w:divBdr>
    </w:div>
    <w:div w:id="1931967810">
      <w:bodyDiv w:val="1"/>
      <w:marLeft w:val="0"/>
      <w:marRight w:val="0"/>
      <w:marTop w:val="0"/>
      <w:marBottom w:val="0"/>
      <w:divBdr>
        <w:top w:val="none" w:sz="0" w:space="0" w:color="auto"/>
        <w:left w:val="none" w:sz="0" w:space="0" w:color="auto"/>
        <w:bottom w:val="none" w:sz="0" w:space="0" w:color="auto"/>
        <w:right w:val="none" w:sz="0" w:space="0" w:color="auto"/>
      </w:divBdr>
    </w:div>
    <w:div w:id="1952975783">
      <w:bodyDiv w:val="1"/>
      <w:marLeft w:val="0"/>
      <w:marRight w:val="0"/>
      <w:marTop w:val="0"/>
      <w:marBottom w:val="0"/>
      <w:divBdr>
        <w:top w:val="none" w:sz="0" w:space="0" w:color="auto"/>
        <w:left w:val="none" w:sz="0" w:space="0" w:color="auto"/>
        <w:bottom w:val="none" w:sz="0" w:space="0" w:color="auto"/>
        <w:right w:val="none" w:sz="0" w:space="0" w:color="auto"/>
      </w:divBdr>
    </w:div>
    <w:div w:id="1960145215">
      <w:bodyDiv w:val="1"/>
      <w:marLeft w:val="0"/>
      <w:marRight w:val="0"/>
      <w:marTop w:val="0"/>
      <w:marBottom w:val="0"/>
      <w:divBdr>
        <w:top w:val="none" w:sz="0" w:space="0" w:color="auto"/>
        <w:left w:val="none" w:sz="0" w:space="0" w:color="auto"/>
        <w:bottom w:val="none" w:sz="0" w:space="0" w:color="auto"/>
        <w:right w:val="none" w:sz="0" w:space="0" w:color="auto"/>
      </w:divBdr>
    </w:div>
    <w:div w:id="1967927893">
      <w:bodyDiv w:val="1"/>
      <w:marLeft w:val="0"/>
      <w:marRight w:val="0"/>
      <w:marTop w:val="0"/>
      <w:marBottom w:val="0"/>
      <w:divBdr>
        <w:top w:val="none" w:sz="0" w:space="0" w:color="auto"/>
        <w:left w:val="none" w:sz="0" w:space="0" w:color="auto"/>
        <w:bottom w:val="none" w:sz="0" w:space="0" w:color="auto"/>
        <w:right w:val="none" w:sz="0" w:space="0" w:color="auto"/>
      </w:divBdr>
    </w:div>
    <w:div w:id="2041053728">
      <w:bodyDiv w:val="1"/>
      <w:marLeft w:val="0"/>
      <w:marRight w:val="0"/>
      <w:marTop w:val="0"/>
      <w:marBottom w:val="0"/>
      <w:divBdr>
        <w:top w:val="none" w:sz="0" w:space="0" w:color="auto"/>
        <w:left w:val="none" w:sz="0" w:space="0" w:color="auto"/>
        <w:bottom w:val="none" w:sz="0" w:space="0" w:color="auto"/>
        <w:right w:val="none" w:sz="0" w:space="0" w:color="auto"/>
      </w:divBdr>
    </w:div>
    <w:div w:id="2042122694">
      <w:bodyDiv w:val="1"/>
      <w:marLeft w:val="0"/>
      <w:marRight w:val="0"/>
      <w:marTop w:val="0"/>
      <w:marBottom w:val="0"/>
      <w:divBdr>
        <w:top w:val="none" w:sz="0" w:space="0" w:color="auto"/>
        <w:left w:val="none" w:sz="0" w:space="0" w:color="auto"/>
        <w:bottom w:val="none" w:sz="0" w:space="0" w:color="auto"/>
        <w:right w:val="none" w:sz="0" w:space="0" w:color="auto"/>
      </w:divBdr>
    </w:div>
    <w:div w:id="2054768085">
      <w:bodyDiv w:val="1"/>
      <w:marLeft w:val="0"/>
      <w:marRight w:val="0"/>
      <w:marTop w:val="0"/>
      <w:marBottom w:val="0"/>
      <w:divBdr>
        <w:top w:val="none" w:sz="0" w:space="0" w:color="auto"/>
        <w:left w:val="none" w:sz="0" w:space="0" w:color="auto"/>
        <w:bottom w:val="none" w:sz="0" w:space="0" w:color="auto"/>
        <w:right w:val="none" w:sz="0" w:space="0" w:color="auto"/>
      </w:divBdr>
    </w:div>
    <w:div w:id="2082170187">
      <w:bodyDiv w:val="1"/>
      <w:marLeft w:val="0"/>
      <w:marRight w:val="0"/>
      <w:marTop w:val="0"/>
      <w:marBottom w:val="0"/>
      <w:divBdr>
        <w:top w:val="none" w:sz="0" w:space="0" w:color="auto"/>
        <w:left w:val="none" w:sz="0" w:space="0" w:color="auto"/>
        <w:bottom w:val="none" w:sz="0" w:space="0" w:color="auto"/>
        <w:right w:val="none" w:sz="0" w:space="0" w:color="auto"/>
      </w:divBdr>
    </w:div>
    <w:div w:id="2116750998">
      <w:bodyDiv w:val="1"/>
      <w:marLeft w:val="0"/>
      <w:marRight w:val="0"/>
      <w:marTop w:val="0"/>
      <w:marBottom w:val="0"/>
      <w:divBdr>
        <w:top w:val="none" w:sz="0" w:space="0" w:color="auto"/>
        <w:left w:val="none" w:sz="0" w:space="0" w:color="auto"/>
        <w:bottom w:val="none" w:sz="0" w:space="0" w:color="auto"/>
        <w:right w:val="none" w:sz="0" w:space="0" w:color="auto"/>
      </w:divBdr>
    </w:div>
    <w:div w:id="2139181641">
      <w:bodyDiv w:val="1"/>
      <w:marLeft w:val="0"/>
      <w:marRight w:val="0"/>
      <w:marTop w:val="0"/>
      <w:marBottom w:val="0"/>
      <w:divBdr>
        <w:top w:val="none" w:sz="0" w:space="0" w:color="auto"/>
        <w:left w:val="none" w:sz="0" w:space="0" w:color="auto"/>
        <w:bottom w:val="none" w:sz="0" w:space="0" w:color="auto"/>
        <w:right w:val="none" w:sz="0" w:space="0" w:color="auto"/>
      </w:divBdr>
    </w:div>
    <w:div w:id="2142457399">
      <w:bodyDiv w:val="1"/>
      <w:marLeft w:val="0"/>
      <w:marRight w:val="0"/>
      <w:marTop w:val="0"/>
      <w:marBottom w:val="0"/>
      <w:divBdr>
        <w:top w:val="none" w:sz="0" w:space="0" w:color="auto"/>
        <w:left w:val="none" w:sz="0" w:space="0" w:color="auto"/>
        <w:bottom w:val="none" w:sz="0" w:space="0" w:color="auto"/>
        <w:right w:val="none" w:sz="0" w:space="0" w:color="auto"/>
      </w:divBdr>
    </w:div>
    <w:div w:id="21433812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21" Type="http://schemas.openxmlformats.org/officeDocument/2006/relationships/chart" Target="charts/chart3.xml"/><Relationship Id="rId34" Type="http://schemas.openxmlformats.org/officeDocument/2006/relationships/header" Target="header3.xml"/><Relationship Id="rId42" Type="http://schemas.openxmlformats.org/officeDocument/2006/relationships/chart" Target="charts/chart22.xml"/><Relationship Id="rId47" Type="http://schemas.openxmlformats.org/officeDocument/2006/relationships/image" Target="media/image10.emf"/><Relationship Id="rId50" Type="http://schemas.openxmlformats.org/officeDocument/2006/relationships/chart" Target="charts/chart28.xml"/><Relationship Id="rId55" Type="http://schemas.openxmlformats.org/officeDocument/2006/relationships/chart" Target="charts/chart33.xml"/><Relationship Id="rId63" Type="http://schemas.openxmlformats.org/officeDocument/2006/relationships/chart" Target="charts/chart36.xml"/><Relationship Id="rId68" Type="http://schemas.openxmlformats.org/officeDocument/2006/relationships/chart" Target="charts/chart40.xml"/><Relationship Id="rId76" Type="http://schemas.openxmlformats.org/officeDocument/2006/relationships/chart" Target="charts/chart48.xml"/><Relationship Id="rId84" Type="http://schemas.openxmlformats.org/officeDocument/2006/relationships/chart" Target="charts/chart56.xml"/><Relationship Id="rId89" Type="http://schemas.openxmlformats.org/officeDocument/2006/relationships/chart" Target="charts/chart61.xml"/><Relationship Id="rId97" Type="http://schemas.microsoft.com/office/2011/relationships/people" Target="people.xml"/><Relationship Id="rId7" Type="http://schemas.openxmlformats.org/officeDocument/2006/relationships/footnotes" Target="footnotes.xml"/><Relationship Id="rId71" Type="http://schemas.openxmlformats.org/officeDocument/2006/relationships/chart" Target="charts/chart43.xml"/><Relationship Id="rId92" Type="http://schemas.openxmlformats.org/officeDocument/2006/relationships/chart" Target="charts/chart64.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chart" Target="charts/chart11.xml"/><Relationship Id="rId11" Type="http://schemas.openxmlformats.org/officeDocument/2006/relationships/header" Target="header2.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chart" Target="charts/chart25.xml"/><Relationship Id="rId53" Type="http://schemas.openxmlformats.org/officeDocument/2006/relationships/chart" Target="charts/chart31.xml"/><Relationship Id="rId58" Type="http://schemas.openxmlformats.org/officeDocument/2006/relationships/diagramData" Target="diagrams/data1.xml"/><Relationship Id="rId66" Type="http://schemas.openxmlformats.org/officeDocument/2006/relationships/hyperlink" Target="https://www.gov.uk/guidance/local-plans--2" TargetMode="External"/><Relationship Id="rId74" Type="http://schemas.openxmlformats.org/officeDocument/2006/relationships/chart" Target="charts/chart46.xml"/><Relationship Id="rId79" Type="http://schemas.openxmlformats.org/officeDocument/2006/relationships/chart" Target="charts/chart51.xml"/><Relationship Id="rId87" Type="http://schemas.openxmlformats.org/officeDocument/2006/relationships/chart" Target="charts/chart59.xml"/><Relationship Id="rId5" Type="http://schemas.openxmlformats.org/officeDocument/2006/relationships/settings" Target="settings.xml"/><Relationship Id="rId61" Type="http://schemas.openxmlformats.org/officeDocument/2006/relationships/diagramColors" Target="diagrams/colors1.xml"/><Relationship Id="rId82" Type="http://schemas.openxmlformats.org/officeDocument/2006/relationships/chart" Target="charts/chart54.xml"/><Relationship Id="rId90" Type="http://schemas.openxmlformats.org/officeDocument/2006/relationships/chart" Target="charts/chart62.xml"/><Relationship Id="rId19" Type="http://schemas.openxmlformats.org/officeDocument/2006/relationships/chart" Target="charts/chart1.xml"/><Relationship Id="rId14" Type="http://schemas.openxmlformats.org/officeDocument/2006/relationships/image" Target="media/image4.jp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footer" Target="footer3.xml"/><Relationship Id="rId43" Type="http://schemas.openxmlformats.org/officeDocument/2006/relationships/chart" Target="charts/chart23.xml"/><Relationship Id="rId48" Type="http://schemas.openxmlformats.org/officeDocument/2006/relationships/chart" Target="charts/chart26.xml"/><Relationship Id="rId56" Type="http://schemas.openxmlformats.org/officeDocument/2006/relationships/chart" Target="charts/chart34.xml"/><Relationship Id="rId64" Type="http://schemas.openxmlformats.org/officeDocument/2006/relationships/chart" Target="charts/chart37.xml"/><Relationship Id="rId69" Type="http://schemas.openxmlformats.org/officeDocument/2006/relationships/chart" Target="charts/chart41.xml"/><Relationship Id="rId77" Type="http://schemas.openxmlformats.org/officeDocument/2006/relationships/chart" Target="charts/chart49.xml"/><Relationship Id="rId100"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chart" Target="charts/chart29.xml"/><Relationship Id="rId72" Type="http://schemas.openxmlformats.org/officeDocument/2006/relationships/chart" Target="charts/chart44.xml"/><Relationship Id="rId80" Type="http://schemas.openxmlformats.org/officeDocument/2006/relationships/chart" Target="charts/chart52.xml"/><Relationship Id="rId85" Type="http://schemas.openxmlformats.org/officeDocument/2006/relationships/chart" Target="charts/chart57.xml"/><Relationship Id="rId93" Type="http://schemas.openxmlformats.org/officeDocument/2006/relationships/fontTable" Target="fontTable.xml"/><Relationship Id="rId98" Type="http://schemas.microsoft.com/office/2016/09/relationships/commentsIds" Target="commentsId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18.xml"/><Relationship Id="rId46" Type="http://schemas.openxmlformats.org/officeDocument/2006/relationships/image" Target="media/image9.emf"/><Relationship Id="rId59" Type="http://schemas.openxmlformats.org/officeDocument/2006/relationships/diagramLayout" Target="diagrams/layout1.xml"/><Relationship Id="rId67" Type="http://schemas.openxmlformats.org/officeDocument/2006/relationships/chart" Target="charts/chart39.xml"/><Relationship Id="rId20" Type="http://schemas.openxmlformats.org/officeDocument/2006/relationships/chart" Target="charts/chart2.xml"/><Relationship Id="rId41" Type="http://schemas.openxmlformats.org/officeDocument/2006/relationships/chart" Target="charts/chart21.xml"/><Relationship Id="rId54" Type="http://schemas.openxmlformats.org/officeDocument/2006/relationships/chart" Target="charts/chart32.xml"/><Relationship Id="rId62" Type="http://schemas.microsoft.com/office/2007/relationships/diagramDrawing" Target="diagrams/drawing1.xml"/><Relationship Id="rId70" Type="http://schemas.openxmlformats.org/officeDocument/2006/relationships/chart" Target="charts/chart42.xml"/><Relationship Id="rId75" Type="http://schemas.openxmlformats.org/officeDocument/2006/relationships/chart" Target="charts/chart47.xml"/><Relationship Id="rId83" Type="http://schemas.openxmlformats.org/officeDocument/2006/relationships/chart" Target="charts/chart55.xml"/><Relationship Id="rId88" Type="http://schemas.openxmlformats.org/officeDocument/2006/relationships/chart" Target="charts/chart60.xml"/><Relationship Id="rId91" Type="http://schemas.openxmlformats.org/officeDocument/2006/relationships/chart" Target="charts/chart6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6.xml"/><Relationship Id="rId49" Type="http://schemas.openxmlformats.org/officeDocument/2006/relationships/chart" Target="charts/chart27.xml"/><Relationship Id="rId57" Type="http://schemas.openxmlformats.org/officeDocument/2006/relationships/chart" Target="charts/chart35.xml"/><Relationship Id="rId10" Type="http://schemas.openxmlformats.org/officeDocument/2006/relationships/footer" Target="footer1.xml"/><Relationship Id="rId31" Type="http://schemas.openxmlformats.org/officeDocument/2006/relationships/chart" Target="charts/chart13.xml"/><Relationship Id="rId44" Type="http://schemas.openxmlformats.org/officeDocument/2006/relationships/chart" Target="charts/chart24.xml"/><Relationship Id="rId52" Type="http://schemas.openxmlformats.org/officeDocument/2006/relationships/chart" Target="charts/chart30.xml"/><Relationship Id="rId60" Type="http://schemas.openxmlformats.org/officeDocument/2006/relationships/diagramQuickStyle" Target="diagrams/quickStyle1.xml"/><Relationship Id="rId65" Type="http://schemas.openxmlformats.org/officeDocument/2006/relationships/chart" Target="charts/chart38.xml"/><Relationship Id="rId73" Type="http://schemas.openxmlformats.org/officeDocument/2006/relationships/chart" Target="charts/chart45.xml"/><Relationship Id="rId78" Type="http://schemas.openxmlformats.org/officeDocument/2006/relationships/chart" Target="charts/chart50.xml"/><Relationship Id="rId81" Type="http://schemas.openxmlformats.org/officeDocument/2006/relationships/chart" Target="charts/chart53.xml"/><Relationship Id="rId86" Type="http://schemas.openxmlformats.org/officeDocument/2006/relationships/chart" Target="charts/chart58.xml"/><Relationship Id="rId94" Type="http://schemas.openxmlformats.org/officeDocument/2006/relationships/theme" Target="theme/theme1.xml"/><Relationship Id="rId99" Type="http://schemas.microsoft.com/office/2018/08/relationships/commentsExtensible" Target="commentsExtensi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chart" Target="charts/chart19.xml"/></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footnotes.xml.rels><?xml version="1.0" encoding="UTF-8" standalone="yes"?>
<Relationships xmlns="http://schemas.openxmlformats.org/package/2006/relationships"><Relationship Id="rId3" Type="http://schemas.openxmlformats.org/officeDocument/2006/relationships/hyperlink" Target="https://www.sheffield.ac.uk/polopoly_fs/1.834113!/file/Luke-Turner.pdf" TargetMode="External"/><Relationship Id="rId2" Type="http://schemas.openxmlformats.org/officeDocument/2006/relationships/hyperlink" Target="https://www.ons.gov.uk/economy/inflationandpriceindices/bulletins/indexofprivatehousingrentalprices/march2018/relateddata" TargetMode="External"/><Relationship Id="rId1" Type="http://schemas.openxmlformats.org/officeDocument/2006/relationships/hyperlink" Target="https://www.chichester.gov.uk/CHttpHandler.ashx?id=25712&amp;p=0" TargetMode="External"/><Relationship Id="rId4" Type="http://schemas.openxmlformats.org/officeDocument/2006/relationships/hyperlink" Target="https://www.sheffield.ac.uk/polopoly_fs/1.834113!/file/Luke-Turner.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glhearn.local\London\UserData\LOC_DATA\Planning\Job%20Files\J037718%20-%20Chichester%20HEDNA\Data\Market%20Signals\20170620_Market%20Signals%20New.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glhearn.local\London\UserData\LOC_DATA\Planning\Job%20Files\J037718%20-%20Chichester%20HEDNA\Data\Market%20Signals\Sub%20areas\2016%20house%20prices%20by%20sub%20are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s2604-5012-fs01.glhearn.local\LondonUserData\LOC_DATA\Planning\Job%20Files\J041232%20-%20Chichester%20HEDNA%20Update\10.%20Data\Market%20Signals%20New%20270919.%20LC%20EDIT.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s2604-5012-fs01.glhearn.local\LondonUserData\LOC_DATA\Planning\Job%20Files\J041232%20-%20Chichester%20HEDNA%20Update\10.%20Data\MYE%20and%20Population%20Growth.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s2604-5012-fs01.glhearn.local\LondonUserData\LOC_DATA\Planning\Job%20Files\J041232%20-%20Chichester%20HEDNA%20Update\10.%20Data\MYE%20and%20Population%20Growth.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s2604-5012-fs01.glhearn.local\LondonUserData\LOC_DATA\Planning\Job%20Files\J041232%20-%20Chichester%20HEDNA%20Update\10.%20Data\MYE%20and%20Population%20Growth.xlsx" TargetMode="Externa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6.xml.rels><?xml version="1.0" encoding="UTF-8" standalone="yes"?>
<Relationships xmlns="http://schemas.openxmlformats.org/package/2006/relationships"><Relationship Id="rId1" Type="http://schemas.openxmlformats.org/officeDocument/2006/relationships/oleObject" Target="file:///C:\Users\David.Leyden\Desktop\GVA%20and%20Employment%20Benchmarking%20-%20Chichester%20V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David.Leyden\Desktop\GVA%20and%20Employment%20Benchmarking%20-%20Chichester%20V2.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David.Leyden\Desktop\GVA%20and%20Employment%20Benchmarking%20-%20Chichester%20V2.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David.Leyden\Desktop\GVA%20and%20Employment%20Benchmarking%20-%20Chichester%20V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2604-5012-fs01.glhearn.local\LondonUserData\LOC_DATA\Planning\Job%20Files\J041232%20-%20Chichester%20HEDNA%20Update\10.%20Data\Market%20Signals%20New%20270919.%20LC%20EDIT.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David.Leyden\Desktop\GVA%20and%20Employment%20Benchmarking%20-%20Chichester%20V2.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David.Leyden\Desktop\GVA%20and%20Employment%20Benchmarking%20-%20Chichester%20V2.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David.Leyden\Desktop\GVA%20and%20Employment%20Benchmarking%20-%20Chichester%20V2.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David.Leyden\Desktop\GVA%20and%20Employment%20Benchmarking%20-%20Chichester%20V2.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David.Leyden\Desktop\GVA%20and%20Employment%20Benchmarking%20-%20Chichester%20V2.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David.Leyden\Desktop\GVA%20and%20Employment%20Benchmarking%20-%20Chichester%20V2.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s2604-5012-fs01.glhearn.local\LondonUserData\LOC_DATA\Planning\Job%20Files\J041232%20-%20Chichester%20HEDNA%20Update\10.%20Data\Employment\Employment%20land%20forecasts%202016-36%20(2.9.19).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s2604-5012-fs01.glhearn.local\LondonUserData\LOC_DATA\Planning\Job%20Files\J041232%20-%20Chichester%20HEDNA%20Update\10.%20Data\Employment\2019-36\Employment%20land%20forecasts%202016-36%20plus%20comp%20to%20adjusted.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s2604-5012-fs01.glhearn.local\LondonUserData\LOC_DATA\Planning\Job%20Files\J041232%20-%20Chichester%20HEDNA%20Update\10.%20Data\Employment\Copy%20of%20GVA%20Employment%20benchmarking%2016-36.xlsx" TargetMode="External"/></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file:///\\s2604-5012-fs01.glhearn.local\LondonUserData\LOC_DATA\Planning\Job%20Files\J041232%20-%20Chichester%20HEDNA%20Update\10.%20Data\Market%20Signals%20New%20270919.%20LC%20EDIT.xlsx" TargetMode="Externa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34.xml.rels><?xml version="1.0" encoding="UTF-8" standalone="yes"?>
<Relationships xmlns="http://schemas.openxmlformats.org/package/2006/relationships"><Relationship Id="rId1" Type="http://schemas.openxmlformats.org/officeDocument/2006/relationships/oleObject" Target="file:///\\glhearn.local\London\UserData\LOC_DATA\Planning\Job%20Files\J037718%20-%20Chichester%20HEDNA\Data\Market%20Signals\Sub%20areas\Sub-area%20Tenure%20etc.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glhearn.local\London\UserData\LOC_DATA\Planning\Job%20Files\J037718%20-%20Chichester%20HEDNA\Data\Market%20Signals\Sub%20areas\Sub-area%20Tenure%20etc.xlsx" TargetMode="External"/></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37.xml.rels><?xml version="1.0" encoding="UTF-8" standalone="yes"?>
<Relationships xmlns="http://schemas.openxmlformats.org/package/2006/relationships"><Relationship Id="rId1" Type="http://schemas.openxmlformats.org/officeDocument/2006/relationships/oleObject" Target="file:///\\s2604-5012-fs01.glhearn.local\LondonUserData\LOC_DATA\Planning\Job%20Files\J041232%20-%20Chichester%20HEDNA%20Update\10.%20Data\LTHPD.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hannah.mcdonald\Downloads\nomis_2019_12_20_161659.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glhearn.local\London\UserData\LOC_DATA\Planning\Job%20Files\J037718%20-%20Chichester%20HEDNA\Data\BME%20Group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2604-5012-fs01.glhearn.local\LondonUserData\LOC_DATA\Planning\Job%20Files\J041232%20-%20Chichester%20HEDNA%20Update\10.%20Data\Market%20Signals%20New%20270919.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glhearn.local\London\UserData\LOC_DATA\Planning\Job%20Files\J037718%20-%20Chichester%20HEDNA\Data\BME%20Groups.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glhearn.local\London\UserData\LOC_DATA\Planning\Job%20Files\J037718%20-%20Chichester%20HEDNA\Data\BME%20Groups.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s2604-5012-fs01.glhearn.local\LondonUserData\LOC_DATA\Planning\Job%20Files\J041232%20-%20Chichester%20HEDNA%20Update\10.%20Data\Homeslessness.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s2604-5012-fs01.glhearn.local\LondonUserData\LOC_DATA\Planning\Job%20Files\J041232%20-%20Chichester%20HEDNA%20Update\10.%20Data\Employment\Copy%20of%20VOA%20Floorspace.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s2604-5012-fs01.glhearn.local\LondonUserData\LOC_DATA\Planning\Job%20Files\J041232%20-%20Chichester%20HEDNA%20Update\10.%20Data\Commercial%20Market%20Assessment\office%20take%20up%20-%20update.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s2604-5012-fs01.glhearn.local\LondonUserData\LOC_DATA\Planning\Job%20Files\J041232%20-%20Chichester%20HEDNA%20Update\10.%20Data\Commercial%20Market%20Assessment\office%20take%20up%20-%20update.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s2604-5012-fs01.glhearn.local\LondonUserData\LOC_DATA\Planning\Job%20Files\J041232%20-%20Chichester%20HEDNA%20Update\10.%20Data\Commercial%20Market%20Assessment\office%20take%20up%20-%20update.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s2604-5012-fs01.glhearn.local\LondonUserData\LOC_DATA\Planning\Job%20Files\J041232%20-%20Chichester%20HEDNA%20Update\10.%20Data\Commercial%20Market%20Assessment\office%20take%20up%20-%20update.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s2604-5012-fs01.glhearn.local\LondonUserData\LOC_DATA\Planning\Job%20Files\J041232%20-%20Chichester%20HEDNA%20Update\10.%20Data\Commercial%20Market%20Assessment\Office%20availability%20-%20update.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s2604-5012-fs01.glhearn.local\LondonUserData\LOC_DATA\Planning\Job%20Files\J041232%20-%20Chichester%20HEDNA%20Update\10.%20Data\Commercial%20Market%20Assessment\Office%20availability%20-%20updat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2604-5012-fs01.glhearn.local\LondonUserData\LOC_DATA\Planning\Job%20Files\J041232%20-%20Chichester%20HEDNA%20Update\10.%20Data\Market%20Signals%20New%20270919.%20LC%20EDIT.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glhearn.local\London\UserData\LOC_DATA\Planning\Job%20Files\J037718%20-%20Chichester%20HEDNA\Data\Commercial%20Property%20Market\Availability\Office%20availability.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s2604-5012-fs01.glhearn.local\LondonUserData\LOC_DATA\Planning\Job%20Files\J041232%20-%20Chichester%20HEDNA%20Update\10.%20Data\Employment\Copy%20of%20VOA%20Floorspace.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s2604-5012-fs01.glhearn.local\LondonUserData\LOC_DATA\Planning\Job%20Files\J041232%20-%20Chichester%20HEDNA%20Update\10.%20Data\Commercial%20Market%20Assessment\industrial%20take%20up%20-%20update.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s2604-5012-fs01.glhearn.local\LondonUserData\LOC_DATA\Planning\Job%20Files\J041232%20-%20Chichester%20HEDNA%20Update\10.%20Data\Commercial%20Market%20Assessment\industrial%20take%20up%20-%20update.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s2604-5012-fs01.glhearn.local\LondonUserData\LOC_DATA\Planning\Job%20Files\J041232%20-%20Chichester%20HEDNA%20Update\10.%20Data\Commercial%20Market%20Assessment\industrial%20take%20up%20-%20update.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s2604-5012-fs01.glhearn.local\LondonUserData\LOC_DATA\Planning\Job%20Files\J041232%20-%20Chichester%20HEDNA%20Update\10.%20Data\Commercial%20Market%20Assessment\industrial%20take%20up%20-%20update.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s2604-5012-fs01.glhearn.local\LondonUserData\LOC_DATA\Planning\Job%20Files\J041232%20-%20Chichester%20HEDNA%20Update\10.%20Data\Commercial%20Market%20Assessment\Industrial%20availability%20-%20update.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s2604-5012-fs01.glhearn.local\LondonUserData\LOC_DATA\Planning\Job%20Files\J041232%20-%20Chichester%20HEDNA%20Update\10.%20Data\Commercial%20Market%20Assessment\Industrial%20availability%20-%20update.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s2604-5012-fs01.glhearn.local\LondonUserData\LOC_DATA\Planning\Job%20Files\J041232%20-%20Chichester%20HEDNA%20Update\10.%20Data\Commercial%20Market%20Assessment\Industrial%20availability%20-%20update.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s2604-5012-fs01.glhearn.local\LondonUserData\LOC_DATA\Planning\Job%20Files\J041232%20-%20Chichester%20HEDNA%20Update\10.%20Data\Commercial%20Market%20Assessment\Industrial%20availability%20-%20updat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s2604-5012-fs01.glhearn.local\LondonUserData\LOC_DATA\Planning\Job%20Files\J041232%20-%20Chichester%20HEDNA%20Update\10.%20Data\Market%20Signals%20New%20270919.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s2604-5012-fs01.glhearn.local\LondonUserData\LOC_DATA\Planning\Job%20Files\J041232%20-%20Chichester%20HEDNA%20Update\10.%20Data\Employment\2019-36\Employment%20land%20forecasts%202016-36%20plus%20comp%20to%20adjusted.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s2604-5012-fs01.glhearn.local\LondonUserData\LOC_DATA\Planning\Job%20Files\J041232%20-%20Chichester%20HEDNA%20Update\10.%20Data\Employment\2019-36\Employment%20Land%20forecast%20-%20Growth%20Scenario%202019-36.xlsx" TargetMode="External"/></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63.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s2604-5012-fs01\LondonUserData\LOC_DATA\Planning\Job%20Files\J041232%20-%20Chichester%20HEDNA%20Update\10.%20Data\Glasshouse\Copy%20of%20Copy%20of%20Horticultural%20Development%20Permitted%20Apps%20since%201994%20V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s2604-5012-fs01.glhearn.local\LondonUserData\LOC_DATA\Planning\Job%20Files\J041232%20-%20Chichester%20HEDNA%20Update\10.%20Data\Market%20Signals%20New%20270919.%20LC%20EDI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s2604-5012-fs01.glhearn.local\LondonUserData\LOC_DATA\Planning\Job%20Files\J041232%20-%20Chichester%20HEDNA%20Update\10.%20Data\Market%20Signals%20New%20270919.%20LC%20EDI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s2604-5012-fs01.glhearn.local\LondonUserData\LOC_DATA\Planning\Job%20Files\J041232%20-%20Chichester%20HEDNA%20Update\10.%20Data\Market%20Signals%20New%20270919.%20LC%20EDI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07358507228627"/>
          <c:y val="4.3691909295612646E-2"/>
          <c:w val="0.8427994244952759"/>
          <c:h val="0.52757394323264606"/>
        </c:manualLayout>
      </c:layout>
      <c:lineChart>
        <c:grouping val="standard"/>
        <c:varyColors val="0"/>
        <c:ser>
          <c:idx val="0"/>
          <c:order val="0"/>
          <c:tx>
            <c:strRef>
              <c:f>'House price trends'!$A$3</c:f>
              <c:strCache>
                <c:ptCount val="1"/>
                <c:pt idx="0">
                  <c:v>Chichester District</c:v>
                </c:pt>
              </c:strCache>
            </c:strRef>
          </c:tx>
          <c:spPr>
            <a:ln>
              <a:prstDash val="sysDash"/>
            </a:ln>
          </c:spPr>
          <c:marker>
            <c:symbol val="none"/>
          </c:marker>
          <c:cat>
            <c:multiLvlStrRef>
              <c:f>'House price trends'!$F$1:$AW$2</c:f>
              <c:multiLvlStrCache>
                <c:ptCount val="44"/>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pt idx="17">
                    <c:v>Q2</c:v>
                  </c:pt>
                  <c:pt idx="18">
                    <c:v>Q3</c:v>
                  </c:pt>
                  <c:pt idx="19">
                    <c:v>Q4</c:v>
                  </c:pt>
                  <c:pt idx="20">
                    <c:v>Q1</c:v>
                  </c:pt>
                  <c:pt idx="21">
                    <c:v>Q2</c:v>
                  </c:pt>
                  <c:pt idx="22">
                    <c:v>Q3 </c:v>
                  </c:pt>
                  <c:pt idx="23">
                    <c:v>Q4</c:v>
                  </c:pt>
                  <c:pt idx="24">
                    <c:v>Q1 </c:v>
                  </c:pt>
                  <c:pt idx="25">
                    <c:v>Q2 </c:v>
                  </c:pt>
                  <c:pt idx="26">
                    <c:v>Q3</c:v>
                  </c:pt>
                  <c:pt idx="27">
                    <c:v>Q4</c:v>
                  </c:pt>
                  <c:pt idx="28">
                    <c:v>Q1</c:v>
                  </c:pt>
                  <c:pt idx="29">
                    <c:v>Q2</c:v>
                  </c:pt>
                  <c:pt idx="30">
                    <c:v>Q3</c:v>
                  </c:pt>
                  <c:pt idx="31">
                    <c:v>Q4</c:v>
                  </c:pt>
                  <c:pt idx="32">
                    <c:v>Q1</c:v>
                  </c:pt>
                  <c:pt idx="33">
                    <c:v>Q2</c:v>
                  </c:pt>
                  <c:pt idx="34">
                    <c:v>Q3</c:v>
                  </c:pt>
                  <c:pt idx="35">
                    <c:v>Q4</c:v>
                  </c:pt>
                  <c:pt idx="36">
                    <c:v>Q1 </c:v>
                  </c:pt>
                  <c:pt idx="37">
                    <c:v>Q2 </c:v>
                  </c:pt>
                  <c:pt idx="38">
                    <c:v>Q3</c:v>
                  </c:pt>
                  <c:pt idx="39">
                    <c:v>Q4</c:v>
                  </c:pt>
                  <c:pt idx="40">
                    <c:v>Q1</c:v>
                  </c:pt>
                  <c:pt idx="41">
                    <c:v>Q2</c:v>
                  </c:pt>
                  <c:pt idx="42">
                    <c:v>Q3</c:v>
                  </c:pt>
                  <c:pt idx="43">
                    <c:v>Q4</c:v>
                  </c:pt>
                </c:lvl>
                <c:lvl>
                  <c:pt idx="0">
                    <c:v>1997</c:v>
                  </c:pt>
                  <c:pt idx="4">
                    <c:v>1998</c:v>
                  </c:pt>
                  <c:pt idx="8">
                    <c:v>1999</c:v>
                  </c:pt>
                  <c:pt idx="12">
                    <c:v>2000</c:v>
                  </c:pt>
                  <c:pt idx="16">
                    <c:v>2001</c:v>
                  </c:pt>
                  <c:pt idx="20">
                    <c:v>2002</c:v>
                  </c:pt>
                  <c:pt idx="24">
                    <c:v>2003</c:v>
                  </c:pt>
                  <c:pt idx="28">
                    <c:v>2004</c:v>
                  </c:pt>
                  <c:pt idx="32">
                    <c:v>2005</c:v>
                  </c:pt>
                  <c:pt idx="36">
                    <c:v>2006</c:v>
                  </c:pt>
                  <c:pt idx="40">
                    <c:v>2007</c:v>
                  </c:pt>
                </c:lvl>
              </c:multiLvlStrCache>
            </c:multiLvlStrRef>
          </c:cat>
          <c:val>
            <c:numRef>
              <c:f>'House price trends'!$F$3:$AW$3</c:f>
              <c:numCache>
                <c:formatCode>#,##0</c:formatCode>
                <c:ptCount val="44"/>
                <c:pt idx="0">
                  <c:v>81725</c:v>
                </c:pt>
                <c:pt idx="1">
                  <c:v>80000</c:v>
                </c:pt>
                <c:pt idx="2">
                  <c:v>93950</c:v>
                </c:pt>
                <c:pt idx="3">
                  <c:v>90000</c:v>
                </c:pt>
                <c:pt idx="4">
                  <c:v>95000</c:v>
                </c:pt>
                <c:pt idx="5">
                  <c:v>95875</c:v>
                </c:pt>
                <c:pt idx="6">
                  <c:v>99950</c:v>
                </c:pt>
                <c:pt idx="7">
                  <c:v>98250</c:v>
                </c:pt>
                <c:pt idx="8">
                  <c:v>99500</c:v>
                </c:pt>
                <c:pt idx="9">
                  <c:v>105000</c:v>
                </c:pt>
                <c:pt idx="10">
                  <c:v>113250</c:v>
                </c:pt>
                <c:pt idx="11">
                  <c:v>115000</c:v>
                </c:pt>
                <c:pt idx="12">
                  <c:v>125000</c:v>
                </c:pt>
                <c:pt idx="13">
                  <c:v>130000</c:v>
                </c:pt>
                <c:pt idx="14">
                  <c:v>133500</c:v>
                </c:pt>
                <c:pt idx="15">
                  <c:v>135000</c:v>
                </c:pt>
                <c:pt idx="16">
                  <c:v>135000</c:v>
                </c:pt>
                <c:pt idx="17">
                  <c:v>141950</c:v>
                </c:pt>
                <c:pt idx="18">
                  <c:v>146950</c:v>
                </c:pt>
                <c:pt idx="19">
                  <c:v>145000</c:v>
                </c:pt>
                <c:pt idx="20">
                  <c:v>150000</c:v>
                </c:pt>
                <c:pt idx="21">
                  <c:v>157500</c:v>
                </c:pt>
                <c:pt idx="22">
                  <c:v>175000</c:v>
                </c:pt>
                <c:pt idx="23">
                  <c:v>187750</c:v>
                </c:pt>
                <c:pt idx="24">
                  <c:v>190750</c:v>
                </c:pt>
                <c:pt idx="25">
                  <c:v>195000</c:v>
                </c:pt>
                <c:pt idx="26">
                  <c:v>200000</c:v>
                </c:pt>
                <c:pt idx="27">
                  <c:v>210000</c:v>
                </c:pt>
                <c:pt idx="28">
                  <c:v>225000</c:v>
                </c:pt>
                <c:pt idx="29">
                  <c:v>219950</c:v>
                </c:pt>
                <c:pt idx="30">
                  <c:v>238000</c:v>
                </c:pt>
                <c:pt idx="31">
                  <c:v>237000</c:v>
                </c:pt>
                <c:pt idx="32">
                  <c:v>215000</c:v>
                </c:pt>
                <c:pt idx="33">
                  <c:v>235950</c:v>
                </c:pt>
                <c:pt idx="34">
                  <c:v>235000</c:v>
                </c:pt>
                <c:pt idx="35">
                  <c:v>233000</c:v>
                </c:pt>
                <c:pt idx="36">
                  <c:v>230000</c:v>
                </c:pt>
                <c:pt idx="37">
                  <c:v>240000</c:v>
                </c:pt>
                <c:pt idx="38">
                  <c:v>249950</c:v>
                </c:pt>
                <c:pt idx="39">
                  <c:v>249950</c:v>
                </c:pt>
                <c:pt idx="40">
                  <c:v>240000</c:v>
                </c:pt>
                <c:pt idx="41">
                  <c:v>250000</c:v>
                </c:pt>
                <c:pt idx="42">
                  <c:v>260000</c:v>
                </c:pt>
                <c:pt idx="43">
                  <c:v>260000</c:v>
                </c:pt>
              </c:numCache>
            </c:numRef>
          </c:val>
          <c:smooth val="1"/>
          <c:extLst xmlns:c16r2="http://schemas.microsoft.com/office/drawing/2015/06/chart">
            <c:ext xmlns:c16="http://schemas.microsoft.com/office/drawing/2014/chart" uri="{C3380CC4-5D6E-409C-BE32-E72D297353CC}">
              <c16:uniqueId val="{00000000-3B6C-4BCD-86FF-FE8F93460A37}"/>
            </c:ext>
          </c:extLst>
        </c:ser>
        <c:ser>
          <c:idx val="1"/>
          <c:order val="1"/>
          <c:tx>
            <c:strRef>
              <c:f>'House price trends'!$A$4</c:f>
              <c:strCache>
                <c:ptCount val="1"/>
                <c:pt idx="0">
                  <c:v>Arun</c:v>
                </c:pt>
              </c:strCache>
            </c:strRef>
          </c:tx>
          <c:marker>
            <c:symbol val="none"/>
          </c:marker>
          <c:cat>
            <c:multiLvlStrRef>
              <c:f>'House price trends'!$F$1:$AW$2</c:f>
              <c:multiLvlStrCache>
                <c:ptCount val="44"/>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pt idx="17">
                    <c:v>Q2</c:v>
                  </c:pt>
                  <c:pt idx="18">
                    <c:v>Q3</c:v>
                  </c:pt>
                  <c:pt idx="19">
                    <c:v>Q4</c:v>
                  </c:pt>
                  <c:pt idx="20">
                    <c:v>Q1</c:v>
                  </c:pt>
                  <c:pt idx="21">
                    <c:v>Q2</c:v>
                  </c:pt>
                  <c:pt idx="22">
                    <c:v>Q3 </c:v>
                  </c:pt>
                  <c:pt idx="23">
                    <c:v>Q4</c:v>
                  </c:pt>
                  <c:pt idx="24">
                    <c:v>Q1 </c:v>
                  </c:pt>
                  <c:pt idx="25">
                    <c:v>Q2 </c:v>
                  </c:pt>
                  <c:pt idx="26">
                    <c:v>Q3</c:v>
                  </c:pt>
                  <c:pt idx="27">
                    <c:v>Q4</c:v>
                  </c:pt>
                  <c:pt idx="28">
                    <c:v>Q1</c:v>
                  </c:pt>
                  <c:pt idx="29">
                    <c:v>Q2</c:v>
                  </c:pt>
                  <c:pt idx="30">
                    <c:v>Q3</c:v>
                  </c:pt>
                  <c:pt idx="31">
                    <c:v>Q4</c:v>
                  </c:pt>
                  <c:pt idx="32">
                    <c:v>Q1</c:v>
                  </c:pt>
                  <c:pt idx="33">
                    <c:v>Q2</c:v>
                  </c:pt>
                  <c:pt idx="34">
                    <c:v>Q3</c:v>
                  </c:pt>
                  <c:pt idx="35">
                    <c:v>Q4</c:v>
                  </c:pt>
                  <c:pt idx="36">
                    <c:v>Q1 </c:v>
                  </c:pt>
                  <c:pt idx="37">
                    <c:v>Q2 </c:v>
                  </c:pt>
                  <c:pt idx="38">
                    <c:v>Q3</c:v>
                  </c:pt>
                  <c:pt idx="39">
                    <c:v>Q4</c:v>
                  </c:pt>
                  <c:pt idx="40">
                    <c:v>Q1</c:v>
                  </c:pt>
                  <c:pt idx="41">
                    <c:v>Q2</c:v>
                  </c:pt>
                  <c:pt idx="42">
                    <c:v>Q3</c:v>
                  </c:pt>
                  <c:pt idx="43">
                    <c:v>Q4</c:v>
                  </c:pt>
                </c:lvl>
                <c:lvl>
                  <c:pt idx="0">
                    <c:v>1997</c:v>
                  </c:pt>
                  <c:pt idx="4">
                    <c:v>1998</c:v>
                  </c:pt>
                  <c:pt idx="8">
                    <c:v>1999</c:v>
                  </c:pt>
                  <c:pt idx="12">
                    <c:v>2000</c:v>
                  </c:pt>
                  <c:pt idx="16">
                    <c:v>2001</c:v>
                  </c:pt>
                  <c:pt idx="20">
                    <c:v>2002</c:v>
                  </c:pt>
                  <c:pt idx="24">
                    <c:v>2003</c:v>
                  </c:pt>
                  <c:pt idx="28">
                    <c:v>2004</c:v>
                  </c:pt>
                  <c:pt idx="32">
                    <c:v>2005</c:v>
                  </c:pt>
                  <c:pt idx="36">
                    <c:v>2006</c:v>
                  </c:pt>
                  <c:pt idx="40">
                    <c:v>2007</c:v>
                  </c:pt>
                </c:lvl>
              </c:multiLvlStrCache>
            </c:multiLvlStrRef>
          </c:cat>
          <c:val>
            <c:numRef>
              <c:f>'House price trends'!$F$4:$AW$4</c:f>
              <c:numCache>
                <c:formatCode>#,##0</c:formatCode>
                <c:ptCount val="44"/>
                <c:pt idx="0">
                  <c:v>60000</c:v>
                </c:pt>
                <c:pt idx="1">
                  <c:v>64500</c:v>
                </c:pt>
                <c:pt idx="2">
                  <c:v>68000</c:v>
                </c:pt>
                <c:pt idx="3">
                  <c:v>69500</c:v>
                </c:pt>
                <c:pt idx="4">
                  <c:v>69000</c:v>
                </c:pt>
                <c:pt idx="5">
                  <c:v>75000</c:v>
                </c:pt>
                <c:pt idx="6">
                  <c:v>76600</c:v>
                </c:pt>
                <c:pt idx="7">
                  <c:v>75000</c:v>
                </c:pt>
                <c:pt idx="8">
                  <c:v>76000</c:v>
                </c:pt>
                <c:pt idx="9">
                  <c:v>78659.5</c:v>
                </c:pt>
                <c:pt idx="10">
                  <c:v>82500</c:v>
                </c:pt>
                <c:pt idx="11">
                  <c:v>88350</c:v>
                </c:pt>
                <c:pt idx="12">
                  <c:v>87500</c:v>
                </c:pt>
                <c:pt idx="13">
                  <c:v>90500</c:v>
                </c:pt>
                <c:pt idx="14">
                  <c:v>94000</c:v>
                </c:pt>
                <c:pt idx="15">
                  <c:v>102000</c:v>
                </c:pt>
                <c:pt idx="16">
                  <c:v>99950</c:v>
                </c:pt>
                <c:pt idx="17">
                  <c:v>114000</c:v>
                </c:pt>
                <c:pt idx="18">
                  <c:v>119000</c:v>
                </c:pt>
                <c:pt idx="19">
                  <c:v>119500</c:v>
                </c:pt>
                <c:pt idx="20">
                  <c:v>121500</c:v>
                </c:pt>
                <c:pt idx="21">
                  <c:v>129500</c:v>
                </c:pt>
                <c:pt idx="22">
                  <c:v>139950</c:v>
                </c:pt>
                <c:pt idx="23">
                  <c:v>149950</c:v>
                </c:pt>
                <c:pt idx="24">
                  <c:v>149500</c:v>
                </c:pt>
                <c:pt idx="25">
                  <c:v>163500</c:v>
                </c:pt>
                <c:pt idx="26">
                  <c:v>169950</c:v>
                </c:pt>
                <c:pt idx="27">
                  <c:v>165000</c:v>
                </c:pt>
                <c:pt idx="28">
                  <c:v>167000</c:v>
                </c:pt>
                <c:pt idx="29">
                  <c:v>171250</c:v>
                </c:pt>
                <c:pt idx="30">
                  <c:v>182975</c:v>
                </c:pt>
                <c:pt idx="31">
                  <c:v>185000</c:v>
                </c:pt>
                <c:pt idx="32">
                  <c:v>175000</c:v>
                </c:pt>
                <c:pt idx="33">
                  <c:v>176000</c:v>
                </c:pt>
                <c:pt idx="34">
                  <c:v>181750</c:v>
                </c:pt>
                <c:pt idx="35">
                  <c:v>181725</c:v>
                </c:pt>
                <c:pt idx="36">
                  <c:v>176000</c:v>
                </c:pt>
                <c:pt idx="37">
                  <c:v>182500</c:v>
                </c:pt>
                <c:pt idx="38">
                  <c:v>195000</c:v>
                </c:pt>
                <c:pt idx="39">
                  <c:v>195000</c:v>
                </c:pt>
                <c:pt idx="40">
                  <c:v>190000</c:v>
                </c:pt>
                <c:pt idx="41">
                  <c:v>212000</c:v>
                </c:pt>
                <c:pt idx="42">
                  <c:v>215000</c:v>
                </c:pt>
                <c:pt idx="43">
                  <c:v>210000</c:v>
                </c:pt>
              </c:numCache>
            </c:numRef>
          </c:val>
          <c:smooth val="1"/>
          <c:extLst xmlns:c16r2="http://schemas.microsoft.com/office/drawing/2015/06/chart">
            <c:ext xmlns:c16="http://schemas.microsoft.com/office/drawing/2014/chart" uri="{C3380CC4-5D6E-409C-BE32-E72D297353CC}">
              <c16:uniqueId val="{00000001-3B6C-4BCD-86FF-FE8F93460A37}"/>
            </c:ext>
          </c:extLst>
        </c:ser>
        <c:ser>
          <c:idx val="2"/>
          <c:order val="2"/>
          <c:tx>
            <c:strRef>
              <c:f>'House price trends'!$A$5</c:f>
              <c:strCache>
                <c:ptCount val="1"/>
                <c:pt idx="0">
                  <c:v>Cotswold</c:v>
                </c:pt>
              </c:strCache>
            </c:strRef>
          </c:tx>
          <c:spPr>
            <a:ln>
              <a:solidFill>
                <a:schemeClr val="accent3">
                  <a:lumMod val="60000"/>
                  <a:lumOff val="40000"/>
                </a:schemeClr>
              </a:solidFill>
            </a:ln>
          </c:spPr>
          <c:marker>
            <c:symbol val="none"/>
          </c:marker>
          <c:cat>
            <c:multiLvlStrRef>
              <c:f>'House price trends'!$F$1:$AW$2</c:f>
              <c:multiLvlStrCache>
                <c:ptCount val="44"/>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pt idx="17">
                    <c:v>Q2</c:v>
                  </c:pt>
                  <c:pt idx="18">
                    <c:v>Q3</c:v>
                  </c:pt>
                  <c:pt idx="19">
                    <c:v>Q4</c:v>
                  </c:pt>
                  <c:pt idx="20">
                    <c:v>Q1</c:v>
                  </c:pt>
                  <c:pt idx="21">
                    <c:v>Q2</c:v>
                  </c:pt>
                  <c:pt idx="22">
                    <c:v>Q3 </c:v>
                  </c:pt>
                  <c:pt idx="23">
                    <c:v>Q4</c:v>
                  </c:pt>
                  <c:pt idx="24">
                    <c:v>Q1 </c:v>
                  </c:pt>
                  <c:pt idx="25">
                    <c:v>Q2 </c:v>
                  </c:pt>
                  <c:pt idx="26">
                    <c:v>Q3</c:v>
                  </c:pt>
                  <c:pt idx="27">
                    <c:v>Q4</c:v>
                  </c:pt>
                  <c:pt idx="28">
                    <c:v>Q1</c:v>
                  </c:pt>
                  <c:pt idx="29">
                    <c:v>Q2</c:v>
                  </c:pt>
                  <c:pt idx="30">
                    <c:v>Q3</c:v>
                  </c:pt>
                  <c:pt idx="31">
                    <c:v>Q4</c:v>
                  </c:pt>
                  <c:pt idx="32">
                    <c:v>Q1</c:v>
                  </c:pt>
                  <c:pt idx="33">
                    <c:v>Q2</c:v>
                  </c:pt>
                  <c:pt idx="34">
                    <c:v>Q3</c:v>
                  </c:pt>
                  <c:pt idx="35">
                    <c:v>Q4</c:v>
                  </c:pt>
                  <c:pt idx="36">
                    <c:v>Q1 </c:v>
                  </c:pt>
                  <c:pt idx="37">
                    <c:v>Q2 </c:v>
                  </c:pt>
                  <c:pt idx="38">
                    <c:v>Q3</c:v>
                  </c:pt>
                  <c:pt idx="39">
                    <c:v>Q4</c:v>
                  </c:pt>
                  <c:pt idx="40">
                    <c:v>Q1</c:v>
                  </c:pt>
                  <c:pt idx="41">
                    <c:v>Q2</c:v>
                  </c:pt>
                  <c:pt idx="42">
                    <c:v>Q3</c:v>
                  </c:pt>
                  <c:pt idx="43">
                    <c:v>Q4</c:v>
                  </c:pt>
                </c:lvl>
                <c:lvl>
                  <c:pt idx="0">
                    <c:v>1997</c:v>
                  </c:pt>
                  <c:pt idx="4">
                    <c:v>1998</c:v>
                  </c:pt>
                  <c:pt idx="8">
                    <c:v>1999</c:v>
                  </c:pt>
                  <c:pt idx="12">
                    <c:v>2000</c:v>
                  </c:pt>
                  <c:pt idx="16">
                    <c:v>2001</c:v>
                  </c:pt>
                  <c:pt idx="20">
                    <c:v>2002</c:v>
                  </c:pt>
                  <c:pt idx="24">
                    <c:v>2003</c:v>
                  </c:pt>
                  <c:pt idx="28">
                    <c:v>2004</c:v>
                  </c:pt>
                  <c:pt idx="32">
                    <c:v>2005</c:v>
                  </c:pt>
                  <c:pt idx="36">
                    <c:v>2006</c:v>
                  </c:pt>
                  <c:pt idx="40">
                    <c:v>2007</c:v>
                  </c:pt>
                </c:lvl>
              </c:multiLvlStrCache>
            </c:multiLvlStrRef>
          </c:cat>
          <c:val>
            <c:numRef>
              <c:f>'House price trends'!$F$5:$AW$5</c:f>
              <c:numCache>
                <c:formatCode>#,##0</c:formatCode>
                <c:ptCount val="44"/>
                <c:pt idx="0">
                  <c:v>85000</c:v>
                </c:pt>
                <c:pt idx="1">
                  <c:v>86497.5</c:v>
                </c:pt>
                <c:pt idx="2">
                  <c:v>90500</c:v>
                </c:pt>
                <c:pt idx="3">
                  <c:v>89950</c:v>
                </c:pt>
                <c:pt idx="4">
                  <c:v>96000</c:v>
                </c:pt>
                <c:pt idx="5">
                  <c:v>104250</c:v>
                </c:pt>
                <c:pt idx="6">
                  <c:v>105000</c:v>
                </c:pt>
                <c:pt idx="7">
                  <c:v>103625</c:v>
                </c:pt>
                <c:pt idx="8">
                  <c:v>101000</c:v>
                </c:pt>
                <c:pt idx="9">
                  <c:v>114500</c:v>
                </c:pt>
                <c:pt idx="10">
                  <c:v>129950</c:v>
                </c:pt>
                <c:pt idx="11">
                  <c:v>135000</c:v>
                </c:pt>
                <c:pt idx="12">
                  <c:v>122250</c:v>
                </c:pt>
                <c:pt idx="13">
                  <c:v>138250</c:v>
                </c:pt>
                <c:pt idx="14">
                  <c:v>141833</c:v>
                </c:pt>
                <c:pt idx="15">
                  <c:v>134375</c:v>
                </c:pt>
                <c:pt idx="16">
                  <c:v>127000</c:v>
                </c:pt>
                <c:pt idx="17">
                  <c:v>144000</c:v>
                </c:pt>
                <c:pt idx="18">
                  <c:v>149700</c:v>
                </c:pt>
                <c:pt idx="19">
                  <c:v>149950</c:v>
                </c:pt>
                <c:pt idx="20">
                  <c:v>152500</c:v>
                </c:pt>
                <c:pt idx="21">
                  <c:v>165000</c:v>
                </c:pt>
                <c:pt idx="22">
                  <c:v>177888.5</c:v>
                </c:pt>
                <c:pt idx="23">
                  <c:v>182000</c:v>
                </c:pt>
                <c:pt idx="24">
                  <c:v>172000</c:v>
                </c:pt>
                <c:pt idx="25">
                  <c:v>210000</c:v>
                </c:pt>
                <c:pt idx="26">
                  <c:v>210000</c:v>
                </c:pt>
                <c:pt idx="27">
                  <c:v>210000</c:v>
                </c:pt>
                <c:pt idx="28">
                  <c:v>195000</c:v>
                </c:pt>
                <c:pt idx="29">
                  <c:v>233000</c:v>
                </c:pt>
                <c:pt idx="30">
                  <c:v>237150</c:v>
                </c:pt>
                <c:pt idx="31">
                  <c:v>230000</c:v>
                </c:pt>
                <c:pt idx="32">
                  <c:v>226833</c:v>
                </c:pt>
                <c:pt idx="33">
                  <c:v>240000</c:v>
                </c:pt>
                <c:pt idx="34">
                  <c:v>245000</c:v>
                </c:pt>
                <c:pt idx="35">
                  <c:v>249500</c:v>
                </c:pt>
                <c:pt idx="36">
                  <c:v>235000</c:v>
                </c:pt>
                <c:pt idx="37">
                  <c:v>249500</c:v>
                </c:pt>
                <c:pt idx="38">
                  <c:v>250000</c:v>
                </c:pt>
                <c:pt idx="39">
                  <c:v>245000</c:v>
                </c:pt>
                <c:pt idx="40">
                  <c:v>249972.5</c:v>
                </c:pt>
                <c:pt idx="41">
                  <c:v>248500</c:v>
                </c:pt>
                <c:pt idx="42">
                  <c:v>285000</c:v>
                </c:pt>
                <c:pt idx="43">
                  <c:v>293000</c:v>
                </c:pt>
              </c:numCache>
            </c:numRef>
          </c:val>
          <c:smooth val="1"/>
          <c:extLst xmlns:c16r2="http://schemas.microsoft.com/office/drawing/2015/06/chart">
            <c:ext xmlns:c16="http://schemas.microsoft.com/office/drawing/2014/chart" uri="{C3380CC4-5D6E-409C-BE32-E72D297353CC}">
              <c16:uniqueId val="{00000002-3B6C-4BCD-86FF-FE8F93460A37}"/>
            </c:ext>
          </c:extLst>
        </c:ser>
        <c:ser>
          <c:idx val="3"/>
          <c:order val="3"/>
          <c:tx>
            <c:strRef>
              <c:f>'House price trends'!$A$6</c:f>
              <c:strCache>
                <c:ptCount val="1"/>
                <c:pt idx="0">
                  <c:v>West Dorset</c:v>
                </c:pt>
              </c:strCache>
            </c:strRef>
          </c:tx>
          <c:marker>
            <c:symbol val="none"/>
          </c:marker>
          <c:val>
            <c:numRef>
              <c:f>'House price trends'!$F$6:$AW$6</c:f>
              <c:numCache>
                <c:formatCode>#,##0</c:formatCode>
                <c:ptCount val="44"/>
                <c:pt idx="0">
                  <c:v>69950</c:v>
                </c:pt>
                <c:pt idx="1">
                  <c:v>72950</c:v>
                </c:pt>
                <c:pt idx="2">
                  <c:v>75725</c:v>
                </c:pt>
                <c:pt idx="3">
                  <c:v>77000</c:v>
                </c:pt>
                <c:pt idx="4">
                  <c:v>79250</c:v>
                </c:pt>
                <c:pt idx="5">
                  <c:v>82000</c:v>
                </c:pt>
                <c:pt idx="6">
                  <c:v>80000</c:v>
                </c:pt>
                <c:pt idx="7">
                  <c:v>82000</c:v>
                </c:pt>
                <c:pt idx="8">
                  <c:v>82000</c:v>
                </c:pt>
                <c:pt idx="9">
                  <c:v>87995</c:v>
                </c:pt>
                <c:pt idx="10">
                  <c:v>96725</c:v>
                </c:pt>
                <c:pt idx="11">
                  <c:v>95000</c:v>
                </c:pt>
                <c:pt idx="12">
                  <c:v>96497.5</c:v>
                </c:pt>
                <c:pt idx="13">
                  <c:v>100000</c:v>
                </c:pt>
                <c:pt idx="14">
                  <c:v>124000</c:v>
                </c:pt>
                <c:pt idx="15">
                  <c:v>112000</c:v>
                </c:pt>
                <c:pt idx="16">
                  <c:v>110000</c:v>
                </c:pt>
                <c:pt idx="17">
                  <c:v>118000</c:v>
                </c:pt>
                <c:pt idx="18">
                  <c:v>126500</c:v>
                </c:pt>
                <c:pt idx="19">
                  <c:v>128000</c:v>
                </c:pt>
                <c:pt idx="20">
                  <c:v>127000</c:v>
                </c:pt>
                <c:pt idx="21">
                  <c:v>141875</c:v>
                </c:pt>
                <c:pt idx="22">
                  <c:v>155000</c:v>
                </c:pt>
                <c:pt idx="23">
                  <c:v>163500</c:v>
                </c:pt>
                <c:pt idx="24">
                  <c:v>165000</c:v>
                </c:pt>
                <c:pt idx="25">
                  <c:v>185000</c:v>
                </c:pt>
                <c:pt idx="26">
                  <c:v>185000</c:v>
                </c:pt>
                <c:pt idx="27">
                  <c:v>187500</c:v>
                </c:pt>
                <c:pt idx="28">
                  <c:v>192500</c:v>
                </c:pt>
                <c:pt idx="29">
                  <c:v>199975</c:v>
                </c:pt>
                <c:pt idx="30">
                  <c:v>210000</c:v>
                </c:pt>
                <c:pt idx="31">
                  <c:v>215000</c:v>
                </c:pt>
                <c:pt idx="32">
                  <c:v>208750</c:v>
                </c:pt>
                <c:pt idx="33">
                  <c:v>210000</c:v>
                </c:pt>
                <c:pt idx="34">
                  <c:v>219250</c:v>
                </c:pt>
                <c:pt idx="35">
                  <c:v>220000</c:v>
                </c:pt>
                <c:pt idx="36">
                  <c:v>209950</c:v>
                </c:pt>
                <c:pt idx="37">
                  <c:v>225000</c:v>
                </c:pt>
                <c:pt idx="38">
                  <c:v>232750</c:v>
                </c:pt>
                <c:pt idx="39">
                  <c:v>235000</c:v>
                </c:pt>
                <c:pt idx="40">
                  <c:v>230000</c:v>
                </c:pt>
                <c:pt idx="41">
                  <c:v>230000</c:v>
                </c:pt>
                <c:pt idx="42">
                  <c:v>243000</c:v>
                </c:pt>
                <c:pt idx="43">
                  <c:v>245000</c:v>
                </c:pt>
              </c:numCache>
            </c:numRef>
          </c:val>
          <c:smooth val="0"/>
          <c:extLst xmlns:c16r2="http://schemas.microsoft.com/office/drawing/2015/06/chart">
            <c:ext xmlns:c16="http://schemas.microsoft.com/office/drawing/2014/chart" uri="{C3380CC4-5D6E-409C-BE32-E72D297353CC}">
              <c16:uniqueId val="{00000003-3B6C-4BCD-86FF-FE8F93460A37}"/>
            </c:ext>
          </c:extLst>
        </c:ser>
        <c:ser>
          <c:idx val="9"/>
          <c:order val="4"/>
          <c:tx>
            <c:strRef>
              <c:f>'House price trends'!$A$7</c:f>
              <c:strCache>
                <c:ptCount val="1"/>
                <c:pt idx="0">
                  <c:v>Chichester and Bognor HMA</c:v>
                </c:pt>
              </c:strCache>
            </c:strRef>
          </c:tx>
          <c:spPr>
            <a:ln>
              <a:solidFill>
                <a:srgbClr val="00B050"/>
              </a:solidFill>
            </a:ln>
          </c:spPr>
          <c:marker>
            <c:symbol val="none"/>
          </c:marker>
          <c:cat>
            <c:multiLvlStrRef>
              <c:f>'House price trends'!$F$1:$AW$2</c:f>
              <c:multiLvlStrCache>
                <c:ptCount val="44"/>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pt idx="17">
                    <c:v>Q2</c:v>
                  </c:pt>
                  <c:pt idx="18">
                    <c:v>Q3</c:v>
                  </c:pt>
                  <c:pt idx="19">
                    <c:v>Q4</c:v>
                  </c:pt>
                  <c:pt idx="20">
                    <c:v>Q1</c:v>
                  </c:pt>
                  <c:pt idx="21">
                    <c:v>Q2</c:v>
                  </c:pt>
                  <c:pt idx="22">
                    <c:v>Q3 </c:v>
                  </c:pt>
                  <c:pt idx="23">
                    <c:v>Q4</c:v>
                  </c:pt>
                  <c:pt idx="24">
                    <c:v>Q1 </c:v>
                  </c:pt>
                  <c:pt idx="25">
                    <c:v>Q2 </c:v>
                  </c:pt>
                  <c:pt idx="26">
                    <c:v>Q3</c:v>
                  </c:pt>
                  <c:pt idx="27">
                    <c:v>Q4</c:v>
                  </c:pt>
                  <c:pt idx="28">
                    <c:v>Q1</c:v>
                  </c:pt>
                  <c:pt idx="29">
                    <c:v>Q2</c:v>
                  </c:pt>
                  <c:pt idx="30">
                    <c:v>Q3</c:v>
                  </c:pt>
                  <c:pt idx="31">
                    <c:v>Q4</c:v>
                  </c:pt>
                  <c:pt idx="32">
                    <c:v>Q1</c:v>
                  </c:pt>
                  <c:pt idx="33">
                    <c:v>Q2</c:v>
                  </c:pt>
                  <c:pt idx="34">
                    <c:v>Q3</c:v>
                  </c:pt>
                  <c:pt idx="35">
                    <c:v>Q4</c:v>
                  </c:pt>
                  <c:pt idx="36">
                    <c:v>Q1 </c:v>
                  </c:pt>
                  <c:pt idx="37">
                    <c:v>Q2 </c:v>
                  </c:pt>
                  <c:pt idx="38">
                    <c:v>Q3</c:v>
                  </c:pt>
                  <c:pt idx="39">
                    <c:v>Q4</c:v>
                  </c:pt>
                  <c:pt idx="40">
                    <c:v>Q1</c:v>
                  </c:pt>
                  <c:pt idx="41">
                    <c:v>Q2</c:v>
                  </c:pt>
                  <c:pt idx="42">
                    <c:v>Q3</c:v>
                  </c:pt>
                  <c:pt idx="43">
                    <c:v>Q4</c:v>
                  </c:pt>
                </c:lvl>
                <c:lvl>
                  <c:pt idx="0">
                    <c:v>1997</c:v>
                  </c:pt>
                  <c:pt idx="4">
                    <c:v>1998</c:v>
                  </c:pt>
                  <c:pt idx="8">
                    <c:v>1999</c:v>
                  </c:pt>
                  <c:pt idx="12">
                    <c:v>2000</c:v>
                  </c:pt>
                  <c:pt idx="16">
                    <c:v>2001</c:v>
                  </c:pt>
                  <c:pt idx="20">
                    <c:v>2002</c:v>
                  </c:pt>
                  <c:pt idx="24">
                    <c:v>2003</c:v>
                  </c:pt>
                  <c:pt idx="28">
                    <c:v>2004</c:v>
                  </c:pt>
                  <c:pt idx="32">
                    <c:v>2005</c:v>
                  </c:pt>
                  <c:pt idx="36">
                    <c:v>2006</c:v>
                  </c:pt>
                  <c:pt idx="40">
                    <c:v>2007</c:v>
                  </c:pt>
                </c:lvl>
              </c:multiLvlStrCache>
            </c:multiLvlStrRef>
          </c:cat>
          <c:val>
            <c:numRef>
              <c:f>'House price trends'!$F$7:$AW$7</c:f>
              <c:numCache>
                <c:formatCode>#,##0</c:formatCode>
                <c:ptCount val="44"/>
                <c:pt idx="0">
                  <c:v>70862.5</c:v>
                </c:pt>
                <c:pt idx="1">
                  <c:v>72250</c:v>
                </c:pt>
                <c:pt idx="2">
                  <c:v>80975</c:v>
                </c:pt>
                <c:pt idx="3">
                  <c:v>79750</c:v>
                </c:pt>
                <c:pt idx="4">
                  <c:v>82000</c:v>
                </c:pt>
                <c:pt idx="5">
                  <c:v>85437.5</c:v>
                </c:pt>
                <c:pt idx="6">
                  <c:v>88275</c:v>
                </c:pt>
                <c:pt idx="7">
                  <c:v>86625</c:v>
                </c:pt>
                <c:pt idx="8">
                  <c:v>87750</c:v>
                </c:pt>
                <c:pt idx="9">
                  <c:v>91829.75</c:v>
                </c:pt>
                <c:pt idx="10">
                  <c:v>97875</c:v>
                </c:pt>
                <c:pt idx="11">
                  <c:v>101675</c:v>
                </c:pt>
                <c:pt idx="12">
                  <c:v>106250</c:v>
                </c:pt>
                <c:pt idx="13">
                  <c:v>110250</c:v>
                </c:pt>
                <c:pt idx="14">
                  <c:v>113750</c:v>
                </c:pt>
                <c:pt idx="15">
                  <c:v>118500</c:v>
                </c:pt>
                <c:pt idx="16">
                  <c:v>117475</c:v>
                </c:pt>
                <c:pt idx="17">
                  <c:v>127975</c:v>
                </c:pt>
                <c:pt idx="18">
                  <c:v>132975</c:v>
                </c:pt>
                <c:pt idx="19">
                  <c:v>132250</c:v>
                </c:pt>
                <c:pt idx="20">
                  <c:v>135750</c:v>
                </c:pt>
                <c:pt idx="21">
                  <c:v>143500</c:v>
                </c:pt>
                <c:pt idx="22">
                  <c:v>157475</c:v>
                </c:pt>
                <c:pt idx="23">
                  <c:v>168850</c:v>
                </c:pt>
                <c:pt idx="24">
                  <c:v>170125</c:v>
                </c:pt>
                <c:pt idx="25">
                  <c:v>179250</c:v>
                </c:pt>
                <c:pt idx="26">
                  <c:v>184975</c:v>
                </c:pt>
                <c:pt idx="27">
                  <c:v>187500</c:v>
                </c:pt>
                <c:pt idx="28">
                  <c:v>196000</c:v>
                </c:pt>
                <c:pt idx="29">
                  <c:v>195600</c:v>
                </c:pt>
                <c:pt idx="30">
                  <c:v>210487.5</c:v>
                </c:pt>
                <c:pt idx="31">
                  <c:v>211000</c:v>
                </c:pt>
                <c:pt idx="32">
                  <c:v>195000</c:v>
                </c:pt>
                <c:pt idx="33">
                  <c:v>205975</c:v>
                </c:pt>
                <c:pt idx="34">
                  <c:v>208375</c:v>
                </c:pt>
                <c:pt idx="35">
                  <c:v>207362.5</c:v>
                </c:pt>
                <c:pt idx="36">
                  <c:v>203000</c:v>
                </c:pt>
                <c:pt idx="37">
                  <c:v>211250</c:v>
                </c:pt>
                <c:pt idx="38">
                  <c:v>222475</c:v>
                </c:pt>
                <c:pt idx="39">
                  <c:v>222475</c:v>
                </c:pt>
                <c:pt idx="40">
                  <c:v>215000</c:v>
                </c:pt>
                <c:pt idx="41">
                  <c:v>231000</c:v>
                </c:pt>
                <c:pt idx="42">
                  <c:v>237500</c:v>
                </c:pt>
                <c:pt idx="43">
                  <c:v>235000</c:v>
                </c:pt>
              </c:numCache>
            </c:numRef>
          </c:val>
          <c:smooth val="1"/>
          <c:extLst xmlns:c16r2="http://schemas.microsoft.com/office/drawing/2015/06/chart">
            <c:ext xmlns:c16="http://schemas.microsoft.com/office/drawing/2014/chart" uri="{C3380CC4-5D6E-409C-BE32-E72D297353CC}">
              <c16:uniqueId val="{00000004-3B6C-4BCD-86FF-FE8F93460A37}"/>
            </c:ext>
          </c:extLst>
        </c:ser>
        <c:ser>
          <c:idx val="10"/>
          <c:order val="5"/>
          <c:tx>
            <c:strRef>
              <c:f>'House price trends'!$A$8</c:f>
              <c:strCache>
                <c:ptCount val="1"/>
                <c:pt idx="0">
                  <c:v>West Sussex</c:v>
                </c:pt>
              </c:strCache>
            </c:strRef>
          </c:tx>
          <c:marker>
            <c:symbol val="none"/>
          </c:marker>
          <c:cat>
            <c:multiLvlStrRef>
              <c:f>'House price trends'!$F$1:$AW$2</c:f>
              <c:multiLvlStrCache>
                <c:ptCount val="44"/>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pt idx="17">
                    <c:v>Q2</c:v>
                  </c:pt>
                  <c:pt idx="18">
                    <c:v>Q3</c:v>
                  </c:pt>
                  <c:pt idx="19">
                    <c:v>Q4</c:v>
                  </c:pt>
                  <c:pt idx="20">
                    <c:v>Q1</c:v>
                  </c:pt>
                  <c:pt idx="21">
                    <c:v>Q2</c:v>
                  </c:pt>
                  <c:pt idx="22">
                    <c:v>Q3 </c:v>
                  </c:pt>
                  <c:pt idx="23">
                    <c:v>Q4</c:v>
                  </c:pt>
                  <c:pt idx="24">
                    <c:v>Q1 </c:v>
                  </c:pt>
                  <c:pt idx="25">
                    <c:v>Q2 </c:v>
                  </c:pt>
                  <c:pt idx="26">
                    <c:v>Q3</c:v>
                  </c:pt>
                  <c:pt idx="27">
                    <c:v>Q4</c:v>
                  </c:pt>
                  <c:pt idx="28">
                    <c:v>Q1</c:v>
                  </c:pt>
                  <c:pt idx="29">
                    <c:v>Q2</c:v>
                  </c:pt>
                  <c:pt idx="30">
                    <c:v>Q3</c:v>
                  </c:pt>
                  <c:pt idx="31">
                    <c:v>Q4</c:v>
                  </c:pt>
                  <c:pt idx="32">
                    <c:v>Q1</c:v>
                  </c:pt>
                  <c:pt idx="33">
                    <c:v>Q2</c:v>
                  </c:pt>
                  <c:pt idx="34">
                    <c:v>Q3</c:v>
                  </c:pt>
                  <c:pt idx="35">
                    <c:v>Q4</c:v>
                  </c:pt>
                  <c:pt idx="36">
                    <c:v>Q1 </c:v>
                  </c:pt>
                  <c:pt idx="37">
                    <c:v>Q2 </c:v>
                  </c:pt>
                  <c:pt idx="38">
                    <c:v>Q3</c:v>
                  </c:pt>
                  <c:pt idx="39">
                    <c:v>Q4</c:v>
                  </c:pt>
                  <c:pt idx="40">
                    <c:v>Q1</c:v>
                  </c:pt>
                  <c:pt idx="41">
                    <c:v>Q2</c:v>
                  </c:pt>
                  <c:pt idx="42">
                    <c:v>Q3</c:v>
                  </c:pt>
                  <c:pt idx="43">
                    <c:v>Q4</c:v>
                  </c:pt>
                </c:lvl>
                <c:lvl>
                  <c:pt idx="0">
                    <c:v>1997</c:v>
                  </c:pt>
                  <c:pt idx="4">
                    <c:v>1998</c:v>
                  </c:pt>
                  <c:pt idx="8">
                    <c:v>1999</c:v>
                  </c:pt>
                  <c:pt idx="12">
                    <c:v>2000</c:v>
                  </c:pt>
                  <c:pt idx="16">
                    <c:v>2001</c:v>
                  </c:pt>
                  <c:pt idx="20">
                    <c:v>2002</c:v>
                  </c:pt>
                  <c:pt idx="24">
                    <c:v>2003</c:v>
                  </c:pt>
                  <c:pt idx="28">
                    <c:v>2004</c:v>
                  </c:pt>
                  <c:pt idx="32">
                    <c:v>2005</c:v>
                  </c:pt>
                  <c:pt idx="36">
                    <c:v>2006</c:v>
                  </c:pt>
                  <c:pt idx="40">
                    <c:v>2007</c:v>
                  </c:pt>
                </c:lvl>
              </c:multiLvlStrCache>
            </c:multiLvlStrRef>
          </c:cat>
          <c:val>
            <c:numRef>
              <c:f>'House price trends'!$F$8:$AW$8</c:f>
              <c:numCache>
                <c:formatCode>#,##0</c:formatCode>
                <c:ptCount val="44"/>
                <c:pt idx="0">
                  <c:v>67950</c:v>
                </c:pt>
                <c:pt idx="1">
                  <c:v>72000</c:v>
                </c:pt>
                <c:pt idx="2">
                  <c:v>75000</c:v>
                </c:pt>
                <c:pt idx="3">
                  <c:v>78000</c:v>
                </c:pt>
                <c:pt idx="4">
                  <c:v>79000</c:v>
                </c:pt>
                <c:pt idx="5">
                  <c:v>83000</c:v>
                </c:pt>
                <c:pt idx="6">
                  <c:v>85000</c:v>
                </c:pt>
                <c:pt idx="7">
                  <c:v>84000</c:v>
                </c:pt>
                <c:pt idx="8">
                  <c:v>82500</c:v>
                </c:pt>
                <c:pt idx="9">
                  <c:v>86000</c:v>
                </c:pt>
                <c:pt idx="10">
                  <c:v>90500</c:v>
                </c:pt>
                <c:pt idx="11">
                  <c:v>97250</c:v>
                </c:pt>
                <c:pt idx="12">
                  <c:v>100000</c:v>
                </c:pt>
                <c:pt idx="13">
                  <c:v>109950</c:v>
                </c:pt>
                <c:pt idx="14">
                  <c:v>112250</c:v>
                </c:pt>
                <c:pt idx="15">
                  <c:v>115000</c:v>
                </c:pt>
                <c:pt idx="16">
                  <c:v>113500</c:v>
                </c:pt>
                <c:pt idx="17">
                  <c:v>124950</c:v>
                </c:pt>
                <c:pt idx="18">
                  <c:v>126500</c:v>
                </c:pt>
                <c:pt idx="19">
                  <c:v>130000</c:v>
                </c:pt>
                <c:pt idx="20">
                  <c:v>130000</c:v>
                </c:pt>
                <c:pt idx="21">
                  <c:v>140950</c:v>
                </c:pt>
                <c:pt idx="22">
                  <c:v>150000</c:v>
                </c:pt>
                <c:pt idx="23">
                  <c:v>162000</c:v>
                </c:pt>
                <c:pt idx="24">
                  <c:v>163000</c:v>
                </c:pt>
                <c:pt idx="25">
                  <c:v>169950</c:v>
                </c:pt>
                <c:pt idx="26">
                  <c:v>175000</c:v>
                </c:pt>
                <c:pt idx="27">
                  <c:v>178000</c:v>
                </c:pt>
                <c:pt idx="28">
                  <c:v>177500</c:v>
                </c:pt>
                <c:pt idx="29">
                  <c:v>185000</c:v>
                </c:pt>
                <c:pt idx="30">
                  <c:v>195975</c:v>
                </c:pt>
                <c:pt idx="31">
                  <c:v>194000</c:v>
                </c:pt>
                <c:pt idx="32">
                  <c:v>190000</c:v>
                </c:pt>
                <c:pt idx="33">
                  <c:v>193878</c:v>
                </c:pt>
                <c:pt idx="34">
                  <c:v>195475</c:v>
                </c:pt>
                <c:pt idx="35">
                  <c:v>195000</c:v>
                </c:pt>
                <c:pt idx="36">
                  <c:v>193000</c:v>
                </c:pt>
                <c:pt idx="37">
                  <c:v>200000</c:v>
                </c:pt>
                <c:pt idx="38">
                  <c:v>212000</c:v>
                </c:pt>
                <c:pt idx="39">
                  <c:v>213000</c:v>
                </c:pt>
                <c:pt idx="40">
                  <c:v>210000</c:v>
                </c:pt>
                <c:pt idx="41">
                  <c:v>220000</c:v>
                </c:pt>
                <c:pt idx="42">
                  <c:v>229950</c:v>
                </c:pt>
                <c:pt idx="43">
                  <c:v>229950</c:v>
                </c:pt>
              </c:numCache>
            </c:numRef>
          </c:val>
          <c:smooth val="0"/>
          <c:extLst xmlns:c16r2="http://schemas.microsoft.com/office/drawing/2015/06/chart">
            <c:ext xmlns:c16="http://schemas.microsoft.com/office/drawing/2014/chart" uri="{C3380CC4-5D6E-409C-BE32-E72D297353CC}">
              <c16:uniqueId val="{00000005-3B6C-4BCD-86FF-FE8F93460A37}"/>
            </c:ext>
          </c:extLst>
        </c:ser>
        <c:ser>
          <c:idx val="11"/>
          <c:order val="6"/>
          <c:tx>
            <c:strRef>
              <c:f>'House price trends'!$A$9</c:f>
              <c:strCache>
                <c:ptCount val="1"/>
                <c:pt idx="0">
                  <c:v>South East</c:v>
                </c:pt>
              </c:strCache>
            </c:strRef>
          </c:tx>
          <c:spPr>
            <a:ln>
              <a:solidFill>
                <a:srgbClr val="FF0000"/>
              </a:solidFill>
              <a:prstDash val="sysDot"/>
            </a:ln>
          </c:spPr>
          <c:marker>
            <c:symbol val="none"/>
          </c:marker>
          <c:cat>
            <c:multiLvlStrRef>
              <c:f>'House price trends'!$F$1:$AW$2</c:f>
              <c:multiLvlStrCache>
                <c:ptCount val="44"/>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pt idx="17">
                    <c:v>Q2</c:v>
                  </c:pt>
                  <c:pt idx="18">
                    <c:v>Q3</c:v>
                  </c:pt>
                  <c:pt idx="19">
                    <c:v>Q4</c:v>
                  </c:pt>
                  <c:pt idx="20">
                    <c:v>Q1</c:v>
                  </c:pt>
                  <c:pt idx="21">
                    <c:v>Q2</c:v>
                  </c:pt>
                  <c:pt idx="22">
                    <c:v>Q3 </c:v>
                  </c:pt>
                  <c:pt idx="23">
                    <c:v>Q4</c:v>
                  </c:pt>
                  <c:pt idx="24">
                    <c:v>Q1 </c:v>
                  </c:pt>
                  <c:pt idx="25">
                    <c:v>Q2 </c:v>
                  </c:pt>
                  <c:pt idx="26">
                    <c:v>Q3</c:v>
                  </c:pt>
                  <c:pt idx="27">
                    <c:v>Q4</c:v>
                  </c:pt>
                  <c:pt idx="28">
                    <c:v>Q1</c:v>
                  </c:pt>
                  <c:pt idx="29">
                    <c:v>Q2</c:v>
                  </c:pt>
                  <c:pt idx="30">
                    <c:v>Q3</c:v>
                  </c:pt>
                  <c:pt idx="31">
                    <c:v>Q4</c:v>
                  </c:pt>
                  <c:pt idx="32">
                    <c:v>Q1</c:v>
                  </c:pt>
                  <c:pt idx="33">
                    <c:v>Q2</c:v>
                  </c:pt>
                  <c:pt idx="34">
                    <c:v>Q3</c:v>
                  </c:pt>
                  <c:pt idx="35">
                    <c:v>Q4</c:v>
                  </c:pt>
                  <c:pt idx="36">
                    <c:v>Q1 </c:v>
                  </c:pt>
                  <c:pt idx="37">
                    <c:v>Q2 </c:v>
                  </c:pt>
                  <c:pt idx="38">
                    <c:v>Q3</c:v>
                  </c:pt>
                  <c:pt idx="39">
                    <c:v>Q4</c:v>
                  </c:pt>
                  <c:pt idx="40">
                    <c:v>Q1</c:v>
                  </c:pt>
                  <c:pt idx="41">
                    <c:v>Q2</c:v>
                  </c:pt>
                  <c:pt idx="42">
                    <c:v>Q3</c:v>
                  </c:pt>
                  <c:pt idx="43">
                    <c:v>Q4</c:v>
                  </c:pt>
                </c:lvl>
                <c:lvl>
                  <c:pt idx="0">
                    <c:v>1997</c:v>
                  </c:pt>
                  <c:pt idx="4">
                    <c:v>1998</c:v>
                  </c:pt>
                  <c:pt idx="8">
                    <c:v>1999</c:v>
                  </c:pt>
                  <c:pt idx="12">
                    <c:v>2000</c:v>
                  </c:pt>
                  <c:pt idx="16">
                    <c:v>2001</c:v>
                  </c:pt>
                  <c:pt idx="20">
                    <c:v>2002</c:v>
                  </c:pt>
                  <c:pt idx="24">
                    <c:v>2003</c:v>
                  </c:pt>
                  <c:pt idx="28">
                    <c:v>2004</c:v>
                  </c:pt>
                  <c:pt idx="32">
                    <c:v>2005</c:v>
                  </c:pt>
                  <c:pt idx="36">
                    <c:v>2006</c:v>
                  </c:pt>
                  <c:pt idx="40">
                    <c:v>2007</c:v>
                  </c:pt>
                </c:lvl>
              </c:multiLvlStrCache>
            </c:multiLvlStrRef>
          </c:cat>
          <c:val>
            <c:numRef>
              <c:f>'House price trends'!$F$9:$AW$9</c:f>
              <c:numCache>
                <c:formatCode>#,##0</c:formatCode>
                <c:ptCount val="44"/>
                <c:pt idx="0">
                  <c:v>69950</c:v>
                </c:pt>
                <c:pt idx="1">
                  <c:v>73500</c:v>
                </c:pt>
                <c:pt idx="2">
                  <c:v>76500</c:v>
                </c:pt>
                <c:pt idx="3">
                  <c:v>77750</c:v>
                </c:pt>
                <c:pt idx="4">
                  <c:v>78000</c:v>
                </c:pt>
                <c:pt idx="5">
                  <c:v>83000</c:v>
                </c:pt>
                <c:pt idx="6">
                  <c:v>85500</c:v>
                </c:pt>
                <c:pt idx="7">
                  <c:v>84500</c:v>
                </c:pt>
                <c:pt idx="8">
                  <c:v>84250</c:v>
                </c:pt>
                <c:pt idx="9">
                  <c:v>89995</c:v>
                </c:pt>
                <c:pt idx="10">
                  <c:v>95500</c:v>
                </c:pt>
                <c:pt idx="11">
                  <c:v>98050</c:v>
                </c:pt>
                <c:pt idx="12">
                  <c:v>100000</c:v>
                </c:pt>
                <c:pt idx="13">
                  <c:v>111000</c:v>
                </c:pt>
                <c:pt idx="14">
                  <c:v>115000</c:v>
                </c:pt>
                <c:pt idx="15">
                  <c:v>117000</c:v>
                </c:pt>
                <c:pt idx="16">
                  <c:v>116000</c:v>
                </c:pt>
                <c:pt idx="17">
                  <c:v>125000</c:v>
                </c:pt>
                <c:pt idx="18">
                  <c:v>129950</c:v>
                </c:pt>
                <c:pt idx="19">
                  <c:v>130000</c:v>
                </c:pt>
                <c:pt idx="20">
                  <c:v>131000</c:v>
                </c:pt>
                <c:pt idx="21">
                  <c:v>142000</c:v>
                </c:pt>
                <c:pt idx="22">
                  <c:v>154950</c:v>
                </c:pt>
                <c:pt idx="23">
                  <c:v>159995</c:v>
                </c:pt>
                <c:pt idx="24">
                  <c:v>159950</c:v>
                </c:pt>
                <c:pt idx="25">
                  <c:v>165000</c:v>
                </c:pt>
                <c:pt idx="26">
                  <c:v>172500</c:v>
                </c:pt>
                <c:pt idx="27">
                  <c:v>175000</c:v>
                </c:pt>
                <c:pt idx="28">
                  <c:v>174000</c:v>
                </c:pt>
                <c:pt idx="29">
                  <c:v>183500</c:v>
                </c:pt>
                <c:pt idx="30">
                  <c:v>193000</c:v>
                </c:pt>
                <c:pt idx="31">
                  <c:v>190000</c:v>
                </c:pt>
                <c:pt idx="32">
                  <c:v>187000</c:v>
                </c:pt>
                <c:pt idx="33">
                  <c:v>190000</c:v>
                </c:pt>
                <c:pt idx="34">
                  <c:v>195000</c:v>
                </c:pt>
                <c:pt idx="35">
                  <c:v>194000</c:v>
                </c:pt>
                <c:pt idx="36">
                  <c:v>190490.5</c:v>
                </c:pt>
                <c:pt idx="37">
                  <c:v>199995</c:v>
                </c:pt>
                <c:pt idx="38">
                  <c:v>210000</c:v>
                </c:pt>
                <c:pt idx="39">
                  <c:v>210000</c:v>
                </c:pt>
                <c:pt idx="40">
                  <c:v>207000</c:v>
                </c:pt>
                <c:pt idx="41">
                  <c:v>217000</c:v>
                </c:pt>
                <c:pt idx="42">
                  <c:v>226500</c:v>
                </c:pt>
                <c:pt idx="43">
                  <c:v>225000</c:v>
                </c:pt>
              </c:numCache>
            </c:numRef>
          </c:val>
          <c:smooth val="0"/>
          <c:extLst xmlns:c16r2="http://schemas.microsoft.com/office/drawing/2015/06/chart">
            <c:ext xmlns:c16="http://schemas.microsoft.com/office/drawing/2014/chart" uri="{C3380CC4-5D6E-409C-BE32-E72D297353CC}">
              <c16:uniqueId val="{00000006-3B6C-4BCD-86FF-FE8F93460A37}"/>
            </c:ext>
          </c:extLst>
        </c:ser>
        <c:ser>
          <c:idx val="12"/>
          <c:order val="7"/>
          <c:tx>
            <c:strRef>
              <c:f>'House price trends'!$A$10</c:f>
              <c:strCache>
                <c:ptCount val="1"/>
                <c:pt idx="0">
                  <c:v>England and Wales</c:v>
                </c:pt>
              </c:strCache>
            </c:strRef>
          </c:tx>
          <c:spPr>
            <a:ln>
              <a:prstDash val="sysDot"/>
            </a:ln>
          </c:spPr>
          <c:marker>
            <c:symbol val="none"/>
          </c:marker>
          <c:cat>
            <c:multiLvlStrRef>
              <c:f>'House price trends'!$F$1:$AW$2</c:f>
              <c:multiLvlStrCache>
                <c:ptCount val="44"/>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pt idx="17">
                    <c:v>Q2</c:v>
                  </c:pt>
                  <c:pt idx="18">
                    <c:v>Q3</c:v>
                  </c:pt>
                  <c:pt idx="19">
                    <c:v>Q4</c:v>
                  </c:pt>
                  <c:pt idx="20">
                    <c:v>Q1</c:v>
                  </c:pt>
                  <c:pt idx="21">
                    <c:v>Q2</c:v>
                  </c:pt>
                  <c:pt idx="22">
                    <c:v>Q3 </c:v>
                  </c:pt>
                  <c:pt idx="23">
                    <c:v>Q4</c:v>
                  </c:pt>
                  <c:pt idx="24">
                    <c:v>Q1 </c:v>
                  </c:pt>
                  <c:pt idx="25">
                    <c:v>Q2 </c:v>
                  </c:pt>
                  <c:pt idx="26">
                    <c:v>Q3</c:v>
                  </c:pt>
                  <c:pt idx="27">
                    <c:v>Q4</c:v>
                  </c:pt>
                  <c:pt idx="28">
                    <c:v>Q1</c:v>
                  </c:pt>
                  <c:pt idx="29">
                    <c:v>Q2</c:v>
                  </c:pt>
                  <c:pt idx="30">
                    <c:v>Q3</c:v>
                  </c:pt>
                  <c:pt idx="31">
                    <c:v>Q4</c:v>
                  </c:pt>
                  <c:pt idx="32">
                    <c:v>Q1</c:v>
                  </c:pt>
                  <c:pt idx="33">
                    <c:v>Q2</c:v>
                  </c:pt>
                  <c:pt idx="34">
                    <c:v>Q3</c:v>
                  </c:pt>
                  <c:pt idx="35">
                    <c:v>Q4</c:v>
                  </c:pt>
                  <c:pt idx="36">
                    <c:v>Q1 </c:v>
                  </c:pt>
                  <c:pt idx="37">
                    <c:v>Q2 </c:v>
                  </c:pt>
                  <c:pt idx="38">
                    <c:v>Q3</c:v>
                  </c:pt>
                  <c:pt idx="39">
                    <c:v>Q4</c:v>
                  </c:pt>
                  <c:pt idx="40">
                    <c:v>Q1</c:v>
                  </c:pt>
                  <c:pt idx="41">
                    <c:v>Q2</c:v>
                  </c:pt>
                  <c:pt idx="42">
                    <c:v>Q3</c:v>
                  </c:pt>
                  <c:pt idx="43">
                    <c:v>Q4</c:v>
                  </c:pt>
                </c:lvl>
                <c:lvl>
                  <c:pt idx="0">
                    <c:v>1997</c:v>
                  </c:pt>
                  <c:pt idx="4">
                    <c:v>1998</c:v>
                  </c:pt>
                  <c:pt idx="8">
                    <c:v>1999</c:v>
                  </c:pt>
                  <c:pt idx="12">
                    <c:v>2000</c:v>
                  </c:pt>
                  <c:pt idx="16">
                    <c:v>2001</c:v>
                  </c:pt>
                  <c:pt idx="20">
                    <c:v>2002</c:v>
                  </c:pt>
                  <c:pt idx="24">
                    <c:v>2003</c:v>
                  </c:pt>
                  <c:pt idx="28">
                    <c:v>2004</c:v>
                  </c:pt>
                  <c:pt idx="32">
                    <c:v>2005</c:v>
                  </c:pt>
                  <c:pt idx="36">
                    <c:v>2006</c:v>
                  </c:pt>
                  <c:pt idx="40">
                    <c:v>2007</c:v>
                  </c:pt>
                </c:lvl>
              </c:multiLvlStrCache>
            </c:multiLvlStrRef>
          </c:cat>
          <c:val>
            <c:numRef>
              <c:f>'House price trends'!$F$10:$AW$10</c:f>
              <c:numCache>
                <c:formatCode>#,##0</c:formatCode>
                <c:ptCount val="44"/>
                <c:pt idx="0">
                  <c:v>58000</c:v>
                </c:pt>
                <c:pt idx="1">
                  <c:v>60000</c:v>
                </c:pt>
                <c:pt idx="2">
                  <c:v>62500</c:v>
                </c:pt>
                <c:pt idx="3">
                  <c:v>62000</c:v>
                </c:pt>
                <c:pt idx="4">
                  <c:v>61950</c:v>
                </c:pt>
                <c:pt idx="5">
                  <c:v>65000</c:v>
                </c:pt>
                <c:pt idx="6">
                  <c:v>67500</c:v>
                </c:pt>
                <c:pt idx="7">
                  <c:v>66000</c:v>
                </c:pt>
                <c:pt idx="8">
                  <c:v>66950</c:v>
                </c:pt>
                <c:pt idx="9">
                  <c:v>71000</c:v>
                </c:pt>
                <c:pt idx="10">
                  <c:v>75000</c:v>
                </c:pt>
                <c:pt idx="11">
                  <c:v>75950</c:v>
                </c:pt>
                <c:pt idx="12">
                  <c:v>76500</c:v>
                </c:pt>
                <c:pt idx="13">
                  <c:v>80000</c:v>
                </c:pt>
                <c:pt idx="14">
                  <c:v>82000</c:v>
                </c:pt>
                <c:pt idx="15">
                  <c:v>82500</c:v>
                </c:pt>
                <c:pt idx="16">
                  <c:v>83725</c:v>
                </c:pt>
                <c:pt idx="17">
                  <c:v>89950</c:v>
                </c:pt>
                <c:pt idx="18">
                  <c:v>94000</c:v>
                </c:pt>
                <c:pt idx="19">
                  <c:v>92995</c:v>
                </c:pt>
                <c:pt idx="20">
                  <c:v>95000</c:v>
                </c:pt>
                <c:pt idx="21">
                  <c:v>107000</c:v>
                </c:pt>
                <c:pt idx="22">
                  <c:v>118000</c:v>
                </c:pt>
                <c:pt idx="23">
                  <c:v>120000</c:v>
                </c:pt>
                <c:pt idx="24">
                  <c:v>120000</c:v>
                </c:pt>
                <c:pt idx="25">
                  <c:v>125000</c:v>
                </c:pt>
                <c:pt idx="26">
                  <c:v>133000</c:v>
                </c:pt>
                <c:pt idx="27">
                  <c:v>137500</c:v>
                </c:pt>
                <c:pt idx="28">
                  <c:v>139950</c:v>
                </c:pt>
                <c:pt idx="29">
                  <c:v>148000</c:v>
                </c:pt>
                <c:pt idx="30">
                  <c:v>157500</c:v>
                </c:pt>
                <c:pt idx="31">
                  <c:v>155000</c:v>
                </c:pt>
                <c:pt idx="32">
                  <c:v>152000</c:v>
                </c:pt>
                <c:pt idx="33">
                  <c:v>155000</c:v>
                </c:pt>
                <c:pt idx="34">
                  <c:v>160414.72028389605</c:v>
                </c:pt>
                <c:pt idx="35">
                  <c:v>160000</c:v>
                </c:pt>
                <c:pt idx="36">
                  <c:v>158500</c:v>
                </c:pt>
                <c:pt idx="37">
                  <c:v>164995</c:v>
                </c:pt>
                <c:pt idx="38">
                  <c:v>171000</c:v>
                </c:pt>
                <c:pt idx="39">
                  <c:v>170000</c:v>
                </c:pt>
                <c:pt idx="40">
                  <c:v>169950</c:v>
                </c:pt>
                <c:pt idx="41">
                  <c:v>175000</c:v>
                </c:pt>
                <c:pt idx="42">
                  <c:v>180000</c:v>
                </c:pt>
                <c:pt idx="43">
                  <c:v>179950</c:v>
                </c:pt>
              </c:numCache>
            </c:numRef>
          </c:val>
          <c:smooth val="0"/>
          <c:extLst xmlns:c16r2="http://schemas.microsoft.com/office/drawing/2015/06/chart">
            <c:ext xmlns:c16="http://schemas.microsoft.com/office/drawing/2014/chart" uri="{C3380CC4-5D6E-409C-BE32-E72D297353CC}">
              <c16:uniqueId val="{00000007-3B6C-4BCD-86FF-FE8F93460A37}"/>
            </c:ext>
          </c:extLst>
        </c:ser>
        <c:dLbls>
          <c:showLegendKey val="0"/>
          <c:showVal val="0"/>
          <c:showCatName val="0"/>
          <c:showSerName val="0"/>
          <c:showPercent val="0"/>
          <c:showBubbleSize val="0"/>
        </c:dLbls>
        <c:marker val="1"/>
        <c:smooth val="0"/>
        <c:axId val="260470656"/>
        <c:axId val="260472192"/>
      </c:lineChart>
      <c:catAx>
        <c:axId val="260470656"/>
        <c:scaling>
          <c:orientation val="minMax"/>
        </c:scaling>
        <c:delete val="0"/>
        <c:axPos val="b"/>
        <c:numFmt formatCode="General" sourceLinked="0"/>
        <c:majorTickMark val="out"/>
        <c:minorTickMark val="none"/>
        <c:tickLblPos val="nextTo"/>
        <c:crossAx val="260472192"/>
        <c:crosses val="autoZero"/>
        <c:auto val="1"/>
        <c:lblAlgn val="ctr"/>
        <c:lblOffset val="100"/>
        <c:noMultiLvlLbl val="0"/>
      </c:catAx>
      <c:valAx>
        <c:axId val="260472192"/>
        <c:scaling>
          <c:orientation val="minMax"/>
        </c:scaling>
        <c:delete val="0"/>
        <c:axPos val="l"/>
        <c:majorGridlines/>
        <c:numFmt formatCode="&quot;£&quot;#,##0" sourceLinked="0"/>
        <c:majorTickMark val="out"/>
        <c:minorTickMark val="none"/>
        <c:tickLblPos val="nextTo"/>
        <c:crossAx val="260470656"/>
        <c:crosses val="autoZero"/>
        <c:crossBetween val="between"/>
      </c:valAx>
    </c:plotArea>
    <c:legend>
      <c:legendPos val="b"/>
      <c:overlay val="0"/>
    </c:legend>
    <c:plotVisOnly val="1"/>
    <c:dispBlanksAs val="gap"/>
    <c:showDLblsOverMax val="0"/>
  </c:chart>
  <c:txPr>
    <a:bodyPr/>
    <a:lstStyle/>
    <a:p>
      <a:pPr>
        <a:defRPr sz="1200">
          <a:latin typeface="Arial Narrow" panose="020B0606020202030204"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Sheet2!$A$18</c:f>
              <c:strCache>
                <c:ptCount val="1"/>
                <c:pt idx="0">
                  <c:v>Chichester City</c:v>
                </c:pt>
              </c:strCache>
            </c:strRef>
          </c:tx>
          <c:invertIfNegative val="0"/>
          <c:cat>
            <c:strRef>
              <c:f>Sheet2!$B$17:$E$17</c:f>
              <c:strCache>
                <c:ptCount val="4"/>
                <c:pt idx="0">
                  <c:v>Detached</c:v>
                </c:pt>
                <c:pt idx="1">
                  <c:v>Semi-Detached</c:v>
                </c:pt>
                <c:pt idx="2">
                  <c:v>Terraced</c:v>
                </c:pt>
                <c:pt idx="3">
                  <c:v>Flats</c:v>
                </c:pt>
              </c:strCache>
            </c:strRef>
          </c:cat>
          <c:val>
            <c:numRef>
              <c:f>Sheet2!$B$18:$E$18</c:f>
              <c:numCache>
                <c:formatCode>"£"#,##0</c:formatCode>
                <c:ptCount val="4"/>
                <c:pt idx="0">
                  <c:v>537000</c:v>
                </c:pt>
                <c:pt idx="1">
                  <c:v>343000</c:v>
                </c:pt>
                <c:pt idx="2">
                  <c:v>335000</c:v>
                </c:pt>
                <c:pt idx="3">
                  <c:v>190000</c:v>
                </c:pt>
              </c:numCache>
            </c:numRef>
          </c:val>
          <c:extLst xmlns:c16r2="http://schemas.microsoft.com/office/drawing/2015/06/chart">
            <c:ext xmlns:c16="http://schemas.microsoft.com/office/drawing/2014/chart" uri="{C3380CC4-5D6E-409C-BE32-E72D297353CC}">
              <c16:uniqueId val="{00000000-DB59-45F8-9F4E-C6823B4C406B}"/>
            </c:ext>
          </c:extLst>
        </c:ser>
        <c:ser>
          <c:idx val="1"/>
          <c:order val="1"/>
          <c:tx>
            <c:strRef>
              <c:f>Sheet2!$A$19</c:f>
              <c:strCache>
                <c:ptCount val="1"/>
                <c:pt idx="0">
                  <c:v>East-West Corridor</c:v>
                </c:pt>
              </c:strCache>
            </c:strRef>
          </c:tx>
          <c:invertIfNegative val="0"/>
          <c:cat>
            <c:strRef>
              <c:f>Sheet2!$B$17:$E$17</c:f>
              <c:strCache>
                <c:ptCount val="4"/>
                <c:pt idx="0">
                  <c:v>Detached</c:v>
                </c:pt>
                <c:pt idx="1">
                  <c:v>Semi-Detached</c:v>
                </c:pt>
                <c:pt idx="2">
                  <c:v>Terraced</c:v>
                </c:pt>
                <c:pt idx="3">
                  <c:v>Flats</c:v>
                </c:pt>
              </c:strCache>
            </c:strRef>
          </c:cat>
          <c:val>
            <c:numRef>
              <c:f>Sheet2!$B$19:$E$19</c:f>
              <c:numCache>
                <c:formatCode>"£"#,##0</c:formatCode>
                <c:ptCount val="4"/>
                <c:pt idx="0">
                  <c:v>476500</c:v>
                </c:pt>
                <c:pt idx="1">
                  <c:v>300000</c:v>
                </c:pt>
                <c:pt idx="2">
                  <c:v>265000</c:v>
                </c:pt>
                <c:pt idx="3">
                  <c:v>178000</c:v>
                </c:pt>
              </c:numCache>
            </c:numRef>
          </c:val>
          <c:extLst xmlns:c16r2="http://schemas.microsoft.com/office/drawing/2015/06/chart">
            <c:ext xmlns:c16="http://schemas.microsoft.com/office/drawing/2014/chart" uri="{C3380CC4-5D6E-409C-BE32-E72D297353CC}">
              <c16:uniqueId val="{00000001-DB59-45F8-9F4E-C6823B4C406B}"/>
            </c:ext>
          </c:extLst>
        </c:ser>
        <c:ser>
          <c:idx val="2"/>
          <c:order val="2"/>
          <c:tx>
            <c:strRef>
              <c:f>Sheet2!$A$20</c:f>
              <c:strCache>
                <c:ptCount val="1"/>
                <c:pt idx="0">
                  <c:v>Manhood Peninsula</c:v>
                </c:pt>
              </c:strCache>
            </c:strRef>
          </c:tx>
          <c:invertIfNegative val="0"/>
          <c:cat>
            <c:strRef>
              <c:f>Sheet2!$B$17:$E$17</c:f>
              <c:strCache>
                <c:ptCount val="4"/>
                <c:pt idx="0">
                  <c:v>Detached</c:v>
                </c:pt>
                <c:pt idx="1">
                  <c:v>Semi-Detached</c:v>
                </c:pt>
                <c:pt idx="2">
                  <c:v>Terraced</c:v>
                </c:pt>
                <c:pt idx="3">
                  <c:v>Flats</c:v>
                </c:pt>
              </c:strCache>
            </c:strRef>
          </c:cat>
          <c:val>
            <c:numRef>
              <c:f>Sheet2!$B$20:$E$20</c:f>
              <c:numCache>
                <c:formatCode>"£"#,##0</c:formatCode>
                <c:ptCount val="4"/>
                <c:pt idx="0">
                  <c:v>420000</c:v>
                </c:pt>
                <c:pt idx="1">
                  <c:v>270000</c:v>
                </c:pt>
                <c:pt idx="2">
                  <c:v>235500</c:v>
                </c:pt>
                <c:pt idx="3">
                  <c:v>165000</c:v>
                </c:pt>
              </c:numCache>
            </c:numRef>
          </c:val>
          <c:extLst xmlns:c16r2="http://schemas.microsoft.com/office/drawing/2015/06/chart">
            <c:ext xmlns:c16="http://schemas.microsoft.com/office/drawing/2014/chart" uri="{C3380CC4-5D6E-409C-BE32-E72D297353CC}">
              <c16:uniqueId val="{00000002-DB59-45F8-9F4E-C6823B4C406B}"/>
            </c:ext>
          </c:extLst>
        </c:ser>
        <c:ser>
          <c:idx val="3"/>
          <c:order val="3"/>
          <c:tx>
            <c:strRef>
              <c:f>Sheet2!$A$21</c:f>
              <c:strCache>
                <c:ptCount val="1"/>
                <c:pt idx="0">
                  <c:v>Plan Area North</c:v>
                </c:pt>
              </c:strCache>
            </c:strRef>
          </c:tx>
          <c:invertIfNegative val="0"/>
          <c:cat>
            <c:strRef>
              <c:f>Sheet2!$B$17:$E$17</c:f>
              <c:strCache>
                <c:ptCount val="4"/>
                <c:pt idx="0">
                  <c:v>Detached</c:v>
                </c:pt>
                <c:pt idx="1">
                  <c:v>Semi-Detached</c:v>
                </c:pt>
                <c:pt idx="2">
                  <c:v>Terraced</c:v>
                </c:pt>
                <c:pt idx="3">
                  <c:v>Flats</c:v>
                </c:pt>
              </c:strCache>
            </c:strRef>
          </c:cat>
          <c:val>
            <c:numRef>
              <c:f>Sheet2!$B$21:$E$21</c:f>
              <c:numCache>
                <c:formatCode>"£"#,##0</c:formatCode>
                <c:ptCount val="4"/>
                <c:pt idx="0">
                  <c:v>590000</c:v>
                </c:pt>
                <c:pt idx="1">
                  <c:v>377500</c:v>
                </c:pt>
                <c:pt idx="2">
                  <c:v>345000</c:v>
                </c:pt>
                <c:pt idx="3">
                  <c:v>204250</c:v>
                </c:pt>
              </c:numCache>
            </c:numRef>
          </c:val>
          <c:extLst xmlns:c16r2="http://schemas.microsoft.com/office/drawing/2015/06/chart">
            <c:ext xmlns:c16="http://schemas.microsoft.com/office/drawing/2014/chart" uri="{C3380CC4-5D6E-409C-BE32-E72D297353CC}">
              <c16:uniqueId val="{00000003-DB59-45F8-9F4E-C6823B4C406B}"/>
            </c:ext>
          </c:extLst>
        </c:ser>
        <c:ser>
          <c:idx val="4"/>
          <c:order val="4"/>
          <c:tx>
            <c:strRef>
              <c:f>Sheet2!$A$22</c:f>
              <c:strCache>
                <c:ptCount val="1"/>
                <c:pt idx="0">
                  <c:v>SDNP</c:v>
                </c:pt>
              </c:strCache>
            </c:strRef>
          </c:tx>
          <c:invertIfNegative val="0"/>
          <c:cat>
            <c:strRef>
              <c:f>Sheet2!$B$17:$E$17</c:f>
              <c:strCache>
                <c:ptCount val="4"/>
                <c:pt idx="0">
                  <c:v>Detached</c:v>
                </c:pt>
                <c:pt idx="1">
                  <c:v>Semi-Detached</c:v>
                </c:pt>
                <c:pt idx="2">
                  <c:v>Terraced</c:v>
                </c:pt>
                <c:pt idx="3">
                  <c:v>Flats</c:v>
                </c:pt>
              </c:strCache>
            </c:strRef>
          </c:cat>
          <c:val>
            <c:numRef>
              <c:f>Sheet2!$B$22:$E$22</c:f>
              <c:numCache>
                <c:formatCode>"£"#,##0</c:formatCode>
                <c:ptCount val="4"/>
                <c:pt idx="0">
                  <c:v>700000</c:v>
                </c:pt>
                <c:pt idx="1">
                  <c:v>376500</c:v>
                </c:pt>
                <c:pt idx="2">
                  <c:v>297500</c:v>
                </c:pt>
                <c:pt idx="3">
                  <c:v>215000</c:v>
                </c:pt>
              </c:numCache>
            </c:numRef>
          </c:val>
          <c:extLst xmlns:c16r2="http://schemas.microsoft.com/office/drawing/2015/06/chart">
            <c:ext xmlns:c16="http://schemas.microsoft.com/office/drawing/2014/chart" uri="{C3380CC4-5D6E-409C-BE32-E72D297353CC}">
              <c16:uniqueId val="{00000004-DB59-45F8-9F4E-C6823B4C406B}"/>
            </c:ext>
          </c:extLst>
        </c:ser>
        <c:dLbls>
          <c:showLegendKey val="0"/>
          <c:showVal val="0"/>
          <c:showCatName val="0"/>
          <c:showSerName val="0"/>
          <c:showPercent val="0"/>
          <c:showBubbleSize val="0"/>
        </c:dLbls>
        <c:gapWidth val="150"/>
        <c:axId val="283294720"/>
        <c:axId val="283304704"/>
      </c:barChart>
      <c:catAx>
        <c:axId val="283294720"/>
        <c:scaling>
          <c:orientation val="minMax"/>
        </c:scaling>
        <c:delete val="0"/>
        <c:axPos val="b"/>
        <c:numFmt formatCode="General" sourceLinked="0"/>
        <c:majorTickMark val="none"/>
        <c:minorTickMark val="none"/>
        <c:tickLblPos val="nextTo"/>
        <c:crossAx val="283304704"/>
        <c:crosses val="autoZero"/>
        <c:auto val="1"/>
        <c:lblAlgn val="ctr"/>
        <c:lblOffset val="100"/>
        <c:noMultiLvlLbl val="0"/>
      </c:catAx>
      <c:valAx>
        <c:axId val="283304704"/>
        <c:scaling>
          <c:orientation val="minMax"/>
        </c:scaling>
        <c:delete val="0"/>
        <c:axPos val="l"/>
        <c:majorGridlines/>
        <c:numFmt formatCode="&quot;£&quot;#,##0" sourceLinked="1"/>
        <c:majorTickMark val="none"/>
        <c:minorTickMark val="none"/>
        <c:tickLblPos val="nextTo"/>
        <c:crossAx val="283294720"/>
        <c:crosses val="autoZero"/>
        <c:crossBetween val="between"/>
      </c:valAx>
      <c:dTable>
        <c:showHorzBorder val="1"/>
        <c:showVertBorder val="1"/>
        <c:showOutline val="1"/>
        <c:showKeys val="1"/>
      </c:dTable>
    </c:plotArea>
    <c:plotVisOnly val="1"/>
    <c:dispBlanksAs val="gap"/>
    <c:showDLblsOverMax val="0"/>
  </c:chart>
  <c:spPr>
    <a:ln>
      <a:solidFill>
        <a:schemeClr val="tx1"/>
      </a:solidFill>
    </a:ln>
  </c:spPr>
  <c:txPr>
    <a:bodyPr/>
    <a:lstStyle/>
    <a:p>
      <a:pPr>
        <a:defRPr sz="1200">
          <a:latin typeface="Arial Narrow" panose="020B0606020202030204"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07174103237096E-2"/>
          <c:y val="5.1400554097404488E-2"/>
          <c:w val="0.89408005249343825"/>
          <c:h val="0.74046366816494513"/>
        </c:manualLayout>
      </c:layout>
      <c:barChart>
        <c:barDir val="col"/>
        <c:grouping val="clustered"/>
        <c:varyColors val="0"/>
        <c:ser>
          <c:idx val="2"/>
          <c:order val="0"/>
          <c:tx>
            <c:strRef>
              <c:f>completions!$B$3</c:f>
              <c:strCache>
                <c:ptCount val="1"/>
                <c:pt idx="0">
                  <c:v>Net completions - Plan Area</c:v>
                </c:pt>
              </c:strCache>
            </c:strRef>
          </c:tx>
          <c:invertIfNegative val="0"/>
          <c:cat>
            <c:strRef>
              <c:f>completions!$A$15:$A$21</c:f>
              <c:strCache>
                <c:ptCount val="7"/>
                <c:pt idx="0">
                  <c:v>2012/13</c:v>
                </c:pt>
                <c:pt idx="1">
                  <c:v>2013/14</c:v>
                </c:pt>
                <c:pt idx="2">
                  <c:v>2014/15</c:v>
                </c:pt>
                <c:pt idx="3">
                  <c:v>2015/16</c:v>
                </c:pt>
                <c:pt idx="4">
                  <c:v>2016/17</c:v>
                </c:pt>
                <c:pt idx="5">
                  <c:v>2017/18</c:v>
                </c:pt>
                <c:pt idx="6">
                  <c:v>2018/19</c:v>
                </c:pt>
              </c:strCache>
            </c:strRef>
          </c:cat>
          <c:val>
            <c:numRef>
              <c:f>completions!$B$15:$B$21</c:f>
              <c:numCache>
                <c:formatCode>General</c:formatCode>
                <c:ptCount val="7"/>
                <c:pt idx="0">
                  <c:v>307</c:v>
                </c:pt>
                <c:pt idx="1">
                  <c:v>202</c:v>
                </c:pt>
                <c:pt idx="2">
                  <c:v>351</c:v>
                </c:pt>
                <c:pt idx="3">
                  <c:v>507</c:v>
                </c:pt>
                <c:pt idx="4">
                  <c:v>439</c:v>
                </c:pt>
                <c:pt idx="5">
                  <c:v>557</c:v>
                </c:pt>
                <c:pt idx="6">
                  <c:v>654</c:v>
                </c:pt>
              </c:numCache>
            </c:numRef>
          </c:val>
          <c:extLst xmlns:c16r2="http://schemas.microsoft.com/office/drawing/2015/06/chart">
            <c:ext xmlns:c16="http://schemas.microsoft.com/office/drawing/2014/chart" uri="{C3380CC4-5D6E-409C-BE32-E72D297353CC}">
              <c16:uniqueId val="{00000000-6ABC-4271-8E72-0139C9EFAD60}"/>
            </c:ext>
          </c:extLst>
        </c:ser>
        <c:dLbls>
          <c:showLegendKey val="0"/>
          <c:showVal val="0"/>
          <c:showCatName val="0"/>
          <c:showSerName val="0"/>
          <c:showPercent val="0"/>
          <c:showBubbleSize val="0"/>
        </c:dLbls>
        <c:gapWidth val="150"/>
        <c:axId val="283324416"/>
        <c:axId val="283325952"/>
      </c:barChart>
      <c:lineChart>
        <c:grouping val="standard"/>
        <c:varyColors val="0"/>
        <c:ser>
          <c:idx val="3"/>
          <c:order val="1"/>
          <c:tx>
            <c:strRef>
              <c:f>completions!$E$3</c:f>
              <c:strCache>
                <c:ptCount val="1"/>
                <c:pt idx="0">
                  <c:v>Target - Plan Area</c:v>
                </c:pt>
              </c:strCache>
            </c:strRef>
          </c:tx>
          <c:marker>
            <c:symbol val="none"/>
          </c:marker>
          <c:val>
            <c:numRef>
              <c:f>completions!$E$15:$E$21</c:f>
              <c:numCache>
                <c:formatCode>General</c:formatCode>
                <c:ptCount val="7"/>
                <c:pt idx="0">
                  <c:v>435</c:v>
                </c:pt>
                <c:pt idx="1">
                  <c:v>435</c:v>
                </c:pt>
                <c:pt idx="2">
                  <c:v>435</c:v>
                </c:pt>
                <c:pt idx="3">
                  <c:v>435</c:v>
                </c:pt>
                <c:pt idx="4">
                  <c:v>435</c:v>
                </c:pt>
                <c:pt idx="5">
                  <c:v>435</c:v>
                </c:pt>
                <c:pt idx="6">
                  <c:v>435</c:v>
                </c:pt>
              </c:numCache>
            </c:numRef>
          </c:val>
          <c:smooth val="0"/>
          <c:extLst xmlns:c16r2="http://schemas.microsoft.com/office/drawing/2015/06/chart">
            <c:ext xmlns:c16="http://schemas.microsoft.com/office/drawing/2014/chart" uri="{C3380CC4-5D6E-409C-BE32-E72D297353CC}">
              <c16:uniqueId val="{00000001-6ABC-4271-8E72-0139C9EFAD60}"/>
            </c:ext>
          </c:extLst>
        </c:ser>
        <c:dLbls>
          <c:showLegendKey val="0"/>
          <c:showVal val="0"/>
          <c:showCatName val="0"/>
          <c:showSerName val="0"/>
          <c:showPercent val="0"/>
          <c:showBubbleSize val="0"/>
        </c:dLbls>
        <c:marker val="1"/>
        <c:smooth val="0"/>
        <c:axId val="283324416"/>
        <c:axId val="283325952"/>
      </c:lineChart>
      <c:catAx>
        <c:axId val="283324416"/>
        <c:scaling>
          <c:orientation val="minMax"/>
        </c:scaling>
        <c:delete val="0"/>
        <c:axPos val="b"/>
        <c:numFmt formatCode="General" sourceLinked="0"/>
        <c:majorTickMark val="out"/>
        <c:minorTickMark val="none"/>
        <c:tickLblPos val="nextTo"/>
        <c:crossAx val="283325952"/>
        <c:crosses val="autoZero"/>
        <c:auto val="1"/>
        <c:lblAlgn val="ctr"/>
        <c:lblOffset val="100"/>
        <c:noMultiLvlLbl val="0"/>
      </c:catAx>
      <c:valAx>
        <c:axId val="283325952"/>
        <c:scaling>
          <c:orientation val="minMax"/>
        </c:scaling>
        <c:delete val="0"/>
        <c:axPos val="l"/>
        <c:majorGridlines/>
        <c:numFmt formatCode="General" sourceLinked="1"/>
        <c:majorTickMark val="out"/>
        <c:minorTickMark val="none"/>
        <c:tickLblPos val="nextTo"/>
        <c:crossAx val="283324416"/>
        <c:crosses val="autoZero"/>
        <c:crossBetween val="between"/>
      </c:valAx>
    </c:plotArea>
    <c:legend>
      <c:legendPos val="b"/>
      <c:overlay val="0"/>
    </c:legend>
    <c:plotVisOnly val="1"/>
    <c:dispBlanksAs val="gap"/>
    <c:showDLblsOverMax val="0"/>
  </c:chart>
  <c:txPr>
    <a:bodyPr/>
    <a:lstStyle/>
    <a:p>
      <a:pPr>
        <a:defRPr sz="1200"/>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Sheet1!$C$7</c:f>
              <c:strCache>
                <c:ptCount val="1"/>
                <c:pt idx="0">
                  <c:v>Chichester</c:v>
                </c:pt>
              </c:strCache>
            </c:strRef>
          </c:tx>
          <c:marker>
            <c:symbol val="none"/>
          </c:marker>
          <c:cat>
            <c:numRef>
              <c:f>Sheet1!$A$8:$A$35</c:f>
              <c:numCache>
                <c:formatCode>General</c:formatCode>
                <c:ptCount val="28"/>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numCache>
            </c:numRef>
          </c:cat>
          <c:val>
            <c:numRef>
              <c:f>Sheet1!$C$8:$C$35</c:f>
              <c:numCache>
                <c:formatCode>#,##0</c:formatCode>
                <c:ptCount val="28"/>
                <c:pt idx="0">
                  <c:v>101809</c:v>
                </c:pt>
                <c:pt idx="1">
                  <c:v>101403</c:v>
                </c:pt>
                <c:pt idx="2">
                  <c:v>101399</c:v>
                </c:pt>
                <c:pt idx="3">
                  <c:v>101721</c:v>
                </c:pt>
                <c:pt idx="4">
                  <c:v>102424</c:v>
                </c:pt>
                <c:pt idx="5">
                  <c:v>102137</c:v>
                </c:pt>
                <c:pt idx="6">
                  <c:v>103803</c:v>
                </c:pt>
                <c:pt idx="7">
                  <c:v>104994</c:v>
                </c:pt>
                <c:pt idx="8">
                  <c:v>105957</c:v>
                </c:pt>
                <c:pt idx="9">
                  <c:v>106382</c:v>
                </c:pt>
                <c:pt idx="10">
                  <c:v>106494</c:v>
                </c:pt>
                <c:pt idx="11">
                  <c:v>106990</c:v>
                </c:pt>
                <c:pt idx="12">
                  <c:v>107512</c:v>
                </c:pt>
                <c:pt idx="13">
                  <c:v>108157</c:v>
                </c:pt>
                <c:pt idx="14">
                  <c:v>108773</c:v>
                </c:pt>
                <c:pt idx="15">
                  <c:v>109686</c:v>
                </c:pt>
                <c:pt idx="16">
                  <c:v>110603</c:v>
                </c:pt>
                <c:pt idx="17">
                  <c:v>111796</c:v>
                </c:pt>
                <c:pt idx="18">
                  <c:v>112474</c:v>
                </c:pt>
                <c:pt idx="19">
                  <c:v>113411</c:v>
                </c:pt>
                <c:pt idx="20">
                  <c:v>113995</c:v>
                </c:pt>
                <c:pt idx="21">
                  <c:v>114521</c:v>
                </c:pt>
                <c:pt idx="22">
                  <c:v>115301</c:v>
                </c:pt>
                <c:pt idx="23">
                  <c:v>115527</c:v>
                </c:pt>
                <c:pt idx="24">
                  <c:v>116976</c:v>
                </c:pt>
                <c:pt idx="25">
                  <c:v>119125</c:v>
                </c:pt>
                <c:pt idx="26">
                  <c:v>120192</c:v>
                </c:pt>
                <c:pt idx="27">
                  <c:v>120750</c:v>
                </c:pt>
              </c:numCache>
            </c:numRef>
          </c:val>
          <c:smooth val="1"/>
          <c:extLst xmlns:c16r2="http://schemas.microsoft.com/office/drawing/2015/06/chart">
            <c:ext xmlns:c16="http://schemas.microsoft.com/office/drawing/2014/chart" uri="{C3380CC4-5D6E-409C-BE32-E72D297353CC}">
              <c16:uniqueId val="{00000000-961E-4873-A987-2060596C6D0D}"/>
            </c:ext>
          </c:extLst>
        </c:ser>
        <c:dLbls>
          <c:showLegendKey val="0"/>
          <c:showVal val="0"/>
          <c:showCatName val="0"/>
          <c:showSerName val="0"/>
          <c:showPercent val="0"/>
          <c:showBubbleSize val="0"/>
        </c:dLbls>
        <c:marker val="1"/>
        <c:smooth val="0"/>
        <c:axId val="283346816"/>
        <c:axId val="283348352"/>
      </c:lineChart>
      <c:catAx>
        <c:axId val="283346816"/>
        <c:scaling>
          <c:orientation val="minMax"/>
        </c:scaling>
        <c:delete val="0"/>
        <c:axPos val="b"/>
        <c:numFmt formatCode="General" sourceLinked="1"/>
        <c:majorTickMark val="out"/>
        <c:minorTickMark val="none"/>
        <c:tickLblPos val="nextTo"/>
        <c:crossAx val="283348352"/>
        <c:crosses val="autoZero"/>
        <c:auto val="1"/>
        <c:lblAlgn val="ctr"/>
        <c:lblOffset val="100"/>
        <c:noMultiLvlLbl val="0"/>
      </c:catAx>
      <c:valAx>
        <c:axId val="283348352"/>
        <c:scaling>
          <c:orientation val="minMax"/>
          <c:min val="100000"/>
        </c:scaling>
        <c:delete val="0"/>
        <c:axPos val="l"/>
        <c:majorGridlines/>
        <c:numFmt formatCode="#,##0" sourceLinked="1"/>
        <c:majorTickMark val="out"/>
        <c:minorTickMark val="none"/>
        <c:tickLblPos val="nextTo"/>
        <c:crossAx val="283346816"/>
        <c:crosses val="autoZero"/>
        <c:crossBetween val="between"/>
      </c:valAx>
    </c:plotArea>
    <c:plotVisOnly val="1"/>
    <c:dispBlanksAs val="gap"/>
    <c:showDLblsOverMax val="0"/>
  </c:chart>
  <c:txPr>
    <a:bodyPr/>
    <a:lstStyle/>
    <a:p>
      <a:pPr>
        <a:defRPr sz="1200">
          <a:latin typeface="Arial Narrow" panose="020B060602020203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858947923232796E-2"/>
          <c:y val="4.8511576626240352E-2"/>
          <c:w val="0.89426543018621996"/>
          <c:h val="0.60922079582459066"/>
        </c:manualLayout>
      </c:layout>
      <c:lineChart>
        <c:grouping val="standard"/>
        <c:varyColors val="0"/>
        <c:ser>
          <c:idx val="1"/>
          <c:order val="0"/>
          <c:tx>
            <c:strRef>
              <c:f>Sheet1!$B$38</c:f>
              <c:strCache>
                <c:ptCount val="1"/>
                <c:pt idx="0">
                  <c:v>Chichester</c:v>
                </c:pt>
              </c:strCache>
            </c:strRef>
          </c:tx>
          <c:spPr>
            <a:ln w="38100">
              <a:solidFill>
                <a:schemeClr val="accent1"/>
              </a:solidFill>
            </a:ln>
          </c:spPr>
          <c:marker>
            <c:symbol val="none"/>
          </c:marker>
          <c:cat>
            <c:numRef>
              <c:f>Sheet1!$A$39:$A$66</c:f>
              <c:numCache>
                <c:formatCode>General</c:formatCode>
                <c:ptCount val="28"/>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numCache>
            </c:numRef>
          </c:cat>
          <c:val>
            <c:numRef>
              <c:f>Sheet1!$B$39:$B$66</c:f>
              <c:numCache>
                <c:formatCode>#,##0.000</c:formatCode>
                <c:ptCount val="28"/>
                <c:pt idx="0">
                  <c:v>1</c:v>
                </c:pt>
                <c:pt idx="1">
                  <c:v>0.99601214038051644</c:v>
                </c:pt>
                <c:pt idx="2">
                  <c:v>0.99597285112318168</c:v>
                </c:pt>
                <c:pt idx="3">
                  <c:v>0.99913563633863411</c:v>
                </c:pt>
                <c:pt idx="4">
                  <c:v>1.0060407233152275</c:v>
                </c:pt>
                <c:pt idx="5">
                  <c:v>1.0032217191014547</c:v>
                </c:pt>
                <c:pt idx="6">
                  <c:v>1.0195856947814044</c:v>
                </c:pt>
                <c:pt idx="7">
                  <c:v>1.031284071152845</c:v>
                </c:pt>
                <c:pt idx="8">
                  <c:v>1.0407429598562012</c:v>
                </c:pt>
                <c:pt idx="9">
                  <c:v>1.0449174434480253</c:v>
                </c:pt>
                <c:pt idx="10">
                  <c:v>1.0460175426534</c:v>
                </c:pt>
                <c:pt idx="11">
                  <c:v>1.0508894105629167</c:v>
                </c:pt>
                <c:pt idx="12">
                  <c:v>1.0560166586451099</c:v>
                </c:pt>
                <c:pt idx="13">
                  <c:v>1.0623520513903486</c:v>
                </c:pt>
                <c:pt idx="14">
                  <c:v>1.0684025970199098</c:v>
                </c:pt>
                <c:pt idx="15">
                  <c:v>1.0773703700065809</c:v>
                </c:pt>
                <c:pt idx="16">
                  <c:v>1.0863774322505868</c:v>
                </c:pt>
                <c:pt idx="17">
                  <c:v>1.098095453250695</c:v>
                </c:pt>
                <c:pt idx="18">
                  <c:v>1.1047549823689458</c:v>
                </c:pt>
                <c:pt idx="19">
                  <c:v>1.1139584908996258</c:v>
                </c:pt>
                <c:pt idx="20">
                  <c:v>1.1196947224705085</c:v>
                </c:pt>
                <c:pt idx="21">
                  <c:v>1.1248612598100365</c:v>
                </c:pt>
                <c:pt idx="22">
                  <c:v>1.1325226649903251</c:v>
                </c:pt>
                <c:pt idx="23">
                  <c:v>1.134742508029742</c:v>
                </c:pt>
                <c:pt idx="24">
                  <c:v>1.1489750414992781</c:v>
                </c:pt>
                <c:pt idx="25">
                  <c:v>1.1700831950024064</c:v>
                </c:pt>
                <c:pt idx="26">
                  <c:v>1.1805636043964678</c:v>
                </c:pt>
                <c:pt idx="27">
                  <c:v>1.1860444557946743</c:v>
                </c:pt>
              </c:numCache>
            </c:numRef>
          </c:val>
          <c:smooth val="0"/>
          <c:extLst xmlns:c16r2="http://schemas.microsoft.com/office/drawing/2015/06/chart">
            <c:ext xmlns:c16="http://schemas.microsoft.com/office/drawing/2014/chart" uri="{C3380CC4-5D6E-409C-BE32-E72D297353CC}">
              <c16:uniqueId val="{00000000-95ED-429A-9F58-6A6C242C49ED}"/>
            </c:ext>
          </c:extLst>
        </c:ser>
        <c:ser>
          <c:idx val="2"/>
          <c:order val="1"/>
          <c:tx>
            <c:strRef>
              <c:f>Sheet1!$C$38</c:f>
              <c:strCache>
                <c:ptCount val="1"/>
                <c:pt idx="0">
                  <c:v>Chichester &amp; Bognor Regis HMA</c:v>
                </c:pt>
              </c:strCache>
            </c:strRef>
          </c:tx>
          <c:spPr>
            <a:ln>
              <a:solidFill>
                <a:schemeClr val="accent2"/>
              </a:solidFill>
            </a:ln>
          </c:spPr>
          <c:marker>
            <c:symbol val="none"/>
          </c:marker>
          <c:cat>
            <c:numRef>
              <c:f>Sheet1!$A$39:$A$66</c:f>
              <c:numCache>
                <c:formatCode>General</c:formatCode>
                <c:ptCount val="28"/>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numCache>
            </c:numRef>
          </c:cat>
          <c:val>
            <c:numRef>
              <c:f>Sheet1!$C$39:$C$66</c:f>
              <c:numCache>
                <c:formatCode>#,##0.000</c:formatCode>
                <c:ptCount val="28"/>
                <c:pt idx="0">
                  <c:v>1</c:v>
                </c:pt>
                <c:pt idx="1">
                  <c:v>0.99294075094944401</c:v>
                </c:pt>
                <c:pt idx="2">
                  <c:v>0.99104498088639725</c:v>
                </c:pt>
                <c:pt idx="3">
                  <c:v>0.99413184332458204</c:v>
                </c:pt>
                <c:pt idx="4">
                  <c:v>1.0019518948346502</c:v>
                </c:pt>
                <c:pt idx="5">
                  <c:v>1.0029621407235108</c:v>
                </c:pt>
                <c:pt idx="6">
                  <c:v>1.0128401005257019</c:v>
                </c:pt>
                <c:pt idx="7">
                  <c:v>1.0189452284590008</c:v>
                </c:pt>
                <c:pt idx="8">
                  <c:v>1.0276944567433912</c:v>
                </c:pt>
                <c:pt idx="9">
                  <c:v>1.0336998073049508</c:v>
                </c:pt>
                <c:pt idx="10">
                  <c:v>1.0364873376279178</c:v>
                </c:pt>
                <c:pt idx="11">
                  <c:v>1.0416757609583616</c:v>
                </c:pt>
                <c:pt idx="12">
                  <c:v>1.0445755408245352</c:v>
                </c:pt>
                <c:pt idx="13">
                  <c:v>1.0483982613792975</c:v>
                </c:pt>
                <c:pt idx="14">
                  <c:v>1.0513666381885418</c:v>
                </c:pt>
                <c:pt idx="15">
                  <c:v>1.0602780047020086</c:v>
                </c:pt>
                <c:pt idx="16">
                  <c:v>1.067412086781369</c:v>
                </c:pt>
                <c:pt idx="17">
                  <c:v>1.075830802521873</c:v>
                </c:pt>
                <c:pt idx="18">
                  <c:v>1.0819421665409057</c:v>
                </c:pt>
                <c:pt idx="19">
                  <c:v>1.0889889434199942</c:v>
                </c:pt>
                <c:pt idx="20">
                  <c:v>1.0933666756050562</c:v>
                </c:pt>
                <c:pt idx="21">
                  <c:v>1.1003573277125414</c:v>
                </c:pt>
                <c:pt idx="22">
                  <c:v>1.1088134599674477</c:v>
                </c:pt>
                <c:pt idx="23">
                  <c:v>1.1144072288705824</c:v>
                </c:pt>
                <c:pt idx="24">
                  <c:v>1.1250210467893513</c:v>
                </c:pt>
                <c:pt idx="25">
                  <c:v>1.1396197234919585</c:v>
                </c:pt>
                <c:pt idx="26">
                  <c:v>1.1468972355431943</c:v>
                </c:pt>
                <c:pt idx="27">
                  <c:v>1.1512999120711911</c:v>
                </c:pt>
              </c:numCache>
            </c:numRef>
          </c:val>
          <c:smooth val="0"/>
          <c:extLst xmlns:c16r2="http://schemas.microsoft.com/office/drawing/2015/06/chart">
            <c:ext xmlns:c16="http://schemas.microsoft.com/office/drawing/2014/chart" uri="{C3380CC4-5D6E-409C-BE32-E72D297353CC}">
              <c16:uniqueId val="{00000001-95ED-429A-9F58-6A6C242C49ED}"/>
            </c:ext>
          </c:extLst>
        </c:ser>
        <c:ser>
          <c:idx val="3"/>
          <c:order val="2"/>
          <c:tx>
            <c:strRef>
              <c:f>Sheet1!$D$38</c:f>
              <c:strCache>
                <c:ptCount val="1"/>
                <c:pt idx="0">
                  <c:v>West Sussex</c:v>
                </c:pt>
              </c:strCache>
            </c:strRef>
          </c:tx>
          <c:spPr>
            <a:ln>
              <a:solidFill>
                <a:schemeClr val="accent3"/>
              </a:solidFill>
            </a:ln>
          </c:spPr>
          <c:marker>
            <c:symbol val="none"/>
          </c:marker>
          <c:cat>
            <c:numRef>
              <c:f>Sheet1!$A$39:$A$66</c:f>
              <c:numCache>
                <c:formatCode>General</c:formatCode>
                <c:ptCount val="28"/>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numCache>
            </c:numRef>
          </c:cat>
          <c:val>
            <c:numRef>
              <c:f>Sheet1!$D$39:$D$66</c:f>
              <c:numCache>
                <c:formatCode>#,##0.000</c:formatCode>
                <c:ptCount val="28"/>
                <c:pt idx="0">
                  <c:v>1</c:v>
                </c:pt>
                <c:pt idx="1">
                  <c:v>0.99976196713738019</c:v>
                </c:pt>
                <c:pt idx="2">
                  <c:v>1.0028831554425017</c:v>
                </c:pt>
                <c:pt idx="3">
                  <c:v>1.0077353637959059</c:v>
                </c:pt>
                <c:pt idx="4">
                  <c:v>1.0190947427132366</c:v>
                </c:pt>
                <c:pt idx="5">
                  <c:v>1.0256695202440611</c:v>
                </c:pt>
                <c:pt idx="6">
                  <c:v>1.0373838357376062</c:v>
                </c:pt>
                <c:pt idx="7">
                  <c:v>1.0434571949306042</c:v>
                </c:pt>
                <c:pt idx="8">
                  <c:v>1.055127847591361</c:v>
                </c:pt>
                <c:pt idx="9">
                  <c:v>1.0595392021814514</c:v>
                </c:pt>
                <c:pt idx="10">
                  <c:v>1.0633674466820473</c:v>
                </c:pt>
                <c:pt idx="11">
                  <c:v>1.0665886369590387</c:v>
                </c:pt>
                <c:pt idx="12">
                  <c:v>1.0716873290459248</c:v>
                </c:pt>
                <c:pt idx="13">
                  <c:v>1.078876203192739</c:v>
                </c:pt>
                <c:pt idx="14">
                  <c:v>1.0856523931457804</c:v>
                </c:pt>
                <c:pt idx="15">
                  <c:v>1.0949539850081551</c:v>
                </c:pt>
                <c:pt idx="16">
                  <c:v>1.1046457254086701</c:v>
                </c:pt>
                <c:pt idx="17">
                  <c:v>1.1140754888124555</c:v>
                </c:pt>
                <c:pt idx="18">
                  <c:v>1.1212037983847569</c:v>
                </c:pt>
                <c:pt idx="19">
                  <c:v>1.1312251227488992</c:v>
                </c:pt>
                <c:pt idx="20">
                  <c:v>1.1393450011690371</c:v>
                </c:pt>
                <c:pt idx="21">
                  <c:v>1.1480775677266877</c:v>
                </c:pt>
                <c:pt idx="22">
                  <c:v>1.1568622479879884</c:v>
                </c:pt>
                <c:pt idx="23">
                  <c:v>1.166780753423307</c:v>
                </c:pt>
                <c:pt idx="24">
                  <c:v>1.1778485772958904</c:v>
                </c:pt>
                <c:pt idx="25">
                  <c:v>1.1928235204637838</c:v>
                </c:pt>
                <c:pt idx="26">
                  <c:v>1.2005208553408095</c:v>
                </c:pt>
                <c:pt idx="27">
                  <c:v>1.2096745569630951</c:v>
                </c:pt>
              </c:numCache>
            </c:numRef>
          </c:val>
          <c:smooth val="0"/>
          <c:extLst xmlns:c16r2="http://schemas.microsoft.com/office/drawing/2015/06/chart">
            <c:ext xmlns:c16="http://schemas.microsoft.com/office/drawing/2014/chart" uri="{C3380CC4-5D6E-409C-BE32-E72D297353CC}">
              <c16:uniqueId val="{00000002-95ED-429A-9F58-6A6C242C49ED}"/>
            </c:ext>
          </c:extLst>
        </c:ser>
        <c:ser>
          <c:idx val="4"/>
          <c:order val="3"/>
          <c:tx>
            <c:strRef>
              <c:f>Sheet1!$E$38</c:f>
              <c:strCache>
                <c:ptCount val="1"/>
                <c:pt idx="0">
                  <c:v>South East</c:v>
                </c:pt>
              </c:strCache>
            </c:strRef>
          </c:tx>
          <c:spPr>
            <a:ln>
              <a:solidFill>
                <a:schemeClr val="accent4"/>
              </a:solidFill>
              <a:prstDash val="sysDash"/>
            </a:ln>
          </c:spPr>
          <c:marker>
            <c:symbol val="none"/>
          </c:marker>
          <c:cat>
            <c:numRef>
              <c:f>Sheet1!$A$39:$A$66</c:f>
              <c:numCache>
                <c:formatCode>General</c:formatCode>
                <c:ptCount val="28"/>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numCache>
            </c:numRef>
          </c:cat>
          <c:val>
            <c:numRef>
              <c:f>Sheet1!$E$39:$E$66</c:f>
              <c:numCache>
                <c:formatCode>#,##0.000</c:formatCode>
                <c:ptCount val="28"/>
                <c:pt idx="0">
                  <c:v>1</c:v>
                </c:pt>
                <c:pt idx="1">
                  <c:v>1.003592519568929</c:v>
                </c:pt>
                <c:pt idx="2">
                  <c:v>1.0057654905778939</c:v>
                </c:pt>
                <c:pt idx="3">
                  <c:v>1.0108016766139927</c:v>
                </c:pt>
                <c:pt idx="4">
                  <c:v>1.0175368643522389</c:v>
                </c:pt>
                <c:pt idx="5">
                  <c:v>1.022442761259196</c:v>
                </c:pt>
                <c:pt idx="6">
                  <c:v>1.0293499201618626</c:v>
                </c:pt>
                <c:pt idx="7">
                  <c:v>1.034034037182997</c:v>
                </c:pt>
                <c:pt idx="8">
                  <c:v>1.0427225132537075</c:v>
                </c:pt>
                <c:pt idx="9">
                  <c:v>1.0473722884721908</c:v>
                </c:pt>
                <c:pt idx="10">
                  <c:v>1.051678252437416</c:v>
                </c:pt>
                <c:pt idx="11">
                  <c:v>1.0545282288307036</c:v>
                </c:pt>
                <c:pt idx="12">
                  <c:v>1.0601293506279701</c:v>
                </c:pt>
                <c:pt idx="13">
                  <c:v>1.0660508211492026</c:v>
                </c:pt>
                <c:pt idx="14">
                  <c:v>1.0751993725149709</c:v>
                </c:pt>
                <c:pt idx="15">
                  <c:v>1.0841079244889298</c:v>
                </c:pt>
                <c:pt idx="16">
                  <c:v>1.094663441158729</c:v>
                </c:pt>
                <c:pt idx="17">
                  <c:v>1.1044951584612042</c:v>
                </c:pt>
                <c:pt idx="18">
                  <c:v>1.1129525482797247</c:v>
                </c:pt>
                <c:pt idx="19">
                  <c:v>1.1243363315562105</c:v>
                </c:pt>
                <c:pt idx="20">
                  <c:v>1.1341687042365987</c:v>
                </c:pt>
                <c:pt idx="21">
                  <c:v>1.1435999856341161</c:v>
                </c:pt>
                <c:pt idx="22">
                  <c:v>1.1525169264453639</c:v>
                </c:pt>
                <c:pt idx="23">
                  <c:v>1.1631408645693</c:v>
                </c:pt>
                <c:pt idx="24">
                  <c:v>1.172852909864827</c:v>
                </c:pt>
                <c:pt idx="25">
                  <c:v>1.1836579944439682</c:v>
                </c:pt>
                <c:pt idx="26">
                  <c:v>1.1902744277043449</c:v>
                </c:pt>
                <c:pt idx="27">
                  <c:v>1.1971952184676058</c:v>
                </c:pt>
              </c:numCache>
            </c:numRef>
          </c:val>
          <c:smooth val="0"/>
          <c:extLst xmlns:c16r2="http://schemas.microsoft.com/office/drawing/2015/06/chart">
            <c:ext xmlns:c16="http://schemas.microsoft.com/office/drawing/2014/chart" uri="{C3380CC4-5D6E-409C-BE32-E72D297353CC}">
              <c16:uniqueId val="{00000003-95ED-429A-9F58-6A6C242C49ED}"/>
            </c:ext>
          </c:extLst>
        </c:ser>
        <c:ser>
          <c:idx val="5"/>
          <c:order val="4"/>
          <c:tx>
            <c:strRef>
              <c:f>Sheet1!$F$38</c:f>
              <c:strCache>
                <c:ptCount val="1"/>
                <c:pt idx="0">
                  <c:v>England</c:v>
                </c:pt>
              </c:strCache>
            </c:strRef>
          </c:tx>
          <c:spPr>
            <a:ln>
              <a:prstDash val="dash"/>
            </a:ln>
          </c:spPr>
          <c:marker>
            <c:symbol val="none"/>
          </c:marker>
          <c:cat>
            <c:numRef>
              <c:f>Sheet1!$A$39:$A$66</c:f>
              <c:numCache>
                <c:formatCode>General</c:formatCode>
                <c:ptCount val="28"/>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numCache>
            </c:numRef>
          </c:cat>
          <c:val>
            <c:numRef>
              <c:f>Sheet1!$F$39:$F$66</c:f>
              <c:numCache>
                <c:formatCode>#,##0.000</c:formatCode>
                <c:ptCount val="28"/>
                <c:pt idx="0">
                  <c:v>1</c:v>
                </c:pt>
                <c:pt idx="1">
                  <c:v>1.0025678936840463</c:v>
                </c:pt>
                <c:pt idx="2">
                  <c:v>1.0047474430044803</c:v>
                </c:pt>
                <c:pt idx="3">
                  <c:v>1.0073889449898052</c:v>
                </c:pt>
                <c:pt idx="4">
                  <c:v>1.0106198564659012</c:v>
                </c:pt>
                <c:pt idx="5">
                  <c:v>1.0134536507388454</c:v>
                </c:pt>
                <c:pt idx="6">
                  <c:v>1.0164959043894171</c:v>
                </c:pt>
                <c:pt idx="7">
                  <c:v>1.0197503354305641</c:v>
                </c:pt>
                <c:pt idx="8">
                  <c:v>1.0241845671757734</c:v>
                </c:pt>
                <c:pt idx="9">
                  <c:v>1.0283712795196913</c:v>
                </c:pt>
                <c:pt idx="10">
                  <c:v>1.0328921117237826</c:v>
                </c:pt>
                <c:pt idx="11">
                  <c:v>1.037686280542667</c:v>
                </c:pt>
                <c:pt idx="12">
                  <c:v>1.0428298799154925</c:v>
                </c:pt>
                <c:pt idx="13">
                  <c:v>1.0484504084435655</c:v>
                </c:pt>
                <c:pt idx="14">
                  <c:v>1.0570443238318259</c:v>
                </c:pt>
                <c:pt idx="15">
                  <c:v>1.0645461877991316</c:v>
                </c:pt>
                <c:pt idx="16">
                  <c:v>1.0732335339284869</c:v>
                </c:pt>
                <c:pt idx="17">
                  <c:v>1.0823146761145972</c:v>
                </c:pt>
                <c:pt idx="18">
                  <c:v>1.0902630358390339</c:v>
                </c:pt>
                <c:pt idx="19">
                  <c:v>1.0995804389490265</c:v>
                </c:pt>
                <c:pt idx="20">
                  <c:v>1.1092873143591435</c:v>
                </c:pt>
                <c:pt idx="21">
                  <c:v>1.1173616687695371</c:v>
                </c:pt>
                <c:pt idx="22">
                  <c:v>1.1251337361946576</c:v>
                </c:pt>
                <c:pt idx="23">
                  <c:v>1.1345499381880348</c:v>
                </c:pt>
                <c:pt idx="24">
                  <c:v>1.1443610850623922</c:v>
                </c:pt>
                <c:pt idx="25">
                  <c:v>1.1544235320141281</c:v>
                </c:pt>
                <c:pt idx="26">
                  <c:v>1.1617627015834036</c:v>
                </c:pt>
                <c:pt idx="27">
                  <c:v>1.1692352392013916</c:v>
                </c:pt>
              </c:numCache>
            </c:numRef>
          </c:val>
          <c:smooth val="0"/>
          <c:extLst xmlns:c16r2="http://schemas.microsoft.com/office/drawing/2015/06/chart">
            <c:ext xmlns:c16="http://schemas.microsoft.com/office/drawing/2014/chart" uri="{C3380CC4-5D6E-409C-BE32-E72D297353CC}">
              <c16:uniqueId val="{00000004-95ED-429A-9F58-6A6C242C49ED}"/>
            </c:ext>
          </c:extLst>
        </c:ser>
        <c:dLbls>
          <c:showLegendKey val="0"/>
          <c:showVal val="0"/>
          <c:showCatName val="0"/>
          <c:showSerName val="0"/>
          <c:showPercent val="0"/>
          <c:showBubbleSize val="0"/>
        </c:dLbls>
        <c:marker val="1"/>
        <c:smooth val="0"/>
        <c:axId val="283804800"/>
        <c:axId val="283806336"/>
      </c:lineChart>
      <c:catAx>
        <c:axId val="283804800"/>
        <c:scaling>
          <c:orientation val="minMax"/>
        </c:scaling>
        <c:delete val="0"/>
        <c:axPos val="b"/>
        <c:numFmt formatCode="General" sourceLinked="1"/>
        <c:majorTickMark val="out"/>
        <c:minorTickMark val="none"/>
        <c:tickLblPos val="nextTo"/>
        <c:crossAx val="283806336"/>
        <c:crosses val="autoZero"/>
        <c:auto val="1"/>
        <c:lblAlgn val="ctr"/>
        <c:lblOffset val="100"/>
        <c:noMultiLvlLbl val="0"/>
      </c:catAx>
      <c:valAx>
        <c:axId val="283806336"/>
        <c:scaling>
          <c:orientation val="minMax"/>
          <c:min val="0.95000000000000007"/>
        </c:scaling>
        <c:delete val="0"/>
        <c:axPos val="l"/>
        <c:majorGridlines/>
        <c:numFmt formatCode="#,##0.000" sourceLinked="1"/>
        <c:majorTickMark val="out"/>
        <c:minorTickMark val="none"/>
        <c:tickLblPos val="nextTo"/>
        <c:crossAx val="283804800"/>
        <c:crosses val="autoZero"/>
        <c:crossBetween val="between"/>
        <c:majorUnit val="5.000000000000001E-2"/>
      </c:valAx>
    </c:plotArea>
    <c:legend>
      <c:legendPos val="b"/>
      <c:layout>
        <c:manualLayout>
          <c:xMode val="edge"/>
          <c:yMode val="edge"/>
          <c:x val="0"/>
          <c:y val="0.8177412780422505"/>
          <c:w val="1"/>
          <c:h val="0.18225872195774959"/>
        </c:manualLayout>
      </c:layout>
      <c:overlay val="0"/>
    </c:legend>
    <c:plotVisOnly val="1"/>
    <c:dispBlanksAs val="gap"/>
    <c:showDLblsOverMax val="0"/>
  </c:chart>
  <c:txPr>
    <a:bodyPr/>
    <a:lstStyle/>
    <a:p>
      <a:pPr>
        <a:defRPr sz="1200">
          <a:latin typeface="Arial Narrow" panose="020B0606020202030204"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1"/>
          <c:order val="0"/>
          <c:tx>
            <c:strRef>
              <c:f>'Age Profile'!$C$30</c:f>
              <c:strCache>
                <c:ptCount val="1"/>
                <c:pt idx="0">
                  <c:v>Chichester District</c:v>
                </c:pt>
              </c:strCache>
            </c:strRef>
          </c:tx>
          <c:spPr>
            <a:ln w="28575" cap="rnd">
              <a:solidFill>
                <a:schemeClr val="accent2"/>
              </a:solidFill>
              <a:round/>
            </a:ln>
            <a:effectLst/>
          </c:spPr>
          <c:marker>
            <c:symbol val="none"/>
          </c:marker>
          <c:cat>
            <c:strRef>
              <c:f>'Age Profile'!$A$31:$A$48</c:f>
              <c:strCache>
                <c:ptCount val="18"/>
                <c:pt idx="0">
                  <c:v>0 - 4</c:v>
                </c:pt>
                <c:pt idx="1">
                  <c:v> 5-9</c:v>
                </c:pt>
                <c:pt idx="2">
                  <c:v> 10-14</c:v>
                </c:pt>
                <c:pt idx="3">
                  <c:v> 15-19</c:v>
                </c:pt>
                <c:pt idx="4">
                  <c:v> 20-24</c:v>
                </c:pt>
                <c:pt idx="5">
                  <c:v> 25-29</c:v>
                </c:pt>
                <c:pt idx="6">
                  <c:v> 30-34</c:v>
                </c:pt>
                <c:pt idx="7">
                  <c:v> 35-39</c:v>
                </c:pt>
                <c:pt idx="8">
                  <c:v> 40-44</c:v>
                </c:pt>
                <c:pt idx="9">
                  <c:v> 45-49</c:v>
                </c:pt>
                <c:pt idx="10">
                  <c:v> 50-54</c:v>
                </c:pt>
                <c:pt idx="11">
                  <c:v> 55-59</c:v>
                </c:pt>
                <c:pt idx="12">
                  <c:v> 60-64</c:v>
                </c:pt>
                <c:pt idx="13">
                  <c:v> 65-69</c:v>
                </c:pt>
                <c:pt idx="14">
                  <c:v> 70-74</c:v>
                </c:pt>
                <c:pt idx="15">
                  <c:v> 75-79</c:v>
                </c:pt>
                <c:pt idx="16">
                  <c:v> 80-84</c:v>
                </c:pt>
                <c:pt idx="17">
                  <c:v> 85+</c:v>
                </c:pt>
              </c:strCache>
            </c:strRef>
          </c:cat>
          <c:val>
            <c:numRef>
              <c:f>'Age Profile'!$C$31:$C$48</c:f>
              <c:numCache>
                <c:formatCode>0.0%</c:formatCode>
                <c:ptCount val="18"/>
                <c:pt idx="0">
                  <c:v>4.7246376811594201E-2</c:v>
                </c:pt>
                <c:pt idx="1">
                  <c:v>5.4881987577639749E-2</c:v>
                </c:pt>
                <c:pt idx="2">
                  <c:v>5.2960662525879915E-2</c:v>
                </c:pt>
                <c:pt idx="3">
                  <c:v>5.0037267080745344E-2</c:v>
                </c:pt>
                <c:pt idx="4">
                  <c:v>5.4252587991718428E-2</c:v>
                </c:pt>
                <c:pt idx="5">
                  <c:v>4.7677018633540375E-2</c:v>
                </c:pt>
                <c:pt idx="6">
                  <c:v>4.4521739130434786E-2</c:v>
                </c:pt>
                <c:pt idx="7">
                  <c:v>4.8447204968944099E-2</c:v>
                </c:pt>
                <c:pt idx="8">
                  <c:v>5.1519668737060043E-2</c:v>
                </c:pt>
                <c:pt idx="9">
                  <c:v>6.4041407867494821E-2</c:v>
                </c:pt>
                <c:pt idx="10">
                  <c:v>7.365631469979296E-2</c:v>
                </c:pt>
                <c:pt idx="11">
                  <c:v>7.2919254658385099E-2</c:v>
                </c:pt>
                <c:pt idx="12">
                  <c:v>6.8422360248447209E-2</c:v>
                </c:pt>
                <c:pt idx="13">
                  <c:v>6.6633540372670802E-2</c:v>
                </c:pt>
                <c:pt idx="14">
                  <c:v>7.1204968944099375E-2</c:v>
                </c:pt>
                <c:pt idx="15">
                  <c:v>5.0790890269151137E-2</c:v>
                </c:pt>
                <c:pt idx="16">
                  <c:v>3.9006211180124227E-2</c:v>
                </c:pt>
                <c:pt idx="17">
                  <c:v>4.1780538302277431E-2</c:v>
                </c:pt>
              </c:numCache>
            </c:numRef>
          </c:val>
          <c:extLst xmlns:c16r2="http://schemas.microsoft.com/office/drawing/2015/06/chart">
            <c:ext xmlns:c16="http://schemas.microsoft.com/office/drawing/2014/chart" uri="{C3380CC4-5D6E-409C-BE32-E72D297353CC}">
              <c16:uniqueId val="{00000000-26A7-4FCB-8267-9C321C12E094}"/>
            </c:ext>
          </c:extLst>
        </c:ser>
        <c:ser>
          <c:idx val="2"/>
          <c:order val="1"/>
          <c:tx>
            <c:strRef>
              <c:f>'Age Profile'!$D$30</c:f>
              <c:strCache>
                <c:ptCount val="1"/>
                <c:pt idx="0">
                  <c:v>Chichester &amp; Bognor Regis HMA</c:v>
                </c:pt>
              </c:strCache>
            </c:strRef>
          </c:tx>
          <c:spPr>
            <a:ln w="28575" cap="rnd">
              <a:solidFill>
                <a:schemeClr val="accent3"/>
              </a:solidFill>
              <a:round/>
            </a:ln>
            <a:effectLst/>
          </c:spPr>
          <c:marker>
            <c:symbol val="none"/>
          </c:marker>
          <c:cat>
            <c:strRef>
              <c:f>'Age Profile'!$A$31:$A$48</c:f>
              <c:strCache>
                <c:ptCount val="18"/>
                <c:pt idx="0">
                  <c:v>0 - 4</c:v>
                </c:pt>
                <c:pt idx="1">
                  <c:v> 5-9</c:v>
                </c:pt>
                <c:pt idx="2">
                  <c:v> 10-14</c:v>
                </c:pt>
                <c:pt idx="3">
                  <c:v> 15-19</c:v>
                </c:pt>
                <c:pt idx="4">
                  <c:v> 20-24</c:v>
                </c:pt>
                <c:pt idx="5">
                  <c:v> 25-29</c:v>
                </c:pt>
                <c:pt idx="6">
                  <c:v> 30-34</c:v>
                </c:pt>
                <c:pt idx="7">
                  <c:v> 35-39</c:v>
                </c:pt>
                <c:pt idx="8">
                  <c:v> 40-44</c:v>
                </c:pt>
                <c:pt idx="9">
                  <c:v> 45-49</c:v>
                </c:pt>
                <c:pt idx="10">
                  <c:v> 50-54</c:v>
                </c:pt>
                <c:pt idx="11">
                  <c:v> 55-59</c:v>
                </c:pt>
                <c:pt idx="12">
                  <c:v> 60-64</c:v>
                </c:pt>
                <c:pt idx="13">
                  <c:v> 65-69</c:v>
                </c:pt>
                <c:pt idx="14">
                  <c:v> 70-74</c:v>
                </c:pt>
                <c:pt idx="15">
                  <c:v> 75-79</c:v>
                </c:pt>
                <c:pt idx="16">
                  <c:v> 80-84</c:v>
                </c:pt>
                <c:pt idx="17">
                  <c:v> 85+</c:v>
                </c:pt>
              </c:strCache>
            </c:strRef>
          </c:cat>
          <c:val>
            <c:numRef>
              <c:f>'Age Profile'!$D$31:$D$48</c:f>
              <c:numCache>
                <c:formatCode>0.0%</c:formatCode>
                <c:ptCount val="18"/>
                <c:pt idx="0">
                  <c:v>5.0504995685421064E-2</c:v>
                </c:pt>
                <c:pt idx="1">
                  <c:v>5.7435457698131437E-2</c:v>
                </c:pt>
                <c:pt idx="2">
                  <c:v>5.3669020237817423E-2</c:v>
                </c:pt>
                <c:pt idx="3">
                  <c:v>4.9848311344357674E-2</c:v>
                </c:pt>
                <c:pt idx="4">
                  <c:v>5.0787207137778886E-2</c:v>
                </c:pt>
                <c:pt idx="5">
                  <c:v>4.7465795429259904E-2</c:v>
                </c:pt>
                <c:pt idx="6">
                  <c:v>4.7943384040942366E-2</c:v>
                </c:pt>
                <c:pt idx="7">
                  <c:v>5.1243087176203059E-2</c:v>
                </c:pt>
                <c:pt idx="8">
                  <c:v>5.6089526156117203E-2</c:v>
                </c:pt>
                <c:pt idx="9">
                  <c:v>6.7345421390542656E-2</c:v>
                </c:pt>
                <c:pt idx="10">
                  <c:v>7.4009953380838933E-2</c:v>
                </c:pt>
                <c:pt idx="11">
                  <c:v>7.05745716627139E-2</c:v>
                </c:pt>
                <c:pt idx="12">
                  <c:v>6.5283106931004725E-2</c:v>
                </c:pt>
                <c:pt idx="13">
                  <c:v>6.4512452580335292E-2</c:v>
                </c:pt>
                <c:pt idx="14">
                  <c:v>6.8202910034245279E-2</c:v>
                </c:pt>
                <c:pt idx="15">
                  <c:v>4.8714038391611807E-2</c:v>
                </c:pt>
                <c:pt idx="16">
                  <c:v>3.7420153153984337E-2</c:v>
                </c:pt>
                <c:pt idx="17">
                  <c:v>3.8950607568694069E-2</c:v>
                </c:pt>
              </c:numCache>
            </c:numRef>
          </c:val>
          <c:extLst xmlns:c16r2="http://schemas.microsoft.com/office/drawing/2015/06/chart">
            <c:ext xmlns:c16="http://schemas.microsoft.com/office/drawing/2014/chart" uri="{C3380CC4-5D6E-409C-BE32-E72D297353CC}">
              <c16:uniqueId val="{00000001-26A7-4FCB-8267-9C321C12E094}"/>
            </c:ext>
          </c:extLst>
        </c:ser>
        <c:ser>
          <c:idx val="3"/>
          <c:order val="2"/>
          <c:tx>
            <c:strRef>
              <c:f>'Age Profile'!$E$30</c:f>
              <c:strCache>
                <c:ptCount val="1"/>
                <c:pt idx="0">
                  <c:v>West Sussex</c:v>
                </c:pt>
              </c:strCache>
            </c:strRef>
          </c:tx>
          <c:spPr>
            <a:ln w="28575" cap="rnd">
              <a:solidFill>
                <a:schemeClr val="accent1"/>
              </a:solidFill>
              <a:round/>
            </a:ln>
            <a:effectLst/>
          </c:spPr>
          <c:marker>
            <c:symbol val="none"/>
          </c:marker>
          <c:cat>
            <c:strRef>
              <c:f>'Age Profile'!$A$31:$A$48</c:f>
              <c:strCache>
                <c:ptCount val="18"/>
                <c:pt idx="0">
                  <c:v>0 - 4</c:v>
                </c:pt>
                <c:pt idx="1">
                  <c:v> 5-9</c:v>
                </c:pt>
                <c:pt idx="2">
                  <c:v> 10-14</c:v>
                </c:pt>
                <c:pt idx="3">
                  <c:v> 15-19</c:v>
                </c:pt>
                <c:pt idx="4">
                  <c:v> 20-24</c:v>
                </c:pt>
                <c:pt idx="5">
                  <c:v> 25-29</c:v>
                </c:pt>
                <c:pt idx="6">
                  <c:v> 30-34</c:v>
                </c:pt>
                <c:pt idx="7">
                  <c:v> 35-39</c:v>
                </c:pt>
                <c:pt idx="8">
                  <c:v> 40-44</c:v>
                </c:pt>
                <c:pt idx="9">
                  <c:v> 45-49</c:v>
                </c:pt>
                <c:pt idx="10">
                  <c:v> 50-54</c:v>
                </c:pt>
                <c:pt idx="11">
                  <c:v> 55-59</c:v>
                </c:pt>
                <c:pt idx="12">
                  <c:v> 60-64</c:v>
                </c:pt>
                <c:pt idx="13">
                  <c:v> 65-69</c:v>
                </c:pt>
                <c:pt idx="14">
                  <c:v> 70-74</c:v>
                </c:pt>
                <c:pt idx="15">
                  <c:v> 75-79</c:v>
                </c:pt>
                <c:pt idx="16">
                  <c:v> 80-84</c:v>
                </c:pt>
                <c:pt idx="17">
                  <c:v> 85+</c:v>
                </c:pt>
              </c:strCache>
            </c:strRef>
          </c:cat>
          <c:val>
            <c:numRef>
              <c:f>'Age Profile'!$E$31:$E$48</c:f>
              <c:numCache>
                <c:formatCode>0.0%</c:formatCode>
                <c:ptCount val="18"/>
                <c:pt idx="0">
                  <c:v>5.4515795503765493E-2</c:v>
                </c:pt>
                <c:pt idx="1">
                  <c:v>6.0746205399766197E-2</c:v>
                </c:pt>
                <c:pt idx="2">
                  <c:v>5.6824691565019354E-2</c:v>
                </c:pt>
                <c:pt idx="3">
                  <c:v>5.0671128436564156E-2</c:v>
                </c:pt>
                <c:pt idx="4">
                  <c:v>4.5863548085118278E-2</c:v>
                </c:pt>
                <c:pt idx="5">
                  <c:v>5.1831980364486545E-2</c:v>
                </c:pt>
                <c:pt idx="6">
                  <c:v>5.5675483086725069E-2</c:v>
                </c:pt>
                <c:pt idx="7">
                  <c:v>6.2167870599358216E-2</c:v>
                </c:pt>
                <c:pt idx="8">
                  <c:v>6.0905720659671279E-2</c:v>
                </c:pt>
                <c:pt idx="9">
                  <c:v>7.0261232435856233E-2</c:v>
                </c:pt>
                <c:pt idx="10">
                  <c:v>7.4324796356066009E-2</c:v>
                </c:pt>
                <c:pt idx="11">
                  <c:v>6.84611551233507E-2</c:v>
                </c:pt>
                <c:pt idx="12">
                  <c:v>6.0094172220592136E-2</c:v>
                </c:pt>
                <c:pt idx="13">
                  <c:v>5.8408200714442068E-2</c:v>
                </c:pt>
                <c:pt idx="14">
                  <c:v>6.0527308546757766E-2</c:v>
                </c:pt>
                <c:pt idx="15">
                  <c:v>4.1725466087288617E-2</c:v>
                </c:pt>
                <c:pt idx="16">
                  <c:v>3.2406049004950796E-2</c:v>
                </c:pt>
                <c:pt idx="17">
                  <c:v>3.4589195810221088E-2</c:v>
                </c:pt>
              </c:numCache>
            </c:numRef>
          </c:val>
          <c:extLst xmlns:c16r2="http://schemas.microsoft.com/office/drawing/2015/06/chart">
            <c:ext xmlns:c16="http://schemas.microsoft.com/office/drawing/2014/chart" uri="{C3380CC4-5D6E-409C-BE32-E72D297353CC}">
              <c16:uniqueId val="{00000002-26A7-4FCB-8267-9C321C12E094}"/>
            </c:ext>
          </c:extLst>
        </c:ser>
        <c:ser>
          <c:idx val="4"/>
          <c:order val="3"/>
          <c:tx>
            <c:strRef>
              <c:f>'Age Profile'!$F$30</c:f>
              <c:strCache>
                <c:ptCount val="1"/>
                <c:pt idx="0">
                  <c:v>South East</c:v>
                </c:pt>
              </c:strCache>
            </c:strRef>
          </c:tx>
          <c:spPr>
            <a:ln w="28575" cap="rnd">
              <a:solidFill>
                <a:schemeClr val="accent4"/>
              </a:solidFill>
              <a:prstDash val="sysDash"/>
              <a:round/>
            </a:ln>
            <a:effectLst/>
          </c:spPr>
          <c:marker>
            <c:symbol val="none"/>
          </c:marker>
          <c:cat>
            <c:strRef>
              <c:f>'Age Profile'!$A$31:$A$48</c:f>
              <c:strCache>
                <c:ptCount val="18"/>
                <c:pt idx="0">
                  <c:v>0 - 4</c:v>
                </c:pt>
                <c:pt idx="1">
                  <c:v> 5-9</c:v>
                </c:pt>
                <c:pt idx="2">
                  <c:v> 10-14</c:v>
                </c:pt>
                <c:pt idx="3">
                  <c:v> 15-19</c:v>
                </c:pt>
                <c:pt idx="4">
                  <c:v> 20-24</c:v>
                </c:pt>
                <c:pt idx="5">
                  <c:v> 25-29</c:v>
                </c:pt>
                <c:pt idx="6">
                  <c:v> 30-34</c:v>
                </c:pt>
                <c:pt idx="7">
                  <c:v> 35-39</c:v>
                </c:pt>
                <c:pt idx="8">
                  <c:v> 40-44</c:v>
                </c:pt>
                <c:pt idx="9">
                  <c:v> 45-49</c:v>
                </c:pt>
                <c:pt idx="10">
                  <c:v> 50-54</c:v>
                </c:pt>
                <c:pt idx="11">
                  <c:v> 55-59</c:v>
                </c:pt>
                <c:pt idx="12">
                  <c:v> 60-64</c:v>
                </c:pt>
                <c:pt idx="13">
                  <c:v> 65-69</c:v>
                </c:pt>
                <c:pt idx="14">
                  <c:v> 70-74</c:v>
                </c:pt>
                <c:pt idx="15">
                  <c:v> 75-79</c:v>
                </c:pt>
                <c:pt idx="16">
                  <c:v> 80-84</c:v>
                </c:pt>
                <c:pt idx="17">
                  <c:v> 85+</c:v>
                </c:pt>
              </c:strCache>
            </c:strRef>
          </c:cat>
          <c:val>
            <c:numRef>
              <c:f>'Age Profile'!$F$31:$F$48</c:f>
              <c:numCache>
                <c:formatCode>0.0%</c:formatCode>
                <c:ptCount val="18"/>
                <c:pt idx="0">
                  <c:v>5.7725711313963514E-2</c:v>
                </c:pt>
                <c:pt idx="1">
                  <c:v>6.3484323037129295E-2</c:v>
                </c:pt>
                <c:pt idx="2">
                  <c:v>5.9899328032407724E-2</c:v>
                </c:pt>
                <c:pt idx="3">
                  <c:v>5.616981209541666E-2</c:v>
                </c:pt>
                <c:pt idx="4">
                  <c:v>5.8956657406013496E-2</c:v>
                </c:pt>
                <c:pt idx="5">
                  <c:v>5.9968741874118985E-2</c:v>
                </c:pt>
                <c:pt idx="6">
                  <c:v>6.0040016970260984E-2</c:v>
                </c:pt>
                <c:pt idx="7">
                  <c:v>6.4479875186467583E-2</c:v>
                </c:pt>
                <c:pt idx="8">
                  <c:v>6.2687049227442559E-2</c:v>
                </c:pt>
                <c:pt idx="9">
                  <c:v>7.0076229317494423E-2</c:v>
                </c:pt>
                <c:pt idx="10">
                  <c:v>7.264344660526352E-2</c:v>
                </c:pt>
                <c:pt idx="11">
                  <c:v>6.5599474469337199E-2</c:v>
                </c:pt>
                <c:pt idx="12">
                  <c:v>5.5381516101219393E-2</c:v>
                </c:pt>
                <c:pt idx="13">
                  <c:v>5.162966511105941E-2</c:v>
                </c:pt>
                <c:pt idx="14">
                  <c:v>5.1800024634249819E-2</c:v>
                </c:pt>
                <c:pt idx="15">
                  <c:v>3.5074901805143083E-2</c:v>
                </c:pt>
                <c:pt idx="16">
                  <c:v>2.6696300756818898E-2</c:v>
                </c:pt>
                <c:pt idx="17">
                  <c:v>2.768692605619346E-2</c:v>
                </c:pt>
              </c:numCache>
            </c:numRef>
          </c:val>
          <c:extLst xmlns:c16r2="http://schemas.microsoft.com/office/drawing/2015/06/chart">
            <c:ext xmlns:c16="http://schemas.microsoft.com/office/drawing/2014/chart" uri="{C3380CC4-5D6E-409C-BE32-E72D297353CC}">
              <c16:uniqueId val="{00000003-26A7-4FCB-8267-9C321C12E094}"/>
            </c:ext>
          </c:extLst>
        </c:ser>
        <c:ser>
          <c:idx val="5"/>
          <c:order val="4"/>
          <c:tx>
            <c:strRef>
              <c:f>'Age Profile'!$G$30</c:f>
              <c:strCache>
                <c:ptCount val="1"/>
                <c:pt idx="0">
                  <c:v>England</c:v>
                </c:pt>
              </c:strCache>
            </c:strRef>
          </c:tx>
          <c:spPr>
            <a:ln w="28575" cap="rnd">
              <a:solidFill>
                <a:schemeClr val="bg2"/>
              </a:solidFill>
              <a:prstDash val="lgDash"/>
              <a:round/>
            </a:ln>
            <a:effectLst/>
          </c:spPr>
          <c:marker>
            <c:symbol val="none"/>
          </c:marker>
          <c:cat>
            <c:strRef>
              <c:f>'Age Profile'!$A$31:$A$48</c:f>
              <c:strCache>
                <c:ptCount val="18"/>
                <c:pt idx="0">
                  <c:v>0 - 4</c:v>
                </c:pt>
                <c:pt idx="1">
                  <c:v> 5-9</c:v>
                </c:pt>
                <c:pt idx="2">
                  <c:v> 10-14</c:v>
                </c:pt>
                <c:pt idx="3">
                  <c:v> 15-19</c:v>
                </c:pt>
                <c:pt idx="4">
                  <c:v> 20-24</c:v>
                </c:pt>
                <c:pt idx="5">
                  <c:v> 25-29</c:v>
                </c:pt>
                <c:pt idx="6">
                  <c:v> 30-34</c:v>
                </c:pt>
                <c:pt idx="7">
                  <c:v> 35-39</c:v>
                </c:pt>
                <c:pt idx="8">
                  <c:v> 40-44</c:v>
                </c:pt>
                <c:pt idx="9">
                  <c:v> 45-49</c:v>
                </c:pt>
                <c:pt idx="10">
                  <c:v> 50-54</c:v>
                </c:pt>
                <c:pt idx="11">
                  <c:v> 55-59</c:v>
                </c:pt>
                <c:pt idx="12">
                  <c:v> 60-64</c:v>
                </c:pt>
                <c:pt idx="13">
                  <c:v> 65-69</c:v>
                </c:pt>
                <c:pt idx="14">
                  <c:v> 70-74</c:v>
                </c:pt>
                <c:pt idx="15">
                  <c:v> 75-79</c:v>
                </c:pt>
                <c:pt idx="16">
                  <c:v> 80-84</c:v>
                </c:pt>
                <c:pt idx="17">
                  <c:v> 85+</c:v>
                </c:pt>
              </c:strCache>
            </c:strRef>
          </c:cat>
          <c:val>
            <c:numRef>
              <c:f>'Age Profile'!$G$31:$G$48</c:f>
              <c:numCache>
                <c:formatCode>0.0%</c:formatCode>
                <c:ptCount val="18"/>
                <c:pt idx="0">
                  <c:v>5.9787347622275638E-2</c:v>
                </c:pt>
                <c:pt idx="1">
                  <c:v>6.2951833691937811E-2</c:v>
                </c:pt>
                <c:pt idx="2">
                  <c:v>5.8490247579111615E-2</c:v>
                </c:pt>
                <c:pt idx="3">
                  <c:v>5.5318526418034149E-2</c:v>
                </c:pt>
                <c:pt idx="4">
                  <c:v>6.275153777848537E-2</c:v>
                </c:pt>
                <c:pt idx="5">
                  <c:v>6.8169281416794542E-2</c:v>
                </c:pt>
                <c:pt idx="6">
                  <c:v>6.7663235899458885E-2</c:v>
                </c:pt>
                <c:pt idx="7">
                  <c:v>6.641068972787445E-2</c:v>
                </c:pt>
                <c:pt idx="8">
                  <c:v>6.0570827632647005E-2</c:v>
                </c:pt>
                <c:pt idx="9">
                  <c:v>6.7871267108177549E-2</c:v>
                </c:pt>
                <c:pt idx="10">
                  <c:v>6.9947273869361545E-2</c:v>
                </c:pt>
                <c:pt idx="11">
                  <c:v>6.3835461659035406E-2</c:v>
                </c:pt>
                <c:pt idx="12">
                  <c:v>5.438598566008454E-2</c:v>
                </c:pt>
                <c:pt idx="13">
                  <c:v>5.0423996007801605E-2</c:v>
                </c:pt>
                <c:pt idx="14">
                  <c:v>4.8676980465145993E-2</c:v>
                </c:pt>
                <c:pt idx="15">
                  <c:v>3.3283671427666466E-2</c:v>
                </c:pt>
                <c:pt idx="16">
                  <c:v>2.507729132040204E-2</c:v>
                </c:pt>
                <c:pt idx="17">
                  <c:v>2.4384544715705388E-2</c:v>
                </c:pt>
              </c:numCache>
            </c:numRef>
          </c:val>
          <c:extLst xmlns:c16r2="http://schemas.microsoft.com/office/drawing/2015/06/chart">
            <c:ext xmlns:c16="http://schemas.microsoft.com/office/drawing/2014/chart" uri="{C3380CC4-5D6E-409C-BE32-E72D297353CC}">
              <c16:uniqueId val="{00000004-26A7-4FCB-8267-9C321C12E094}"/>
            </c:ext>
          </c:extLst>
        </c:ser>
        <c:dLbls>
          <c:showLegendKey val="0"/>
          <c:showVal val="0"/>
          <c:showCatName val="0"/>
          <c:showSerName val="0"/>
          <c:showPercent val="0"/>
          <c:showBubbleSize val="0"/>
        </c:dLbls>
        <c:axId val="283844608"/>
        <c:axId val="283846144"/>
        <c:extLst xmlns:c16r2="http://schemas.microsoft.com/office/drawing/2015/06/chart">
          <c:ext xmlns:c15="http://schemas.microsoft.com/office/drawing/2012/chart" uri="{02D57815-91ED-43cb-92C2-25804820EDAC}">
            <c15:filteredRadarSeries>
              <c15:ser>
                <c:idx val="0"/>
                <c:order val="0"/>
                <c:tx>
                  <c:strRef>
                    <c:extLst>
                      <c:ext uri="{02D57815-91ED-43cb-92C2-25804820EDAC}">
                        <c15:formulaRef>
                          <c15:sqref>'Age Profile'!$B$30</c15:sqref>
                        </c15:formulaRef>
                      </c:ext>
                    </c:extLst>
                    <c:strCache>
                      <c:ptCount val="1"/>
                    </c:strCache>
                  </c:strRef>
                </c:tx>
                <c:spPr>
                  <a:ln w="28575" cap="rnd">
                    <a:solidFill>
                      <a:schemeClr val="accent1"/>
                    </a:solidFill>
                    <a:round/>
                  </a:ln>
                  <a:effectLst/>
                </c:spPr>
                <c:marker>
                  <c:symbol val="none"/>
                </c:marker>
                <c:cat>
                  <c:strRef>
                    <c:extLst>
                      <c:ext uri="{02D57815-91ED-43cb-92C2-25804820EDAC}">
                        <c15:formulaRef>
                          <c15:sqref>'Age Profile'!$A$31:$A$48</c15:sqref>
                        </c15:formulaRef>
                      </c:ext>
                    </c:extLst>
                    <c:strCache>
                      <c:ptCount val="18"/>
                      <c:pt idx="0">
                        <c:v>0 - 4</c:v>
                      </c:pt>
                      <c:pt idx="1">
                        <c:v> 5-9</c:v>
                      </c:pt>
                      <c:pt idx="2">
                        <c:v> 10-14</c:v>
                      </c:pt>
                      <c:pt idx="3">
                        <c:v> 15-19</c:v>
                      </c:pt>
                      <c:pt idx="4">
                        <c:v> 20-24</c:v>
                      </c:pt>
                      <c:pt idx="5">
                        <c:v> 25-29</c:v>
                      </c:pt>
                      <c:pt idx="6">
                        <c:v> 30-34</c:v>
                      </c:pt>
                      <c:pt idx="7">
                        <c:v> 35-39</c:v>
                      </c:pt>
                      <c:pt idx="8">
                        <c:v> 40-44</c:v>
                      </c:pt>
                      <c:pt idx="9">
                        <c:v> 45-49</c:v>
                      </c:pt>
                      <c:pt idx="10">
                        <c:v> 50-54</c:v>
                      </c:pt>
                      <c:pt idx="11">
                        <c:v> 55-59</c:v>
                      </c:pt>
                      <c:pt idx="12">
                        <c:v> 60-64</c:v>
                      </c:pt>
                      <c:pt idx="13">
                        <c:v> 65-69</c:v>
                      </c:pt>
                      <c:pt idx="14">
                        <c:v> 70-74</c:v>
                      </c:pt>
                      <c:pt idx="15">
                        <c:v> 75-79</c:v>
                      </c:pt>
                      <c:pt idx="16">
                        <c:v> 80-84</c:v>
                      </c:pt>
                      <c:pt idx="17">
                        <c:v> 85+</c:v>
                      </c:pt>
                    </c:strCache>
                  </c:strRef>
                </c:cat>
                <c:val>
                  <c:numRef>
                    <c:extLst>
                      <c:ext uri="{02D57815-91ED-43cb-92C2-25804820EDAC}">
                        <c15:formulaRef>
                          <c15:sqref>'Age Profile'!$B$31:$B$48</c15:sqref>
                        </c15:formulaRef>
                      </c:ext>
                    </c:extLst>
                    <c:numCache>
                      <c:formatCode>General</c:formatCode>
                      <c:ptCount val="18"/>
                    </c:numCache>
                  </c:numRef>
                </c:val>
                <c:extLst>
                  <c:ext xmlns:c16="http://schemas.microsoft.com/office/drawing/2014/chart" uri="{C3380CC4-5D6E-409C-BE32-E72D297353CC}">
                    <c16:uniqueId val="{00000005-26A7-4FCB-8267-9C321C12E094}"/>
                  </c:ext>
                </c:extLst>
              </c15:ser>
            </c15:filteredRadarSeries>
          </c:ext>
        </c:extLst>
      </c:radarChart>
      <c:catAx>
        <c:axId val="283844608"/>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vert="horz"/>
          <a:lstStyle/>
          <a:p>
            <a:pPr>
              <a:defRPr/>
            </a:pPr>
            <a:endParaRPr lang="en-US"/>
          </a:p>
        </c:txPr>
        <c:crossAx val="283846144"/>
        <c:crosses val="autoZero"/>
        <c:auto val="1"/>
        <c:lblAlgn val="ctr"/>
        <c:lblOffset val="100"/>
        <c:noMultiLvlLbl val="0"/>
      </c:catAx>
      <c:valAx>
        <c:axId val="283846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en-US"/>
          </a:p>
        </c:txPr>
        <c:crossAx val="283844608"/>
        <c:crosses val="autoZero"/>
        <c:crossBetween val="between"/>
      </c:valAx>
      <c:spPr>
        <a:noFill/>
        <a:ln>
          <a:noFill/>
        </a:ln>
        <a:effectLst/>
      </c:spPr>
    </c:plotArea>
    <c:legend>
      <c:legendPos val="r"/>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1200">
          <a:solidFill>
            <a:sysClr val="windowText" lastClr="000000"/>
          </a:solidFill>
          <a:latin typeface="Arial Narrow" panose="020B0606020202030204" pitchFamily="34"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273110310926496E-2"/>
          <c:y val="4.8087431693989102E-2"/>
          <c:w val="0.88289640265555103"/>
          <c:h val="0.61758650168728901"/>
        </c:manualLayout>
      </c:layout>
      <c:barChart>
        <c:barDir val="col"/>
        <c:grouping val="stacked"/>
        <c:varyColors val="0"/>
        <c:ser>
          <c:idx val="0"/>
          <c:order val="0"/>
          <c:tx>
            <c:strRef>
              <c:f>Sheet1!$B$1</c:f>
              <c:strCache>
                <c:ptCount val="1"/>
                <c:pt idx="0">
                  <c:v>Natural change</c:v>
                </c:pt>
              </c:strCache>
            </c:strRef>
          </c:tx>
          <c:spPr>
            <a:solidFill>
              <a:schemeClr val="accent1"/>
            </a:solidFill>
            <a:ln>
              <a:noFill/>
            </a:ln>
            <a:effectLst/>
          </c:spPr>
          <c:invertIfNegative val="0"/>
          <c:cat>
            <c:strRef>
              <c:f>Sheet1!$A$2:$A$18</c:f>
              <c:strCache>
                <c:ptCount val="17"/>
                <c:pt idx="0">
                  <c:v>2001/2</c:v>
                </c:pt>
                <c:pt idx="1">
                  <c:v>2002/3</c:v>
                </c:pt>
                <c:pt idx="2">
                  <c:v>2003/4</c:v>
                </c:pt>
                <c:pt idx="3">
                  <c:v>2004/5</c:v>
                </c:pt>
                <c:pt idx="4">
                  <c:v>2005/6</c:v>
                </c:pt>
                <c:pt idx="5">
                  <c:v>2006/7</c:v>
                </c:pt>
                <c:pt idx="6">
                  <c:v>2007/8</c:v>
                </c:pt>
                <c:pt idx="7">
                  <c:v>2008/9</c:v>
                </c:pt>
                <c:pt idx="8">
                  <c:v>2009/10</c:v>
                </c:pt>
                <c:pt idx="9">
                  <c:v>2010/11</c:v>
                </c:pt>
                <c:pt idx="10">
                  <c:v>2011/12</c:v>
                </c:pt>
                <c:pt idx="11">
                  <c:v>2012/13</c:v>
                </c:pt>
                <c:pt idx="12">
                  <c:v>2013/14</c:v>
                </c:pt>
                <c:pt idx="13">
                  <c:v>2014/15</c:v>
                </c:pt>
                <c:pt idx="14">
                  <c:v>2015/16</c:v>
                </c:pt>
                <c:pt idx="15">
                  <c:v>2016/17</c:v>
                </c:pt>
                <c:pt idx="16">
                  <c:v>2017/18</c:v>
                </c:pt>
              </c:strCache>
            </c:strRef>
          </c:cat>
          <c:val>
            <c:numRef>
              <c:f>Sheet1!$B$2:$B$18</c:f>
              <c:numCache>
                <c:formatCode>#,##0</c:formatCode>
                <c:ptCount val="17"/>
                <c:pt idx="0">
                  <c:v>-545</c:v>
                </c:pt>
                <c:pt idx="1">
                  <c:v>-405</c:v>
                </c:pt>
                <c:pt idx="2">
                  <c:v>-446</c:v>
                </c:pt>
                <c:pt idx="3">
                  <c:v>-348</c:v>
                </c:pt>
                <c:pt idx="4">
                  <c:v>-301</c:v>
                </c:pt>
                <c:pt idx="5">
                  <c:v>-372</c:v>
                </c:pt>
                <c:pt idx="6">
                  <c:v>-306</c:v>
                </c:pt>
                <c:pt idx="7">
                  <c:v>-233</c:v>
                </c:pt>
                <c:pt idx="8">
                  <c:v>-235</c:v>
                </c:pt>
                <c:pt idx="9">
                  <c:v>-179</c:v>
                </c:pt>
                <c:pt idx="10">
                  <c:v>-178</c:v>
                </c:pt>
                <c:pt idx="11">
                  <c:v>-274</c:v>
                </c:pt>
                <c:pt idx="12">
                  <c:v>-285</c:v>
                </c:pt>
                <c:pt idx="13">
                  <c:v>-386</c:v>
                </c:pt>
                <c:pt idx="14">
                  <c:v>-404</c:v>
                </c:pt>
                <c:pt idx="15">
                  <c:v>-499</c:v>
                </c:pt>
                <c:pt idx="16">
                  <c:v>-560</c:v>
                </c:pt>
              </c:numCache>
            </c:numRef>
          </c:val>
          <c:extLst xmlns:c16r2="http://schemas.microsoft.com/office/drawing/2015/06/chart">
            <c:ext xmlns:c16="http://schemas.microsoft.com/office/drawing/2014/chart" uri="{C3380CC4-5D6E-409C-BE32-E72D297353CC}">
              <c16:uniqueId val="{00000000-D187-417A-AFA2-C01BD649D5D8}"/>
            </c:ext>
          </c:extLst>
        </c:ser>
        <c:ser>
          <c:idx val="1"/>
          <c:order val="1"/>
          <c:tx>
            <c:strRef>
              <c:f>Sheet1!$C$1</c:f>
              <c:strCache>
                <c:ptCount val="1"/>
                <c:pt idx="0">
                  <c:v>Net internal migration</c:v>
                </c:pt>
              </c:strCache>
            </c:strRef>
          </c:tx>
          <c:spPr>
            <a:solidFill>
              <a:schemeClr val="accent2"/>
            </a:solidFill>
            <a:ln>
              <a:noFill/>
            </a:ln>
            <a:effectLst/>
          </c:spPr>
          <c:invertIfNegative val="0"/>
          <c:cat>
            <c:strRef>
              <c:f>Sheet1!$A$2:$A$18</c:f>
              <c:strCache>
                <c:ptCount val="17"/>
                <c:pt idx="0">
                  <c:v>2001/2</c:v>
                </c:pt>
                <c:pt idx="1">
                  <c:v>2002/3</c:v>
                </c:pt>
                <c:pt idx="2">
                  <c:v>2003/4</c:v>
                </c:pt>
                <c:pt idx="3">
                  <c:v>2004/5</c:v>
                </c:pt>
                <c:pt idx="4">
                  <c:v>2005/6</c:v>
                </c:pt>
                <c:pt idx="5">
                  <c:v>2006/7</c:v>
                </c:pt>
                <c:pt idx="6">
                  <c:v>2007/8</c:v>
                </c:pt>
                <c:pt idx="7">
                  <c:v>2008/9</c:v>
                </c:pt>
                <c:pt idx="8">
                  <c:v>2009/10</c:v>
                </c:pt>
                <c:pt idx="9">
                  <c:v>2010/11</c:v>
                </c:pt>
                <c:pt idx="10">
                  <c:v>2011/12</c:v>
                </c:pt>
                <c:pt idx="11">
                  <c:v>2012/13</c:v>
                </c:pt>
                <c:pt idx="12">
                  <c:v>2013/14</c:v>
                </c:pt>
                <c:pt idx="13">
                  <c:v>2014/15</c:v>
                </c:pt>
                <c:pt idx="14">
                  <c:v>2015/16</c:v>
                </c:pt>
                <c:pt idx="15">
                  <c:v>2016/17</c:v>
                </c:pt>
                <c:pt idx="16">
                  <c:v>2017/18</c:v>
                </c:pt>
              </c:strCache>
            </c:strRef>
          </c:cat>
          <c:val>
            <c:numRef>
              <c:f>Sheet1!$C$2:$C$18</c:f>
              <c:numCache>
                <c:formatCode>#,##0</c:formatCode>
                <c:ptCount val="17"/>
                <c:pt idx="0">
                  <c:v>1126</c:v>
                </c:pt>
                <c:pt idx="1">
                  <c:v>922</c:v>
                </c:pt>
                <c:pt idx="2">
                  <c:v>1324</c:v>
                </c:pt>
                <c:pt idx="3">
                  <c:v>798</c:v>
                </c:pt>
                <c:pt idx="4">
                  <c:v>1038</c:v>
                </c:pt>
                <c:pt idx="5">
                  <c:v>1047</c:v>
                </c:pt>
                <c:pt idx="6">
                  <c:v>1105</c:v>
                </c:pt>
                <c:pt idx="7">
                  <c:v>654</c:v>
                </c:pt>
                <c:pt idx="8">
                  <c:v>848</c:v>
                </c:pt>
                <c:pt idx="9">
                  <c:v>695</c:v>
                </c:pt>
                <c:pt idx="10">
                  <c:v>775</c:v>
                </c:pt>
                <c:pt idx="11">
                  <c:v>859</c:v>
                </c:pt>
                <c:pt idx="12">
                  <c:v>709</c:v>
                </c:pt>
                <c:pt idx="13">
                  <c:v>1173</c:v>
                </c:pt>
                <c:pt idx="14">
                  <c:v>1245</c:v>
                </c:pt>
                <c:pt idx="15">
                  <c:v>1249</c:v>
                </c:pt>
                <c:pt idx="16">
                  <c:v>654</c:v>
                </c:pt>
              </c:numCache>
            </c:numRef>
          </c:val>
          <c:extLst xmlns:c16r2="http://schemas.microsoft.com/office/drawing/2015/06/chart">
            <c:ext xmlns:c16="http://schemas.microsoft.com/office/drawing/2014/chart" uri="{C3380CC4-5D6E-409C-BE32-E72D297353CC}">
              <c16:uniqueId val="{00000001-D187-417A-AFA2-C01BD649D5D8}"/>
            </c:ext>
          </c:extLst>
        </c:ser>
        <c:ser>
          <c:idx val="2"/>
          <c:order val="2"/>
          <c:tx>
            <c:strRef>
              <c:f>Sheet1!$D$1</c:f>
              <c:strCache>
                <c:ptCount val="1"/>
                <c:pt idx="0">
                  <c:v>Net international migration</c:v>
                </c:pt>
              </c:strCache>
            </c:strRef>
          </c:tx>
          <c:spPr>
            <a:solidFill>
              <a:schemeClr val="accent3"/>
            </a:solidFill>
            <a:ln>
              <a:noFill/>
            </a:ln>
            <a:effectLst/>
          </c:spPr>
          <c:invertIfNegative val="0"/>
          <c:cat>
            <c:strRef>
              <c:f>Sheet1!$A$2:$A$18</c:f>
              <c:strCache>
                <c:ptCount val="17"/>
                <c:pt idx="0">
                  <c:v>2001/2</c:v>
                </c:pt>
                <c:pt idx="1">
                  <c:v>2002/3</c:v>
                </c:pt>
                <c:pt idx="2">
                  <c:v>2003/4</c:v>
                </c:pt>
                <c:pt idx="3">
                  <c:v>2004/5</c:v>
                </c:pt>
                <c:pt idx="4">
                  <c:v>2005/6</c:v>
                </c:pt>
                <c:pt idx="5">
                  <c:v>2006/7</c:v>
                </c:pt>
                <c:pt idx="6">
                  <c:v>2007/8</c:v>
                </c:pt>
                <c:pt idx="7">
                  <c:v>2008/9</c:v>
                </c:pt>
                <c:pt idx="8">
                  <c:v>2009/10</c:v>
                </c:pt>
                <c:pt idx="9">
                  <c:v>2010/11</c:v>
                </c:pt>
                <c:pt idx="10">
                  <c:v>2011/12</c:v>
                </c:pt>
                <c:pt idx="11">
                  <c:v>2012/13</c:v>
                </c:pt>
                <c:pt idx="12">
                  <c:v>2013/14</c:v>
                </c:pt>
                <c:pt idx="13">
                  <c:v>2014/15</c:v>
                </c:pt>
                <c:pt idx="14">
                  <c:v>2015/16</c:v>
                </c:pt>
                <c:pt idx="15">
                  <c:v>2016/17</c:v>
                </c:pt>
                <c:pt idx="16">
                  <c:v>2017/18</c:v>
                </c:pt>
              </c:strCache>
            </c:strRef>
          </c:cat>
          <c:val>
            <c:numRef>
              <c:f>Sheet1!$D$2:$D$18</c:f>
              <c:numCache>
                <c:formatCode>#,##0</c:formatCode>
                <c:ptCount val="17"/>
                <c:pt idx="0">
                  <c:v>-66</c:v>
                </c:pt>
                <c:pt idx="1">
                  <c:v>11</c:v>
                </c:pt>
                <c:pt idx="2">
                  <c:v>-24</c:v>
                </c:pt>
                <c:pt idx="3">
                  <c:v>167</c:v>
                </c:pt>
                <c:pt idx="4">
                  <c:v>172</c:v>
                </c:pt>
                <c:pt idx="5">
                  <c:v>268</c:v>
                </c:pt>
                <c:pt idx="6">
                  <c:v>473</c:v>
                </c:pt>
                <c:pt idx="7">
                  <c:v>497</c:v>
                </c:pt>
                <c:pt idx="8">
                  <c:v>424</c:v>
                </c:pt>
                <c:pt idx="9">
                  <c:v>59</c:v>
                </c:pt>
                <c:pt idx="10">
                  <c:v>305</c:v>
                </c:pt>
                <c:pt idx="11">
                  <c:v>251</c:v>
                </c:pt>
                <c:pt idx="12">
                  <c:v>361</c:v>
                </c:pt>
                <c:pt idx="13">
                  <c:v>388</c:v>
                </c:pt>
                <c:pt idx="14">
                  <c:v>443</c:v>
                </c:pt>
                <c:pt idx="15">
                  <c:v>298</c:v>
                </c:pt>
                <c:pt idx="16">
                  <c:v>331</c:v>
                </c:pt>
              </c:numCache>
            </c:numRef>
          </c:val>
          <c:extLst xmlns:c16r2="http://schemas.microsoft.com/office/drawing/2015/06/chart">
            <c:ext xmlns:c16="http://schemas.microsoft.com/office/drawing/2014/chart" uri="{C3380CC4-5D6E-409C-BE32-E72D297353CC}">
              <c16:uniqueId val="{00000002-D187-417A-AFA2-C01BD649D5D8}"/>
            </c:ext>
          </c:extLst>
        </c:ser>
        <c:ser>
          <c:idx val="3"/>
          <c:order val="3"/>
          <c:tx>
            <c:strRef>
              <c:f>Sheet1!$E$1</c:f>
              <c:strCache>
                <c:ptCount val="1"/>
                <c:pt idx="0">
                  <c:v>Other changes</c:v>
                </c:pt>
              </c:strCache>
            </c:strRef>
          </c:tx>
          <c:spPr>
            <a:solidFill>
              <a:schemeClr val="accent4"/>
            </a:solidFill>
            <a:effectLst/>
          </c:spPr>
          <c:invertIfNegative val="0"/>
          <c:cat>
            <c:strRef>
              <c:f>Sheet1!$A$2:$A$18</c:f>
              <c:strCache>
                <c:ptCount val="17"/>
                <c:pt idx="0">
                  <c:v>2001/2</c:v>
                </c:pt>
                <c:pt idx="1">
                  <c:v>2002/3</c:v>
                </c:pt>
                <c:pt idx="2">
                  <c:v>2003/4</c:v>
                </c:pt>
                <c:pt idx="3">
                  <c:v>2004/5</c:v>
                </c:pt>
                <c:pt idx="4">
                  <c:v>2005/6</c:v>
                </c:pt>
                <c:pt idx="5">
                  <c:v>2006/7</c:v>
                </c:pt>
                <c:pt idx="6">
                  <c:v>2007/8</c:v>
                </c:pt>
                <c:pt idx="7">
                  <c:v>2008/9</c:v>
                </c:pt>
                <c:pt idx="8">
                  <c:v>2009/10</c:v>
                </c:pt>
                <c:pt idx="9">
                  <c:v>2010/11</c:v>
                </c:pt>
                <c:pt idx="10">
                  <c:v>2011/12</c:v>
                </c:pt>
                <c:pt idx="11">
                  <c:v>2012/13</c:v>
                </c:pt>
                <c:pt idx="12">
                  <c:v>2013/14</c:v>
                </c:pt>
                <c:pt idx="13">
                  <c:v>2014/15</c:v>
                </c:pt>
                <c:pt idx="14">
                  <c:v>2015/16</c:v>
                </c:pt>
                <c:pt idx="15">
                  <c:v>2016/17</c:v>
                </c:pt>
                <c:pt idx="16">
                  <c:v>2017/18</c:v>
                </c:pt>
              </c:strCache>
            </c:strRef>
          </c:cat>
          <c:val>
            <c:numRef>
              <c:f>Sheet1!$E$2:$E$18</c:f>
              <c:numCache>
                <c:formatCode>#,##0</c:formatCode>
                <c:ptCount val="17"/>
                <c:pt idx="0">
                  <c:v>3</c:v>
                </c:pt>
                <c:pt idx="1">
                  <c:v>1</c:v>
                </c:pt>
                <c:pt idx="2">
                  <c:v>-179</c:v>
                </c:pt>
                <c:pt idx="3">
                  <c:v>42</c:v>
                </c:pt>
                <c:pt idx="4">
                  <c:v>53</c:v>
                </c:pt>
                <c:pt idx="5">
                  <c:v>22</c:v>
                </c:pt>
                <c:pt idx="6">
                  <c:v>-19</c:v>
                </c:pt>
                <c:pt idx="7">
                  <c:v>-167</c:v>
                </c:pt>
                <c:pt idx="8">
                  <c:v>-19</c:v>
                </c:pt>
                <c:pt idx="9">
                  <c:v>104</c:v>
                </c:pt>
                <c:pt idx="10">
                  <c:v>2</c:v>
                </c:pt>
                <c:pt idx="11">
                  <c:v>65</c:v>
                </c:pt>
                <c:pt idx="12">
                  <c:v>-324</c:v>
                </c:pt>
                <c:pt idx="13">
                  <c:v>348</c:v>
                </c:pt>
                <c:pt idx="14">
                  <c:v>57</c:v>
                </c:pt>
                <c:pt idx="15">
                  <c:v>19</c:v>
                </c:pt>
                <c:pt idx="16">
                  <c:v>133</c:v>
                </c:pt>
              </c:numCache>
            </c:numRef>
          </c:val>
          <c:extLst xmlns:c16r2="http://schemas.microsoft.com/office/drawing/2015/06/chart">
            <c:ext xmlns:c16="http://schemas.microsoft.com/office/drawing/2014/chart" uri="{C3380CC4-5D6E-409C-BE32-E72D297353CC}">
              <c16:uniqueId val="{00000003-D187-417A-AFA2-C01BD649D5D8}"/>
            </c:ext>
          </c:extLst>
        </c:ser>
        <c:ser>
          <c:idx val="4"/>
          <c:order val="4"/>
          <c:tx>
            <c:strRef>
              <c:f>Sheet1!$F$1</c:f>
              <c:strCache>
                <c:ptCount val="1"/>
                <c:pt idx="0">
                  <c:v>Unattributable population change</c:v>
                </c:pt>
              </c:strCache>
            </c:strRef>
          </c:tx>
          <c:spPr>
            <a:solidFill>
              <a:schemeClr val="accent5"/>
            </a:solidFill>
            <a:effectLst/>
          </c:spPr>
          <c:invertIfNegative val="0"/>
          <c:cat>
            <c:strRef>
              <c:f>Sheet1!$A$2:$A$18</c:f>
              <c:strCache>
                <c:ptCount val="17"/>
                <c:pt idx="0">
                  <c:v>2001/2</c:v>
                </c:pt>
                <c:pt idx="1">
                  <c:v>2002/3</c:v>
                </c:pt>
                <c:pt idx="2">
                  <c:v>2003/4</c:v>
                </c:pt>
                <c:pt idx="3">
                  <c:v>2004/5</c:v>
                </c:pt>
                <c:pt idx="4">
                  <c:v>2005/6</c:v>
                </c:pt>
                <c:pt idx="5">
                  <c:v>2006/7</c:v>
                </c:pt>
                <c:pt idx="6">
                  <c:v>2007/8</c:v>
                </c:pt>
                <c:pt idx="7">
                  <c:v>2008/9</c:v>
                </c:pt>
                <c:pt idx="8">
                  <c:v>2009/10</c:v>
                </c:pt>
                <c:pt idx="9">
                  <c:v>2010/11</c:v>
                </c:pt>
                <c:pt idx="10">
                  <c:v>2011/12</c:v>
                </c:pt>
                <c:pt idx="11">
                  <c:v>2012/13</c:v>
                </c:pt>
                <c:pt idx="12">
                  <c:v>2013/14</c:v>
                </c:pt>
                <c:pt idx="13">
                  <c:v>2014/15</c:v>
                </c:pt>
                <c:pt idx="14">
                  <c:v>2015/16</c:v>
                </c:pt>
                <c:pt idx="15">
                  <c:v>2016/17</c:v>
                </c:pt>
                <c:pt idx="16">
                  <c:v>2017/18</c:v>
                </c:pt>
              </c:strCache>
            </c:strRef>
          </c:cat>
          <c:val>
            <c:numRef>
              <c:f>Sheet1!$F$2:$F$18</c:f>
              <c:numCache>
                <c:formatCode>#,##0</c:formatCode>
                <c:ptCount val="17"/>
                <c:pt idx="0">
                  <c:v>-22</c:v>
                </c:pt>
                <c:pt idx="1">
                  <c:v>-7</c:v>
                </c:pt>
                <c:pt idx="2">
                  <c:v>-30</c:v>
                </c:pt>
                <c:pt idx="3">
                  <c:v>-43</c:v>
                </c:pt>
                <c:pt idx="4">
                  <c:v>-49</c:v>
                </c:pt>
                <c:pt idx="5">
                  <c:v>-48</c:v>
                </c:pt>
                <c:pt idx="6">
                  <c:v>-60</c:v>
                </c:pt>
                <c:pt idx="7">
                  <c:v>-73</c:v>
                </c:pt>
                <c:pt idx="8">
                  <c:v>-81</c:v>
                </c:pt>
                <c:pt idx="9">
                  <c:v>-95</c:v>
                </c:pt>
                <c:pt idx="10">
                  <c:v>0</c:v>
                </c:pt>
                <c:pt idx="11">
                  <c:v>0</c:v>
                </c:pt>
                <c:pt idx="12">
                  <c:v>0</c:v>
                </c:pt>
                <c:pt idx="13">
                  <c:v>0</c:v>
                </c:pt>
                <c:pt idx="14">
                  <c:v>0</c:v>
                </c:pt>
                <c:pt idx="15">
                  <c:v>0</c:v>
                </c:pt>
                <c:pt idx="16">
                  <c:v>0</c:v>
                </c:pt>
              </c:numCache>
            </c:numRef>
          </c:val>
          <c:extLst xmlns:c16r2="http://schemas.microsoft.com/office/drawing/2015/06/chart">
            <c:ext xmlns:c16="http://schemas.microsoft.com/office/drawing/2014/chart" uri="{C3380CC4-5D6E-409C-BE32-E72D297353CC}">
              <c16:uniqueId val="{00000004-D187-417A-AFA2-C01BD649D5D8}"/>
            </c:ext>
          </c:extLst>
        </c:ser>
        <c:dLbls>
          <c:showLegendKey val="0"/>
          <c:showVal val="0"/>
          <c:showCatName val="0"/>
          <c:showSerName val="0"/>
          <c:showPercent val="0"/>
          <c:showBubbleSize val="0"/>
        </c:dLbls>
        <c:gapWidth val="50"/>
        <c:overlap val="100"/>
        <c:axId val="283893120"/>
        <c:axId val="283509888"/>
      </c:barChart>
      <c:lineChart>
        <c:grouping val="standard"/>
        <c:varyColors val="0"/>
        <c:ser>
          <c:idx val="5"/>
          <c:order val="5"/>
          <c:tx>
            <c:strRef>
              <c:f>Sheet1!$G$1</c:f>
              <c:strCache>
                <c:ptCount val="1"/>
                <c:pt idx="0">
                  <c:v>Total change</c:v>
                </c:pt>
              </c:strCache>
            </c:strRef>
          </c:tx>
          <c:spPr>
            <a:ln w="38100"/>
          </c:spPr>
          <c:marker>
            <c:symbol val="none"/>
          </c:marker>
          <c:cat>
            <c:strRef>
              <c:f>Sheet1!$A$2:$A$18</c:f>
              <c:strCache>
                <c:ptCount val="17"/>
                <c:pt idx="0">
                  <c:v>2001/2</c:v>
                </c:pt>
                <c:pt idx="1">
                  <c:v>2002/3</c:v>
                </c:pt>
                <c:pt idx="2">
                  <c:v>2003/4</c:v>
                </c:pt>
                <c:pt idx="3">
                  <c:v>2004/5</c:v>
                </c:pt>
                <c:pt idx="4">
                  <c:v>2005/6</c:v>
                </c:pt>
                <c:pt idx="5">
                  <c:v>2006/7</c:v>
                </c:pt>
                <c:pt idx="6">
                  <c:v>2007/8</c:v>
                </c:pt>
                <c:pt idx="7">
                  <c:v>2008/9</c:v>
                </c:pt>
                <c:pt idx="8">
                  <c:v>2009/10</c:v>
                </c:pt>
                <c:pt idx="9">
                  <c:v>2010/11</c:v>
                </c:pt>
                <c:pt idx="10">
                  <c:v>2011/12</c:v>
                </c:pt>
                <c:pt idx="11">
                  <c:v>2012/13</c:v>
                </c:pt>
                <c:pt idx="12">
                  <c:v>2013/14</c:v>
                </c:pt>
                <c:pt idx="13">
                  <c:v>2014/15</c:v>
                </c:pt>
                <c:pt idx="14">
                  <c:v>2015/16</c:v>
                </c:pt>
                <c:pt idx="15">
                  <c:v>2016/17</c:v>
                </c:pt>
                <c:pt idx="16">
                  <c:v>2017/18</c:v>
                </c:pt>
              </c:strCache>
            </c:strRef>
          </c:cat>
          <c:val>
            <c:numRef>
              <c:f>Sheet1!$G$2:$G$18</c:f>
              <c:numCache>
                <c:formatCode>#,##0</c:formatCode>
                <c:ptCount val="17"/>
                <c:pt idx="0">
                  <c:v>496</c:v>
                </c:pt>
                <c:pt idx="1">
                  <c:v>522</c:v>
                </c:pt>
                <c:pt idx="2">
                  <c:v>645</c:v>
                </c:pt>
                <c:pt idx="3">
                  <c:v>616</c:v>
                </c:pt>
                <c:pt idx="4">
                  <c:v>913</c:v>
                </c:pt>
                <c:pt idx="5">
                  <c:v>917</c:v>
                </c:pt>
                <c:pt idx="6">
                  <c:v>1193</c:v>
                </c:pt>
                <c:pt idx="7">
                  <c:v>678</c:v>
                </c:pt>
                <c:pt idx="8">
                  <c:v>937</c:v>
                </c:pt>
                <c:pt idx="9">
                  <c:v>584</c:v>
                </c:pt>
                <c:pt idx="10">
                  <c:v>904</c:v>
                </c:pt>
                <c:pt idx="11">
                  <c:v>901</c:v>
                </c:pt>
                <c:pt idx="12">
                  <c:v>461</c:v>
                </c:pt>
                <c:pt idx="13">
                  <c:v>1523</c:v>
                </c:pt>
                <c:pt idx="14">
                  <c:v>1341</c:v>
                </c:pt>
                <c:pt idx="15">
                  <c:v>1067</c:v>
                </c:pt>
                <c:pt idx="16">
                  <c:v>558</c:v>
                </c:pt>
              </c:numCache>
            </c:numRef>
          </c:val>
          <c:smooth val="0"/>
          <c:extLst xmlns:c16r2="http://schemas.microsoft.com/office/drawing/2015/06/chart">
            <c:ext xmlns:c16="http://schemas.microsoft.com/office/drawing/2014/chart" uri="{C3380CC4-5D6E-409C-BE32-E72D297353CC}">
              <c16:uniqueId val="{00000005-D187-417A-AFA2-C01BD649D5D8}"/>
            </c:ext>
          </c:extLst>
        </c:ser>
        <c:dLbls>
          <c:showLegendKey val="0"/>
          <c:showVal val="0"/>
          <c:showCatName val="0"/>
          <c:showSerName val="0"/>
          <c:showPercent val="0"/>
          <c:showBubbleSize val="0"/>
        </c:dLbls>
        <c:marker val="1"/>
        <c:smooth val="0"/>
        <c:axId val="283893120"/>
        <c:axId val="283509888"/>
      </c:lineChart>
      <c:catAx>
        <c:axId val="28389312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vert="horz"/>
          <a:lstStyle/>
          <a:p>
            <a:pPr>
              <a:defRPr/>
            </a:pPr>
            <a:endParaRPr lang="en-US"/>
          </a:p>
        </c:txPr>
        <c:crossAx val="283509888"/>
        <c:crosses val="autoZero"/>
        <c:auto val="1"/>
        <c:lblAlgn val="ctr"/>
        <c:lblOffset val="100"/>
        <c:noMultiLvlLbl val="0"/>
      </c:catAx>
      <c:valAx>
        <c:axId val="283509888"/>
        <c:scaling>
          <c:orientation val="minMax"/>
          <c:max val="2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en-US"/>
          </a:p>
        </c:txPr>
        <c:crossAx val="283893120"/>
        <c:crosses val="autoZero"/>
        <c:crossBetween val="between"/>
      </c:valAx>
      <c:spPr>
        <a:noFill/>
        <a:ln>
          <a:noFill/>
        </a:ln>
        <a:effectLst/>
      </c:spPr>
    </c:plotArea>
    <c:legend>
      <c:legendPos val="b"/>
      <c:layout>
        <c:manualLayout>
          <c:xMode val="edge"/>
          <c:yMode val="edge"/>
          <c:x val="6.0207085120052503E-3"/>
          <c:y val="0.83173543307086595"/>
          <c:w val="0.99397919554059599"/>
          <c:h val="0.16826456692913386"/>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1200">
          <a:solidFill>
            <a:sysClr val="windowText" lastClr="000000"/>
          </a:solidFill>
          <a:latin typeface="Arial Narrow" panose="020B0606020202030204" pitchFamily="34"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64374975516121"/>
          <c:y val="4.8511576626240352E-2"/>
          <c:w val="0.79506618660455775"/>
          <c:h val="0.74818810823950199"/>
        </c:manualLayout>
      </c:layout>
      <c:lineChart>
        <c:grouping val="standard"/>
        <c:varyColors val="0"/>
        <c:ser>
          <c:idx val="1"/>
          <c:order val="0"/>
          <c:tx>
            <c:strRef>
              <c:f>Summary!$A$3</c:f>
              <c:strCache>
                <c:ptCount val="1"/>
                <c:pt idx="0">
                  <c:v>GVA (£m)</c:v>
                </c:pt>
              </c:strCache>
            </c:strRef>
          </c:tx>
          <c:spPr>
            <a:ln w="28575" cap="rnd">
              <a:solidFill>
                <a:schemeClr val="accent2"/>
              </a:solidFill>
              <a:round/>
            </a:ln>
            <a:effectLst/>
          </c:spPr>
          <c:marker>
            <c:symbol val="none"/>
          </c:marker>
          <c:cat>
            <c:numRef>
              <c:f>Summary!$B$2:$AB$2</c:f>
              <c:numCache>
                <c:formatCode>0</c:formatCode>
                <c:ptCount val="27"/>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numCache>
            </c:numRef>
          </c:cat>
          <c:val>
            <c:numRef>
              <c:f>Summary!$B$3:$AB$3</c:f>
              <c:numCache>
                <c:formatCode>"£"#,##0</c:formatCode>
                <c:ptCount val="27"/>
                <c:pt idx="0">
                  <c:v>2175.5716894010811</c:v>
                </c:pt>
                <c:pt idx="1">
                  <c:v>2223.3143478656716</c:v>
                </c:pt>
                <c:pt idx="2">
                  <c:v>2279.7103780886505</c:v>
                </c:pt>
                <c:pt idx="3">
                  <c:v>2395.783622291362</c:v>
                </c:pt>
                <c:pt idx="4">
                  <c:v>2530.8101779584281</c:v>
                </c:pt>
                <c:pt idx="5">
                  <c:v>2610.8637691282265</c:v>
                </c:pt>
                <c:pt idx="6">
                  <c:v>2784.229863469016</c:v>
                </c:pt>
                <c:pt idx="7">
                  <c:v>2822.8964524241096</c:v>
                </c:pt>
                <c:pt idx="8">
                  <c:v>2780.7444459516041</c:v>
                </c:pt>
                <c:pt idx="9">
                  <c:v>2866.9795779120655</c:v>
                </c:pt>
                <c:pt idx="10">
                  <c:v>2934.2647937619995</c:v>
                </c:pt>
                <c:pt idx="11">
                  <c:v>2964.0536851398051</c:v>
                </c:pt>
                <c:pt idx="12">
                  <c:v>2976.8505535238805</c:v>
                </c:pt>
                <c:pt idx="13">
                  <c:v>3056.0149734205716</c:v>
                </c:pt>
                <c:pt idx="14">
                  <c:v>3140.033080108351</c:v>
                </c:pt>
                <c:pt idx="15">
                  <c:v>3220.6706161130651</c:v>
                </c:pt>
                <c:pt idx="16">
                  <c:v>3096.3513047349743</c:v>
                </c:pt>
                <c:pt idx="17">
                  <c:v>3079.8082859568549</c:v>
                </c:pt>
                <c:pt idx="18">
                  <c:v>3118.3677243450561</c:v>
                </c:pt>
                <c:pt idx="19">
                  <c:v>3147.9198763405102</c:v>
                </c:pt>
                <c:pt idx="20">
                  <c:v>3191.0390732072779</c:v>
                </c:pt>
                <c:pt idx="21">
                  <c:v>3116.7475321208681</c:v>
                </c:pt>
                <c:pt idx="22">
                  <c:v>3118.1192758223037</c:v>
                </c:pt>
                <c:pt idx="23">
                  <c:v>3114.4331055489151</c:v>
                </c:pt>
                <c:pt idx="24">
                  <c:v>3250.0893203882474</c:v>
                </c:pt>
                <c:pt idx="25">
                  <c:v>3181.7156886313287</c:v>
                </c:pt>
                <c:pt idx="26">
                  <c:v>3212.3328532625551</c:v>
                </c:pt>
              </c:numCache>
            </c:numRef>
          </c:val>
          <c:smooth val="1"/>
          <c:extLst xmlns:c16r2="http://schemas.microsoft.com/office/drawing/2015/06/chart">
            <c:ext xmlns:c16="http://schemas.microsoft.com/office/drawing/2014/chart" uri="{C3380CC4-5D6E-409C-BE32-E72D297353CC}">
              <c16:uniqueId val="{00000000-5C53-424B-A67C-D3ECE555D08E}"/>
            </c:ext>
          </c:extLst>
        </c:ser>
        <c:dLbls>
          <c:showLegendKey val="0"/>
          <c:showVal val="0"/>
          <c:showCatName val="0"/>
          <c:showSerName val="0"/>
          <c:showPercent val="0"/>
          <c:showBubbleSize val="0"/>
        </c:dLbls>
        <c:marker val="1"/>
        <c:smooth val="0"/>
        <c:axId val="283566080"/>
        <c:axId val="283567616"/>
      </c:lineChart>
      <c:lineChart>
        <c:grouping val="standard"/>
        <c:varyColors val="0"/>
        <c:ser>
          <c:idx val="0"/>
          <c:order val="1"/>
          <c:tx>
            <c:strRef>
              <c:f>Summary!$A$4</c:f>
              <c:strCache>
                <c:ptCount val="1"/>
                <c:pt idx="0">
                  <c:v>Total employment (000's)</c:v>
                </c:pt>
              </c:strCache>
            </c:strRef>
          </c:tx>
          <c:spPr>
            <a:ln w="28575" cap="rnd">
              <a:solidFill>
                <a:schemeClr val="accent1"/>
              </a:solidFill>
              <a:round/>
            </a:ln>
            <a:effectLst/>
          </c:spPr>
          <c:marker>
            <c:symbol val="none"/>
          </c:marker>
          <c:cat>
            <c:numRef>
              <c:f>Summary!$B$2:$AB$2</c:f>
              <c:numCache>
                <c:formatCode>0</c:formatCode>
                <c:ptCount val="27"/>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numCache>
            </c:numRef>
          </c:cat>
          <c:val>
            <c:numRef>
              <c:f>Summary!$B$4:$AB$4</c:f>
              <c:numCache>
                <c:formatCode>_-* #,##0.000_-;\-* #,##0.000_-;_-* "-"??_-;_-@_-</c:formatCode>
                <c:ptCount val="27"/>
                <c:pt idx="0">
                  <c:v>55.695346717526029</c:v>
                </c:pt>
                <c:pt idx="1">
                  <c:v>54.274451997120025</c:v>
                </c:pt>
                <c:pt idx="2">
                  <c:v>53.620837064150209</c:v>
                </c:pt>
                <c:pt idx="3">
                  <c:v>55.357176057586436</c:v>
                </c:pt>
                <c:pt idx="4">
                  <c:v>57.079341705287916</c:v>
                </c:pt>
                <c:pt idx="5">
                  <c:v>56.860371679072117</c:v>
                </c:pt>
                <c:pt idx="6">
                  <c:v>59.521704369246223</c:v>
                </c:pt>
                <c:pt idx="7">
                  <c:v>61.335504780065087</c:v>
                </c:pt>
                <c:pt idx="8">
                  <c:v>59.321967022404429</c:v>
                </c:pt>
                <c:pt idx="9">
                  <c:v>60.933471508716984</c:v>
                </c:pt>
                <c:pt idx="10">
                  <c:v>64.871713604915428</c:v>
                </c:pt>
                <c:pt idx="11">
                  <c:v>67.900926418670053</c:v>
                </c:pt>
                <c:pt idx="12">
                  <c:v>59.146220980239868</c:v>
                </c:pt>
                <c:pt idx="13">
                  <c:v>60.042846520784117</c:v>
                </c:pt>
                <c:pt idx="14">
                  <c:v>61.79106080063714</c:v>
                </c:pt>
                <c:pt idx="15">
                  <c:v>62.331568915918858</c:v>
                </c:pt>
                <c:pt idx="16">
                  <c:v>62.762818809961587</c:v>
                </c:pt>
                <c:pt idx="17">
                  <c:v>60.931487339336279</c:v>
                </c:pt>
                <c:pt idx="18">
                  <c:v>66.633556010236589</c:v>
                </c:pt>
                <c:pt idx="19">
                  <c:v>70.667722290387601</c:v>
                </c:pt>
                <c:pt idx="20">
                  <c:v>69.774545222338645</c:v>
                </c:pt>
                <c:pt idx="21">
                  <c:v>69.860282784241207</c:v>
                </c:pt>
                <c:pt idx="22">
                  <c:v>72.69036678074518</c:v>
                </c:pt>
                <c:pt idx="23">
                  <c:v>72.37164784426642</c:v>
                </c:pt>
                <c:pt idx="24">
                  <c:v>72.786937757077609</c:v>
                </c:pt>
                <c:pt idx="25">
                  <c:v>73.793852007733705</c:v>
                </c:pt>
                <c:pt idx="26">
                  <c:v>72.746078737268405</c:v>
                </c:pt>
              </c:numCache>
            </c:numRef>
          </c:val>
          <c:smooth val="0"/>
          <c:extLst xmlns:c16r2="http://schemas.microsoft.com/office/drawing/2015/06/chart">
            <c:ext xmlns:c16="http://schemas.microsoft.com/office/drawing/2014/chart" uri="{C3380CC4-5D6E-409C-BE32-E72D297353CC}">
              <c16:uniqueId val="{00000001-5C53-424B-A67C-D3ECE555D08E}"/>
            </c:ext>
          </c:extLst>
        </c:ser>
        <c:dLbls>
          <c:showLegendKey val="0"/>
          <c:showVal val="0"/>
          <c:showCatName val="0"/>
          <c:showSerName val="0"/>
          <c:showPercent val="0"/>
          <c:showBubbleSize val="0"/>
        </c:dLbls>
        <c:marker val="1"/>
        <c:smooth val="0"/>
        <c:axId val="283383296"/>
        <c:axId val="283569536"/>
      </c:lineChart>
      <c:catAx>
        <c:axId val="283566080"/>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83567616"/>
        <c:crosses val="autoZero"/>
        <c:auto val="1"/>
        <c:lblAlgn val="ctr"/>
        <c:lblOffset val="100"/>
        <c:noMultiLvlLbl val="0"/>
      </c:catAx>
      <c:valAx>
        <c:axId val="283567616"/>
        <c:scaling>
          <c:orientation val="minMax"/>
          <c:min val="2000"/>
        </c:scaling>
        <c:delete val="0"/>
        <c:axPos val="l"/>
        <c:majorGridlines>
          <c:spPr>
            <a:ln>
              <a:solidFill>
                <a:schemeClr val="accent1">
                  <a:alpha val="50000"/>
                </a:schemeClr>
              </a:solidFill>
            </a:ln>
          </c:spPr>
        </c:majorGridlines>
        <c:title>
          <c:tx>
            <c:rich>
              <a:bodyPr rot="-5400000" vert="horz"/>
              <a:lstStyle/>
              <a:p>
                <a:pPr>
                  <a:defRPr/>
                </a:pPr>
                <a:r>
                  <a:rPr lang="en-GB"/>
                  <a:t>GVA (£m)</a:t>
                </a:r>
              </a:p>
            </c:rich>
          </c:tx>
          <c:layout>
            <c:manualLayout>
              <c:xMode val="edge"/>
              <c:yMode val="edge"/>
              <c:x val="0"/>
              <c:y val="0.31135959162767279"/>
            </c:manualLayout>
          </c:layout>
          <c:overlay val="0"/>
        </c:title>
        <c:numFmt formatCode="&quot;£&quot;#,##0" sourceLinked="1"/>
        <c:majorTickMark val="none"/>
        <c:minorTickMark val="none"/>
        <c:tickLblPos val="nextTo"/>
        <c:spPr>
          <a:noFill/>
          <a:ln>
            <a:noFill/>
          </a:ln>
          <a:effectLst/>
        </c:spPr>
        <c:txPr>
          <a:bodyPr rot="-60000000" vert="horz"/>
          <a:lstStyle/>
          <a:p>
            <a:pPr>
              <a:defRPr/>
            </a:pPr>
            <a:endParaRPr lang="en-US"/>
          </a:p>
        </c:txPr>
        <c:crossAx val="283566080"/>
        <c:crosses val="autoZero"/>
        <c:crossBetween val="between"/>
      </c:valAx>
      <c:valAx>
        <c:axId val="283569536"/>
        <c:scaling>
          <c:orientation val="minMax"/>
          <c:min val="50"/>
        </c:scaling>
        <c:delete val="0"/>
        <c:axPos val="r"/>
        <c:title>
          <c:tx>
            <c:rich>
              <a:bodyPr rot="-5400000" vert="horz"/>
              <a:lstStyle/>
              <a:p>
                <a:pPr>
                  <a:defRPr/>
                </a:pPr>
                <a:r>
                  <a:rPr lang="en-GB"/>
                  <a:t>Employment (000's)</a:t>
                </a:r>
              </a:p>
            </c:rich>
          </c:tx>
          <c:layout>
            <c:manualLayout>
              <c:xMode val="edge"/>
              <c:yMode val="edge"/>
              <c:x val="0.96726585397992149"/>
              <c:y val="0.23592426360155919"/>
            </c:manualLayout>
          </c:layout>
          <c:overlay val="0"/>
        </c:title>
        <c:numFmt formatCode="#,##0" sourceLinked="0"/>
        <c:majorTickMark val="out"/>
        <c:minorTickMark val="none"/>
        <c:tickLblPos val="nextTo"/>
        <c:spPr>
          <a:noFill/>
          <a:ln>
            <a:noFill/>
          </a:ln>
          <a:effectLst/>
        </c:spPr>
        <c:txPr>
          <a:bodyPr rot="-60000000" vert="horz"/>
          <a:lstStyle/>
          <a:p>
            <a:pPr>
              <a:defRPr/>
            </a:pPr>
            <a:endParaRPr lang="en-US"/>
          </a:p>
        </c:txPr>
        <c:crossAx val="283383296"/>
        <c:crosses val="max"/>
        <c:crossBetween val="between"/>
      </c:valAx>
      <c:catAx>
        <c:axId val="283383296"/>
        <c:scaling>
          <c:orientation val="minMax"/>
        </c:scaling>
        <c:delete val="1"/>
        <c:axPos val="b"/>
        <c:numFmt formatCode="0" sourceLinked="1"/>
        <c:majorTickMark val="out"/>
        <c:minorTickMark val="none"/>
        <c:tickLblPos val="nextTo"/>
        <c:crossAx val="283569536"/>
        <c:crosses val="autoZero"/>
        <c:auto val="1"/>
        <c:lblAlgn val="ctr"/>
        <c:lblOffset val="100"/>
        <c:noMultiLvlLbl val="0"/>
      </c:catAx>
      <c:spPr>
        <a:noFill/>
        <a:ln>
          <a:noFill/>
        </a:ln>
        <a:effectLst/>
      </c:spPr>
    </c:plotArea>
    <c:legend>
      <c:legendPos val="b"/>
      <c:layout>
        <c:manualLayout>
          <c:xMode val="edge"/>
          <c:yMode val="edge"/>
          <c:x val="0.26023070047044661"/>
          <c:y val="0.9329140803375322"/>
          <c:w val="0.47953859905910673"/>
          <c:h val="6.7085919662467769E-2"/>
        </c:manualLayout>
      </c:layout>
      <c:overlay val="0"/>
      <c:spPr>
        <a:no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1200" b="0">
          <a:latin typeface="Arial Narrow" panose="020B0606020202030204" pitchFamily="34"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149068544179613E-2"/>
          <c:y val="4.8511576626240352E-2"/>
          <c:w val="0.88897530956527293"/>
          <c:h val="0.72860776636658009"/>
        </c:manualLayout>
      </c:layout>
      <c:lineChart>
        <c:grouping val="standard"/>
        <c:varyColors val="0"/>
        <c:ser>
          <c:idx val="0"/>
          <c:order val="0"/>
          <c:tx>
            <c:strRef>
              <c:f>Summary!$A$44</c:f>
              <c:strCache>
                <c:ptCount val="1"/>
                <c:pt idx="0">
                  <c:v>Chichester District</c:v>
                </c:pt>
              </c:strCache>
            </c:strRef>
          </c:tx>
          <c:spPr>
            <a:ln w="28575" cap="rnd">
              <a:solidFill>
                <a:schemeClr val="accent2"/>
              </a:solidFill>
              <a:round/>
            </a:ln>
            <a:effectLst/>
          </c:spPr>
          <c:marker>
            <c:symbol val="none"/>
          </c:marker>
          <c:cat>
            <c:numRef>
              <c:f>Summary!$B$7:$AC$7</c:f>
              <c:numCache>
                <c:formatCode>0</c:formatCode>
                <c:ptCount val="28"/>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numCache>
            </c:numRef>
          </c:cat>
          <c:val>
            <c:numRef>
              <c:f>Summary!$B$44:$AC$44</c:f>
              <c:numCache>
                <c:formatCode>0.0</c:formatCode>
                <c:ptCount val="28"/>
                <c:pt idx="0">
                  <c:v>1</c:v>
                </c:pt>
                <c:pt idx="1">
                  <c:v>1.0219448794526893</c:v>
                </c:pt>
                <c:pt idx="2">
                  <c:v>1.0478672751603226</c:v>
                </c:pt>
                <c:pt idx="3">
                  <c:v>1.1012202603863188</c:v>
                </c:pt>
                <c:pt idx="4">
                  <c:v>1.1632851219235811</c:v>
                </c:pt>
                <c:pt idx="5">
                  <c:v>1.2000816989151841</c:v>
                </c:pt>
                <c:pt idx="6">
                  <c:v>1.279769302493311</c:v>
                </c:pt>
                <c:pt idx="7">
                  <c:v>1.297542372966451</c:v>
                </c:pt>
                <c:pt idx="8">
                  <c:v>1.2781672327778464</c:v>
                </c:pt>
                <c:pt idx="9">
                  <c:v>1.3178051506550557</c:v>
                </c:pt>
                <c:pt idx="10">
                  <c:v>1.3487327528930022</c:v>
                </c:pt>
                <c:pt idx="11">
                  <c:v>1.3624251959059952</c:v>
                </c:pt>
                <c:pt idx="12">
                  <c:v>1.368307267476617</c:v>
                </c:pt>
                <c:pt idx="13">
                  <c:v>1.404695137516645</c:v>
                </c:pt>
                <c:pt idx="14">
                  <c:v>1.4433140012833956</c:v>
                </c:pt>
                <c:pt idx="15">
                  <c:v>1.4803789881084968</c:v>
                </c:pt>
                <c:pt idx="16">
                  <c:v>1.4232357038932497</c:v>
                </c:pt>
                <c:pt idx="17">
                  <c:v>1.4156317169234278</c:v>
                </c:pt>
                <c:pt idx="18">
                  <c:v>1.4333555357137047</c:v>
                </c:pt>
                <c:pt idx="19">
                  <c:v>1.4469391616357672</c:v>
                </c:pt>
                <c:pt idx="20">
                  <c:v>1.4667588702102239</c:v>
                </c:pt>
                <c:pt idx="21">
                  <c:v>1.4326108154950692</c:v>
                </c:pt>
                <c:pt idx="22">
                  <c:v>1.4332413365246075</c:v>
                </c:pt>
                <c:pt idx="23">
                  <c:v>1.4315469909457663</c:v>
                </c:pt>
                <c:pt idx="24">
                  <c:v>1.4939012748796032</c:v>
                </c:pt>
                <c:pt idx="25">
                  <c:v>1.46247338303397</c:v>
                </c:pt>
                <c:pt idx="26">
                  <c:v>1.4765465412665333</c:v>
                </c:pt>
                <c:pt idx="27">
                  <c:v>1.4995187713805296</c:v>
                </c:pt>
              </c:numCache>
            </c:numRef>
          </c:val>
          <c:smooth val="1"/>
          <c:extLst xmlns:c16r2="http://schemas.microsoft.com/office/drawing/2015/06/chart">
            <c:ext xmlns:c16="http://schemas.microsoft.com/office/drawing/2014/chart" uri="{C3380CC4-5D6E-409C-BE32-E72D297353CC}">
              <c16:uniqueId val="{00000000-2737-4B43-BC71-E07C0C0DA306}"/>
            </c:ext>
          </c:extLst>
        </c:ser>
        <c:ser>
          <c:idx val="5"/>
          <c:order val="1"/>
          <c:tx>
            <c:strRef>
              <c:f>Summary!$A$45</c:f>
              <c:strCache>
                <c:ptCount val="1"/>
                <c:pt idx="0">
                  <c:v>South East</c:v>
                </c:pt>
              </c:strCache>
            </c:strRef>
          </c:tx>
          <c:spPr>
            <a:ln w="28575" cap="rnd">
              <a:solidFill>
                <a:schemeClr val="accent6"/>
              </a:solidFill>
              <a:round/>
            </a:ln>
            <a:effectLst/>
          </c:spPr>
          <c:marker>
            <c:symbol val="none"/>
          </c:marker>
          <c:cat>
            <c:numRef>
              <c:f>Summary!$B$7:$AC$7</c:f>
              <c:numCache>
                <c:formatCode>0</c:formatCode>
                <c:ptCount val="28"/>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numCache>
            </c:numRef>
          </c:cat>
          <c:val>
            <c:numRef>
              <c:f>Summary!$B$45:$AC$45</c:f>
              <c:numCache>
                <c:formatCode>0.0</c:formatCode>
                <c:ptCount val="28"/>
                <c:pt idx="0">
                  <c:v>1</c:v>
                </c:pt>
                <c:pt idx="1">
                  <c:v>1.0175158194613105</c:v>
                </c:pt>
                <c:pt idx="2">
                  <c:v>1.0516509410997186</c:v>
                </c:pt>
                <c:pt idx="3">
                  <c:v>1.0983352181757229</c:v>
                </c:pt>
                <c:pt idx="4">
                  <c:v>1.1367414900409378</c:v>
                </c:pt>
                <c:pt idx="5">
                  <c:v>1.1818483418255568</c:v>
                </c:pt>
                <c:pt idx="6">
                  <c:v>1.2406129980400422</c:v>
                </c:pt>
                <c:pt idx="7">
                  <c:v>1.2844540147142898</c:v>
                </c:pt>
                <c:pt idx="8">
                  <c:v>1.3384446642268042</c:v>
                </c:pt>
                <c:pt idx="9">
                  <c:v>1.3845704437238922</c:v>
                </c:pt>
                <c:pt idx="10">
                  <c:v>1.4149282299312971</c:v>
                </c:pt>
                <c:pt idx="11">
                  <c:v>1.453875611530506</c:v>
                </c:pt>
                <c:pt idx="12">
                  <c:v>1.4891722412097488</c:v>
                </c:pt>
                <c:pt idx="13">
                  <c:v>1.4980261318443773</c:v>
                </c:pt>
                <c:pt idx="14">
                  <c:v>1.5457008205671776</c:v>
                </c:pt>
                <c:pt idx="15">
                  <c:v>1.5847664395118606</c:v>
                </c:pt>
                <c:pt idx="16">
                  <c:v>1.614513564605581</c:v>
                </c:pt>
                <c:pt idx="17">
                  <c:v>1.635751773907939</c:v>
                </c:pt>
                <c:pt idx="18">
                  <c:v>1.5731743110588083</c:v>
                </c:pt>
                <c:pt idx="19">
                  <c:v>1.6218491486215612</c:v>
                </c:pt>
                <c:pt idx="20">
                  <c:v>1.63506112870761</c:v>
                </c:pt>
                <c:pt idx="21">
                  <c:v>1.6555370548885577</c:v>
                </c:pt>
                <c:pt idx="22">
                  <c:v>1.6881455237427545</c:v>
                </c:pt>
                <c:pt idx="23">
                  <c:v>1.7274587455991364</c:v>
                </c:pt>
                <c:pt idx="24">
                  <c:v>1.7954535654123769</c:v>
                </c:pt>
                <c:pt idx="25">
                  <c:v>1.8045828795105807</c:v>
                </c:pt>
                <c:pt idx="26">
                  <c:v>1.8320716713057437</c:v>
                </c:pt>
                <c:pt idx="27">
                  <c:v>1.8435393027891493</c:v>
                </c:pt>
              </c:numCache>
            </c:numRef>
          </c:val>
          <c:smooth val="1"/>
          <c:extLst xmlns:c16r2="http://schemas.microsoft.com/office/drawing/2015/06/chart">
            <c:ext xmlns:c16="http://schemas.microsoft.com/office/drawing/2014/chart" uri="{C3380CC4-5D6E-409C-BE32-E72D297353CC}">
              <c16:uniqueId val="{00000001-2737-4B43-BC71-E07C0C0DA306}"/>
            </c:ext>
          </c:extLst>
        </c:ser>
        <c:dLbls>
          <c:showLegendKey val="0"/>
          <c:showVal val="0"/>
          <c:showCatName val="0"/>
          <c:showSerName val="0"/>
          <c:showPercent val="0"/>
          <c:showBubbleSize val="0"/>
        </c:dLbls>
        <c:marker val="1"/>
        <c:smooth val="0"/>
        <c:axId val="283401600"/>
        <c:axId val="283407488"/>
      </c:lineChart>
      <c:catAx>
        <c:axId val="283401600"/>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83407488"/>
        <c:crosses val="autoZero"/>
        <c:auto val="1"/>
        <c:lblAlgn val="ctr"/>
        <c:lblOffset val="100"/>
        <c:noMultiLvlLbl val="0"/>
      </c:catAx>
      <c:valAx>
        <c:axId val="283407488"/>
        <c:scaling>
          <c:orientation val="minMax"/>
          <c:max val="1.9"/>
          <c:min val="0.9"/>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GB"/>
                  <a:t>Indexed Growth (1991=1)</a:t>
                </a:r>
              </a:p>
            </c:rich>
          </c:tx>
          <c:layout>
            <c:manualLayout>
              <c:xMode val="edge"/>
              <c:yMode val="edge"/>
              <c:x val="0"/>
              <c:y val="0.19402824922518644"/>
            </c:manualLayout>
          </c:layout>
          <c:overlay val="0"/>
          <c:spPr>
            <a:noFill/>
            <a:ln>
              <a:noFill/>
            </a:ln>
            <a:effectLst/>
          </c:spPr>
        </c:title>
        <c:numFmt formatCode="0.0" sourceLinked="1"/>
        <c:majorTickMark val="none"/>
        <c:minorTickMark val="none"/>
        <c:tickLblPos val="nextTo"/>
        <c:spPr>
          <a:noFill/>
          <a:ln>
            <a:noFill/>
          </a:ln>
          <a:effectLst/>
        </c:spPr>
        <c:txPr>
          <a:bodyPr rot="-60000000" vert="horz"/>
          <a:lstStyle/>
          <a:p>
            <a:pPr>
              <a:defRPr/>
            </a:pPr>
            <a:endParaRPr lang="en-US"/>
          </a:p>
        </c:txPr>
        <c:crossAx val="283401600"/>
        <c:crosses val="autoZero"/>
        <c:crossBetween val="between"/>
        <c:majorUnit val="0.1"/>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1200">
          <a:solidFill>
            <a:sysClr val="windowText" lastClr="000000"/>
          </a:solidFill>
          <a:latin typeface="Arial Narrow" panose="020B0606020202030204" pitchFamily="34"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1013890117668E-2"/>
          <c:y val="4.8511576626240352E-2"/>
          <c:w val="0.88517950986463767"/>
          <c:h val="0.72860776636658009"/>
        </c:manualLayout>
      </c:layout>
      <c:lineChart>
        <c:grouping val="standard"/>
        <c:varyColors val="0"/>
        <c:ser>
          <c:idx val="0"/>
          <c:order val="0"/>
          <c:tx>
            <c:strRef>
              <c:f>Summary!$A$50</c:f>
              <c:strCache>
                <c:ptCount val="1"/>
                <c:pt idx="0">
                  <c:v>Chichester District</c:v>
                </c:pt>
              </c:strCache>
            </c:strRef>
          </c:tx>
          <c:spPr>
            <a:ln w="28575" cap="rnd">
              <a:solidFill>
                <a:schemeClr val="accent2"/>
              </a:solidFill>
              <a:round/>
            </a:ln>
            <a:effectLst/>
          </c:spPr>
          <c:marker>
            <c:symbol val="none"/>
          </c:marker>
          <c:cat>
            <c:numRef>
              <c:f>Summary!$B$7:$AC$7</c:f>
              <c:numCache>
                <c:formatCode>0</c:formatCode>
                <c:ptCount val="28"/>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numCache>
            </c:numRef>
          </c:cat>
          <c:val>
            <c:numRef>
              <c:f>Summary!$B$50:$AC$50</c:f>
              <c:numCache>
                <c:formatCode>0.0</c:formatCode>
                <c:ptCount val="28"/>
                <c:pt idx="0">
                  <c:v>1</c:v>
                </c:pt>
                <c:pt idx="1">
                  <c:v>0.974488089146613</c:v>
                </c:pt>
                <c:pt idx="2">
                  <c:v>0.96275254979743186</c:v>
                </c:pt>
                <c:pt idx="3">
                  <c:v>0.99392820621703437</c:v>
                </c:pt>
                <c:pt idx="4">
                  <c:v>1.024849382746124</c:v>
                </c:pt>
                <c:pt idx="5">
                  <c:v>1.0209178150457492</c:v>
                </c:pt>
                <c:pt idx="6">
                  <c:v>1.0687015680345182</c:v>
                </c:pt>
                <c:pt idx="7">
                  <c:v>1.1012680303642715</c:v>
                </c:pt>
                <c:pt idx="8">
                  <c:v>1.0651153196562684</c:v>
                </c:pt>
                <c:pt idx="9">
                  <c:v>1.094049594802911</c:v>
                </c:pt>
                <c:pt idx="10">
                  <c:v>1.1647600280491981</c:v>
                </c:pt>
                <c:pt idx="11">
                  <c:v>1.2191490029328287</c:v>
                </c:pt>
                <c:pt idx="12">
                  <c:v>1.0619598308673053</c:v>
                </c:pt>
                <c:pt idx="13">
                  <c:v>1.0780585822601592</c:v>
                </c:pt>
                <c:pt idx="14">
                  <c:v>1.1094474573257829</c:v>
                </c:pt>
                <c:pt idx="15">
                  <c:v>1.1191521839705967</c:v>
                </c:pt>
                <c:pt idx="16">
                  <c:v>1.1268951987727116</c:v>
                </c:pt>
                <c:pt idx="17">
                  <c:v>1.0940139693961644</c:v>
                </c:pt>
                <c:pt idx="18">
                  <c:v>1.1963935936728545</c:v>
                </c:pt>
                <c:pt idx="19">
                  <c:v>1.26882632850457</c:v>
                </c:pt>
                <c:pt idx="20">
                  <c:v>1.2527894938192785</c:v>
                </c:pt>
                <c:pt idx="21">
                  <c:v>1.2543288964257009</c:v>
                </c:pt>
                <c:pt idx="22">
                  <c:v>1.305142548971173</c:v>
                </c:pt>
                <c:pt idx="23">
                  <c:v>1.2994200074077777</c:v>
                </c:pt>
                <c:pt idx="24">
                  <c:v>1.3068764635982284</c:v>
                </c:pt>
                <c:pt idx="25">
                  <c:v>1.3249554290773899</c:v>
                </c:pt>
                <c:pt idx="26">
                  <c:v>1.3061428471972669</c:v>
                </c:pt>
                <c:pt idx="27">
                  <c:v>1.2816061184597127</c:v>
                </c:pt>
              </c:numCache>
            </c:numRef>
          </c:val>
          <c:smooth val="1"/>
          <c:extLst xmlns:c16r2="http://schemas.microsoft.com/office/drawing/2015/06/chart">
            <c:ext xmlns:c16="http://schemas.microsoft.com/office/drawing/2014/chart" uri="{C3380CC4-5D6E-409C-BE32-E72D297353CC}">
              <c16:uniqueId val="{00000000-6B77-4D76-A023-5D76688D8DBB}"/>
            </c:ext>
          </c:extLst>
        </c:ser>
        <c:ser>
          <c:idx val="5"/>
          <c:order val="1"/>
          <c:tx>
            <c:strRef>
              <c:f>Summary!$A$51</c:f>
              <c:strCache>
                <c:ptCount val="1"/>
                <c:pt idx="0">
                  <c:v>South East</c:v>
                </c:pt>
              </c:strCache>
            </c:strRef>
          </c:tx>
          <c:spPr>
            <a:ln w="28575" cap="rnd">
              <a:solidFill>
                <a:schemeClr val="accent6"/>
              </a:solidFill>
              <a:round/>
            </a:ln>
            <a:effectLst/>
          </c:spPr>
          <c:marker>
            <c:symbol val="none"/>
          </c:marker>
          <c:cat>
            <c:numRef>
              <c:f>Summary!$B$7:$AC$7</c:f>
              <c:numCache>
                <c:formatCode>0</c:formatCode>
                <c:ptCount val="28"/>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numCache>
            </c:numRef>
          </c:cat>
          <c:val>
            <c:numRef>
              <c:f>Summary!$B$51:$AC$51</c:f>
              <c:numCache>
                <c:formatCode>0.0</c:formatCode>
                <c:ptCount val="28"/>
                <c:pt idx="0">
                  <c:v>1</c:v>
                </c:pt>
                <c:pt idx="1">
                  <c:v>0.97907507754706424</c:v>
                </c:pt>
                <c:pt idx="2">
                  <c:v>0.97453621452868211</c:v>
                </c:pt>
                <c:pt idx="3">
                  <c:v>0.984386934253205</c:v>
                </c:pt>
                <c:pt idx="4">
                  <c:v>0.99715182443368411</c:v>
                </c:pt>
                <c:pt idx="5">
                  <c:v>1.0066784570597977</c:v>
                </c:pt>
                <c:pt idx="6">
                  <c:v>1.0290632516082696</c:v>
                </c:pt>
                <c:pt idx="7">
                  <c:v>1.0393199086809117</c:v>
                </c:pt>
                <c:pt idx="8">
                  <c:v>1.0690482767851492</c:v>
                </c:pt>
                <c:pt idx="9">
                  <c:v>1.0843088454334793</c:v>
                </c:pt>
                <c:pt idx="10">
                  <c:v>1.0985293075833205</c:v>
                </c:pt>
                <c:pt idx="11">
                  <c:v>1.1190055738217684</c:v>
                </c:pt>
                <c:pt idx="12">
                  <c:v>1.1154451481496266</c:v>
                </c:pt>
                <c:pt idx="13">
                  <c:v>1.1214869087925967</c:v>
                </c:pt>
                <c:pt idx="14">
                  <c:v>1.1328042801942269</c:v>
                </c:pt>
                <c:pt idx="15">
                  <c:v>1.1380899273975953</c:v>
                </c:pt>
                <c:pt idx="16">
                  <c:v>1.1549400236558731</c:v>
                </c:pt>
                <c:pt idx="17">
                  <c:v>1.1577773691656783</c:v>
                </c:pt>
                <c:pt idx="18">
                  <c:v>1.1369979996351096</c:v>
                </c:pt>
                <c:pt idx="19">
                  <c:v>1.1532247732361958</c:v>
                </c:pt>
                <c:pt idx="20">
                  <c:v>1.1498383219352888</c:v>
                </c:pt>
                <c:pt idx="21">
                  <c:v>1.1685340293536242</c:v>
                </c:pt>
                <c:pt idx="22">
                  <c:v>1.1788986308378118</c:v>
                </c:pt>
                <c:pt idx="23">
                  <c:v>1.2063978300644933</c:v>
                </c:pt>
                <c:pt idx="24">
                  <c:v>1.2418138002145069</c:v>
                </c:pt>
                <c:pt idx="25">
                  <c:v>1.2686813326438393</c:v>
                </c:pt>
                <c:pt idx="26">
                  <c:v>1.2508742824581991</c:v>
                </c:pt>
                <c:pt idx="27">
                  <c:v>1.2360187838396302</c:v>
                </c:pt>
              </c:numCache>
            </c:numRef>
          </c:val>
          <c:smooth val="1"/>
          <c:extLst xmlns:c16r2="http://schemas.microsoft.com/office/drawing/2015/06/chart">
            <c:ext xmlns:c16="http://schemas.microsoft.com/office/drawing/2014/chart" uri="{C3380CC4-5D6E-409C-BE32-E72D297353CC}">
              <c16:uniqueId val="{00000001-6B77-4D76-A023-5D76688D8DBB}"/>
            </c:ext>
          </c:extLst>
        </c:ser>
        <c:dLbls>
          <c:showLegendKey val="0"/>
          <c:showVal val="0"/>
          <c:showCatName val="0"/>
          <c:showSerName val="0"/>
          <c:showPercent val="0"/>
          <c:showBubbleSize val="0"/>
        </c:dLbls>
        <c:marker val="1"/>
        <c:smooth val="0"/>
        <c:axId val="283639808"/>
        <c:axId val="283641344"/>
      </c:lineChart>
      <c:catAx>
        <c:axId val="283639808"/>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83641344"/>
        <c:crosses val="autoZero"/>
        <c:auto val="1"/>
        <c:lblAlgn val="ctr"/>
        <c:lblOffset val="100"/>
        <c:noMultiLvlLbl val="0"/>
      </c:catAx>
      <c:valAx>
        <c:axId val="283641344"/>
        <c:scaling>
          <c:orientation val="minMax"/>
          <c:min val="0.9"/>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GB"/>
                  <a:t>Indexed Growth (1991=1)</a:t>
                </a:r>
              </a:p>
            </c:rich>
          </c:tx>
          <c:layout>
            <c:manualLayout>
              <c:xMode val="edge"/>
              <c:yMode val="edge"/>
              <c:x val="0"/>
              <c:y val="0.18961810589552822"/>
            </c:manualLayout>
          </c:layout>
          <c:overlay val="0"/>
          <c:spPr>
            <a:noFill/>
            <a:ln>
              <a:noFill/>
            </a:ln>
            <a:effectLst/>
          </c:spPr>
        </c:title>
        <c:numFmt formatCode="0.0" sourceLinked="1"/>
        <c:majorTickMark val="none"/>
        <c:minorTickMark val="none"/>
        <c:tickLblPos val="nextTo"/>
        <c:spPr>
          <a:noFill/>
          <a:ln>
            <a:noFill/>
          </a:ln>
          <a:effectLst/>
        </c:spPr>
        <c:txPr>
          <a:bodyPr rot="-60000000" vert="horz"/>
          <a:lstStyle/>
          <a:p>
            <a:pPr>
              <a:defRPr/>
            </a:pPr>
            <a:endParaRPr lang="en-US"/>
          </a:p>
        </c:txPr>
        <c:crossAx val="283639808"/>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1200">
          <a:solidFill>
            <a:sysClr val="windowText" lastClr="000000"/>
          </a:solidFill>
          <a:latin typeface="Arial Narrow" panose="020B0606020202030204" pitchFamily="34"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836199315717268"/>
          <c:y val="3.233867411436131E-2"/>
          <c:w val="0.46214230399950901"/>
          <c:h val="0.87154185103607607"/>
        </c:manualLayout>
      </c:layout>
      <c:barChart>
        <c:barDir val="bar"/>
        <c:grouping val="clustered"/>
        <c:varyColors val="0"/>
        <c:ser>
          <c:idx val="1"/>
          <c:order val="0"/>
          <c:tx>
            <c:strRef>
              <c:f>GVA!$B$137</c:f>
              <c:strCache>
                <c:ptCount val="1"/>
                <c:pt idx="0">
                  <c:v>1991</c:v>
                </c:pt>
              </c:strCache>
            </c:strRef>
          </c:tx>
          <c:spPr>
            <a:solidFill>
              <a:schemeClr val="accent2"/>
            </a:solidFill>
            <a:ln>
              <a:noFill/>
            </a:ln>
            <a:effectLst/>
          </c:spPr>
          <c:invertIfNegative val="0"/>
          <c:cat>
            <c:strRef>
              <c:f>GVA!$A$138:$A$157</c:f>
              <c:strCache>
                <c:ptCount val="19"/>
                <c:pt idx="0">
                  <c:v>Agriculture, forestry and fishing</c:v>
                </c:pt>
                <c:pt idx="1">
                  <c:v>Mining and quarrying</c:v>
                </c:pt>
                <c:pt idx="2">
                  <c:v>Manufacturing</c:v>
                </c:pt>
                <c:pt idx="3">
                  <c:v>Electricity, gas, steam and air conditioning supply</c:v>
                </c:pt>
                <c:pt idx="4">
                  <c:v>Water supply; sewerage, waste management and remediation activities</c:v>
                </c:pt>
                <c:pt idx="5">
                  <c:v>Construction</c:v>
                </c:pt>
                <c:pt idx="6">
                  <c:v>Wholesale and retail trade; repair of motor vehicles and motorcycles</c:v>
                </c:pt>
                <c:pt idx="7">
                  <c:v>Transportation and storage</c:v>
                </c:pt>
                <c:pt idx="8">
                  <c:v>Accommodation and food service activities</c:v>
                </c:pt>
                <c:pt idx="9">
                  <c:v>Information and communication</c:v>
                </c:pt>
                <c:pt idx="10">
                  <c:v>Financial and insurance activities</c:v>
                </c:pt>
                <c:pt idx="11">
                  <c:v>Real estate activities</c:v>
                </c:pt>
                <c:pt idx="12">
                  <c:v>Professional, scientific and technical activities</c:v>
                </c:pt>
                <c:pt idx="13">
                  <c:v>Administrative and support service activities</c:v>
                </c:pt>
                <c:pt idx="14">
                  <c:v>Public administration and defence; compulsory social security</c:v>
                </c:pt>
                <c:pt idx="15">
                  <c:v>Education</c:v>
                </c:pt>
                <c:pt idx="16">
                  <c:v>Human health and social work activities</c:v>
                </c:pt>
                <c:pt idx="17">
                  <c:v>Arts, entertainment and recreation</c:v>
                </c:pt>
                <c:pt idx="18">
                  <c:v>Other service activities</c:v>
                </c:pt>
              </c:strCache>
            </c:strRef>
          </c:cat>
          <c:val>
            <c:numRef>
              <c:f>GVA!$B$138:$B$157</c:f>
              <c:numCache>
                <c:formatCode>0.0</c:formatCode>
                <c:ptCount val="19"/>
                <c:pt idx="0">
                  <c:v>43.128943314806371</c:v>
                </c:pt>
                <c:pt idx="1">
                  <c:v>4.6525219767768489</c:v>
                </c:pt>
                <c:pt idx="2">
                  <c:v>246.53685119432939</c:v>
                </c:pt>
                <c:pt idx="3">
                  <c:v>0.13575298161371036</c:v>
                </c:pt>
                <c:pt idx="4">
                  <c:v>11.361555053951486</c:v>
                </c:pt>
                <c:pt idx="5">
                  <c:v>156.35493080398123</c:v>
                </c:pt>
                <c:pt idx="6">
                  <c:v>146.12652308865097</c:v>
                </c:pt>
                <c:pt idx="7">
                  <c:v>40.140565840401067</c:v>
                </c:pt>
                <c:pt idx="8">
                  <c:v>92.61548323536924</c:v>
                </c:pt>
                <c:pt idx="9">
                  <c:v>66.103766294407777</c:v>
                </c:pt>
                <c:pt idx="10">
                  <c:v>34.435136571362797</c:v>
                </c:pt>
                <c:pt idx="11">
                  <c:v>285.51752746856346</c:v>
                </c:pt>
                <c:pt idx="12">
                  <c:v>88.795282158458491</c:v>
                </c:pt>
                <c:pt idx="13">
                  <c:v>79.567935874491738</c:v>
                </c:pt>
                <c:pt idx="14">
                  <c:v>519.79468935433147</c:v>
                </c:pt>
                <c:pt idx="15">
                  <c:v>148.88467001342843</c:v>
                </c:pt>
                <c:pt idx="16">
                  <c:v>121.81945799551987</c:v>
                </c:pt>
                <c:pt idx="17">
                  <c:v>32.030567936332247</c:v>
                </c:pt>
                <c:pt idx="18">
                  <c:v>57.569528244304436</c:v>
                </c:pt>
              </c:numCache>
            </c:numRef>
          </c:val>
          <c:extLst xmlns:c16r2="http://schemas.microsoft.com/office/drawing/2015/06/chart">
            <c:ext xmlns:c16="http://schemas.microsoft.com/office/drawing/2014/chart" uri="{C3380CC4-5D6E-409C-BE32-E72D297353CC}">
              <c16:uniqueId val="{00000000-D9AE-4614-9884-119C4A166A28}"/>
            </c:ext>
          </c:extLst>
        </c:ser>
        <c:ser>
          <c:idx val="0"/>
          <c:order val="1"/>
          <c:tx>
            <c:strRef>
              <c:f>GVA!$C$137</c:f>
              <c:strCache>
                <c:ptCount val="1"/>
                <c:pt idx="0">
                  <c:v>2018</c:v>
                </c:pt>
              </c:strCache>
            </c:strRef>
          </c:tx>
          <c:spPr>
            <a:solidFill>
              <a:schemeClr val="accent1"/>
            </a:solidFill>
            <a:ln>
              <a:noFill/>
            </a:ln>
            <a:effectLst/>
          </c:spPr>
          <c:invertIfNegative val="0"/>
          <c:cat>
            <c:strRef>
              <c:f>GVA!$A$138:$A$157</c:f>
              <c:strCache>
                <c:ptCount val="19"/>
                <c:pt idx="0">
                  <c:v>Agriculture, forestry and fishing</c:v>
                </c:pt>
                <c:pt idx="1">
                  <c:v>Mining and quarrying</c:v>
                </c:pt>
                <c:pt idx="2">
                  <c:v>Manufacturing</c:v>
                </c:pt>
                <c:pt idx="3">
                  <c:v>Electricity, gas, steam and air conditioning supply</c:v>
                </c:pt>
                <c:pt idx="4">
                  <c:v>Water supply; sewerage, waste management and remediation activities</c:v>
                </c:pt>
                <c:pt idx="5">
                  <c:v>Construction</c:v>
                </c:pt>
                <c:pt idx="6">
                  <c:v>Wholesale and retail trade; repair of motor vehicles and motorcycles</c:v>
                </c:pt>
                <c:pt idx="7">
                  <c:v>Transportation and storage</c:v>
                </c:pt>
                <c:pt idx="8">
                  <c:v>Accommodation and food service activities</c:v>
                </c:pt>
                <c:pt idx="9">
                  <c:v>Information and communication</c:v>
                </c:pt>
                <c:pt idx="10">
                  <c:v>Financial and insurance activities</c:v>
                </c:pt>
                <c:pt idx="11">
                  <c:v>Real estate activities</c:v>
                </c:pt>
                <c:pt idx="12">
                  <c:v>Professional, scientific and technical activities</c:v>
                </c:pt>
                <c:pt idx="13">
                  <c:v>Administrative and support service activities</c:v>
                </c:pt>
                <c:pt idx="14">
                  <c:v>Public administration and defence; compulsory social security</c:v>
                </c:pt>
                <c:pt idx="15">
                  <c:v>Education</c:v>
                </c:pt>
                <c:pt idx="16">
                  <c:v>Human health and social work activities</c:v>
                </c:pt>
                <c:pt idx="17">
                  <c:v>Arts, entertainment and recreation</c:v>
                </c:pt>
                <c:pt idx="18">
                  <c:v>Other service activities</c:v>
                </c:pt>
              </c:strCache>
            </c:strRef>
          </c:cat>
          <c:val>
            <c:numRef>
              <c:f>GVA!$C$138:$C$157</c:f>
              <c:numCache>
                <c:formatCode>0.0</c:formatCode>
                <c:ptCount val="19"/>
                <c:pt idx="0">
                  <c:v>86.243777436676083</c:v>
                </c:pt>
                <c:pt idx="1">
                  <c:v>5.2678696383130683</c:v>
                </c:pt>
                <c:pt idx="2">
                  <c:v>309.19113581408652</c:v>
                </c:pt>
                <c:pt idx="3">
                  <c:v>8.3199440925421193</c:v>
                </c:pt>
                <c:pt idx="4">
                  <c:v>4.9728782454942086</c:v>
                </c:pt>
                <c:pt idx="5">
                  <c:v>222.3743473718917</c:v>
                </c:pt>
                <c:pt idx="6">
                  <c:v>332.48215436334624</c:v>
                </c:pt>
                <c:pt idx="7">
                  <c:v>55.844740295270356</c:v>
                </c:pt>
                <c:pt idx="8">
                  <c:v>187.10232133119894</c:v>
                </c:pt>
                <c:pt idx="9">
                  <c:v>132.73137253051146</c:v>
                </c:pt>
                <c:pt idx="10">
                  <c:v>66.137200638909931</c:v>
                </c:pt>
                <c:pt idx="11">
                  <c:v>711.76052620235112</c:v>
                </c:pt>
                <c:pt idx="12">
                  <c:v>200.23712008889677</c:v>
                </c:pt>
                <c:pt idx="13">
                  <c:v>112.82352465844647</c:v>
                </c:pt>
                <c:pt idx="14">
                  <c:v>220.13021664920228</c:v>
                </c:pt>
                <c:pt idx="15">
                  <c:v>224.30770977630624</c:v>
                </c:pt>
                <c:pt idx="16">
                  <c:v>256.33842867984509</c:v>
                </c:pt>
                <c:pt idx="17">
                  <c:v>52.500362636387834</c:v>
                </c:pt>
                <c:pt idx="18">
                  <c:v>73.544956291295733</c:v>
                </c:pt>
              </c:numCache>
            </c:numRef>
          </c:val>
          <c:extLst xmlns:c16r2="http://schemas.microsoft.com/office/drawing/2015/06/chart">
            <c:ext xmlns:c16="http://schemas.microsoft.com/office/drawing/2014/chart" uri="{C3380CC4-5D6E-409C-BE32-E72D297353CC}">
              <c16:uniqueId val="{00000001-D9AE-4614-9884-119C4A166A28}"/>
            </c:ext>
          </c:extLst>
        </c:ser>
        <c:dLbls>
          <c:showLegendKey val="0"/>
          <c:showVal val="0"/>
          <c:showCatName val="0"/>
          <c:showSerName val="0"/>
          <c:showPercent val="0"/>
          <c:showBubbleSize val="0"/>
        </c:dLbls>
        <c:gapWidth val="182"/>
        <c:axId val="283684864"/>
        <c:axId val="283686400"/>
      </c:barChart>
      <c:catAx>
        <c:axId val="283684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en-US"/>
          </a:p>
        </c:txPr>
        <c:crossAx val="283686400"/>
        <c:crosses val="autoZero"/>
        <c:auto val="1"/>
        <c:lblAlgn val="ctr"/>
        <c:lblOffset val="100"/>
        <c:noMultiLvlLbl val="0"/>
      </c:catAx>
      <c:valAx>
        <c:axId val="283686400"/>
        <c:scaling>
          <c:orientation val="minMax"/>
          <c:max val="750"/>
          <c:min val="0"/>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pPr>
                <a:r>
                  <a:rPr lang="en-GB"/>
                  <a:t>GVA (£m)</a:t>
                </a:r>
              </a:p>
            </c:rich>
          </c:tx>
          <c:layout>
            <c:manualLayout>
              <c:xMode val="edge"/>
              <c:yMode val="edge"/>
              <c:x val="0.60254667962976816"/>
              <c:y val="0.95744512900167944"/>
            </c:manualLayout>
          </c:layout>
          <c:overlay val="0"/>
          <c:spPr>
            <a:noFill/>
            <a:ln>
              <a:noFill/>
            </a:ln>
            <a:effectLst/>
          </c:spPr>
        </c:title>
        <c:numFmt formatCode="#,##0" sourceLinked="0"/>
        <c:majorTickMark val="none"/>
        <c:minorTickMark val="none"/>
        <c:tickLblPos val="nextTo"/>
        <c:spPr>
          <a:noFill/>
          <a:ln>
            <a:noFill/>
          </a:ln>
          <a:effectLst/>
        </c:spPr>
        <c:txPr>
          <a:bodyPr rot="-60000000" vert="horz"/>
          <a:lstStyle/>
          <a:p>
            <a:pPr>
              <a:defRPr/>
            </a:pPr>
            <a:endParaRPr lang="en-US"/>
          </a:p>
        </c:txPr>
        <c:crossAx val="283684864"/>
        <c:crosses val="autoZero"/>
        <c:crossBetween val="between"/>
        <c:majorUnit val="100"/>
        <c:minorUnit val="50"/>
      </c:valAx>
      <c:spPr>
        <a:noFill/>
        <a:ln>
          <a:noFill/>
        </a:ln>
        <a:effectLst/>
      </c:spPr>
    </c:plotArea>
    <c:legend>
      <c:legendPos val="r"/>
      <c:layout>
        <c:manualLayout>
          <c:xMode val="edge"/>
          <c:yMode val="edge"/>
          <c:x val="0.74312261170881444"/>
          <c:y val="3.1824367342870565E-2"/>
          <c:w val="0.2116489848538268"/>
          <c:h val="9.0701114791940651E-2"/>
        </c:manualLayout>
      </c:layout>
      <c:overlay val="0"/>
      <c:spPr>
        <a:no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1200">
          <a:solidFill>
            <a:sysClr val="windowText" lastClr="000000"/>
          </a:solidFill>
          <a:latin typeface="Arial Narrow" panose="020B060602020203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'House price trends'!$A$3</c:f>
              <c:strCache>
                <c:ptCount val="1"/>
                <c:pt idx="0">
                  <c:v>Chichester District</c:v>
                </c:pt>
              </c:strCache>
            </c:strRef>
          </c:tx>
          <c:spPr>
            <a:ln w="28575" cap="rnd">
              <a:solidFill>
                <a:schemeClr val="accent1"/>
              </a:solidFill>
              <a:round/>
            </a:ln>
            <a:effectLst/>
          </c:spPr>
          <c:marker>
            <c:symbol val="none"/>
          </c:marker>
          <c:cat>
            <c:multiLvlStrRef>
              <c:f>'House price trends'!$B$1:$CO$2</c:f>
              <c:multiLvlStrCache>
                <c:ptCount val="44"/>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pt idx="17">
                    <c:v>Q2</c:v>
                  </c:pt>
                  <c:pt idx="18">
                    <c:v>Q3</c:v>
                  </c:pt>
                  <c:pt idx="19">
                    <c:v>Q4</c:v>
                  </c:pt>
                  <c:pt idx="20">
                    <c:v>Q1</c:v>
                  </c:pt>
                  <c:pt idx="21">
                    <c:v>Q2</c:v>
                  </c:pt>
                  <c:pt idx="22">
                    <c:v>Q3</c:v>
                  </c:pt>
                  <c:pt idx="23">
                    <c:v>Q4</c:v>
                  </c:pt>
                  <c:pt idx="24">
                    <c:v>Q1</c:v>
                  </c:pt>
                  <c:pt idx="25">
                    <c:v>Q2</c:v>
                  </c:pt>
                  <c:pt idx="26">
                    <c:v>Q3</c:v>
                  </c:pt>
                  <c:pt idx="27">
                    <c:v>Q4</c:v>
                  </c:pt>
                  <c:pt idx="28">
                    <c:v>Q1</c:v>
                  </c:pt>
                  <c:pt idx="29">
                    <c:v>Q2</c:v>
                  </c:pt>
                  <c:pt idx="30">
                    <c:v>Q3</c:v>
                  </c:pt>
                  <c:pt idx="31">
                    <c:v>Q4</c:v>
                  </c:pt>
                  <c:pt idx="32">
                    <c:v>Q1</c:v>
                  </c:pt>
                  <c:pt idx="33">
                    <c:v>Q2</c:v>
                  </c:pt>
                  <c:pt idx="34">
                    <c:v>Q3</c:v>
                  </c:pt>
                  <c:pt idx="35">
                    <c:v>Q4</c:v>
                  </c:pt>
                  <c:pt idx="36">
                    <c:v>Q1</c:v>
                  </c:pt>
                  <c:pt idx="37">
                    <c:v>Q2</c:v>
                  </c:pt>
                  <c:pt idx="38">
                    <c:v>Q3</c:v>
                  </c:pt>
                  <c:pt idx="39">
                    <c:v>Q4</c:v>
                  </c:pt>
                  <c:pt idx="40">
                    <c:v>Q1</c:v>
                  </c:pt>
                  <c:pt idx="41">
                    <c:v>Q2</c:v>
                  </c:pt>
                  <c:pt idx="42">
                    <c:v>Q3</c:v>
                  </c:pt>
                  <c:pt idx="43">
                    <c:v>Q4</c:v>
                  </c:pt>
                </c:lvl>
                <c:lvl>
                  <c:pt idx="0">
                    <c:v>2008</c:v>
                  </c:pt>
                  <c:pt idx="4">
                    <c:v>2009</c:v>
                  </c:pt>
                  <c:pt idx="8">
                    <c:v>2010</c:v>
                  </c:pt>
                  <c:pt idx="12">
                    <c:v>2011</c:v>
                  </c:pt>
                  <c:pt idx="16">
                    <c:v>2012</c:v>
                  </c:pt>
                  <c:pt idx="20">
                    <c:v>2013</c:v>
                  </c:pt>
                  <c:pt idx="24">
                    <c:v>2014</c:v>
                  </c:pt>
                  <c:pt idx="28">
                    <c:v>2015</c:v>
                  </c:pt>
                  <c:pt idx="32">
                    <c:v>2016</c:v>
                  </c:pt>
                  <c:pt idx="36">
                    <c:v>2017</c:v>
                  </c:pt>
                  <c:pt idx="40">
                    <c:v>2018</c:v>
                  </c:pt>
                </c:lvl>
              </c:multiLvlStrCache>
            </c:multiLvlStrRef>
          </c:cat>
          <c:val>
            <c:numRef>
              <c:f>'House price trends'!$B$3:$CO$3</c:f>
              <c:numCache>
                <c:formatCode>#,##0</c:formatCode>
                <c:ptCount val="44"/>
                <c:pt idx="0">
                  <c:v>245000</c:v>
                </c:pt>
                <c:pt idx="1">
                  <c:v>253950</c:v>
                </c:pt>
                <c:pt idx="2">
                  <c:v>250000</c:v>
                </c:pt>
                <c:pt idx="3">
                  <c:v>245000</c:v>
                </c:pt>
                <c:pt idx="4">
                  <c:v>210000</c:v>
                </c:pt>
                <c:pt idx="5">
                  <c:v>240000</c:v>
                </c:pt>
                <c:pt idx="6">
                  <c:v>249950</c:v>
                </c:pt>
                <c:pt idx="7">
                  <c:v>245000</c:v>
                </c:pt>
                <c:pt idx="8">
                  <c:v>249950</c:v>
                </c:pt>
                <c:pt idx="9">
                  <c:v>261000</c:v>
                </c:pt>
                <c:pt idx="10">
                  <c:v>277995</c:v>
                </c:pt>
                <c:pt idx="11">
                  <c:v>264972.5</c:v>
                </c:pt>
                <c:pt idx="12">
                  <c:v>275000</c:v>
                </c:pt>
                <c:pt idx="13">
                  <c:v>265000</c:v>
                </c:pt>
                <c:pt idx="14">
                  <c:v>269000</c:v>
                </c:pt>
                <c:pt idx="15">
                  <c:v>250000</c:v>
                </c:pt>
                <c:pt idx="16">
                  <c:v>250000</c:v>
                </c:pt>
                <c:pt idx="17">
                  <c:v>270000</c:v>
                </c:pt>
                <c:pt idx="18">
                  <c:v>280000</c:v>
                </c:pt>
                <c:pt idx="19">
                  <c:v>270000</c:v>
                </c:pt>
                <c:pt idx="20">
                  <c:v>260000</c:v>
                </c:pt>
                <c:pt idx="21">
                  <c:v>270000</c:v>
                </c:pt>
                <c:pt idx="22" formatCode="General">
                  <c:v>276500</c:v>
                </c:pt>
                <c:pt idx="23" formatCode="General">
                  <c:v>282250</c:v>
                </c:pt>
                <c:pt idx="24" formatCode="General">
                  <c:v>282250</c:v>
                </c:pt>
                <c:pt idx="25" formatCode="General">
                  <c:v>280000</c:v>
                </c:pt>
                <c:pt idx="26" formatCode="General">
                  <c:v>302500</c:v>
                </c:pt>
                <c:pt idx="27" formatCode="General">
                  <c:v>305000</c:v>
                </c:pt>
                <c:pt idx="28" formatCode="General">
                  <c:v>299950</c:v>
                </c:pt>
                <c:pt idx="29" formatCode="General">
                  <c:v>300000</c:v>
                </c:pt>
                <c:pt idx="30" formatCode="General">
                  <c:v>325000</c:v>
                </c:pt>
                <c:pt idx="31" formatCode="General">
                  <c:v>329950</c:v>
                </c:pt>
                <c:pt idx="32" formatCode="General">
                  <c:v>320000</c:v>
                </c:pt>
                <c:pt idx="33" formatCode="General">
                  <c:v>350000</c:v>
                </c:pt>
                <c:pt idx="34" formatCode="General">
                  <c:v>350000</c:v>
                </c:pt>
                <c:pt idx="35" formatCode="General">
                  <c:v>340000</c:v>
                </c:pt>
                <c:pt idx="36" formatCode="General">
                  <c:v>340000</c:v>
                </c:pt>
                <c:pt idx="37" formatCode="General">
                  <c:v>335000</c:v>
                </c:pt>
                <c:pt idx="38" formatCode="General">
                  <c:v>375000</c:v>
                </c:pt>
                <c:pt idx="39" formatCode="General">
                  <c:v>350000</c:v>
                </c:pt>
                <c:pt idx="40" formatCode="General">
                  <c:v>375000</c:v>
                </c:pt>
                <c:pt idx="41" formatCode="General">
                  <c:v>350000</c:v>
                </c:pt>
                <c:pt idx="42" formatCode="General">
                  <c:v>371500</c:v>
                </c:pt>
                <c:pt idx="43" formatCode="General">
                  <c:v>360000</c:v>
                </c:pt>
              </c:numCache>
            </c:numRef>
          </c:val>
          <c:smooth val="0"/>
          <c:extLst xmlns:c16r2="http://schemas.microsoft.com/office/drawing/2015/06/chart">
            <c:ext xmlns:c16="http://schemas.microsoft.com/office/drawing/2014/chart" uri="{C3380CC4-5D6E-409C-BE32-E72D297353CC}">
              <c16:uniqueId val="{00000000-8B2A-4D1D-BC68-07CC7A9E4556}"/>
            </c:ext>
          </c:extLst>
        </c:ser>
        <c:ser>
          <c:idx val="1"/>
          <c:order val="1"/>
          <c:tx>
            <c:strRef>
              <c:f>'House price trends'!$A$4</c:f>
              <c:strCache>
                <c:ptCount val="1"/>
                <c:pt idx="0">
                  <c:v>Arun</c:v>
                </c:pt>
              </c:strCache>
            </c:strRef>
          </c:tx>
          <c:spPr>
            <a:ln w="28575" cap="rnd">
              <a:solidFill>
                <a:schemeClr val="accent2"/>
              </a:solidFill>
              <a:round/>
            </a:ln>
            <a:effectLst/>
          </c:spPr>
          <c:marker>
            <c:symbol val="none"/>
          </c:marker>
          <c:cat>
            <c:multiLvlStrRef>
              <c:f>'House price trends'!$B$1:$CO$2</c:f>
              <c:multiLvlStrCache>
                <c:ptCount val="44"/>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pt idx="17">
                    <c:v>Q2</c:v>
                  </c:pt>
                  <c:pt idx="18">
                    <c:v>Q3</c:v>
                  </c:pt>
                  <c:pt idx="19">
                    <c:v>Q4</c:v>
                  </c:pt>
                  <c:pt idx="20">
                    <c:v>Q1</c:v>
                  </c:pt>
                  <c:pt idx="21">
                    <c:v>Q2</c:v>
                  </c:pt>
                  <c:pt idx="22">
                    <c:v>Q3</c:v>
                  </c:pt>
                  <c:pt idx="23">
                    <c:v>Q4</c:v>
                  </c:pt>
                  <c:pt idx="24">
                    <c:v>Q1</c:v>
                  </c:pt>
                  <c:pt idx="25">
                    <c:v>Q2</c:v>
                  </c:pt>
                  <c:pt idx="26">
                    <c:v>Q3</c:v>
                  </c:pt>
                  <c:pt idx="27">
                    <c:v>Q4</c:v>
                  </c:pt>
                  <c:pt idx="28">
                    <c:v>Q1</c:v>
                  </c:pt>
                  <c:pt idx="29">
                    <c:v>Q2</c:v>
                  </c:pt>
                  <c:pt idx="30">
                    <c:v>Q3</c:v>
                  </c:pt>
                  <c:pt idx="31">
                    <c:v>Q4</c:v>
                  </c:pt>
                  <c:pt idx="32">
                    <c:v>Q1</c:v>
                  </c:pt>
                  <c:pt idx="33">
                    <c:v>Q2</c:v>
                  </c:pt>
                  <c:pt idx="34">
                    <c:v>Q3</c:v>
                  </c:pt>
                  <c:pt idx="35">
                    <c:v>Q4</c:v>
                  </c:pt>
                  <c:pt idx="36">
                    <c:v>Q1</c:v>
                  </c:pt>
                  <c:pt idx="37">
                    <c:v>Q2</c:v>
                  </c:pt>
                  <c:pt idx="38">
                    <c:v>Q3</c:v>
                  </c:pt>
                  <c:pt idx="39">
                    <c:v>Q4</c:v>
                  </c:pt>
                  <c:pt idx="40">
                    <c:v>Q1</c:v>
                  </c:pt>
                  <c:pt idx="41">
                    <c:v>Q2</c:v>
                  </c:pt>
                  <c:pt idx="42">
                    <c:v>Q3</c:v>
                  </c:pt>
                  <c:pt idx="43">
                    <c:v>Q4</c:v>
                  </c:pt>
                </c:lvl>
                <c:lvl>
                  <c:pt idx="0">
                    <c:v>2008</c:v>
                  </c:pt>
                  <c:pt idx="4">
                    <c:v>2009</c:v>
                  </c:pt>
                  <c:pt idx="8">
                    <c:v>2010</c:v>
                  </c:pt>
                  <c:pt idx="12">
                    <c:v>2011</c:v>
                  </c:pt>
                  <c:pt idx="16">
                    <c:v>2012</c:v>
                  </c:pt>
                  <c:pt idx="20">
                    <c:v>2013</c:v>
                  </c:pt>
                  <c:pt idx="24">
                    <c:v>2014</c:v>
                  </c:pt>
                  <c:pt idx="28">
                    <c:v>2015</c:v>
                  </c:pt>
                  <c:pt idx="32">
                    <c:v>2016</c:v>
                  </c:pt>
                  <c:pt idx="36">
                    <c:v>2017</c:v>
                  </c:pt>
                  <c:pt idx="40">
                    <c:v>2018</c:v>
                  </c:pt>
                </c:lvl>
              </c:multiLvlStrCache>
            </c:multiLvlStrRef>
          </c:cat>
          <c:val>
            <c:numRef>
              <c:f>'House price trends'!$B$4:$CO$4</c:f>
              <c:numCache>
                <c:formatCode>#,##0</c:formatCode>
                <c:ptCount val="44"/>
                <c:pt idx="0">
                  <c:v>204250</c:v>
                </c:pt>
                <c:pt idx="1">
                  <c:v>215000</c:v>
                </c:pt>
                <c:pt idx="2">
                  <c:v>210000</c:v>
                </c:pt>
                <c:pt idx="3">
                  <c:v>183750</c:v>
                </c:pt>
                <c:pt idx="4">
                  <c:v>180000</c:v>
                </c:pt>
                <c:pt idx="5">
                  <c:v>183750</c:v>
                </c:pt>
                <c:pt idx="6">
                  <c:v>188187.5</c:v>
                </c:pt>
                <c:pt idx="7">
                  <c:v>191500</c:v>
                </c:pt>
                <c:pt idx="8">
                  <c:v>215000</c:v>
                </c:pt>
                <c:pt idx="9">
                  <c:v>209475</c:v>
                </c:pt>
                <c:pt idx="10">
                  <c:v>220000</c:v>
                </c:pt>
                <c:pt idx="11">
                  <c:v>205750</c:v>
                </c:pt>
                <c:pt idx="12">
                  <c:v>195000</c:v>
                </c:pt>
                <c:pt idx="13">
                  <c:v>205000</c:v>
                </c:pt>
                <c:pt idx="14">
                  <c:v>200000</c:v>
                </c:pt>
                <c:pt idx="15">
                  <c:v>200475</c:v>
                </c:pt>
                <c:pt idx="16">
                  <c:v>205000</c:v>
                </c:pt>
                <c:pt idx="17">
                  <c:v>203275</c:v>
                </c:pt>
                <c:pt idx="18">
                  <c:v>220000</c:v>
                </c:pt>
                <c:pt idx="19">
                  <c:v>215000</c:v>
                </c:pt>
                <c:pt idx="20" formatCode="General">
                  <c:v>205000</c:v>
                </c:pt>
                <c:pt idx="21" formatCode="General">
                  <c:v>217500</c:v>
                </c:pt>
                <c:pt idx="22" formatCode="General">
                  <c:v>219000</c:v>
                </c:pt>
                <c:pt idx="23" formatCode="General">
                  <c:v>222500</c:v>
                </c:pt>
                <c:pt idx="24" formatCode="General">
                  <c:v>220000</c:v>
                </c:pt>
                <c:pt idx="25" formatCode="General">
                  <c:v>225000</c:v>
                </c:pt>
                <c:pt idx="26" formatCode="General">
                  <c:v>235000</c:v>
                </c:pt>
                <c:pt idx="27" formatCode="General">
                  <c:v>235000</c:v>
                </c:pt>
                <c:pt idx="28" formatCode="General">
                  <c:v>230000</c:v>
                </c:pt>
                <c:pt idx="29" formatCode="General">
                  <c:v>239995</c:v>
                </c:pt>
                <c:pt idx="30" formatCode="General">
                  <c:v>250000</c:v>
                </c:pt>
                <c:pt idx="31" formatCode="General">
                  <c:v>245000</c:v>
                </c:pt>
                <c:pt idx="32" formatCode="General">
                  <c:v>249975</c:v>
                </c:pt>
                <c:pt idx="33" formatCode="General">
                  <c:v>270000</c:v>
                </c:pt>
                <c:pt idx="34" formatCode="General">
                  <c:v>269250</c:v>
                </c:pt>
                <c:pt idx="35" formatCode="General">
                  <c:v>266500</c:v>
                </c:pt>
                <c:pt idx="36" formatCode="General">
                  <c:v>265000</c:v>
                </c:pt>
                <c:pt idx="37" formatCode="General">
                  <c:v>273000</c:v>
                </c:pt>
                <c:pt idx="38" formatCode="General">
                  <c:v>282000</c:v>
                </c:pt>
                <c:pt idx="39" formatCode="General">
                  <c:v>282250</c:v>
                </c:pt>
                <c:pt idx="40" formatCode="General">
                  <c:v>280000</c:v>
                </c:pt>
                <c:pt idx="41" formatCode="General">
                  <c:v>280000</c:v>
                </c:pt>
                <c:pt idx="42" formatCode="General">
                  <c:v>289975</c:v>
                </c:pt>
                <c:pt idx="43" formatCode="General">
                  <c:v>290000</c:v>
                </c:pt>
              </c:numCache>
            </c:numRef>
          </c:val>
          <c:smooth val="0"/>
          <c:extLst xmlns:c16r2="http://schemas.microsoft.com/office/drawing/2015/06/chart">
            <c:ext xmlns:c16="http://schemas.microsoft.com/office/drawing/2014/chart" uri="{C3380CC4-5D6E-409C-BE32-E72D297353CC}">
              <c16:uniqueId val="{00000001-8B2A-4D1D-BC68-07CC7A9E4556}"/>
            </c:ext>
          </c:extLst>
        </c:ser>
        <c:ser>
          <c:idx val="2"/>
          <c:order val="2"/>
          <c:tx>
            <c:strRef>
              <c:f>'House price trends'!$A$5</c:f>
              <c:strCache>
                <c:ptCount val="1"/>
                <c:pt idx="0">
                  <c:v>Cotswold</c:v>
                </c:pt>
              </c:strCache>
            </c:strRef>
          </c:tx>
          <c:spPr>
            <a:ln w="28575" cap="rnd">
              <a:solidFill>
                <a:schemeClr val="accent3"/>
              </a:solidFill>
              <a:round/>
            </a:ln>
            <a:effectLst/>
          </c:spPr>
          <c:marker>
            <c:symbol val="none"/>
          </c:marker>
          <c:cat>
            <c:multiLvlStrRef>
              <c:f>'House price trends'!$B$1:$CO$2</c:f>
              <c:multiLvlStrCache>
                <c:ptCount val="44"/>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pt idx="17">
                    <c:v>Q2</c:v>
                  </c:pt>
                  <c:pt idx="18">
                    <c:v>Q3</c:v>
                  </c:pt>
                  <c:pt idx="19">
                    <c:v>Q4</c:v>
                  </c:pt>
                  <c:pt idx="20">
                    <c:v>Q1</c:v>
                  </c:pt>
                  <c:pt idx="21">
                    <c:v>Q2</c:v>
                  </c:pt>
                  <c:pt idx="22">
                    <c:v>Q3</c:v>
                  </c:pt>
                  <c:pt idx="23">
                    <c:v>Q4</c:v>
                  </c:pt>
                  <c:pt idx="24">
                    <c:v>Q1</c:v>
                  </c:pt>
                  <c:pt idx="25">
                    <c:v>Q2</c:v>
                  </c:pt>
                  <c:pt idx="26">
                    <c:v>Q3</c:v>
                  </c:pt>
                  <c:pt idx="27">
                    <c:v>Q4</c:v>
                  </c:pt>
                  <c:pt idx="28">
                    <c:v>Q1</c:v>
                  </c:pt>
                  <c:pt idx="29">
                    <c:v>Q2</c:v>
                  </c:pt>
                  <c:pt idx="30">
                    <c:v>Q3</c:v>
                  </c:pt>
                  <c:pt idx="31">
                    <c:v>Q4</c:v>
                  </c:pt>
                  <c:pt idx="32">
                    <c:v>Q1</c:v>
                  </c:pt>
                  <c:pt idx="33">
                    <c:v>Q2</c:v>
                  </c:pt>
                  <c:pt idx="34">
                    <c:v>Q3</c:v>
                  </c:pt>
                  <c:pt idx="35">
                    <c:v>Q4</c:v>
                  </c:pt>
                  <c:pt idx="36">
                    <c:v>Q1</c:v>
                  </c:pt>
                  <c:pt idx="37">
                    <c:v>Q2</c:v>
                  </c:pt>
                  <c:pt idx="38">
                    <c:v>Q3</c:v>
                  </c:pt>
                  <c:pt idx="39">
                    <c:v>Q4</c:v>
                  </c:pt>
                  <c:pt idx="40">
                    <c:v>Q1</c:v>
                  </c:pt>
                  <c:pt idx="41">
                    <c:v>Q2</c:v>
                  </c:pt>
                  <c:pt idx="42">
                    <c:v>Q3</c:v>
                  </c:pt>
                  <c:pt idx="43">
                    <c:v>Q4</c:v>
                  </c:pt>
                </c:lvl>
                <c:lvl>
                  <c:pt idx="0">
                    <c:v>2008</c:v>
                  </c:pt>
                  <c:pt idx="4">
                    <c:v>2009</c:v>
                  </c:pt>
                  <c:pt idx="8">
                    <c:v>2010</c:v>
                  </c:pt>
                  <c:pt idx="12">
                    <c:v>2011</c:v>
                  </c:pt>
                  <c:pt idx="16">
                    <c:v>2012</c:v>
                  </c:pt>
                  <c:pt idx="20">
                    <c:v>2013</c:v>
                  </c:pt>
                  <c:pt idx="24">
                    <c:v>2014</c:v>
                  </c:pt>
                  <c:pt idx="28">
                    <c:v>2015</c:v>
                  </c:pt>
                  <c:pt idx="32">
                    <c:v>2016</c:v>
                  </c:pt>
                  <c:pt idx="36">
                    <c:v>2017</c:v>
                  </c:pt>
                  <c:pt idx="40">
                    <c:v>2018</c:v>
                  </c:pt>
                </c:lvl>
              </c:multiLvlStrCache>
            </c:multiLvlStrRef>
          </c:cat>
          <c:val>
            <c:numRef>
              <c:f>'House price trends'!$B$5:$CO$5</c:f>
              <c:numCache>
                <c:formatCode>#,##0</c:formatCode>
                <c:ptCount val="44"/>
                <c:pt idx="0">
                  <c:v>247000</c:v>
                </c:pt>
                <c:pt idx="1">
                  <c:v>255000</c:v>
                </c:pt>
                <c:pt idx="2">
                  <c:v>290000</c:v>
                </c:pt>
                <c:pt idx="3">
                  <c:v>246000</c:v>
                </c:pt>
                <c:pt idx="4">
                  <c:v>236250</c:v>
                </c:pt>
                <c:pt idx="5">
                  <c:v>262475</c:v>
                </c:pt>
                <c:pt idx="6">
                  <c:v>275000</c:v>
                </c:pt>
                <c:pt idx="7">
                  <c:v>250000</c:v>
                </c:pt>
                <c:pt idx="8">
                  <c:v>270000</c:v>
                </c:pt>
                <c:pt idx="9">
                  <c:v>277500</c:v>
                </c:pt>
                <c:pt idx="10">
                  <c:v>290500</c:v>
                </c:pt>
                <c:pt idx="11">
                  <c:v>279000</c:v>
                </c:pt>
                <c:pt idx="12">
                  <c:v>248000</c:v>
                </c:pt>
                <c:pt idx="13">
                  <c:v>247500</c:v>
                </c:pt>
                <c:pt idx="14">
                  <c:v>276000</c:v>
                </c:pt>
                <c:pt idx="15">
                  <c:v>250000</c:v>
                </c:pt>
                <c:pt idx="16">
                  <c:v>267500</c:v>
                </c:pt>
                <c:pt idx="17">
                  <c:v>262000</c:v>
                </c:pt>
                <c:pt idx="18">
                  <c:v>270000</c:v>
                </c:pt>
                <c:pt idx="19">
                  <c:v>267500</c:v>
                </c:pt>
                <c:pt idx="20">
                  <c:v>260000</c:v>
                </c:pt>
                <c:pt idx="21">
                  <c:v>250000</c:v>
                </c:pt>
                <c:pt idx="22" formatCode="General">
                  <c:v>290000</c:v>
                </c:pt>
                <c:pt idx="23" formatCode="General">
                  <c:v>280000</c:v>
                </c:pt>
                <c:pt idx="24" formatCode="General">
                  <c:v>272000</c:v>
                </c:pt>
                <c:pt idx="25" formatCode="General">
                  <c:v>295000</c:v>
                </c:pt>
                <c:pt idx="26" formatCode="General">
                  <c:v>303500</c:v>
                </c:pt>
                <c:pt idx="27" formatCode="General">
                  <c:v>288750</c:v>
                </c:pt>
                <c:pt idx="28" formatCode="General">
                  <c:v>310000</c:v>
                </c:pt>
                <c:pt idx="29" formatCode="General">
                  <c:v>312997.5</c:v>
                </c:pt>
                <c:pt idx="30" formatCode="General">
                  <c:v>335000</c:v>
                </c:pt>
                <c:pt idx="31" formatCode="General">
                  <c:v>330000</c:v>
                </c:pt>
                <c:pt idx="32" formatCode="General">
                  <c:v>306000</c:v>
                </c:pt>
                <c:pt idx="33" formatCode="General">
                  <c:v>345995</c:v>
                </c:pt>
                <c:pt idx="34" formatCode="General">
                  <c:v>327000</c:v>
                </c:pt>
                <c:pt idx="35" formatCode="General">
                  <c:v>330000</c:v>
                </c:pt>
                <c:pt idx="36" formatCode="General">
                  <c:v>320000</c:v>
                </c:pt>
                <c:pt idx="37" formatCode="General">
                  <c:v>350000</c:v>
                </c:pt>
                <c:pt idx="38" formatCode="General">
                  <c:v>349475</c:v>
                </c:pt>
                <c:pt idx="39" formatCode="General">
                  <c:v>377000</c:v>
                </c:pt>
                <c:pt idx="40" formatCode="General">
                  <c:v>345000</c:v>
                </c:pt>
                <c:pt idx="41" formatCode="General">
                  <c:v>328000</c:v>
                </c:pt>
                <c:pt idx="42" formatCode="General">
                  <c:v>369500</c:v>
                </c:pt>
                <c:pt idx="43" formatCode="General">
                  <c:v>352500</c:v>
                </c:pt>
              </c:numCache>
            </c:numRef>
          </c:val>
          <c:smooth val="0"/>
          <c:extLst xmlns:c16r2="http://schemas.microsoft.com/office/drawing/2015/06/chart">
            <c:ext xmlns:c16="http://schemas.microsoft.com/office/drawing/2014/chart" uri="{C3380CC4-5D6E-409C-BE32-E72D297353CC}">
              <c16:uniqueId val="{00000002-8B2A-4D1D-BC68-07CC7A9E4556}"/>
            </c:ext>
          </c:extLst>
        </c:ser>
        <c:ser>
          <c:idx val="3"/>
          <c:order val="3"/>
          <c:tx>
            <c:strRef>
              <c:f>'House price trends'!$A$6</c:f>
              <c:strCache>
                <c:ptCount val="1"/>
                <c:pt idx="0">
                  <c:v>West Dorset</c:v>
                </c:pt>
              </c:strCache>
            </c:strRef>
          </c:tx>
          <c:spPr>
            <a:ln w="28575" cap="rnd">
              <a:solidFill>
                <a:schemeClr val="accent4"/>
              </a:solidFill>
              <a:round/>
            </a:ln>
            <a:effectLst/>
          </c:spPr>
          <c:marker>
            <c:symbol val="none"/>
          </c:marker>
          <c:cat>
            <c:multiLvlStrRef>
              <c:f>'House price trends'!$B$1:$CO$2</c:f>
              <c:multiLvlStrCache>
                <c:ptCount val="44"/>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pt idx="17">
                    <c:v>Q2</c:v>
                  </c:pt>
                  <c:pt idx="18">
                    <c:v>Q3</c:v>
                  </c:pt>
                  <c:pt idx="19">
                    <c:v>Q4</c:v>
                  </c:pt>
                  <c:pt idx="20">
                    <c:v>Q1</c:v>
                  </c:pt>
                  <c:pt idx="21">
                    <c:v>Q2</c:v>
                  </c:pt>
                  <c:pt idx="22">
                    <c:v>Q3</c:v>
                  </c:pt>
                  <c:pt idx="23">
                    <c:v>Q4</c:v>
                  </c:pt>
                  <c:pt idx="24">
                    <c:v>Q1</c:v>
                  </c:pt>
                  <c:pt idx="25">
                    <c:v>Q2</c:v>
                  </c:pt>
                  <c:pt idx="26">
                    <c:v>Q3</c:v>
                  </c:pt>
                  <c:pt idx="27">
                    <c:v>Q4</c:v>
                  </c:pt>
                  <c:pt idx="28">
                    <c:v>Q1</c:v>
                  </c:pt>
                  <c:pt idx="29">
                    <c:v>Q2</c:v>
                  </c:pt>
                  <c:pt idx="30">
                    <c:v>Q3</c:v>
                  </c:pt>
                  <c:pt idx="31">
                    <c:v>Q4</c:v>
                  </c:pt>
                  <c:pt idx="32">
                    <c:v>Q1</c:v>
                  </c:pt>
                  <c:pt idx="33">
                    <c:v>Q2</c:v>
                  </c:pt>
                  <c:pt idx="34">
                    <c:v>Q3</c:v>
                  </c:pt>
                  <c:pt idx="35">
                    <c:v>Q4</c:v>
                  </c:pt>
                  <c:pt idx="36">
                    <c:v>Q1</c:v>
                  </c:pt>
                  <c:pt idx="37">
                    <c:v>Q2</c:v>
                  </c:pt>
                  <c:pt idx="38">
                    <c:v>Q3</c:v>
                  </c:pt>
                  <c:pt idx="39">
                    <c:v>Q4</c:v>
                  </c:pt>
                  <c:pt idx="40">
                    <c:v>Q1</c:v>
                  </c:pt>
                  <c:pt idx="41">
                    <c:v>Q2</c:v>
                  </c:pt>
                  <c:pt idx="42">
                    <c:v>Q3</c:v>
                  </c:pt>
                  <c:pt idx="43">
                    <c:v>Q4</c:v>
                  </c:pt>
                </c:lvl>
                <c:lvl>
                  <c:pt idx="0">
                    <c:v>2008</c:v>
                  </c:pt>
                  <c:pt idx="4">
                    <c:v>2009</c:v>
                  </c:pt>
                  <c:pt idx="8">
                    <c:v>2010</c:v>
                  </c:pt>
                  <c:pt idx="12">
                    <c:v>2011</c:v>
                  </c:pt>
                  <c:pt idx="16">
                    <c:v>2012</c:v>
                  </c:pt>
                  <c:pt idx="20">
                    <c:v>2013</c:v>
                  </c:pt>
                  <c:pt idx="24">
                    <c:v>2014</c:v>
                  </c:pt>
                  <c:pt idx="28">
                    <c:v>2015</c:v>
                  </c:pt>
                  <c:pt idx="32">
                    <c:v>2016</c:v>
                  </c:pt>
                  <c:pt idx="36">
                    <c:v>2017</c:v>
                  </c:pt>
                  <c:pt idx="40">
                    <c:v>2018</c:v>
                  </c:pt>
                </c:lvl>
              </c:multiLvlStrCache>
            </c:multiLvlStrRef>
          </c:cat>
          <c:val>
            <c:numRef>
              <c:f>'House price trends'!$B$6:$CO$6</c:f>
              <c:numCache>
                <c:formatCode>#,##0</c:formatCode>
                <c:ptCount val="44"/>
                <c:pt idx="0">
                  <c:v>245000</c:v>
                </c:pt>
                <c:pt idx="1">
                  <c:v>235000</c:v>
                </c:pt>
                <c:pt idx="2">
                  <c:v>230000</c:v>
                </c:pt>
                <c:pt idx="3">
                  <c:v>230000</c:v>
                </c:pt>
                <c:pt idx="4">
                  <c:v>190000</c:v>
                </c:pt>
                <c:pt idx="5">
                  <c:v>208000</c:v>
                </c:pt>
                <c:pt idx="6">
                  <c:v>225000</c:v>
                </c:pt>
                <c:pt idx="7">
                  <c:v>212000</c:v>
                </c:pt>
                <c:pt idx="8">
                  <c:v>230000</c:v>
                </c:pt>
                <c:pt idx="9">
                  <c:v>235000</c:v>
                </c:pt>
                <c:pt idx="10">
                  <c:v>237500</c:v>
                </c:pt>
                <c:pt idx="11">
                  <c:v>220000</c:v>
                </c:pt>
                <c:pt idx="12">
                  <c:v>230000</c:v>
                </c:pt>
                <c:pt idx="13">
                  <c:v>230000</c:v>
                </c:pt>
                <c:pt idx="14">
                  <c:v>240000</c:v>
                </c:pt>
                <c:pt idx="15">
                  <c:v>242500</c:v>
                </c:pt>
                <c:pt idx="16">
                  <c:v>223000</c:v>
                </c:pt>
                <c:pt idx="17">
                  <c:v>230000</c:v>
                </c:pt>
                <c:pt idx="18">
                  <c:v>245000</c:v>
                </c:pt>
                <c:pt idx="19">
                  <c:v>237250</c:v>
                </c:pt>
                <c:pt idx="20">
                  <c:v>220000</c:v>
                </c:pt>
                <c:pt idx="21">
                  <c:v>243000</c:v>
                </c:pt>
                <c:pt idx="22" formatCode="General">
                  <c:v>239950</c:v>
                </c:pt>
                <c:pt idx="23" formatCode="General">
                  <c:v>233500</c:v>
                </c:pt>
                <c:pt idx="24" formatCode="General">
                  <c:v>236000</c:v>
                </c:pt>
                <c:pt idx="25" formatCode="General">
                  <c:v>240000</c:v>
                </c:pt>
                <c:pt idx="26" formatCode="General">
                  <c:v>247500</c:v>
                </c:pt>
                <c:pt idx="27" formatCode="General">
                  <c:v>244000</c:v>
                </c:pt>
                <c:pt idx="28" formatCode="General">
                  <c:v>246000</c:v>
                </c:pt>
                <c:pt idx="29" formatCode="General">
                  <c:v>250000</c:v>
                </c:pt>
                <c:pt idx="30" formatCode="General">
                  <c:v>256000</c:v>
                </c:pt>
                <c:pt idx="31" formatCode="General">
                  <c:v>255000</c:v>
                </c:pt>
                <c:pt idx="32" formatCode="General">
                  <c:v>249995</c:v>
                </c:pt>
                <c:pt idx="33" formatCode="General">
                  <c:v>266000</c:v>
                </c:pt>
                <c:pt idx="34" formatCode="General">
                  <c:v>274000</c:v>
                </c:pt>
                <c:pt idx="35" formatCode="General">
                  <c:v>270000</c:v>
                </c:pt>
                <c:pt idx="36" formatCode="General">
                  <c:v>270000</c:v>
                </c:pt>
                <c:pt idx="37" formatCode="General">
                  <c:v>277500</c:v>
                </c:pt>
                <c:pt idx="38" formatCode="General">
                  <c:v>280000</c:v>
                </c:pt>
                <c:pt idx="39" formatCode="General">
                  <c:v>280000</c:v>
                </c:pt>
                <c:pt idx="40" formatCode="General">
                  <c:v>285000</c:v>
                </c:pt>
                <c:pt idx="41" formatCode="General">
                  <c:v>296610</c:v>
                </c:pt>
                <c:pt idx="42" formatCode="General">
                  <c:v>284000</c:v>
                </c:pt>
                <c:pt idx="43" formatCode="General">
                  <c:v>300000</c:v>
                </c:pt>
              </c:numCache>
            </c:numRef>
          </c:val>
          <c:smooth val="0"/>
          <c:extLst xmlns:c16r2="http://schemas.microsoft.com/office/drawing/2015/06/chart">
            <c:ext xmlns:c16="http://schemas.microsoft.com/office/drawing/2014/chart" uri="{C3380CC4-5D6E-409C-BE32-E72D297353CC}">
              <c16:uniqueId val="{00000003-8B2A-4D1D-BC68-07CC7A9E4556}"/>
            </c:ext>
          </c:extLst>
        </c:ser>
        <c:ser>
          <c:idx val="4"/>
          <c:order val="4"/>
          <c:tx>
            <c:strRef>
              <c:f>'House price trends'!$A$7</c:f>
              <c:strCache>
                <c:ptCount val="1"/>
                <c:pt idx="0">
                  <c:v>Chichester and Bognor HMA</c:v>
                </c:pt>
              </c:strCache>
            </c:strRef>
          </c:tx>
          <c:spPr>
            <a:ln w="28575" cap="rnd">
              <a:solidFill>
                <a:schemeClr val="accent5"/>
              </a:solidFill>
              <a:round/>
            </a:ln>
            <a:effectLst/>
          </c:spPr>
          <c:marker>
            <c:symbol val="none"/>
          </c:marker>
          <c:cat>
            <c:multiLvlStrRef>
              <c:f>'House price trends'!$B$1:$CO$2</c:f>
              <c:multiLvlStrCache>
                <c:ptCount val="44"/>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pt idx="17">
                    <c:v>Q2</c:v>
                  </c:pt>
                  <c:pt idx="18">
                    <c:v>Q3</c:v>
                  </c:pt>
                  <c:pt idx="19">
                    <c:v>Q4</c:v>
                  </c:pt>
                  <c:pt idx="20">
                    <c:v>Q1</c:v>
                  </c:pt>
                  <c:pt idx="21">
                    <c:v>Q2</c:v>
                  </c:pt>
                  <c:pt idx="22">
                    <c:v>Q3</c:v>
                  </c:pt>
                  <c:pt idx="23">
                    <c:v>Q4</c:v>
                  </c:pt>
                  <c:pt idx="24">
                    <c:v>Q1</c:v>
                  </c:pt>
                  <c:pt idx="25">
                    <c:v>Q2</c:v>
                  </c:pt>
                  <c:pt idx="26">
                    <c:v>Q3</c:v>
                  </c:pt>
                  <c:pt idx="27">
                    <c:v>Q4</c:v>
                  </c:pt>
                  <c:pt idx="28">
                    <c:v>Q1</c:v>
                  </c:pt>
                  <c:pt idx="29">
                    <c:v>Q2</c:v>
                  </c:pt>
                  <c:pt idx="30">
                    <c:v>Q3</c:v>
                  </c:pt>
                  <c:pt idx="31">
                    <c:v>Q4</c:v>
                  </c:pt>
                  <c:pt idx="32">
                    <c:v>Q1</c:v>
                  </c:pt>
                  <c:pt idx="33">
                    <c:v>Q2</c:v>
                  </c:pt>
                  <c:pt idx="34">
                    <c:v>Q3</c:v>
                  </c:pt>
                  <c:pt idx="35">
                    <c:v>Q4</c:v>
                  </c:pt>
                  <c:pt idx="36">
                    <c:v>Q1</c:v>
                  </c:pt>
                  <c:pt idx="37">
                    <c:v>Q2</c:v>
                  </c:pt>
                  <c:pt idx="38">
                    <c:v>Q3</c:v>
                  </c:pt>
                  <c:pt idx="39">
                    <c:v>Q4</c:v>
                  </c:pt>
                  <c:pt idx="40">
                    <c:v>Q1</c:v>
                  </c:pt>
                  <c:pt idx="41">
                    <c:v>Q2</c:v>
                  </c:pt>
                  <c:pt idx="42">
                    <c:v>Q3</c:v>
                  </c:pt>
                  <c:pt idx="43">
                    <c:v>Q4</c:v>
                  </c:pt>
                </c:lvl>
                <c:lvl>
                  <c:pt idx="0">
                    <c:v>2008</c:v>
                  </c:pt>
                  <c:pt idx="4">
                    <c:v>2009</c:v>
                  </c:pt>
                  <c:pt idx="8">
                    <c:v>2010</c:v>
                  </c:pt>
                  <c:pt idx="12">
                    <c:v>2011</c:v>
                  </c:pt>
                  <c:pt idx="16">
                    <c:v>2012</c:v>
                  </c:pt>
                  <c:pt idx="20">
                    <c:v>2013</c:v>
                  </c:pt>
                  <c:pt idx="24">
                    <c:v>2014</c:v>
                  </c:pt>
                  <c:pt idx="28">
                    <c:v>2015</c:v>
                  </c:pt>
                  <c:pt idx="32">
                    <c:v>2016</c:v>
                  </c:pt>
                  <c:pt idx="36">
                    <c:v>2017</c:v>
                  </c:pt>
                  <c:pt idx="40">
                    <c:v>2018</c:v>
                  </c:pt>
                </c:lvl>
              </c:multiLvlStrCache>
            </c:multiLvlStrRef>
          </c:cat>
          <c:val>
            <c:numRef>
              <c:f>'House price trends'!$B$7:$CO$7</c:f>
              <c:numCache>
                <c:formatCode>#,##0</c:formatCode>
                <c:ptCount val="44"/>
                <c:pt idx="0">
                  <c:v>224625</c:v>
                </c:pt>
                <c:pt idx="1">
                  <c:v>234475</c:v>
                </c:pt>
                <c:pt idx="2">
                  <c:v>230000</c:v>
                </c:pt>
                <c:pt idx="3">
                  <c:v>214375</c:v>
                </c:pt>
                <c:pt idx="4">
                  <c:v>195000</c:v>
                </c:pt>
                <c:pt idx="5">
                  <c:v>211875</c:v>
                </c:pt>
                <c:pt idx="6">
                  <c:v>219068.75</c:v>
                </c:pt>
                <c:pt idx="7">
                  <c:v>218250</c:v>
                </c:pt>
                <c:pt idx="8">
                  <c:v>232475</c:v>
                </c:pt>
                <c:pt idx="9">
                  <c:v>235237.5</c:v>
                </c:pt>
                <c:pt idx="10">
                  <c:v>248997.5</c:v>
                </c:pt>
                <c:pt idx="11">
                  <c:v>235361.25</c:v>
                </c:pt>
                <c:pt idx="12">
                  <c:v>235000</c:v>
                </c:pt>
                <c:pt idx="13">
                  <c:v>235000</c:v>
                </c:pt>
                <c:pt idx="14">
                  <c:v>234500</c:v>
                </c:pt>
                <c:pt idx="15">
                  <c:v>225237.5</c:v>
                </c:pt>
                <c:pt idx="16">
                  <c:v>227500</c:v>
                </c:pt>
                <c:pt idx="17">
                  <c:v>236637.5</c:v>
                </c:pt>
                <c:pt idx="18">
                  <c:v>250000</c:v>
                </c:pt>
                <c:pt idx="19">
                  <c:v>242500</c:v>
                </c:pt>
                <c:pt idx="20">
                  <c:v>232500</c:v>
                </c:pt>
                <c:pt idx="21">
                  <c:v>243750</c:v>
                </c:pt>
                <c:pt idx="22">
                  <c:v>247750</c:v>
                </c:pt>
                <c:pt idx="23">
                  <c:v>252375</c:v>
                </c:pt>
                <c:pt idx="24">
                  <c:v>251125</c:v>
                </c:pt>
                <c:pt idx="25">
                  <c:v>252500</c:v>
                </c:pt>
                <c:pt idx="26">
                  <c:v>268750</c:v>
                </c:pt>
                <c:pt idx="27">
                  <c:v>270000</c:v>
                </c:pt>
                <c:pt idx="28">
                  <c:v>264975</c:v>
                </c:pt>
                <c:pt idx="29">
                  <c:v>269997.5</c:v>
                </c:pt>
                <c:pt idx="30">
                  <c:v>287500</c:v>
                </c:pt>
                <c:pt idx="31">
                  <c:v>287475</c:v>
                </c:pt>
                <c:pt idx="32">
                  <c:v>284987.5</c:v>
                </c:pt>
                <c:pt idx="33">
                  <c:v>310000</c:v>
                </c:pt>
                <c:pt idx="34">
                  <c:v>309625</c:v>
                </c:pt>
                <c:pt idx="35">
                  <c:v>303250</c:v>
                </c:pt>
                <c:pt idx="36">
                  <c:v>302500</c:v>
                </c:pt>
                <c:pt idx="37">
                  <c:v>304000</c:v>
                </c:pt>
                <c:pt idx="38">
                  <c:v>328500</c:v>
                </c:pt>
                <c:pt idx="39">
                  <c:v>316125</c:v>
                </c:pt>
                <c:pt idx="40">
                  <c:v>327500</c:v>
                </c:pt>
                <c:pt idx="41">
                  <c:v>315000</c:v>
                </c:pt>
                <c:pt idx="42">
                  <c:v>330737.5</c:v>
                </c:pt>
                <c:pt idx="43">
                  <c:v>325000</c:v>
                </c:pt>
              </c:numCache>
            </c:numRef>
          </c:val>
          <c:smooth val="0"/>
          <c:extLst xmlns:c16r2="http://schemas.microsoft.com/office/drawing/2015/06/chart">
            <c:ext xmlns:c16="http://schemas.microsoft.com/office/drawing/2014/chart" uri="{C3380CC4-5D6E-409C-BE32-E72D297353CC}">
              <c16:uniqueId val="{00000004-8B2A-4D1D-BC68-07CC7A9E4556}"/>
            </c:ext>
          </c:extLst>
        </c:ser>
        <c:ser>
          <c:idx val="5"/>
          <c:order val="5"/>
          <c:tx>
            <c:strRef>
              <c:f>'House price trends'!$A$8</c:f>
              <c:strCache>
                <c:ptCount val="1"/>
                <c:pt idx="0">
                  <c:v>West Sussex</c:v>
                </c:pt>
              </c:strCache>
            </c:strRef>
          </c:tx>
          <c:spPr>
            <a:ln w="28575" cap="rnd">
              <a:solidFill>
                <a:schemeClr val="accent6"/>
              </a:solidFill>
              <a:round/>
            </a:ln>
            <a:effectLst/>
          </c:spPr>
          <c:marker>
            <c:symbol val="none"/>
          </c:marker>
          <c:cat>
            <c:multiLvlStrRef>
              <c:f>'House price trends'!$B$1:$CO$2</c:f>
              <c:multiLvlStrCache>
                <c:ptCount val="44"/>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pt idx="17">
                    <c:v>Q2</c:v>
                  </c:pt>
                  <c:pt idx="18">
                    <c:v>Q3</c:v>
                  </c:pt>
                  <c:pt idx="19">
                    <c:v>Q4</c:v>
                  </c:pt>
                  <c:pt idx="20">
                    <c:v>Q1</c:v>
                  </c:pt>
                  <c:pt idx="21">
                    <c:v>Q2</c:v>
                  </c:pt>
                  <c:pt idx="22">
                    <c:v>Q3</c:v>
                  </c:pt>
                  <c:pt idx="23">
                    <c:v>Q4</c:v>
                  </c:pt>
                  <c:pt idx="24">
                    <c:v>Q1</c:v>
                  </c:pt>
                  <c:pt idx="25">
                    <c:v>Q2</c:v>
                  </c:pt>
                  <c:pt idx="26">
                    <c:v>Q3</c:v>
                  </c:pt>
                  <c:pt idx="27">
                    <c:v>Q4</c:v>
                  </c:pt>
                  <c:pt idx="28">
                    <c:v>Q1</c:v>
                  </c:pt>
                  <c:pt idx="29">
                    <c:v>Q2</c:v>
                  </c:pt>
                  <c:pt idx="30">
                    <c:v>Q3</c:v>
                  </c:pt>
                  <c:pt idx="31">
                    <c:v>Q4</c:v>
                  </c:pt>
                  <c:pt idx="32">
                    <c:v>Q1</c:v>
                  </c:pt>
                  <c:pt idx="33">
                    <c:v>Q2</c:v>
                  </c:pt>
                  <c:pt idx="34">
                    <c:v>Q3</c:v>
                  </c:pt>
                  <c:pt idx="35">
                    <c:v>Q4</c:v>
                  </c:pt>
                  <c:pt idx="36">
                    <c:v>Q1</c:v>
                  </c:pt>
                  <c:pt idx="37">
                    <c:v>Q2</c:v>
                  </c:pt>
                  <c:pt idx="38">
                    <c:v>Q3</c:v>
                  </c:pt>
                  <c:pt idx="39">
                    <c:v>Q4</c:v>
                  </c:pt>
                  <c:pt idx="40">
                    <c:v>Q1</c:v>
                  </c:pt>
                  <c:pt idx="41">
                    <c:v>Q2</c:v>
                  </c:pt>
                  <c:pt idx="42">
                    <c:v>Q3</c:v>
                  </c:pt>
                  <c:pt idx="43">
                    <c:v>Q4</c:v>
                  </c:pt>
                </c:lvl>
                <c:lvl>
                  <c:pt idx="0">
                    <c:v>2008</c:v>
                  </c:pt>
                  <c:pt idx="4">
                    <c:v>2009</c:v>
                  </c:pt>
                  <c:pt idx="8">
                    <c:v>2010</c:v>
                  </c:pt>
                  <c:pt idx="12">
                    <c:v>2011</c:v>
                  </c:pt>
                  <c:pt idx="16">
                    <c:v>2012</c:v>
                  </c:pt>
                  <c:pt idx="20">
                    <c:v>2013</c:v>
                  </c:pt>
                  <c:pt idx="24">
                    <c:v>2014</c:v>
                  </c:pt>
                  <c:pt idx="28">
                    <c:v>2015</c:v>
                  </c:pt>
                  <c:pt idx="32">
                    <c:v>2016</c:v>
                  </c:pt>
                  <c:pt idx="36">
                    <c:v>2017</c:v>
                  </c:pt>
                  <c:pt idx="40">
                    <c:v>2018</c:v>
                  </c:pt>
                </c:lvl>
              </c:multiLvlStrCache>
            </c:multiLvlStrRef>
          </c:cat>
          <c:val>
            <c:numRef>
              <c:f>'House price trends'!$B$8:$CO$8</c:f>
              <c:numCache>
                <c:formatCode>#,##0</c:formatCode>
                <c:ptCount val="44"/>
                <c:pt idx="0">
                  <c:v>224000</c:v>
                </c:pt>
                <c:pt idx="1">
                  <c:v>205000</c:v>
                </c:pt>
                <c:pt idx="2">
                  <c:v>220000</c:v>
                </c:pt>
                <c:pt idx="3">
                  <c:v>200000</c:v>
                </c:pt>
                <c:pt idx="4">
                  <c:v>185000</c:v>
                </c:pt>
                <c:pt idx="5">
                  <c:v>200000</c:v>
                </c:pt>
                <c:pt idx="6">
                  <c:v>210000</c:v>
                </c:pt>
                <c:pt idx="7">
                  <c:v>210000</c:v>
                </c:pt>
                <c:pt idx="8">
                  <c:v>226000</c:v>
                </c:pt>
                <c:pt idx="9">
                  <c:v>225000</c:v>
                </c:pt>
                <c:pt idx="10">
                  <c:v>236000</c:v>
                </c:pt>
                <c:pt idx="11">
                  <c:v>228000</c:v>
                </c:pt>
                <c:pt idx="12">
                  <c:v>215000</c:v>
                </c:pt>
                <c:pt idx="13">
                  <c:v>225000</c:v>
                </c:pt>
                <c:pt idx="14">
                  <c:v>225000</c:v>
                </c:pt>
                <c:pt idx="15">
                  <c:v>222500</c:v>
                </c:pt>
                <c:pt idx="16">
                  <c:v>215000</c:v>
                </c:pt>
                <c:pt idx="17">
                  <c:v>230000</c:v>
                </c:pt>
                <c:pt idx="18">
                  <c:v>238000</c:v>
                </c:pt>
                <c:pt idx="19">
                  <c:v>235000</c:v>
                </c:pt>
                <c:pt idx="20">
                  <c:v>235000</c:v>
                </c:pt>
                <c:pt idx="21">
                  <c:v>235000</c:v>
                </c:pt>
                <c:pt idx="22" formatCode="General">
                  <c:v>241000</c:v>
                </c:pt>
                <c:pt idx="23" formatCode="General">
                  <c:v>243000</c:v>
                </c:pt>
                <c:pt idx="24" formatCode="General">
                  <c:v>245000</c:v>
                </c:pt>
                <c:pt idx="25" formatCode="General">
                  <c:v>249950</c:v>
                </c:pt>
                <c:pt idx="26" formatCode="General">
                  <c:v>266000</c:v>
                </c:pt>
                <c:pt idx="27" formatCode="General">
                  <c:v>260000</c:v>
                </c:pt>
                <c:pt idx="28" formatCode="General">
                  <c:v>270000</c:v>
                </c:pt>
                <c:pt idx="29" formatCode="General">
                  <c:v>279000</c:v>
                </c:pt>
                <c:pt idx="30" formatCode="General">
                  <c:v>290000</c:v>
                </c:pt>
                <c:pt idx="31" formatCode="General">
                  <c:v>290000</c:v>
                </c:pt>
                <c:pt idx="32" formatCode="General">
                  <c:v>288000</c:v>
                </c:pt>
                <c:pt idx="33" formatCode="General">
                  <c:v>308000</c:v>
                </c:pt>
                <c:pt idx="34" formatCode="General">
                  <c:v>320000</c:v>
                </c:pt>
                <c:pt idx="35" formatCode="General">
                  <c:v>315000</c:v>
                </c:pt>
                <c:pt idx="36" formatCode="General">
                  <c:v>300000</c:v>
                </c:pt>
                <c:pt idx="37" formatCode="General">
                  <c:v>305000</c:v>
                </c:pt>
                <c:pt idx="38" formatCode="General">
                  <c:v>325000</c:v>
                </c:pt>
                <c:pt idx="39" formatCode="General">
                  <c:v>320000</c:v>
                </c:pt>
                <c:pt idx="40" formatCode="General">
                  <c:v>315000</c:v>
                </c:pt>
                <c:pt idx="41" formatCode="General">
                  <c:v>312305</c:v>
                </c:pt>
                <c:pt idx="42" formatCode="General">
                  <c:v>326750</c:v>
                </c:pt>
                <c:pt idx="43" formatCode="General">
                  <c:v>326250</c:v>
                </c:pt>
              </c:numCache>
            </c:numRef>
          </c:val>
          <c:smooth val="0"/>
          <c:extLst xmlns:c16r2="http://schemas.microsoft.com/office/drawing/2015/06/chart">
            <c:ext xmlns:c16="http://schemas.microsoft.com/office/drawing/2014/chart" uri="{C3380CC4-5D6E-409C-BE32-E72D297353CC}">
              <c16:uniqueId val="{00000005-8B2A-4D1D-BC68-07CC7A9E4556}"/>
            </c:ext>
          </c:extLst>
        </c:ser>
        <c:ser>
          <c:idx val="6"/>
          <c:order val="6"/>
          <c:tx>
            <c:strRef>
              <c:f>'House price trends'!$A$9</c:f>
              <c:strCache>
                <c:ptCount val="1"/>
                <c:pt idx="0">
                  <c:v>South East</c:v>
                </c:pt>
              </c:strCache>
            </c:strRef>
          </c:tx>
          <c:spPr>
            <a:ln w="28575" cap="rnd">
              <a:solidFill>
                <a:schemeClr val="accent1">
                  <a:lumMod val="60000"/>
                </a:schemeClr>
              </a:solidFill>
              <a:round/>
            </a:ln>
            <a:effectLst/>
          </c:spPr>
          <c:marker>
            <c:symbol val="none"/>
          </c:marker>
          <c:cat>
            <c:multiLvlStrRef>
              <c:f>'House price trends'!$B$1:$CO$2</c:f>
              <c:multiLvlStrCache>
                <c:ptCount val="44"/>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pt idx="17">
                    <c:v>Q2</c:v>
                  </c:pt>
                  <c:pt idx="18">
                    <c:v>Q3</c:v>
                  </c:pt>
                  <c:pt idx="19">
                    <c:v>Q4</c:v>
                  </c:pt>
                  <c:pt idx="20">
                    <c:v>Q1</c:v>
                  </c:pt>
                  <c:pt idx="21">
                    <c:v>Q2</c:v>
                  </c:pt>
                  <c:pt idx="22">
                    <c:v>Q3</c:v>
                  </c:pt>
                  <c:pt idx="23">
                    <c:v>Q4</c:v>
                  </c:pt>
                  <c:pt idx="24">
                    <c:v>Q1</c:v>
                  </c:pt>
                  <c:pt idx="25">
                    <c:v>Q2</c:v>
                  </c:pt>
                  <c:pt idx="26">
                    <c:v>Q3</c:v>
                  </c:pt>
                  <c:pt idx="27">
                    <c:v>Q4</c:v>
                  </c:pt>
                  <c:pt idx="28">
                    <c:v>Q1</c:v>
                  </c:pt>
                  <c:pt idx="29">
                    <c:v>Q2</c:v>
                  </c:pt>
                  <c:pt idx="30">
                    <c:v>Q3</c:v>
                  </c:pt>
                  <c:pt idx="31">
                    <c:v>Q4</c:v>
                  </c:pt>
                  <c:pt idx="32">
                    <c:v>Q1</c:v>
                  </c:pt>
                  <c:pt idx="33">
                    <c:v>Q2</c:v>
                  </c:pt>
                  <c:pt idx="34">
                    <c:v>Q3</c:v>
                  </c:pt>
                  <c:pt idx="35">
                    <c:v>Q4</c:v>
                  </c:pt>
                  <c:pt idx="36">
                    <c:v>Q1</c:v>
                  </c:pt>
                  <c:pt idx="37">
                    <c:v>Q2</c:v>
                  </c:pt>
                  <c:pt idx="38">
                    <c:v>Q3</c:v>
                  </c:pt>
                  <c:pt idx="39">
                    <c:v>Q4</c:v>
                  </c:pt>
                  <c:pt idx="40">
                    <c:v>Q1</c:v>
                  </c:pt>
                  <c:pt idx="41">
                    <c:v>Q2</c:v>
                  </c:pt>
                  <c:pt idx="42">
                    <c:v>Q3</c:v>
                  </c:pt>
                  <c:pt idx="43">
                    <c:v>Q4</c:v>
                  </c:pt>
                </c:lvl>
                <c:lvl>
                  <c:pt idx="0">
                    <c:v>2008</c:v>
                  </c:pt>
                  <c:pt idx="4">
                    <c:v>2009</c:v>
                  </c:pt>
                  <c:pt idx="8">
                    <c:v>2010</c:v>
                  </c:pt>
                  <c:pt idx="12">
                    <c:v>2011</c:v>
                  </c:pt>
                  <c:pt idx="16">
                    <c:v>2012</c:v>
                  </c:pt>
                  <c:pt idx="20">
                    <c:v>2013</c:v>
                  </c:pt>
                  <c:pt idx="24">
                    <c:v>2014</c:v>
                  </c:pt>
                  <c:pt idx="28">
                    <c:v>2015</c:v>
                  </c:pt>
                  <c:pt idx="32">
                    <c:v>2016</c:v>
                  </c:pt>
                  <c:pt idx="36">
                    <c:v>2017</c:v>
                  </c:pt>
                  <c:pt idx="40">
                    <c:v>2018</c:v>
                  </c:pt>
                </c:lvl>
              </c:multiLvlStrCache>
            </c:multiLvlStrRef>
          </c:cat>
          <c:val>
            <c:numRef>
              <c:f>'House price trends'!$B$9:$CO$9</c:f>
              <c:numCache>
                <c:formatCode>#,##0</c:formatCode>
                <c:ptCount val="44"/>
                <c:pt idx="0">
                  <c:v>217000</c:v>
                </c:pt>
                <c:pt idx="1">
                  <c:v>220000</c:v>
                </c:pt>
                <c:pt idx="2">
                  <c:v>220000</c:v>
                </c:pt>
                <c:pt idx="3">
                  <c:v>200000</c:v>
                </c:pt>
                <c:pt idx="4">
                  <c:v>188000</c:v>
                </c:pt>
                <c:pt idx="5">
                  <c:v>199000</c:v>
                </c:pt>
                <c:pt idx="6">
                  <c:v>211500</c:v>
                </c:pt>
                <c:pt idx="7">
                  <c:v>207000</c:v>
                </c:pt>
                <c:pt idx="8">
                  <c:v>227500</c:v>
                </c:pt>
                <c:pt idx="9">
                  <c:v>225000</c:v>
                </c:pt>
                <c:pt idx="10">
                  <c:v>235000</c:v>
                </c:pt>
                <c:pt idx="11">
                  <c:v>225000</c:v>
                </c:pt>
                <c:pt idx="12">
                  <c:v>217000</c:v>
                </c:pt>
                <c:pt idx="13">
                  <c:v>220000</c:v>
                </c:pt>
                <c:pt idx="14">
                  <c:v>228000</c:v>
                </c:pt>
                <c:pt idx="15">
                  <c:v>224000</c:v>
                </c:pt>
                <c:pt idx="16">
                  <c:v>215000</c:v>
                </c:pt>
                <c:pt idx="17">
                  <c:v>230000</c:v>
                </c:pt>
                <c:pt idx="18">
                  <c:v>236000</c:v>
                </c:pt>
                <c:pt idx="20">
                  <c:v>225000</c:v>
                </c:pt>
                <c:pt idx="21">
                  <c:v>232000</c:v>
                </c:pt>
                <c:pt idx="22" formatCode="General">
                  <c:v>240000</c:v>
                </c:pt>
                <c:pt idx="23" formatCode="General">
                  <c:v>239500</c:v>
                </c:pt>
                <c:pt idx="24" formatCode="General">
                  <c:v>237369</c:v>
                </c:pt>
                <c:pt idx="25" formatCode="General">
                  <c:v>245000</c:v>
                </c:pt>
                <c:pt idx="26" formatCode="General">
                  <c:v>250000</c:v>
                </c:pt>
                <c:pt idx="27" formatCode="General">
                  <c:v>250000</c:v>
                </c:pt>
                <c:pt idx="28" formatCode="General">
                  <c:v>250000</c:v>
                </c:pt>
                <c:pt idx="29" formatCode="General">
                  <c:v>265000</c:v>
                </c:pt>
                <c:pt idx="30" formatCode="General">
                  <c:v>280000</c:v>
                </c:pt>
                <c:pt idx="31" formatCode="General">
                  <c:v>280000</c:v>
                </c:pt>
                <c:pt idx="32" formatCode="General">
                  <c:v>275000</c:v>
                </c:pt>
                <c:pt idx="33" formatCode="General">
                  <c:v>295000</c:v>
                </c:pt>
                <c:pt idx="34" formatCode="General">
                  <c:v>301000</c:v>
                </c:pt>
                <c:pt idx="35" formatCode="General">
                  <c:v>300000</c:v>
                </c:pt>
                <c:pt idx="36" formatCode="General">
                  <c:v>308000</c:v>
                </c:pt>
                <c:pt idx="37" formatCode="General">
                  <c:v>315000</c:v>
                </c:pt>
                <c:pt idx="38" formatCode="General">
                  <c:v>325000</c:v>
                </c:pt>
                <c:pt idx="39" formatCode="General">
                  <c:v>320000</c:v>
                </c:pt>
                <c:pt idx="40" formatCode="General">
                  <c:v>310000</c:v>
                </c:pt>
                <c:pt idx="41" formatCode="General">
                  <c:v>317000</c:v>
                </c:pt>
                <c:pt idx="42" formatCode="General">
                  <c:v>322000</c:v>
                </c:pt>
                <c:pt idx="43" formatCode="General">
                  <c:v>320000</c:v>
                </c:pt>
              </c:numCache>
            </c:numRef>
          </c:val>
          <c:smooth val="0"/>
          <c:extLst xmlns:c16r2="http://schemas.microsoft.com/office/drawing/2015/06/chart">
            <c:ext xmlns:c16="http://schemas.microsoft.com/office/drawing/2014/chart" uri="{C3380CC4-5D6E-409C-BE32-E72D297353CC}">
              <c16:uniqueId val="{00000006-8B2A-4D1D-BC68-07CC7A9E4556}"/>
            </c:ext>
          </c:extLst>
        </c:ser>
        <c:ser>
          <c:idx val="7"/>
          <c:order val="7"/>
          <c:tx>
            <c:strRef>
              <c:f>'House price trends'!$A$10</c:f>
              <c:strCache>
                <c:ptCount val="1"/>
                <c:pt idx="0">
                  <c:v>England and Wales</c:v>
                </c:pt>
              </c:strCache>
            </c:strRef>
          </c:tx>
          <c:spPr>
            <a:ln w="28575" cap="rnd">
              <a:solidFill>
                <a:schemeClr val="accent2">
                  <a:lumMod val="60000"/>
                </a:schemeClr>
              </a:solidFill>
              <a:round/>
            </a:ln>
            <a:effectLst/>
          </c:spPr>
          <c:marker>
            <c:symbol val="none"/>
          </c:marker>
          <c:cat>
            <c:multiLvlStrRef>
              <c:f>'House price trends'!$B$1:$CO$2</c:f>
              <c:multiLvlStrCache>
                <c:ptCount val="44"/>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pt idx="17">
                    <c:v>Q2</c:v>
                  </c:pt>
                  <c:pt idx="18">
                    <c:v>Q3</c:v>
                  </c:pt>
                  <c:pt idx="19">
                    <c:v>Q4</c:v>
                  </c:pt>
                  <c:pt idx="20">
                    <c:v>Q1</c:v>
                  </c:pt>
                  <c:pt idx="21">
                    <c:v>Q2</c:v>
                  </c:pt>
                  <c:pt idx="22">
                    <c:v>Q3</c:v>
                  </c:pt>
                  <c:pt idx="23">
                    <c:v>Q4</c:v>
                  </c:pt>
                  <c:pt idx="24">
                    <c:v>Q1</c:v>
                  </c:pt>
                  <c:pt idx="25">
                    <c:v>Q2</c:v>
                  </c:pt>
                  <c:pt idx="26">
                    <c:v>Q3</c:v>
                  </c:pt>
                  <c:pt idx="27">
                    <c:v>Q4</c:v>
                  </c:pt>
                  <c:pt idx="28">
                    <c:v>Q1</c:v>
                  </c:pt>
                  <c:pt idx="29">
                    <c:v>Q2</c:v>
                  </c:pt>
                  <c:pt idx="30">
                    <c:v>Q3</c:v>
                  </c:pt>
                  <c:pt idx="31">
                    <c:v>Q4</c:v>
                  </c:pt>
                  <c:pt idx="32">
                    <c:v>Q1</c:v>
                  </c:pt>
                  <c:pt idx="33">
                    <c:v>Q2</c:v>
                  </c:pt>
                  <c:pt idx="34">
                    <c:v>Q3</c:v>
                  </c:pt>
                  <c:pt idx="35">
                    <c:v>Q4</c:v>
                  </c:pt>
                  <c:pt idx="36">
                    <c:v>Q1</c:v>
                  </c:pt>
                  <c:pt idx="37">
                    <c:v>Q2</c:v>
                  </c:pt>
                  <c:pt idx="38">
                    <c:v>Q3</c:v>
                  </c:pt>
                  <c:pt idx="39">
                    <c:v>Q4</c:v>
                  </c:pt>
                  <c:pt idx="40">
                    <c:v>Q1</c:v>
                  </c:pt>
                  <c:pt idx="41">
                    <c:v>Q2</c:v>
                  </c:pt>
                  <c:pt idx="42">
                    <c:v>Q3</c:v>
                  </c:pt>
                  <c:pt idx="43">
                    <c:v>Q4</c:v>
                  </c:pt>
                </c:lvl>
                <c:lvl>
                  <c:pt idx="0">
                    <c:v>2008</c:v>
                  </c:pt>
                  <c:pt idx="4">
                    <c:v>2009</c:v>
                  </c:pt>
                  <c:pt idx="8">
                    <c:v>2010</c:v>
                  </c:pt>
                  <c:pt idx="12">
                    <c:v>2011</c:v>
                  </c:pt>
                  <c:pt idx="16">
                    <c:v>2012</c:v>
                  </c:pt>
                  <c:pt idx="20">
                    <c:v>2013</c:v>
                  </c:pt>
                  <c:pt idx="24">
                    <c:v>2014</c:v>
                  </c:pt>
                  <c:pt idx="28">
                    <c:v>2015</c:v>
                  </c:pt>
                  <c:pt idx="32">
                    <c:v>2016</c:v>
                  </c:pt>
                  <c:pt idx="36">
                    <c:v>2017</c:v>
                  </c:pt>
                  <c:pt idx="40">
                    <c:v>2018</c:v>
                  </c:pt>
                </c:lvl>
              </c:multiLvlStrCache>
            </c:multiLvlStrRef>
          </c:cat>
          <c:val>
            <c:numRef>
              <c:f>'House price trends'!$B$10:$CO$10</c:f>
              <c:numCache>
                <c:formatCode>#,##0</c:formatCode>
                <c:ptCount val="44"/>
                <c:pt idx="0">
                  <c:v>173500</c:v>
                </c:pt>
                <c:pt idx="1">
                  <c:v>175000</c:v>
                </c:pt>
                <c:pt idx="2">
                  <c:v>173500</c:v>
                </c:pt>
                <c:pt idx="3">
                  <c:v>162000</c:v>
                </c:pt>
                <c:pt idx="4">
                  <c:v>156000</c:v>
                </c:pt>
                <c:pt idx="5">
                  <c:v>162500</c:v>
                </c:pt>
                <c:pt idx="6">
                  <c:v>174950</c:v>
                </c:pt>
                <c:pt idx="7">
                  <c:v>120000</c:v>
                </c:pt>
                <c:pt idx="8">
                  <c:v>182500</c:v>
                </c:pt>
                <c:pt idx="9">
                  <c:v>180000</c:v>
                </c:pt>
                <c:pt idx="10">
                  <c:v>186708.5</c:v>
                </c:pt>
                <c:pt idx="11">
                  <c:v>180000</c:v>
                </c:pt>
                <c:pt idx="12">
                  <c:v>173000</c:v>
                </c:pt>
                <c:pt idx="13">
                  <c:v>175000</c:v>
                </c:pt>
                <c:pt idx="14">
                  <c:v>180000</c:v>
                </c:pt>
                <c:pt idx="15">
                  <c:v>175999</c:v>
                </c:pt>
                <c:pt idx="16">
                  <c:v>175000</c:v>
                </c:pt>
                <c:pt idx="17">
                  <c:v>180000</c:v>
                </c:pt>
                <c:pt idx="18">
                  <c:v>186000</c:v>
                </c:pt>
                <c:pt idx="19">
                  <c:v>180000</c:v>
                </c:pt>
                <c:pt idx="20">
                  <c:v>178500</c:v>
                </c:pt>
                <c:pt idx="21">
                  <c:v>180000</c:v>
                </c:pt>
                <c:pt idx="22" formatCode="General">
                  <c:v>190000</c:v>
                </c:pt>
                <c:pt idx="23" formatCode="General">
                  <c:v>187000</c:v>
                </c:pt>
                <c:pt idx="24" formatCode="General">
                  <c:v>185000</c:v>
                </c:pt>
                <c:pt idx="25" formatCode="General">
                  <c:v>190000</c:v>
                </c:pt>
                <c:pt idx="26" formatCode="General">
                  <c:v>200000</c:v>
                </c:pt>
                <c:pt idx="27" formatCode="General">
                  <c:v>195000</c:v>
                </c:pt>
                <c:pt idx="28" formatCode="General">
                  <c:v>197500</c:v>
                </c:pt>
                <c:pt idx="29" formatCode="General">
                  <c:v>200000</c:v>
                </c:pt>
                <c:pt idx="30" formatCode="General">
                  <c:v>211000</c:v>
                </c:pt>
                <c:pt idx="31" formatCode="General">
                  <c:v>207000</c:v>
                </c:pt>
                <c:pt idx="32" formatCode="General">
                  <c:v>207000</c:v>
                </c:pt>
                <c:pt idx="33" formatCode="General">
                  <c:v>215000</c:v>
                </c:pt>
                <c:pt idx="34" formatCode="General">
                  <c:v>218000</c:v>
                </c:pt>
                <c:pt idx="35" formatCode="General">
                  <c:v>214000</c:v>
                </c:pt>
                <c:pt idx="36" formatCode="&quot;£&quot;#,##0">
                  <c:v>215000</c:v>
                </c:pt>
                <c:pt idx="37" formatCode="&quot;£&quot;#,##0">
                  <c:v>221000</c:v>
                </c:pt>
                <c:pt idx="38" formatCode="&quot;£&quot;#,##0">
                  <c:v>229950</c:v>
                </c:pt>
                <c:pt idx="39" formatCode="&quot;£&quot;#,##0">
                  <c:v>220000</c:v>
                </c:pt>
                <c:pt idx="40" formatCode="General">
                  <c:v>224995</c:v>
                </c:pt>
                <c:pt idx="41" formatCode="General">
                  <c:v>227000</c:v>
                </c:pt>
                <c:pt idx="42" formatCode="General">
                  <c:v>235970</c:v>
                </c:pt>
                <c:pt idx="43" formatCode="General">
                  <c:v>230000</c:v>
                </c:pt>
              </c:numCache>
            </c:numRef>
          </c:val>
          <c:smooth val="0"/>
          <c:extLst xmlns:c16r2="http://schemas.microsoft.com/office/drawing/2015/06/chart">
            <c:ext xmlns:c16="http://schemas.microsoft.com/office/drawing/2014/chart" uri="{C3380CC4-5D6E-409C-BE32-E72D297353CC}">
              <c16:uniqueId val="{00000007-8B2A-4D1D-BC68-07CC7A9E4556}"/>
            </c:ext>
          </c:extLst>
        </c:ser>
        <c:dLbls>
          <c:showLegendKey val="0"/>
          <c:showVal val="0"/>
          <c:showCatName val="0"/>
          <c:showSerName val="0"/>
          <c:showPercent val="0"/>
          <c:showBubbleSize val="0"/>
        </c:dLbls>
        <c:marker val="1"/>
        <c:smooth val="0"/>
        <c:axId val="260660608"/>
        <c:axId val="260674688"/>
      </c:lineChart>
      <c:catAx>
        <c:axId val="260660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60674688"/>
        <c:crosses val="autoZero"/>
        <c:auto val="1"/>
        <c:lblAlgn val="ctr"/>
        <c:lblOffset val="100"/>
        <c:noMultiLvlLbl val="0"/>
      </c:catAx>
      <c:valAx>
        <c:axId val="260674688"/>
        <c:scaling>
          <c:orientation val="minMax"/>
          <c:min val="100000"/>
        </c:scaling>
        <c:delete val="0"/>
        <c:axPos val="l"/>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vert="horz"/>
          <a:lstStyle/>
          <a:p>
            <a:pPr>
              <a:defRPr/>
            </a:pPr>
            <a:endParaRPr lang="en-US"/>
          </a:p>
        </c:txPr>
        <c:crossAx val="260660608"/>
        <c:crosses val="autoZero"/>
        <c:crossBetween val="between"/>
      </c:valAx>
      <c:spPr>
        <a:noFill/>
        <a:ln>
          <a:noFill/>
        </a:ln>
        <a:effectLst/>
      </c:spPr>
    </c:plotArea>
    <c:legend>
      <c:legendPos val="b"/>
      <c:layout>
        <c:manualLayout>
          <c:xMode val="edge"/>
          <c:yMode val="edge"/>
          <c:x val="6.2290729601811992E-2"/>
          <c:y val="0.79493992018121018"/>
          <c:w val="0.92064676616915442"/>
          <c:h val="0.18314227159961169"/>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1200">
          <a:solidFill>
            <a:sysClr val="windowText" lastClr="000000"/>
          </a:solidFill>
          <a:latin typeface="Arial Narrow" panose="020B0606020202030204" pitchFamily="34"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814192831705167"/>
          <c:y val="3.233867411436131E-2"/>
          <c:w val="0.46953442023066616"/>
          <c:h val="0.81790989300090411"/>
        </c:manualLayout>
      </c:layout>
      <c:barChart>
        <c:barDir val="bar"/>
        <c:grouping val="clustered"/>
        <c:varyColors val="0"/>
        <c:ser>
          <c:idx val="1"/>
          <c:order val="0"/>
          <c:tx>
            <c:strRef>
              <c:f>Employment!$B$149</c:f>
              <c:strCache>
                <c:ptCount val="1"/>
                <c:pt idx="0">
                  <c:v>1991</c:v>
                </c:pt>
              </c:strCache>
            </c:strRef>
          </c:tx>
          <c:spPr>
            <a:solidFill>
              <a:schemeClr val="accent2"/>
            </a:solidFill>
            <a:ln>
              <a:noFill/>
            </a:ln>
            <a:effectLst/>
          </c:spPr>
          <c:invertIfNegative val="0"/>
          <c:cat>
            <c:strRef>
              <c:f>Employment!$A$150:$A$168</c:f>
              <c:strCache>
                <c:ptCount val="19"/>
                <c:pt idx="0">
                  <c:v>Agriculture, forestry and fishing</c:v>
                </c:pt>
                <c:pt idx="1">
                  <c:v>Mining and quarrying</c:v>
                </c:pt>
                <c:pt idx="2">
                  <c:v>Manufacturing</c:v>
                </c:pt>
                <c:pt idx="3">
                  <c:v>Electricity, gas, steam and air conditioning supply</c:v>
                </c:pt>
                <c:pt idx="4">
                  <c:v>Water supply; sewerage, waste management and remediation activities</c:v>
                </c:pt>
                <c:pt idx="5">
                  <c:v>Construction</c:v>
                </c:pt>
                <c:pt idx="6">
                  <c:v>Wholesale and retail trade; repair of motor vehicles and motorcycles</c:v>
                </c:pt>
                <c:pt idx="7">
                  <c:v>Transportation and storage</c:v>
                </c:pt>
                <c:pt idx="8">
                  <c:v>Accommodation and food service activities</c:v>
                </c:pt>
                <c:pt idx="9">
                  <c:v>Information and communication</c:v>
                </c:pt>
                <c:pt idx="10">
                  <c:v>Financial and insurance activities</c:v>
                </c:pt>
                <c:pt idx="11">
                  <c:v>Real estate activities</c:v>
                </c:pt>
                <c:pt idx="12">
                  <c:v>Professional, scientific and technical activities</c:v>
                </c:pt>
                <c:pt idx="13">
                  <c:v>Administrative and support service activities</c:v>
                </c:pt>
                <c:pt idx="14">
                  <c:v>Public administration and defence; compulsory social security</c:v>
                </c:pt>
                <c:pt idx="15">
                  <c:v>Education</c:v>
                </c:pt>
                <c:pt idx="16">
                  <c:v>Human health and social work activities</c:v>
                </c:pt>
                <c:pt idx="17">
                  <c:v>Arts, entertainment and recreation</c:v>
                </c:pt>
                <c:pt idx="18">
                  <c:v>Other service activities</c:v>
                </c:pt>
              </c:strCache>
            </c:strRef>
          </c:cat>
          <c:val>
            <c:numRef>
              <c:f>Employment!$B$150:$B$168</c:f>
              <c:numCache>
                <c:formatCode>0.0</c:formatCode>
                <c:ptCount val="19"/>
                <c:pt idx="0">
                  <c:v>3.1743600998611146</c:v>
                </c:pt>
                <c:pt idx="1">
                  <c:v>8.7303791377654608E-2</c:v>
                </c:pt>
                <c:pt idx="2">
                  <c:v>5.4223472489462461</c:v>
                </c:pt>
                <c:pt idx="3">
                  <c:v>0</c:v>
                </c:pt>
                <c:pt idx="4">
                  <c:v>0.18800770313418841</c:v>
                </c:pt>
                <c:pt idx="5">
                  <c:v>4.6872707322939764</c:v>
                </c:pt>
                <c:pt idx="6">
                  <c:v>7.1965785326326683</c:v>
                </c:pt>
                <c:pt idx="7">
                  <c:v>1.5188022477437395</c:v>
                </c:pt>
                <c:pt idx="8">
                  <c:v>3.3997655451924973</c:v>
                </c:pt>
                <c:pt idx="9">
                  <c:v>0.9639738859492375</c:v>
                </c:pt>
                <c:pt idx="10">
                  <c:v>1.008533610151058</c:v>
                </c:pt>
                <c:pt idx="11">
                  <c:v>0.6066874216003163</c:v>
                </c:pt>
                <c:pt idx="12">
                  <c:v>3.9098090470330158</c:v>
                </c:pt>
                <c:pt idx="13">
                  <c:v>2.2719443764123857</c:v>
                </c:pt>
                <c:pt idx="14">
                  <c:v>4.4725541831338811</c:v>
                </c:pt>
                <c:pt idx="15">
                  <c:v>5.321690284337528</c:v>
                </c:pt>
                <c:pt idx="16">
                  <c:v>8.0320338086125957</c:v>
                </c:pt>
                <c:pt idx="17">
                  <c:v>2.2377919733263436</c:v>
                </c:pt>
                <c:pt idx="18">
                  <c:v>1.1958922257875821</c:v>
                </c:pt>
              </c:numCache>
            </c:numRef>
          </c:val>
          <c:extLst xmlns:c16r2="http://schemas.microsoft.com/office/drawing/2015/06/chart">
            <c:ext xmlns:c16="http://schemas.microsoft.com/office/drawing/2014/chart" uri="{C3380CC4-5D6E-409C-BE32-E72D297353CC}">
              <c16:uniqueId val="{00000000-DE5A-43F0-A147-C259E27DDDA2}"/>
            </c:ext>
          </c:extLst>
        </c:ser>
        <c:ser>
          <c:idx val="0"/>
          <c:order val="1"/>
          <c:tx>
            <c:strRef>
              <c:f>Employment!$C$149</c:f>
              <c:strCache>
                <c:ptCount val="1"/>
                <c:pt idx="0">
                  <c:v>2018</c:v>
                </c:pt>
              </c:strCache>
            </c:strRef>
          </c:tx>
          <c:spPr>
            <a:solidFill>
              <a:schemeClr val="accent1"/>
            </a:solidFill>
            <a:ln>
              <a:noFill/>
            </a:ln>
            <a:effectLst/>
          </c:spPr>
          <c:invertIfNegative val="0"/>
          <c:cat>
            <c:strRef>
              <c:f>Employment!$A$150:$A$168</c:f>
              <c:strCache>
                <c:ptCount val="19"/>
                <c:pt idx="0">
                  <c:v>Agriculture, forestry and fishing</c:v>
                </c:pt>
                <c:pt idx="1">
                  <c:v>Mining and quarrying</c:v>
                </c:pt>
                <c:pt idx="2">
                  <c:v>Manufacturing</c:v>
                </c:pt>
                <c:pt idx="3">
                  <c:v>Electricity, gas, steam and air conditioning supply</c:v>
                </c:pt>
                <c:pt idx="4">
                  <c:v>Water supply; sewerage, waste management and remediation activities</c:v>
                </c:pt>
                <c:pt idx="5">
                  <c:v>Construction</c:v>
                </c:pt>
                <c:pt idx="6">
                  <c:v>Wholesale and retail trade; repair of motor vehicles and motorcycles</c:v>
                </c:pt>
                <c:pt idx="7">
                  <c:v>Transportation and storage</c:v>
                </c:pt>
                <c:pt idx="8">
                  <c:v>Accommodation and food service activities</c:v>
                </c:pt>
                <c:pt idx="9">
                  <c:v>Information and communication</c:v>
                </c:pt>
                <c:pt idx="10">
                  <c:v>Financial and insurance activities</c:v>
                </c:pt>
                <c:pt idx="11">
                  <c:v>Real estate activities</c:v>
                </c:pt>
                <c:pt idx="12">
                  <c:v>Professional, scientific and technical activities</c:v>
                </c:pt>
                <c:pt idx="13">
                  <c:v>Administrative and support service activities</c:v>
                </c:pt>
                <c:pt idx="14">
                  <c:v>Public administration and defence; compulsory social security</c:v>
                </c:pt>
                <c:pt idx="15">
                  <c:v>Education</c:v>
                </c:pt>
                <c:pt idx="16">
                  <c:v>Human health and social work activities</c:v>
                </c:pt>
                <c:pt idx="17">
                  <c:v>Arts, entertainment and recreation</c:v>
                </c:pt>
                <c:pt idx="18">
                  <c:v>Other service activities</c:v>
                </c:pt>
              </c:strCache>
            </c:strRef>
          </c:cat>
          <c:val>
            <c:numRef>
              <c:f>Employment!$C$150:$C$168</c:f>
              <c:numCache>
                <c:formatCode>0.0</c:formatCode>
                <c:ptCount val="19"/>
                <c:pt idx="0">
                  <c:v>2.7222847871099103</c:v>
                </c:pt>
                <c:pt idx="1">
                  <c:v>4.1759180421160537E-2</c:v>
                </c:pt>
                <c:pt idx="2">
                  <c:v>5.630897207403585</c:v>
                </c:pt>
                <c:pt idx="3">
                  <c:v>0.12199254394518225</c:v>
                </c:pt>
                <c:pt idx="4">
                  <c:v>0.16593283978788093</c:v>
                </c:pt>
                <c:pt idx="5">
                  <c:v>4.7777475150812663</c:v>
                </c:pt>
                <c:pt idx="6">
                  <c:v>9.4453892679735674</c:v>
                </c:pt>
                <c:pt idx="7">
                  <c:v>1.5406176043520192</c:v>
                </c:pt>
                <c:pt idx="8">
                  <c:v>6.4441794704541344</c:v>
                </c:pt>
                <c:pt idx="9">
                  <c:v>2.0819993230920626</c:v>
                </c:pt>
                <c:pt idx="10">
                  <c:v>1.0845600279182879</c:v>
                </c:pt>
                <c:pt idx="11">
                  <c:v>2.1299043368680497</c:v>
                </c:pt>
                <c:pt idx="12">
                  <c:v>4.937249189565633</c:v>
                </c:pt>
                <c:pt idx="13">
                  <c:v>4.0162311898253726</c:v>
                </c:pt>
                <c:pt idx="14">
                  <c:v>4.483472724242719</c:v>
                </c:pt>
                <c:pt idx="15">
                  <c:v>6.7031905773429274</c:v>
                </c:pt>
                <c:pt idx="16">
                  <c:v>9.7123602401345348</c:v>
                </c:pt>
                <c:pt idx="17">
                  <c:v>3.1187356050216124</c:v>
                </c:pt>
                <c:pt idx="18">
                  <c:v>2.2209934923765227</c:v>
                </c:pt>
              </c:numCache>
            </c:numRef>
          </c:val>
          <c:extLst xmlns:c16r2="http://schemas.microsoft.com/office/drawing/2015/06/chart">
            <c:ext xmlns:c16="http://schemas.microsoft.com/office/drawing/2014/chart" uri="{C3380CC4-5D6E-409C-BE32-E72D297353CC}">
              <c16:uniqueId val="{00000001-DE5A-43F0-A147-C259E27DDDA2}"/>
            </c:ext>
          </c:extLst>
        </c:ser>
        <c:dLbls>
          <c:showLegendKey val="0"/>
          <c:showVal val="0"/>
          <c:showCatName val="0"/>
          <c:showSerName val="0"/>
          <c:showPercent val="0"/>
          <c:showBubbleSize val="0"/>
        </c:dLbls>
        <c:gapWidth val="182"/>
        <c:axId val="283722112"/>
        <c:axId val="283723648"/>
      </c:barChart>
      <c:catAx>
        <c:axId val="283722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en-US"/>
          </a:p>
        </c:txPr>
        <c:crossAx val="283723648"/>
        <c:crosses val="autoZero"/>
        <c:auto val="1"/>
        <c:lblAlgn val="ctr"/>
        <c:lblOffset val="100"/>
        <c:noMultiLvlLbl val="0"/>
      </c:catAx>
      <c:valAx>
        <c:axId val="283723648"/>
        <c:scaling>
          <c:orientation val="minMax"/>
          <c:max val="10"/>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en-GB"/>
                  <a:t>Employment (000's)</a:t>
                </a:r>
              </a:p>
            </c:rich>
          </c:tx>
          <c:layout>
            <c:manualLayout>
              <c:xMode val="edge"/>
              <c:yMode val="edge"/>
              <c:x val="0.5726857836800251"/>
              <c:y val="0.92428502513516586"/>
            </c:manualLayout>
          </c:layout>
          <c:overlay val="0"/>
        </c:title>
        <c:numFmt formatCode="0.0" sourceLinked="1"/>
        <c:majorTickMark val="none"/>
        <c:minorTickMark val="none"/>
        <c:tickLblPos val="nextTo"/>
        <c:spPr>
          <a:noFill/>
          <a:ln>
            <a:noFill/>
          </a:ln>
          <a:effectLst/>
        </c:spPr>
        <c:txPr>
          <a:bodyPr rot="-60000000" vert="horz"/>
          <a:lstStyle/>
          <a:p>
            <a:pPr>
              <a:defRPr/>
            </a:pPr>
            <a:endParaRPr lang="en-US"/>
          </a:p>
        </c:txPr>
        <c:crossAx val="283722112"/>
        <c:crosses val="autoZero"/>
        <c:crossBetween val="between"/>
      </c:valAx>
      <c:spPr>
        <a:noFill/>
        <a:ln>
          <a:noFill/>
        </a:ln>
        <a:effectLst/>
      </c:spPr>
    </c:plotArea>
    <c:legend>
      <c:legendPos val="r"/>
      <c:layout>
        <c:manualLayout>
          <c:xMode val="edge"/>
          <c:yMode val="edge"/>
          <c:x val="0.81377217629953935"/>
          <c:y val="1.6148216196694053E-2"/>
          <c:w val="0.14344757956815779"/>
          <c:h val="9.8209085402786209E-2"/>
        </c:manualLayout>
      </c:layout>
      <c:overlay val="0"/>
      <c:spPr>
        <a:no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1200" b="0">
          <a:solidFill>
            <a:sysClr val="windowText" lastClr="000000"/>
          </a:solidFill>
          <a:latin typeface="Arial Narrow" panose="020B0606020202030204" pitchFamily="34"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58719356060392"/>
          <c:y val="2.8589993502274202E-2"/>
          <c:w val="0.48980766748418741"/>
          <c:h val="0.85624922615667198"/>
        </c:manualLayout>
      </c:layout>
      <c:barChart>
        <c:barDir val="bar"/>
        <c:grouping val="clustered"/>
        <c:varyColors val="0"/>
        <c:ser>
          <c:idx val="0"/>
          <c:order val="0"/>
          <c:tx>
            <c:strRef>
              <c:f>LQ!$M$8</c:f>
              <c:strCache>
                <c:ptCount val="1"/>
                <c:pt idx="0">
                  <c:v>Chichester District vs SE</c:v>
                </c:pt>
              </c:strCache>
            </c:strRef>
          </c:tx>
          <c:spPr>
            <a:solidFill>
              <a:schemeClr val="accent1"/>
            </a:solidFill>
            <a:ln>
              <a:noFill/>
            </a:ln>
            <a:effectLst/>
          </c:spPr>
          <c:invertIfNegative val="0"/>
          <c:cat>
            <c:strRef>
              <c:f>LQ!$H$10:$H$27</c:f>
              <c:strCache>
                <c:ptCount val="18"/>
                <c:pt idx="0">
                  <c:v>Agriculture, forestry and fishing</c:v>
                </c:pt>
                <c:pt idx="1">
                  <c:v>Mining and quarrying</c:v>
                </c:pt>
                <c:pt idx="2">
                  <c:v>Manufacturing</c:v>
                </c:pt>
                <c:pt idx="3">
                  <c:v>Electricity, gas, steam and air conditioning supply</c:v>
                </c:pt>
                <c:pt idx="4">
                  <c:v>Water supply; sewerage, waste management and remediation activities</c:v>
                </c:pt>
                <c:pt idx="5">
                  <c:v>Construction</c:v>
                </c:pt>
                <c:pt idx="6">
                  <c:v>Wholesale and retail trade; repair of motor vehicles and motorcycles</c:v>
                </c:pt>
                <c:pt idx="7">
                  <c:v>Transportation and storage</c:v>
                </c:pt>
                <c:pt idx="8">
                  <c:v>Accommodation and food service activities</c:v>
                </c:pt>
                <c:pt idx="9">
                  <c:v>Information and communication</c:v>
                </c:pt>
                <c:pt idx="10">
                  <c:v>Financial and insurance activities</c:v>
                </c:pt>
                <c:pt idx="11">
                  <c:v>Real estate activities</c:v>
                </c:pt>
                <c:pt idx="12">
                  <c:v>Professional, scientific and technical activities</c:v>
                </c:pt>
                <c:pt idx="13">
                  <c:v>Administrative and support service activities</c:v>
                </c:pt>
                <c:pt idx="14">
                  <c:v>Public administration and defence; compulsory social security</c:v>
                </c:pt>
                <c:pt idx="15">
                  <c:v>Education</c:v>
                </c:pt>
                <c:pt idx="16">
                  <c:v>Human health and social work activities</c:v>
                </c:pt>
                <c:pt idx="17">
                  <c:v>Arts, entertainment and recreation</c:v>
                </c:pt>
              </c:strCache>
            </c:strRef>
          </c:cat>
          <c:val>
            <c:numRef>
              <c:f>LQ!$M$10:$M$27</c:f>
              <c:numCache>
                <c:formatCode>_(* #,##0.00_);_(* \(#,##0.00\);_(* "-"??_);_(@_)</c:formatCode>
                <c:ptCount val="18"/>
                <c:pt idx="0">
                  <c:v>3.5497465285430905</c:v>
                </c:pt>
                <c:pt idx="1">
                  <c:v>0.19478955007256896</c:v>
                </c:pt>
                <c:pt idx="2">
                  <c:v>0.97949204495694076</c:v>
                </c:pt>
                <c:pt idx="3">
                  <c:v>0.80655048076923075</c:v>
                </c:pt>
                <c:pt idx="4">
                  <c:v>1.0262272518733753</c:v>
                </c:pt>
                <c:pt idx="5">
                  <c:v>0.84085624782457369</c:v>
                </c:pt>
                <c:pt idx="6">
                  <c:v>0.98674754158625133</c:v>
                </c:pt>
                <c:pt idx="7">
                  <c:v>0.39646106581590457</c:v>
                </c:pt>
                <c:pt idx="8">
                  <c:v>1.2363887609396593</c:v>
                </c:pt>
                <c:pt idx="9">
                  <c:v>0.61925383956232294</c:v>
                </c:pt>
                <c:pt idx="10">
                  <c:v>0.56662163303217095</c:v>
                </c:pt>
                <c:pt idx="11">
                  <c:v>1.3978128254724</c:v>
                </c:pt>
                <c:pt idx="12">
                  <c:v>0.85074958004500656</c:v>
                </c:pt>
                <c:pt idx="13">
                  <c:v>0.76535927005449245</c:v>
                </c:pt>
                <c:pt idx="14">
                  <c:v>1.4032412247946229</c:v>
                </c:pt>
                <c:pt idx="15">
                  <c:v>1.2470564810513041</c:v>
                </c:pt>
                <c:pt idx="16">
                  <c:v>1.1100909842845328</c:v>
                </c:pt>
                <c:pt idx="17">
                  <c:v>1.3584008097165992</c:v>
                </c:pt>
              </c:numCache>
            </c:numRef>
          </c:val>
          <c:extLst xmlns:c16r2="http://schemas.microsoft.com/office/drawing/2015/06/chart">
            <c:ext xmlns:c16="http://schemas.microsoft.com/office/drawing/2014/chart" uri="{C3380CC4-5D6E-409C-BE32-E72D297353CC}">
              <c16:uniqueId val="{00000000-E3DF-4A73-8213-4B1F00E81CB1}"/>
            </c:ext>
          </c:extLst>
        </c:ser>
        <c:ser>
          <c:idx val="1"/>
          <c:order val="1"/>
          <c:tx>
            <c:strRef>
              <c:f>LQ!$N$8</c:f>
              <c:strCache>
                <c:ptCount val="1"/>
                <c:pt idx="0">
                  <c:v>Chichester District vs UK</c:v>
                </c:pt>
              </c:strCache>
            </c:strRef>
          </c:tx>
          <c:spPr>
            <a:solidFill>
              <a:schemeClr val="accent2"/>
            </a:solidFill>
            <a:ln>
              <a:noFill/>
            </a:ln>
            <a:effectLst/>
          </c:spPr>
          <c:invertIfNegative val="0"/>
          <c:cat>
            <c:strRef>
              <c:f>LQ!$H$10:$H$27</c:f>
              <c:strCache>
                <c:ptCount val="18"/>
                <c:pt idx="0">
                  <c:v>Agriculture, forestry and fishing</c:v>
                </c:pt>
                <c:pt idx="1">
                  <c:v>Mining and quarrying</c:v>
                </c:pt>
                <c:pt idx="2">
                  <c:v>Manufacturing</c:v>
                </c:pt>
                <c:pt idx="3">
                  <c:v>Electricity, gas, steam and air conditioning supply</c:v>
                </c:pt>
                <c:pt idx="4">
                  <c:v>Water supply; sewerage, waste management and remediation activities</c:v>
                </c:pt>
                <c:pt idx="5">
                  <c:v>Construction</c:v>
                </c:pt>
                <c:pt idx="6">
                  <c:v>Wholesale and retail trade; repair of motor vehicles and motorcycles</c:v>
                </c:pt>
                <c:pt idx="7">
                  <c:v>Transportation and storage</c:v>
                </c:pt>
                <c:pt idx="8">
                  <c:v>Accommodation and food service activities</c:v>
                </c:pt>
                <c:pt idx="9">
                  <c:v>Information and communication</c:v>
                </c:pt>
                <c:pt idx="10">
                  <c:v>Financial and insurance activities</c:v>
                </c:pt>
                <c:pt idx="11">
                  <c:v>Real estate activities</c:v>
                </c:pt>
                <c:pt idx="12">
                  <c:v>Professional, scientific and technical activities</c:v>
                </c:pt>
                <c:pt idx="13">
                  <c:v>Administrative and support service activities</c:v>
                </c:pt>
                <c:pt idx="14">
                  <c:v>Public administration and defence; compulsory social security</c:v>
                </c:pt>
                <c:pt idx="15">
                  <c:v>Education</c:v>
                </c:pt>
                <c:pt idx="16">
                  <c:v>Human health and social work activities</c:v>
                </c:pt>
                <c:pt idx="17">
                  <c:v>Arts, entertainment and recreation</c:v>
                </c:pt>
              </c:strCache>
            </c:strRef>
          </c:cat>
          <c:val>
            <c:numRef>
              <c:f>LQ!$N$10:$N$27</c:f>
              <c:numCache>
                <c:formatCode>_(* #,##0.00_);_(* \(#,##0.00\);_(* "-"??_);_(@_)</c:formatCode>
                <c:ptCount val="18"/>
                <c:pt idx="0">
                  <c:v>3.6623931623931627</c:v>
                </c:pt>
                <c:pt idx="1">
                  <c:v>0.19776923076923078</c:v>
                </c:pt>
                <c:pt idx="2">
                  <c:v>1.2391555812608444</c:v>
                </c:pt>
                <c:pt idx="3">
                  <c:v>0.72923757658270938</c:v>
                </c:pt>
                <c:pt idx="4">
                  <c:v>0.8860628618693136</c:v>
                </c:pt>
                <c:pt idx="5">
                  <c:v>0.74912587412587417</c:v>
                </c:pt>
                <c:pt idx="6">
                  <c:v>0.96238068500842233</c:v>
                </c:pt>
                <c:pt idx="7">
                  <c:v>0.42042778649921508</c:v>
                </c:pt>
                <c:pt idx="8">
                  <c:v>1.2556776556776559</c:v>
                </c:pt>
                <c:pt idx="9">
                  <c:v>0.48472850678733037</c:v>
                </c:pt>
                <c:pt idx="10">
                  <c:v>0.68669871794871795</c:v>
                </c:pt>
                <c:pt idx="11">
                  <c:v>1.7218714121699199</c:v>
                </c:pt>
                <c:pt idx="12">
                  <c:v>0.85171934009143313</c:v>
                </c:pt>
                <c:pt idx="13">
                  <c:v>0.78897299509001639</c:v>
                </c:pt>
                <c:pt idx="14">
                  <c:v>1.7748520710059172</c:v>
                </c:pt>
                <c:pt idx="15">
                  <c:v>1.114641397250093</c:v>
                </c:pt>
                <c:pt idx="16">
                  <c:v>1.1069173363949485</c:v>
                </c:pt>
                <c:pt idx="17">
                  <c:v>1.2677514792899409</c:v>
                </c:pt>
              </c:numCache>
            </c:numRef>
          </c:val>
          <c:extLst xmlns:c16r2="http://schemas.microsoft.com/office/drawing/2015/06/chart">
            <c:ext xmlns:c16="http://schemas.microsoft.com/office/drawing/2014/chart" uri="{C3380CC4-5D6E-409C-BE32-E72D297353CC}">
              <c16:uniqueId val="{00000001-E3DF-4A73-8213-4B1F00E81CB1}"/>
            </c:ext>
          </c:extLst>
        </c:ser>
        <c:dLbls>
          <c:showLegendKey val="0"/>
          <c:showVal val="0"/>
          <c:showCatName val="0"/>
          <c:showSerName val="0"/>
          <c:showPercent val="0"/>
          <c:showBubbleSize val="0"/>
        </c:dLbls>
        <c:gapWidth val="182"/>
        <c:axId val="283758976"/>
        <c:axId val="283760512"/>
      </c:barChart>
      <c:catAx>
        <c:axId val="28375897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sz="900"/>
            </a:pPr>
            <a:endParaRPr lang="en-US"/>
          </a:p>
        </c:txPr>
        <c:crossAx val="283760512"/>
        <c:crossesAt val="1"/>
        <c:auto val="1"/>
        <c:lblAlgn val="ctr"/>
        <c:lblOffset val="100"/>
        <c:noMultiLvlLbl val="0"/>
      </c:catAx>
      <c:valAx>
        <c:axId val="283760512"/>
        <c:scaling>
          <c:orientation val="minMax"/>
          <c:max val="4"/>
          <c:min val="0"/>
        </c:scaling>
        <c:delete val="0"/>
        <c:axPos val="b"/>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vert="horz"/>
          <a:lstStyle/>
          <a:p>
            <a:pPr>
              <a:defRPr/>
            </a:pPr>
            <a:endParaRPr lang="en-US"/>
          </a:p>
        </c:txPr>
        <c:crossAx val="283758976"/>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1100">
          <a:solidFill>
            <a:sysClr val="windowText" lastClr="000000"/>
          </a:solidFill>
          <a:latin typeface="Arial Narrow" panose="020B0606020202030204" pitchFamily="34"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'Enterprise by Size'!$G$10</c:f>
              <c:strCache>
                <c:ptCount val="1"/>
                <c:pt idx="0">
                  <c:v>Micro (0 to 9)</c:v>
                </c:pt>
              </c:strCache>
            </c:strRef>
          </c:tx>
          <c:spPr>
            <a:solidFill>
              <a:schemeClr val="accent1"/>
            </a:solidFill>
            <a:ln>
              <a:noFill/>
            </a:ln>
            <a:effectLst/>
          </c:spPr>
          <c:invertIfNegative val="0"/>
          <c:cat>
            <c:strRef>
              <c:f>'Enterprise by Size'!$H$9:$K$9</c:f>
              <c:strCache>
                <c:ptCount val="4"/>
                <c:pt idx="0">
                  <c:v>Chichester</c:v>
                </c:pt>
                <c:pt idx="1">
                  <c:v>West Sussex</c:v>
                </c:pt>
                <c:pt idx="2">
                  <c:v>South East</c:v>
                </c:pt>
                <c:pt idx="3">
                  <c:v>England</c:v>
                </c:pt>
              </c:strCache>
            </c:strRef>
          </c:cat>
          <c:val>
            <c:numRef>
              <c:f>'Enterprise by Size'!$H$10:$K$10</c:f>
              <c:numCache>
                <c:formatCode>0%</c:formatCode>
                <c:ptCount val="4"/>
                <c:pt idx="0">
                  <c:v>0.89985052316890879</c:v>
                </c:pt>
                <c:pt idx="1">
                  <c:v>0.89681774349083898</c:v>
                </c:pt>
                <c:pt idx="2">
                  <c:v>0.89948214705046281</c:v>
                </c:pt>
                <c:pt idx="3">
                  <c:v>0.89466622951951202</c:v>
                </c:pt>
              </c:numCache>
            </c:numRef>
          </c:val>
          <c:extLst xmlns:c16r2="http://schemas.microsoft.com/office/drawing/2015/06/chart">
            <c:ext xmlns:c16="http://schemas.microsoft.com/office/drawing/2014/chart" uri="{C3380CC4-5D6E-409C-BE32-E72D297353CC}">
              <c16:uniqueId val="{00000000-1DB3-4160-A254-DF9870E08FCB}"/>
            </c:ext>
          </c:extLst>
        </c:ser>
        <c:ser>
          <c:idx val="1"/>
          <c:order val="1"/>
          <c:tx>
            <c:strRef>
              <c:f>'Enterprise by Size'!$G$11</c:f>
              <c:strCache>
                <c:ptCount val="1"/>
                <c:pt idx="0">
                  <c:v>Small (10 to 49)</c:v>
                </c:pt>
              </c:strCache>
            </c:strRef>
          </c:tx>
          <c:spPr>
            <a:solidFill>
              <a:schemeClr val="accent2"/>
            </a:solidFill>
            <a:ln>
              <a:noFill/>
            </a:ln>
            <a:effectLst/>
          </c:spPr>
          <c:invertIfNegative val="0"/>
          <c:cat>
            <c:strRef>
              <c:f>'Enterprise by Size'!$H$9:$K$9</c:f>
              <c:strCache>
                <c:ptCount val="4"/>
                <c:pt idx="0">
                  <c:v>Chichester</c:v>
                </c:pt>
                <c:pt idx="1">
                  <c:v>West Sussex</c:v>
                </c:pt>
                <c:pt idx="2">
                  <c:v>South East</c:v>
                </c:pt>
                <c:pt idx="3">
                  <c:v>England</c:v>
                </c:pt>
              </c:strCache>
            </c:strRef>
          </c:cat>
          <c:val>
            <c:numRef>
              <c:f>'Enterprise by Size'!$H$11:$K$11</c:f>
              <c:numCache>
                <c:formatCode>0%</c:formatCode>
                <c:ptCount val="4"/>
                <c:pt idx="0">
                  <c:v>8.3707025411061287E-2</c:v>
                </c:pt>
                <c:pt idx="1">
                  <c:v>8.5686733709877394E-2</c:v>
                </c:pt>
                <c:pt idx="2">
                  <c:v>8.179357565720359E-2</c:v>
                </c:pt>
                <c:pt idx="3">
                  <c:v>8.5905886819150498E-2</c:v>
                </c:pt>
              </c:numCache>
            </c:numRef>
          </c:val>
          <c:extLst xmlns:c16r2="http://schemas.microsoft.com/office/drawing/2015/06/chart">
            <c:ext xmlns:c16="http://schemas.microsoft.com/office/drawing/2014/chart" uri="{C3380CC4-5D6E-409C-BE32-E72D297353CC}">
              <c16:uniqueId val="{00000001-1DB3-4160-A254-DF9870E08FCB}"/>
            </c:ext>
          </c:extLst>
        </c:ser>
        <c:ser>
          <c:idx val="2"/>
          <c:order val="2"/>
          <c:tx>
            <c:strRef>
              <c:f>'Enterprise by Size'!$G$12</c:f>
              <c:strCache>
                <c:ptCount val="1"/>
                <c:pt idx="0">
                  <c:v>Medium-sized (50 to 249)</c:v>
                </c:pt>
              </c:strCache>
            </c:strRef>
          </c:tx>
          <c:spPr>
            <a:solidFill>
              <a:schemeClr val="accent3"/>
            </a:solidFill>
            <a:ln>
              <a:noFill/>
            </a:ln>
            <a:effectLst/>
          </c:spPr>
          <c:invertIfNegative val="0"/>
          <c:cat>
            <c:strRef>
              <c:f>'Enterprise by Size'!$H$9:$K$9</c:f>
              <c:strCache>
                <c:ptCount val="4"/>
                <c:pt idx="0">
                  <c:v>Chichester</c:v>
                </c:pt>
                <c:pt idx="1">
                  <c:v>West Sussex</c:v>
                </c:pt>
                <c:pt idx="2">
                  <c:v>South East</c:v>
                </c:pt>
                <c:pt idx="3">
                  <c:v>England</c:v>
                </c:pt>
              </c:strCache>
            </c:strRef>
          </c:cat>
          <c:val>
            <c:numRef>
              <c:f>'Enterprise by Size'!$H$12:$K$12</c:f>
              <c:numCache>
                <c:formatCode>0%</c:formatCode>
                <c:ptCount val="4"/>
                <c:pt idx="0">
                  <c:v>1.3452914798206279E-2</c:v>
                </c:pt>
                <c:pt idx="1">
                  <c:v>1.4189282270285163E-2</c:v>
                </c:pt>
                <c:pt idx="2">
                  <c:v>1.491762553917267E-2</c:v>
                </c:pt>
                <c:pt idx="3">
                  <c:v>1.5551797623875136E-2</c:v>
                </c:pt>
              </c:numCache>
            </c:numRef>
          </c:val>
          <c:extLst xmlns:c16r2="http://schemas.microsoft.com/office/drawing/2015/06/chart">
            <c:ext xmlns:c16="http://schemas.microsoft.com/office/drawing/2014/chart" uri="{C3380CC4-5D6E-409C-BE32-E72D297353CC}">
              <c16:uniqueId val="{00000002-1DB3-4160-A254-DF9870E08FCB}"/>
            </c:ext>
          </c:extLst>
        </c:ser>
        <c:ser>
          <c:idx val="3"/>
          <c:order val="3"/>
          <c:tx>
            <c:strRef>
              <c:f>'Enterprise by Size'!$G$13</c:f>
              <c:strCache>
                <c:ptCount val="1"/>
                <c:pt idx="0">
                  <c:v>Large (250+)</c:v>
                </c:pt>
              </c:strCache>
            </c:strRef>
          </c:tx>
          <c:spPr>
            <a:solidFill>
              <a:schemeClr val="accent4"/>
            </a:solidFill>
            <a:ln>
              <a:noFill/>
            </a:ln>
            <a:effectLst/>
          </c:spPr>
          <c:invertIfNegative val="0"/>
          <c:cat>
            <c:strRef>
              <c:f>'Enterprise by Size'!$H$9:$K$9</c:f>
              <c:strCache>
                <c:ptCount val="4"/>
                <c:pt idx="0">
                  <c:v>Chichester</c:v>
                </c:pt>
                <c:pt idx="1">
                  <c:v>West Sussex</c:v>
                </c:pt>
                <c:pt idx="2">
                  <c:v>South East</c:v>
                </c:pt>
                <c:pt idx="3">
                  <c:v>England</c:v>
                </c:pt>
              </c:strCache>
            </c:strRef>
          </c:cat>
          <c:val>
            <c:numRef>
              <c:f>'Enterprise by Size'!$H$13:$K$13</c:f>
              <c:numCache>
                <c:formatCode>0%</c:formatCode>
                <c:ptCount val="4"/>
                <c:pt idx="0">
                  <c:v>2.9895366218236174E-3</c:v>
                </c:pt>
                <c:pt idx="1">
                  <c:v>3.3062405289984846E-3</c:v>
                </c:pt>
                <c:pt idx="2">
                  <c:v>3.7942924942220464E-3</c:v>
                </c:pt>
                <c:pt idx="3">
                  <c:v>3.8760860374623608E-3</c:v>
                </c:pt>
              </c:numCache>
            </c:numRef>
          </c:val>
          <c:extLst xmlns:c16r2="http://schemas.microsoft.com/office/drawing/2015/06/chart">
            <c:ext xmlns:c16="http://schemas.microsoft.com/office/drawing/2014/chart" uri="{C3380CC4-5D6E-409C-BE32-E72D297353CC}">
              <c16:uniqueId val="{00000003-1DB3-4160-A254-DF9870E08FCB}"/>
            </c:ext>
          </c:extLst>
        </c:ser>
        <c:dLbls>
          <c:showLegendKey val="0"/>
          <c:showVal val="0"/>
          <c:showCatName val="0"/>
          <c:showSerName val="0"/>
          <c:showPercent val="0"/>
          <c:showBubbleSize val="0"/>
        </c:dLbls>
        <c:gapWidth val="150"/>
        <c:overlap val="100"/>
        <c:axId val="284313856"/>
        <c:axId val="284332032"/>
      </c:barChart>
      <c:catAx>
        <c:axId val="284313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84332032"/>
        <c:crosses val="autoZero"/>
        <c:auto val="1"/>
        <c:lblAlgn val="ctr"/>
        <c:lblOffset val="100"/>
        <c:noMultiLvlLbl val="0"/>
      </c:catAx>
      <c:valAx>
        <c:axId val="284332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284313856"/>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1200">
          <a:solidFill>
            <a:sysClr val="windowText" lastClr="000000"/>
          </a:solidFill>
          <a:latin typeface="Arial Narrow" panose="020B0606020202030204" pitchFamily="34"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273535685922553E-2"/>
          <c:y val="4.8511576626240352E-2"/>
          <c:w val="0.74359715381574587"/>
          <c:h val="0.85349503858875408"/>
        </c:manualLayout>
      </c:layout>
      <c:barChart>
        <c:barDir val="col"/>
        <c:grouping val="clustered"/>
        <c:varyColors val="0"/>
        <c:ser>
          <c:idx val="0"/>
          <c:order val="0"/>
          <c:tx>
            <c:strRef>
              <c:f>'Annual Population Survey Graphs'!$B$27</c:f>
              <c:strCache>
                <c:ptCount val="1"/>
                <c:pt idx="0">
                  <c:v>Chichester</c:v>
                </c:pt>
              </c:strCache>
            </c:strRef>
          </c:tx>
          <c:spPr>
            <a:solidFill>
              <a:schemeClr val="accent1"/>
            </a:solidFill>
            <a:ln>
              <a:noFill/>
            </a:ln>
            <a:effectLst/>
          </c:spPr>
          <c:invertIfNegative val="0"/>
          <c:cat>
            <c:strRef>
              <c:f>'Annual Population Survey Graphs'!$A$28:$A$36</c:f>
              <c:strCache>
                <c:ptCount val="3"/>
                <c:pt idx="0">
                  <c:v>Employment (16-64)</c:v>
                </c:pt>
                <c:pt idx="1">
                  <c:v>Economic activity (16-64)</c:v>
                </c:pt>
                <c:pt idx="2">
                  <c:v>Unemployment (16-64)</c:v>
                </c:pt>
              </c:strCache>
            </c:strRef>
          </c:cat>
          <c:val>
            <c:numRef>
              <c:f>'Annual Population Survey Graphs'!$B$28:$B$36</c:f>
              <c:numCache>
                <c:formatCode>#,##0.0</c:formatCode>
                <c:ptCount val="3"/>
                <c:pt idx="0">
                  <c:v>85.2</c:v>
                </c:pt>
                <c:pt idx="1">
                  <c:v>88.4</c:v>
                </c:pt>
                <c:pt idx="2">
                  <c:v>3.7</c:v>
                </c:pt>
              </c:numCache>
            </c:numRef>
          </c:val>
          <c:extLst xmlns:c16r2="http://schemas.microsoft.com/office/drawing/2015/06/chart">
            <c:ext xmlns:c16="http://schemas.microsoft.com/office/drawing/2014/chart" uri="{C3380CC4-5D6E-409C-BE32-E72D297353CC}">
              <c16:uniqueId val="{00000000-B65A-4D42-AC74-6113130A1B80}"/>
            </c:ext>
          </c:extLst>
        </c:ser>
        <c:ser>
          <c:idx val="1"/>
          <c:order val="1"/>
          <c:tx>
            <c:strRef>
              <c:f>'Annual Population Survey Graphs'!$C$27</c:f>
              <c:strCache>
                <c:ptCount val="1"/>
                <c:pt idx="0">
                  <c:v>West Sussex</c:v>
                </c:pt>
              </c:strCache>
            </c:strRef>
          </c:tx>
          <c:spPr>
            <a:solidFill>
              <a:schemeClr val="accent2"/>
            </a:solidFill>
            <a:ln>
              <a:noFill/>
            </a:ln>
            <a:effectLst/>
          </c:spPr>
          <c:invertIfNegative val="0"/>
          <c:cat>
            <c:strRef>
              <c:f>'Annual Population Survey Graphs'!$A$28:$A$36</c:f>
              <c:strCache>
                <c:ptCount val="3"/>
                <c:pt idx="0">
                  <c:v>Employment (16-64)</c:v>
                </c:pt>
                <c:pt idx="1">
                  <c:v>Economic activity (16-64)</c:v>
                </c:pt>
                <c:pt idx="2">
                  <c:v>Unemployment (16-64)</c:v>
                </c:pt>
              </c:strCache>
            </c:strRef>
          </c:cat>
          <c:val>
            <c:numRef>
              <c:f>'Annual Population Survey Graphs'!$C$28:$C$36</c:f>
              <c:numCache>
                <c:formatCode>#,##0.0</c:formatCode>
                <c:ptCount val="3"/>
                <c:pt idx="0">
                  <c:v>80.099999999999994</c:v>
                </c:pt>
                <c:pt idx="1">
                  <c:v>82.7</c:v>
                </c:pt>
                <c:pt idx="2">
                  <c:v>3.2</c:v>
                </c:pt>
              </c:numCache>
            </c:numRef>
          </c:val>
          <c:extLst xmlns:c16r2="http://schemas.microsoft.com/office/drawing/2015/06/chart">
            <c:ext xmlns:c16="http://schemas.microsoft.com/office/drawing/2014/chart" uri="{C3380CC4-5D6E-409C-BE32-E72D297353CC}">
              <c16:uniqueId val="{00000001-B65A-4D42-AC74-6113130A1B80}"/>
            </c:ext>
          </c:extLst>
        </c:ser>
        <c:ser>
          <c:idx val="2"/>
          <c:order val="2"/>
          <c:tx>
            <c:strRef>
              <c:f>'Annual Population Survey Graphs'!$D$27</c:f>
              <c:strCache>
                <c:ptCount val="1"/>
                <c:pt idx="0">
                  <c:v>South East</c:v>
                </c:pt>
              </c:strCache>
            </c:strRef>
          </c:tx>
          <c:spPr>
            <a:solidFill>
              <a:schemeClr val="accent3"/>
            </a:solidFill>
            <a:ln>
              <a:noFill/>
            </a:ln>
            <a:effectLst/>
          </c:spPr>
          <c:invertIfNegative val="0"/>
          <c:cat>
            <c:strRef>
              <c:f>'Annual Population Survey Graphs'!$A$28:$A$36</c:f>
              <c:strCache>
                <c:ptCount val="3"/>
                <c:pt idx="0">
                  <c:v>Employment (16-64)</c:v>
                </c:pt>
                <c:pt idx="1">
                  <c:v>Economic activity (16-64)</c:v>
                </c:pt>
                <c:pt idx="2">
                  <c:v>Unemployment (16-64)</c:v>
                </c:pt>
              </c:strCache>
            </c:strRef>
          </c:cat>
          <c:val>
            <c:numRef>
              <c:f>'Annual Population Survey Graphs'!$D$28:$D$36</c:f>
              <c:numCache>
                <c:formatCode>#,##0.0</c:formatCode>
                <c:ptCount val="3"/>
                <c:pt idx="0">
                  <c:v>78.400000000000006</c:v>
                </c:pt>
                <c:pt idx="1">
                  <c:v>81.099999999999994</c:v>
                </c:pt>
                <c:pt idx="2">
                  <c:v>3.4</c:v>
                </c:pt>
              </c:numCache>
            </c:numRef>
          </c:val>
          <c:extLst xmlns:c16r2="http://schemas.microsoft.com/office/drawing/2015/06/chart">
            <c:ext xmlns:c16="http://schemas.microsoft.com/office/drawing/2014/chart" uri="{C3380CC4-5D6E-409C-BE32-E72D297353CC}">
              <c16:uniqueId val="{00000002-B65A-4D42-AC74-6113130A1B80}"/>
            </c:ext>
          </c:extLst>
        </c:ser>
        <c:ser>
          <c:idx val="3"/>
          <c:order val="3"/>
          <c:tx>
            <c:strRef>
              <c:f>'Annual Population Survey Graphs'!$E$27</c:f>
              <c:strCache>
                <c:ptCount val="1"/>
                <c:pt idx="0">
                  <c:v>England</c:v>
                </c:pt>
              </c:strCache>
            </c:strRef>
          </c:tx>
          <c:spPr>
            <a:solidFill>
              <a:schemeClr val="accent4"/>
            </a:solidFill>
            <a:ln>
              <a:noFill/>
            </a:ln>
            <a:effectLst/>
          </c:spPr>
          <c:invertIfNegative val="0"/>
          <c:cat>
            <c:strRef>
              <c:f>'Annual Population Survey Graphs'!$A$28:$A$36</c:f>
              <c:strCache>
                <c:ptCount val="3"/>
                <c:pt idx="0">
                  <c:v>Employment (16-64)</c:v>
                </c:pt>
                <c:pt idx="1">
                  <c:v>Economic activity (16-64)</c:v>
                </c:pt>
                <c:pt idx="2">
                  <c:v>Unemployment (16-64)</c:v>
                </c:pt>
              </c:strCache>
            </c:strRef>
          </c:cat>
          <c:val>
            <c:numRef>
              <c:f>'Annual Population Survey Graphs'!$E$28:$E$36</c:f>
              <c:numCache>
                <c:formatCode>#,##0.0</c:formatCode>
                <c:ptCount val="3"/>
                <c:pt idx="0">
                  <c:v>75.599999999999994</c:v>
                </c:pt>
                <c:pt idx="1">
                  <c:v>78.900000000000006</c:v>
                </c:pt>
                <c:pt idx="2">
                  <c:v>4.2</c:v>
                </c:pt>
              </c:numCache>
            </c:numRef>
          </c:val>
          <c:extLst xmlns:c16r2="http://schemas.microsoft.com/office/drawing/2015/06/chart">
            <c:ext xmlns:c16="http://schemas.microsoft.com/office/drawing/2014/chart" uri="{C3380CC4-5D6E-409C-BE32-E72D297353CC}">
              <c16:uniqueId val="{00000003-B65A-4D42-AC74-6113130A1B80}"/>
            </c:ext>
          </c:extLst>
        </c:ser>
        <c:dLbls>
          <c:showLegendKey val="0"/>
          <c:showVal val="0"/>
          <c:showCatName val="0"/>
          <c:showSerName val="0"/>
          <c:showPercent val="0"/>
          <c:showBubbleSize val="0"/>
        </c:dLbls>
        <c:gapWidth val="219"/>
        <c:axId val="284439680"/>
        <c:axId val="284441216"/>
      </c:barChart>
      <c:catAx>
        <c:axId val="284439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84441216"/>
        <c:crosses val="autoZero"/>
        <c:auto val="1"/>
        <c:lblAlgn val="ctr"/>
        <c:lblOffset val="100"/>
        <c:noMultiLvlLbl val="0"/>
      </c:catAx>
      <c:valAx>
        <c:axId val="284441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GB"/>
                  <a:t>%</a:t>
                </a:r>
              </a:p>
            </c:rich>
          </c:tx>
          <c:layout>
            <c:manualLayout>
              <c:xMode val="edge"/>
              <c:yMode val="edge"/>
              <c:x val="2.2614201718679332E-3"/>
              <c:y val="0.44595369349503866"/>
            </c:manualLayout>
          </c:layout>
          <c:overlay val="0"/>
          <c:spPr>
            <a:noFill/>
            <a:ln>
              <a:noFill/>
            </a:ln>
            <a:effectLst/>
          </c:spPr>
        </c:title>
        <c:numFmt formatCode="#,##0" sourceLinked="0"/>
        <c:majorTickMark val="none"/>
        <c:minorTickMark val="none"/>
        <c:tickLblPos val="nextTo"/>
        <c:spPr>
          <a:noFill/>
          <a:ln>
            <a:noFill/>
          </a:ln>
          <a:effectLst/>
        </c:spPr>
        <c:txPr>
          <a:bodyPr rot="-60000000" vert="horz"/>
          <a:lstStyle/>
          <a:p>
            <a:pPr>
              <a:defRPr/>
            </a:pPr>
            <a:endParaRPr lang="en-US"/>
          </a:p>
        </c:txPr>
        <c:crossAx val="284439680"/>
        <c:crosses val="autoZero"/>
        <c:crossBetween val="between"/>
      </c:valAx>
      <c:spPr>
        <a:noFill/>
        <a:ln w="25400">
          <a:noFill/>
        </a:ln>
        <a:effectLst/>
      </c:spPr>
    </c:plotArea>
    <c:legend>
      <c:legendPos val="r"/>
      <c:overlay val="0"/>
      <c:spPr>
        <a:no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1200">
          <a:solidFill>
            <a:sysClr val="windowText" lastClr="000000"/>
          </a:solidFill>
          <a:latin typeface="Arial Narrow" panose="020B0606020202030204" pitchFamily="34"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29741770745414E-2"/>
          <c:y val="4.8511576626240352E-2"/>
          <c:w val="0.8868269604019986"/>
          <c:h val="0.74141905911154715"/>
        </c:manualLayout>
      </c:layout>
      <c:barChart>
        <c:barDir val="col"/>
        <c:grouping val="clustered"/>
        <c:varyColors val="0"/>
        <c:ser>
          <c:idx val="0"/>
          <c:order val="0"/>
          <c:tx>
            <c:strRef>
              <c:f>'Annual Population Survey Graphs'!$B$27</c:f>
              <c:strCache>
                <c:ptCount val="1"/>
                <c:pt idx="0">
                  <c:v>Chichester</c:v>
                </c:pt>
              </c:strCache>
            </c:strRef>
          </c:tx>
          <c:spPr>
            <a:solidFill>
              <a:schemeClr val="accent1"/>
            </a:solidFill>
            <a:ln>
              <a:noFill/>
            </a:ln>
            <a:effectLst/>
          </c:spPr>
          <c:invertIfNegative val="0"/>
          <c:cat>
            <c:strRef>
              <c:f>'Annual Population Survey Graphs'!$A$28:$A$36</c:f>
              <c:strCache>
                <c:ptCount val="6"/>
                <c:pt idx="0">
                  <c:v>Employees</c:v>
                </c:pt>
                <c:pt idx="1">
                  <c:v>Self Employed</c:v>
                </c:pt>
                <c:pt idx="2">
                  <c:v>Employees - Male</c:v>
                </c:pt>
                <c:pt idx="3">
                  <c:v>Employees - Female</c:v>
                </c:pt>
                <c:pt idx="4">
                  <c:v>Self Employed - Male</c:v>
                </c:pt>
                <c:pt idx="5">
                  <c:v>Self Employed - Female</c:v>
                </c:pt>
              </c:strCache>
            </c:strRef>
          </c:cat>
          <c:val>
            <c:numRef>
              <c:f>'Annual Population Survey Graphs'!$B$28:$B$36</c:f>
              <c:numCache>
                <c:formatCode>#,##0.0</c:formatCode>
                <c:ptCount val="6"/>
                <c:pt idx="0">
                  <c:v>64</c:v>
                </c:pt>
                <c:pt idx="1">
                  <c:v>20.399999999999999</c:v>
                </c:pt>
                <c:pt idx="2">
                  <c:v>67.5</c:v>
                </c:pt>
                <c:pt idx="3">
                  <c:v>60.6</c:v>
                </c:pt>
                <c:pt idx="4">
                  <c:v>25.4</c:v>
                </c:pt>
                <c:pt idx="5">
                  <c:v>15.6</c:v>
                </c:pt>
              </c:numCache>
            </c:numRef>
          </c:val>
          <c:extLst xmlns:c16r2="http://schemas.microsoft.com/office/drawing/2015/06/chart">
            <c:ext xmlns:c16="http://schemas.microsoft.com/office/drawing/2014/chart" uri="{C3380CC4-5D6E-409C-BE32-E72D297353CC}">
              <c16:uniqueId val="{00000000-123D-49F2-87E9-E68D974972B6}"/>
            </c:ext>
          </c:extLst>
        </c:ser>
        <c:ser>
          <c:idx val="1"/>
          <c:order val="1"/>
          <c:tx>
            <c:strRef>
              <c:f>'Annual Population Survey Graphs'!$C$27</c:f>
              <c:strCache>
                <c:ptCount val="1"/>
                <c:pt idx="0">
                  <c:v>West Sussex</c:v>
                </c:pt>
              </c:strCache>
            </c:strRef>
          </c:tx>
          <c:spPr>
            <a:solidFill>
              <a:schemeClr val="accent2"/>
            </a:solidFill>
            <a:ln>
              <a:noFill/>
            </a:ln>
            <a:effectLst/>
          </c:spPr>
          <c:invertIfNegative val="0"/>
          <c:cat>
            <c:strRef>
              <c:f>'Annual Population Survey Graphs'!$A$28:$A$36</c:f>
              <c:strCache>
                <c:ptCount val="6"/>
                <c:pt idx="0">
                  <c:v>Employees</c:v>
                </c:pt>
                <c:pt idx="1">
                  <c:v>Self Employed</c:v>
                </c:pt>
                <c:pt idx="2">
                  <c:v>Employees - Male</c:v>
                </c:pt>
                <c:pt idx="3">
                  <c:v>Employees - Female</c:v>
                </c:pt>
                <c:pt idx="4">
                  <c:v>Self Employed - Male</c:v>
                </c:pt>
                <c:pt idx="5">
                  <c:v>Self Employed - Female</c:v>
                </c:pt>
              </c:strCache>
            </c:strRef>
          </c:cat>
          <c:val>
            <c:numRef>
              <c:f>'Annual Population Survey Graphs'!$C$28:$C$36</c:f>
              <c:numCache>
                <c:formatCode>#,##0.0</c:formatCode>
                <c:ptCount val="6"/>
                <c:pt idx="0">
                  <c:v>67</c:v>
                </c:pt>
                <c:pt idx="1">
                  <c:v>12.8</c:v>
                </c:pt>
                <c:pt idx="2">
                  <c:v>65.599999999999994</c:v>
                </c:pt>
                <c:pt idx="3">
                  <c:v>68.3</c:v>
                </c:pt>
                <c:pt idx="4">
                  <c:v>18.600000000000001</c:v>
                </c:pt>
                <c:pt idx="5">
                  <c:v>7.1</c:v>
                </c:pt>
              </c:numCache>
            </c:numRef>
          </c:val>
          <c:extLst xmlns:c16r2="http://schemas.microsoft.com/office/drawing/2015/06/chart">
            <c:ext xmlns:c16="http://schemas.microsoft.com/office/drawing/2014/chart" uri="{C3380CC4-5D6E-409C-BE32-E72D297353CC}">
              <c16:uniqueId val="{00000001-123D-49F2-87E9-E68D974972B6}"/>
            </c:ext>
          </c:extLst>
        </c:ser>
        <c:ser>
          <c:idx val="2"/>
          <c:order val="2"/>
          <c:tx>
            <c:strRef>
              <c:f>'Annual Population Survey Graphs'!$D$27</c:f>
              <c:strCache>
                <c:ptCount val="1"/>
                <c:pt idx="0">
                  <c:v>South East</c:v>
                </c:pt>
              </c:strCache>
            </c:strRef>
          </c:tx>
          <c:spPr>
            <a:solidFill>
              <a:schemeClr val="accent3"/>
            </a:solidFill>
            <a:ln>
              <a:noFill/>
            </a:ln>
            <a:effectLst/>
          </c:spPr>
          <c:invertIfNegative val="0"/>
          <c:cat>
            <c:strRef>
              <c:f>'Annual Population Survey Graphs'!$A$28:$A$36</c:f>
              <c:strCache>
                <c:ptCount val="6"/>
                <c:pt idx="0">
                  <c:v>Employees</c:v>
                </c:pt>
                <c:pt idx="1">
                  <c:v>Self Employed</c:v>
                </c:pt>
                <c:pt idx="2">
                  <c:v>Employees - Male</c:v>
                </c:pt>
                <c:pt idx="3">
                  <c:v>Employees - Female</c:v>
                </c:pt>
                <c:pt idx="4">
                  <c:v>Self Employed - Male</c:v>
                </c:pt>
                <c:pt idx="5">
                  <c:v>Self Employed - Female</c:v>
                </c:pt>
              </c:strCache>
            </c:strRef>
          </c:cat>
          <c:val>
            <c:numRef>
              <c:f>'Annual Population Survey Graphs'!$D$28:$D$36</c:f>
              <c:numCache>
                <c:formatCode>#,##0.0</c:formatCode>
                <c:ptCount val="6"/>
                <c:pt idx="0">
                  <c:v>66.2</c:v>
                </c:pt>
                <c:pt idx="1">
                  <c:v>11.9</c:v>
                </c:pt>
                <c:pt idx="2">
                  <c:v>67</c:v>
                </c:pt>
                <c:pt idx="3">
                  <c:v>65.400000000000006</c:v>
                </c:pt>
                <c:pt idx="4">
                  <c:v>15.3</c:v>
                </c:pt>
                <c:pt idx="5">
                  <c:v>8.5</c:v>
                </c:pt>
              </c:numCache>
            </c:numRef>
          </c:val>
          <c:extLst xmlns:c16r2="http://schemas.microsoft.com/office/drawing/2015/06/chart">
            <c:ext xmlns:c16="http://schemas.microsoft.com/office/drawing/2014/chart" uri="{C3380CC4-5D6E-409C-BE32-E72D297353CC}">
              <c16:uniqueId val="{00000002-123D-49F2-87E9-E68D974972B6}"/>
            </c:ext>
          </c:extLst>
        </c:ser>
        <c:ser>
          <c:idx val="3"/>
          <c:order val="3"/>
          <c:tx>
            <c:strRef>
              <c:f>'Annual Population Survey Graphs'!$E$27</c:f>
              <c:strCache>
                <c:ptCount val="1"/>
                <c:pt idx="0">
                  <c:v>England</c:v>
                </c:pt>
              </c:strCache>
            </c:strRef>
          </c:tx>
          <c:spPr>
            <a:solidFill>
              <a:schemeClr val="accent4"/>
            </a:solidFill>
            <a:ln>
              <a:noFill/>
            </a:ln>
            <a:effectLst/>
          </c:spPr>
          <c:invertIfNegative val="0"/>
          <c:cat>
            <c:strRef>
              <c:f>'Annual Population Survey Graphs'!$A$28:$A$36</c:f>
              <c:strCache>
                <c:ptCount val="6"/>
                <c:pt idx="0">
                  <c:v>Employees</c:v>
                </c:pt>
                <c:pt idx="1">
                  <c:v>Self Employed</c:v>
                </c:pt>
                <c:pt idx="2">
                  <c:v>Employees - Male</c:v>
                </c:pt>
                <c:pt idx="3">
                  <c:v>Employees - Female</c:v>
                </c:pt>
                <c:pt idx="4">
                  <c:v>Self Employed - Male</c:v>
                </c:pt>
                <c:pt idx="5">
                  <c:v>Self Employed - Female</c:v>
                </c:pt>
              </c:strCache>
            </c:strRef>
          </c:cat>
          <c:val>
            <c:numRef>
              <c:f>'Annual Population Survey Graphs'!$E$28:$E$36</c:f>
              <c:numCache>
                <c:formatCode>#,##0.0</c:formatCode>
                <c:ptCount val="6"/>
                <c:pt idx="0">
                  <c:v>64.400000000000006</c:v>
                </c:pt>
                <c:pt idx="1">
                  <c:v>10.9</c:v>
                </c:pt>
                <c:pt idx="2">
                  <c:v>65.599999999999994</c:v>
                </c:pt>
                <c:pt idx="3">
                  <c:v>63.2</c:v>
                </c:pt>
                <c:pt idx="4">
                  <c:v>14.5</c:v>
                </c:pt>
                <c:pt idx="5">
                  <c:v>7.4</c:v>
                </c:pt>
              </c:numCache>
            </c:numRef>
          </c:val>
          <c:extLst xmlns:c16r2="http://schemas.microsoft.com/office/drawing/2015/06/chart">
            <c:ext xmlns:c16="http://schemas.microsoft.com/office/drawing/2014/chart" uri="{C3380CC4-5D6E-409C-BE32-E72D297353CC}">
              <c16:uniqueId val="{00000003-123D-49F2-87E9-E68D974972B6}"/>
            </c:ext>
          </c:extLst>
        </c:ser>
        <c:dLbls>
          <c:showLegendKey val="0"/>
          <c:showVal val="0"/>
          <c:showCatName val="0"/>
          <c:showSerName val="0"/>
          <c:showPercent val="0"/>
          <c:showBubbleSize val="0"/>
        </c:dLbls>
        <c:gapWidth val="219"/>
        <c:axId val="284482944"/>
        <c:axId val="284046464"/>
      </c:barChart>
      <c:catAx>
        <c:axId val="284482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84046464"/>
        <c:crosses val="autoZero"/>
        <c:auto val="1"/>
        <c:lblAlgn val="ctr"/>
        <c:lblOffset val="100"/>
        <c:noMultiLvlLbl val="0"/>
      </c:catAx>
      <c:valAx>
        <c:axId val="284046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GB"/>
                  <a:t>% 16-64 in Employment</a:t>
                </a:r>
              </a:p>
            </c:rich>
          </c:tx>
          <c:layout>
            <c:manualLayout>
              <c:xMode val="edge"/>
              <c:yMode val="edge"/>
              <c:x val="0"/>
              <c:y val="0.19860368611586179"/>
            </c:manualLayout>
          </c:layout>
          <c:overlay val="0"/>
          <c:spPr>
            <a:noFill/>
            <a:ln>
              <a:noFill/>
            </a:ln>
            <a:effectLst/>
          </c:spPr>
        </c:title>
        <c:numFmt formatCode="#,##0" sourceLinked="0"/>
        <c:majorTickMark val="none"/>
        <c:minorTickMark val="none"/>
        <c:tickLblPos val="nextTo"/>
        <c:spPr>
          <a:noFill/>
          <a:ln>
            <a:noFill/>
          </a:ln>
          <a:effectLst/>
        </c:spPr>
        <c:txPr>
          <a:bodyPr rot="-60000000" vert="horz"/>
          <a:lstStyle/>
          <a:p>
            <a:pPr>
              <a:defRPr/>
            </a:pPr>
            <a:endParaRPr lang="en-US"/>
          </a:p>
        </c:txPr>
        <c:crossAx val="284482944"/>
        <c:crosses val="autoZero"/>
        <c:crossBetween val="between"/>
      </c:valAx>
      <c:spPr>
        <a:noFill/>
        <a:ln>
          <a:noFill/>
        </a:ln>
        <a:effectLst/>
      </c:spPr>
    </c:plotArea>
    <c:legend>
      <c:legendPos val="b"/>
      <c:layout>
        <c:manualLayout>
          <c:xMode val="edge"/>
          <c:yMode val="edge"/>
          <c:x val="2.7544275757931891E-2"/>
          <c:y val="0.92904912795492622"/>
          <c:w val="0.93812700990395193"/>
          <c:h val="7.0950872045073748E-2"/>
        </c:manualLayout>
      </c:layout>
      <c:overlay val="0"/>
      <c:spPr>
        <a:no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1200">
          <a:solidFill>
            <a:sysClr val="windowText" lastClr="000000"/>
          </a:solidFill>
          <a:latin typeface="Arial Narrow" panose="020B0606020202030204" pitchFamily="34"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'Annual Median Pay of FTW'!$A$10</c:f>
              <c:strCache>
                <c:ptCount val="1"/>
                <c:pt idx="0">
                  <c:v>Chichester</c:v>
                </c:pt>
              </c:strCache>
            </c:strRef>
          </c:tx>
          <c:spPr>
            <a:solidFill>
              <a:schemeClr val="accent2"/>
            </a:solidFill>
            <a:ln>
              <a:noFill/>
            </a:ln>
            <a:effectLst/>
          </c:spPr>
          <c:invertIfNegative val="0"/>
          <c:dLbls>
            <c:spPr>
              <a:noFill/>
              <a:ln>
                <a:noFill/>
              </a:ln>
              <a:effectLst/>
            </c:spPr>
            <c:txPr>
              <a:bodyPr rot="-5400000"/>
              <a:lstStyle/>
              <a:p>
                <a:pPr>
                  <a:defRPr>
                    <a:solidFill>
                      <a:schemeClr val="bg1"/>
                    </a:solidFill>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'Annual Median Pay of FTW'!$B$8:$G$9</c:f>
              <c:multiLvlStrCache>
                <c:ptCount val="6"/>
                <c:lvl>
                  <c:pt idx="0">
                    <c:v>Male</c:v>
                  </c:pt>
                  <c:pt idx="1">
                    <c:v>Female</c:v>
                  </c:pt>
                  <c:pt idx="2">
                    <c:v>All</c:v>
                  </c:pt>
                  <c:pt idx="3">
                    <c:v>Male</c:v>
                  </c:pt>
                  <c:pt idx="4">
                    <c:v>Female</c:v>
                  </c:pt>
                  <c:pt idx="5">
                    <c:v>All</c:v>
                  </c:pt>
                </c:lvl>
                <c:lvl>
                  <c:pt idx="0">
                    <c:v>Workplace</c:v>
                  </c:pt>
                  <c:pt idx="3">
                    <c:v>Resident</c:v>
                  </c:pt>
                </c:lvl>
              </c:multiLvlStrCache>
            </c:multiLvlStrRef>
          </c:cat>
          <c:val>
            <c:numRef>
              <c:f>'Annual Median Pay of FTW'!$B$10:$G$10</c:f>
              <c:numCache>
                <c:formatCode>_-"£"* #,##0_-;\-"£"* #,##0_-;_-"£"* "-"??_-;_-@_-</c:formatCode>
                <c:ptCount val="6"/>
                <c:pt idx="0">
                  <c:v>28589</c:v>
                </c:pt>
                <c:pt idx="1">
                  <c:v>24443</c:v>
                </c:pt>
                <c:pt idx="2">
                  <c:v>28242</c:v>
                </c:pt>
                <c:pt idx="3">
                  <c:v>32509</c:v>
                </c:pt>
                <c:pt idx="4">
                  <c:v>25649</c:v>
                </c:pt>
                <c:pt idx="5">
                  <c:v>31313</c:v>
                </c:pt>
              </c:numCache>
            </c:numRef>
          </c:val>
          <c:extLst xmlns:c16r2="http://schemas.microsoft.com/office/drawing/2015/06/chart">
            <c:ext xmlns:c16="http://schemas.microsoft.com/office/drawing/2014/chart" uri="{C3380CC4-5D6E-409C-BE32-E72D297353CC}">
              <c16:uniqueId val="{00000000-CDFF-406F-9F8E-41E4891F1838}"/>
            </c:ext>
          </c:extLst>
        </c:ser>
        <c:ser>
          <c:idx val="2"/>
          <c:order val="1"/>
          <c:tx>
            <c:strRef>
              <c:f>'Annual Median Pay of FTW'!$A$11</c:f>
              <c:strCache>
                <c:ptCount val="1"/>
                <c:pt idx="0">
                  <c:v>West Sussex</c:v>
                </c:pt>
              </c:strCache>
            </c:strRef>
          </c:tx>
          <c:spPr>
            <a:solidFill>
              <a:schemeClr val="accent3"/>
            </a:solidFill>
            <a:ln>
              <a:noFill/>
            </a:ln>
            <a:effectLst/>
          </c:spPr>
          <c:invertIfNegative val="0"/>
          <c:dLbls>
            <c:spPr>
              <a:noFill/>
              <a:ln>
                <a:noFill/>
              </a:ln>
              <a:effectLst/>
            </c:spPr>
            <c:txPr>
              <a:bodyPr rot="-5400000"/>
              <a:lstStyle/>
              <a:p>
                <a:pPr>
                  <a:defRPr>
                    <a:solidFill>
                      <a:schemeClr val="bg1"/>
                    </a:solidFill>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'Annual Median Pay of FTW'!$B$8:$G$9</c:f>
              <c:multiLvlStrCache>
                <c:ptCount val="6"/>
                <c:lvl>
                  <c:pt idx="0">
                    <c:v>Male</c:v>
                  </c:pt>
                  <c:pt idx="1">
                    <c:v>Female</c:v>
                  </c:pt>
                  <c:pt idx="2">
                    <c:v>All</c:v>
                  </c:pt>
                  <c:pt idx="3">
                    <c:v>Male</c:v>
                  </c:pt>
                  <c:pt idx="4">
                    <c:v>Female</c:v>
                  </c:pt>
                  <c:pt idx="5">
                    <c:v>All</c:v>
                  </c:pt>
                </c:lvl>
                <c:lvl>
                  <c:pt idx="0">
                    <c:v>Workplace</c:v>
                  </c:pt>
                  <c:pt idx="3">
                    <c:v>Resident</c:v>
                  </c:pt>
                </c:lvl>
              </c:multiLvlStrCache>
            </c:multiLvlStrRef>
          </c:cat>
          <c:val>
            <c:numRef>
              <c:f>'Annual Median Pay of FTW'!$B$11:$G$11</c:f>
              <c:numCache>
                <c:formatCode>_-"£"* #,##0_-;\-"£"* #,##0_-;_-"£"* "-"??_-;_-@_-</c:formatCode>
                <c:ptCount val="6"/>
                <c:pt idx="0">
                  <c:v>30062</c:v>
                </c:pt>
                <c:pt idx="1">
                  <c:v>24672</c:v>
                </c:pt>
                <c:pt idx="2">
                  <c:v>28557</c:v>
                </c:pt>
                <c:pt idx="3">
                  <c:v>32817</c:v>
                </c:pt>
                <c:pt idx="4">
                  <c:v>25752</c:v>
                </c:pt>
                <c:pt idx="5">
                  <c:v>30032</c:v>
                </c:pt>
              </c:numCache>
            </c:numRef>
          </c:val>
          <c:extLst xmlns:c16r2="http://schemas.microsoft.com/office/drawing/2015/06/chart">
            <c:ext xmlns:c16="http://schemas.microsoft.com/office/drawing/2014/chart" uri="{C3380CC4-5D6E-409C-BE32-E72D297353CC}">
              <c16:uniqueId val="{00000001-CDFF-406F-9F8E-41E4891F1838}"/>
            </c:ext>
          </c:extLst>
        </c:ser>
        <c:ser>
          <c:idx val="4"/>
          <c:order val="2"/>
          <c:tx>
            <c:strRef>
              <c:f>'Annual Median Pay of FTW'!$A$13</c:f>
              <c:strCache>
                <c:ptCount val="1"/>
                <c:pt idx="0">
                  <c:v>South East</c:v>
                </c:pt>
              </c:strCache>
            </c:strRef>
          </c:tx>
          <c:spPr>
            <a:solidFill>
              <a:schemeClr val="accent5"/>
            </a:solidFill>
            <a:ln>
              <a:noFill/>
            </a:ln>
            <a:effectLst/>
          </c:spPr>
          <c:invertIfNegative val="0"/>
          <c:dLbls>
            <c:spPr>
              <a:noFill/>
              <a:ln>
                <a:noFill/>
              </a:ln>
              <a:effectLst/>
            </c:spPr>
            <c:txPr>
              <a:bodyPr rot="-5400000"/>
              <a:lstStyle/>
              <a:p>
                <a:pPr>
                  <a:defRPr>
                    <a:solidFill>
                      <a:schemeClr val="bg1"/>
                    </a:solidFill>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'Annual Median Pay of FTW'!$B$8:$G$9</c:f>
              <c:multiLvlStrCache>
                <c:ptCount val="6"/>
                <c:lvl>
                  <c:pt idx="0">
                    <c:v>Male</c:v>
                  </c:pt>
                  <c:pt idx="1">
                    <c:v>Female</c:v>
                  </c:pt>
                  <c:pt idx="2">
                    <c:v>All</c:v>
                  </c:pt>
                  <c:pt idx="3">
                    <c:v>Male</c:v>
                  </c:pt>
                  <c:pt idx="4">
                    <c:v>Female</c:v>
                  </c:pt>
                  <c:pt idx="5">
                    <c:v>All</c:v>
                  </c:pt>
                </c:lvl>
                <c:lvl>
                  <c:pt idx="0">
                    <c:v>Workplace</c:v>
                  </c:pt>
                  <c:pt idx="3">
                    <c:v>Resident</c:v>
                  </c:pt>
                </c:lvl>
              </c:multiLvlStrCache>
            </c:multiLvlStrRef>
          </c:cat>
          <c:val>
            <c:numRef>
              <c:f>'Annual Median Pay of FTW'!$B$13:$G$13</c:f>
              <c:numCache>
                <c:formatCode>_-"£"* #,##0_-;\-"£"* #,##0_-;_-"£"* "-"??_-;_-@_-</c:formatCode>
                <c:ptCount val="6"/>
                <c:pt idx="0">
                  <c:v>33500</c:v>
                </c:pt>
                <c:pt idx="1">
                  <c:v>26933</c:v>
                </c:pt>
                <c:pt idx="2">
                  <c:v>30826</c:v>
                </c:pt>
                <c:pt idx="3">
                  <c:v>35366</c:v>
                </c:pt>
                <c:pt idx="4">
                  <c:v>28082</c:v>
                </c:pt>
                <c:pt idx="5">
                  <c:v>32230</c:v>
                </c:pt>
              </c:numCache>
            </c:numRef>
          </c:val>
          <c:extLst xmlns:c16r2="http://schemas.microsoft.com/office/drawing/2015/06/chart">
            <c:ext xmlns:c16="http://schemas.microsoft.com/office/drawing/2014/chart" uri="{C3380CC4-5D6E-409C-BE32-E72D297353CC}">
              <c16:uniqueId val="{00000002-CDFF-406F-9F8E-41E4891F1838}"/>
            </c:ext>
          </c:extLst>
        </c:ser>
        <c:ser>
          <c:idx val="3"/>
          <c:order val="3"/>
          <c:tx>
            <c:strRef>
              <c:f>'Annual Median Pay of FTW'!$A$12</c:f>
              <c:strCache>
                <c:ptCount val="1"/>
                <c:pt idx="0">
                  <c:v>England</c:v>
                </c:pt>
              </c:strCache>
            </c:strRef>
          </c:tx>
          <c:spPr>
            <a:solidFill>
              <a:schemeClr val="accent4"/>
            </a:solidFill>
            <a:ln>
              <a:noFill/>
            </a:ln>
            <a:effectLst/>
          </c:spPr>
          <c:invertIfNegative val="0"/>
          <c:dLbls>
            <c:spPr>
              <a:noFill/>
              <a:ln>
                <a:noFill/>
              </a:ln>
              <a:effectLst/>
            </c:spPr>
            <c:txPr>
              <a:bodyPr rot="-5400000"/>
              <a:lstStyle/>
              <a:p>
                <a:pPr>
                  <a:defRPr>
                    <a:solidFill>
                      <a:schemeClr val="bg1"/>
                    </a:solidFill>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'Annual Median Pay of FTW'!$B$8:$G$9</c:f>
              <c:multiLvlStrCache>
                <c:ptCount val="6"/>
                <c:lvl>
                  <c:pt idx="0">
                    <c:v>Male</c:v>
                  </c:pt>
                  <c:pt idx="1">
                    <c:v>Female</c:v>
                  </c:pt>
                  <c:pt idx="2">
                    <c:v>All</c:v>
                  </c:pt>
                  <c:pt idx="3">
                    <c:v>Male</c:v>
                  </c:pt>
                  <c:pt idx="4">
                    <c:v>Female</c:v>
                  </c:pt>
                  <c:pt idx="5">
                    <c:v>All</c:v>
                  </c:pt>
                </c:lvl>
                <c:lvl>
                  <c:pt idx="0">
                    <c:v>Workplace</c:v>
                  </c:pt>
                  <c:pt idx="3">
                    <c:v>Resident</c:v>
                  </c:pt>
                </c:lvl>
              </c:multiLvlStrCache>
            </c:multiLvlStrRef>
          </c:cat>
          <c:val>
            <c:numRef>
              <c:f>'Annual Median Pay of FTW'!$B$12:$G$12</c:f>
              <c:numCache>
                <c:formatCode>_-"£"* #,##0_-;\-"£"* #,##0_-;_-"£"* "-"??_-;_-@_-</c:formatCode>
                <c:ptCount val="6"/>
                <c:pt idx="0">
                  <c:v>32202</c:v>
                </c:pt>
                <c:pt idx="1">
                  <c:v>26221</c:v>
                </c:pt>
                <c:pt idx="2">
                  <c:v>29872</c:v>
                </c:pt>
                <c:pt idx="3">
                  <c:v>32180</c:v>
                </c:pt>
                <c:pt idx="4">
                  <c:v>26226</c:v>
                </c:pt>
                <c:pt idx="5">
                  <c:v>29869</c:v>
                </c:pt>
              </c:numCache>
            </c:numRef>
          </c:val>
          <c:extLst xmlns:c16r2="http://schemas.microsoft.com/office/drawing/2015/06/chart">
            <c:ext xmlns:c16="http://schemas.microsoft.com/office/drawing/2014/chart" uri="{C3380CC4-5D6E-409C-BE32-E72D297353CC}">
              <c16:uniqueId val="{00000003-CDFF-406F-9F8E-41E4891F1838}"/>
            </c:ext>
          </c:extLst>
        </c:ser>
        <c:dLbls>
          <c:dLblPos val="ctr"/>
          <c:showLegendKey val="0"/>
          <c:showVal val="1"/>
          <c:showCatName val="0"/>
          <c:showSerName val="0"/>
          <c:showPercent val="0"/>
          <c:showBubbleSize val="0"/>
        </c:dLbls>
        <c:gapWidth val="219"/>
        <c:overlap val="-27"/>
        <c:axId val="284093824"/>
        <c:axId val="284173440"/>
      </c:barChart>
      <c:catAx>
        <c:axId val="28409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84173440"/>
        <c:crosses val="autoZero"/>
        <c:auto val="1"/>
        <c:lblAlgn val="ctr"/>
        <c:lblOffset val="100"/>
        <c:noMultiLvlLbl val="0"/>
      </c:catAx>
      <c:valAx>
        <c:axId val="284173440"/>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vert="horz"/>
          <a:lstStyle/>
          <a:p>
            <a:pPr>
              <a:defRPr/>
            </a:pPr>
            <a:endParaRPr lang="en-US"/>
          </a:p>
        </c:txPr>
        <c:crossAx val="284093824"/>
        <c:crosses val="autoZero"/>
        <c:crossBetween val="between"/>
      </c:valAx>
      <c:spPr>
        <a:noFill/>
        <a:ln>
          <a:noFill/>
        </a:ln>
        <a:effectLst/>
      </c:spPr>
    </c:plotArea>
    <c:legend>
      <c:legendPos val="b"/>
      <c:layout>
        <c:manualLayout>
          <c:xMode val="edge"/>
          <c:yMode val="edge"/>
          <c:x val="2.5526804061296947E-2"/>
          <c:y val="0.91086336368924115"/>
          <c:w val="0.94894639187740615"/>
          <c:h val="8.0316349651442395E-2"/>
        </c:manualLayout>
      </c:layout>
      <c:overlay val="0"/>
      <c:spPr>
        <a:no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1200">
          <a:solidFill>
            <a:sysClr val="windowText" lastClr="000000"/>
          </a:solidFill>
          <a:latin typeface="Arial Narrow" panose="020B0606020202030204" pitchFamily="34"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812903984016921E-2"/>
          <c:y val="4.8511576626240352E-2"/>
          <c:w val="0.87959967521020521"/>
          <c:h val="0.80351839151307847"/>
        </c:manualLayout>
      </c:layout>
      <c:lineChart>
        <c:grouping val="standard"/>
        <c:varyColors val="0"/>
        <c:ser>
          <c:idx val="0"/>
          <c:order val="0"/>
          <c:tx>
            <c:strRef>
              <c:f>'Total Jobs Growth from OE'!$B$91</c:f>
              <c:strCache>
                <c:ptCount val="1"/>
                <c:pt idx="0">
                  <c:v>Total</c:v>
                </c:pt>
              </c:strCache>
            </c:strRef>
          </c:tx>
          <c:spPr>
            <a:ln w="28575" cap="rnd">
              <a:solidFill>
                <a:schemeClr val="accent1"/>
              </a:solidFill>
              <a:round/>
            </a:ln>
            <a:effectLst/>
          </c:spPr>
          <c:marker>
            <c:symbol val="none"/>
          </c:marker>
          <c:cat>
            <c:numRef>
              <c:f>'Total Jobs Growth from OE'!$C$5:$AV$5</c:f>
              <c:numCache>
                <c:formatCode>General</c:formatCode>
                <c:ptCount val="4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pt idx="31">
                  <c:v>2022</c:v>
                </c:pt>
                <c:pt idx="32">
                  <c:v>2023</c:v>
                </c:pt>
                <c:pt idx="33">
                  <c:v>2024</c:v>
                </c:pt>
                <c:pt idx="34">
                  <c:v>2025</c:v>
                </c:pt>
                <c:pt idx="35">
                  <c:v>2026</c:v>
                </c:pt>
                <c:pt idx="36">
                  <c:v>2027</c:v>
                </c:pt>
                <c:pt idx="37">
                  <c:v>2028</c:v>
                </c:pt>
                <c:pt idx="38">
                  <c:v>2029</c:v>
                </c:pt>
                <c:pt idx="39">
                  <c:v>2030</c:v>
                </c:pt>
                <c:pt idx="40">
                  <c:v>2031</c:v>
                </c:pt>
                <c:pt idx="41">
                  <c:v>2032</c:v>
                </c:pt>
                <c:pt idx="42">
                  <c:v>2033</c:v>
                </c:pt>
                <c:pt idx="43">
                  <c:v>2034</c:v>
                </c:pt>
                <c:pt idx="44">
                  <c:v>2035</c:v>
                </c:pt>
                <c:pt idx="45">
                  <c:v>2036</c:v>
                </c:pt>
              </c:numCache>
            </c:numRef>
          </c:cat>
          <c:val>
            <c:numRef>
              <c:f>'Total Jobs Growth from OE'!$C$91:$AW$91</c:f>
              <c:numCache>
                <c:formatCode>0.0</c:formatCode>
                <c:ptCount val="47"/>
                <c:pt idx="0">
                  <c:v>55.695346717526029</c:v>
                </c:pt>
                <c:pt idx="1">
                  <c:v>54.274451997120025</c:v>
                </c:pt>
                <c:pt idx="2">
                  <c:v>53.620837064150209</c:v>
                </c:pt>
                <c:pt idx="3">
                  <c:v>55.357176057586429</c:v>
                </c:pt>
                <c:pt idx="4">
                  <c:v>57.079341705287902</c:v>
                </c:pt>
                <c:pt idx="5">
                  <c:v>56.860371679072124</c:v>
                </c:pt>
                <c:pt idx="6">
                  <c:v>59.521704369246216</c:v>
                </c:pt>
                <c:pt idx="7">
                  <c:v>61.335504780065094</c:v>
                </c:pt>
                <c:pt idx="8">
                  <c:v>59.321967022404436</c:v>
                </c:pt>
                <c:pt idx="9">
                  <c:v>60.933471508717005</c:v>
                </c:pt>
                <c:pt idx="10">
                  <c:v>64.871713604915399</c:v>
                </c:pt>
                <c:pt idx="11">
                  <c:v>67.900926418670053</c:v>
                </c:pt>
                <c:pt idx="12">
                  <c:v>59.146220980239882</c:v>
                </c:pt>
                <c:pt idx="13">
                  <c:v>60.042846520784124</c:v>
                </c:pt>
                <c:pt idx="14">
                  <c:v>61.791060800637148</c:v>
                </c:pt>
                <c:pt idx="15">
                  <c:v>62.331568915918879</c:v>
                </c:pt>
                <c:pt idx="16">
                  <c:v>62.762818809961601</c:v>
                </c:pt>
                <c:pt idx="17">
                  <c:v>60.931487339336257</c:v>
                </c:pt>
                <c:pt idx="18">
                  <c:v>66.633556010236603</c:v>
                </c:pt>
                <c:pt idx="19">
                  <c:v>70.66772229038763</c:v>
                </c:pt>
                <c:pt idx="20">
                  <c:v>69.774545222338617</c:v>
                </c:pt>
                <c:pt idx="21">
                  <c:v>69.860282784241207</c:v>
                </c:pt>
                <c:pt idx="22">
                  <c:v>72.690366780745151</c:v>
                </c:pt>
                <c:pt idx="23">
                  <c:v>72.371647844266434</c:v>
                </c:pt>
                <c:pt idx="24">
                  <c:v>72.786937757077595</c:v>
                </c:pt>
                <c:pt idx="25">
                  <c:v>73.793852007733733</c:v>
                </c:pt>
                <c:pt idx="26">
                  <c:v>72.746078737268419</c:v>
                </c:pt>
                <c:pt idx="27">
                  <c:v>71.379497122916419</c:v>
                </c:pt>
                <c:pt idx="28">
                  <c:v>72.21556294022129</c:v>
                </c:pt>
                <c:pt idx="29">
                  <c:v>72.661530823403695</c:v>
                </c:pt>
                <c:pt idx="30">
                  <c:v>73.282055086896165</c:v>
                </c:pt>
                <c:pt idx="31">
                  <c:v>73.805713108754105</c:v>
                </c:pt>
                <c:pt idx="32">
                  <c:v>74.24664426673732</c:v>
                </c:pt>
                <c:pt idx="33">
                  <c:v>74.57332359031318</c:v>
                </c:pt>
                <c:pt idx="34">
                  <c:v>74.750970109575761</c:v>
                </c:pt>
                <c:pt idx="35">
                  <c:v>74.905964109930338</c:v>
                </c:pt>
                <c:pt idx="36">
                  <c:v>75.061060374227537</c:v>
                </c:pt>
                <c:pt idx="37">
                  <c:v>75.216368308274824</c:v>
                </c:pt>
                <c:pt idx="38">
                  <c:v>75.378228291978644</c:v>
                </c:pt>
                <c:pt idx="39">
                  <c:v>75.538875235156539</c:v>
                </c:pt>
                <c:pt idx="40">
                  <c:v>75.635502112872643</c:v>
                </c:pt>
                <c:pt idx="41">
                  <c:v>75.69138642084161</c:v>
                </c:pt>
                <c:pt idx="42">
                  <c:v>75.729753729566994</c:v>
                </c:pt>
                <c:pt idx="43">
                  <c:v>75.762773599135144</c:v>
                </c:pt>
                <c:pt idx="44">
                  <c:v>75.810866373537095</c:v>
                </c:pt>
                <c:pt idx="45">
                  <c:v>75.870164318146536</c:v>
                </c:pt>
                <c:pt idx="46">
                  <c:v>75.926436768184246</c:v>
                </c:pt>
              </c:numCache>
            </c:numRef>
          </c:val>
          <c:smooth val="0"/>
          <c:extLst xmlns:c16r2="http://schemas.microsoft.com/office/drawing/2015/06/chart">
            <c:ext xmlns:c16="http://schemas.microsoft.com/office/drawing/2014/chart" uri="{C3380CC4-5D6E-409C-BE32-E72D297353CC}">
              <c16:uniqueId val="{00000000-BB8C-47BD-8918-1A5A6B5E4B9C}"/>
            </c:ext>
          </c:extLst>
        </c:ser>
        <c:dLbls>
          <c:showLegendKey val="0"/>
          <c:showVal val="0"/>
          <c:showCatName val="0"/>
          <c:showSerName val="0"/>
          <c:showPercent val="0"/>
          <c:showBubbleSize val="0"/>
        </c:dLbls>
        <c:marker val="1"/>
        <c:smooth val="0"/>
        <c:axId val="284191744"/>
        <c:axId val="284201728"/>
      </c:lineChart>
      <c:catAx>
        <c:axId val="284191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a:lstStyle/>
          <a:p>
            <a:pPr>
              <a:defRPr/>
            </a:pPr>
            <a:endParaRPr lang="en-US"/>
          </a:p>
        </c:txPr>
        <c:crossAx val="284201728"/>
        <c:crosses val="autoZero"/>
        <c:auto val="1"/>
        <c:lblAlgn val="ctr"/>
        <c:lblOffset val="100"/>
        <c:noMultiLvlLbl val="0"/>
      </c:catAx>
      <c:valAx>
        <c:axId val="284201728"/>
        <c:scaling>
          <c:orientation val="minMax"/>
          <c:min val="5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GB"/>
                  <a:t>Jobs ('000s)</a:t>
                </a:r>
              </a:p>
            </c:rich>
          </c:tx>
          <c:layout>
            <c:manualLayout>
              <c:xMode val="edge"/>
              <c:yMode val="edge"/>
              <c:x val="0"/>
              <c:y val="0.3391129361310542"/>
            </c:manualLayout>
          </c:layout>
          <c:overlay val="0"/>
          <c:spPr>
            <a:noFill/>
            <a:ln>
              <a:noFill/>
            </a:ln>
            <a:effectLst/>
          </c:spPr>
        </c:title>
        <c:numFmt formatCode="0" sourceLinked="0"/>
        <c:majorTickMark val="none"/>
        <c:minorTickMark val="none"/>
        <c:tickLblPos val="nextTo"/>
        <c:spPr>
          <a:noFill/>
          <a:ln>
            <a:noFill/>
          </a:ln>
          <a:effectLst/>
        </c:spPr>
        <c:txPr>
          <a:bodyPr rot="-60000000" vert="horz"/>
          <a:lstStyle/>
          <a:p>
            <a:pPr>
              <a:defRPr/>
            </a:pPr>
            <a:endParaRPr lang="en-US"/>
          </a:p>
        </c:txPr>
        <c:crossAx val="2841917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1200">
          <a:solidFill>
            <a:sysClr val="windowText" lastClr="000000"/>
          </a:solidFill>
          <a:latin typeface="Arial Narrow" panose="020B0606020202030204" pitchFamily="34"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'Total Jobs Growth from OE'!$AA$109</c:f>
              <c:strCache>
                <c:ptCount val="1"/>
                <c:pt idx="0">
                  <c:v>Baseline Scenario</c:v>
                </c:pt>
              </c:strCache>
            </c:strRef>
          </c:tx>
          <c:spPr>
            <a:solidFill>
              <a:schemeClr val="accent1"/>
            </a:solidFill>
            <a:ln>
              <a:noFill/>
            </a:ln>
            <a:effectLst/>
          </c:spPr>
          <c:invertIfNegative val="0"/>
          <c:cat>
            <c:strRef>
              <c:f>'Total Jobs Growth from OE'!$Z$110:$Z$120</c:f>
              <c:strCache>
                <c:ptCount val="11"/>
                <c:pt idx="0">
                  <c:v>Crop and animal production</c:v>
                </c:pt>
                <c:pt idx="1">
                  <c:v>Manufacture of food products</c:v>
                </c:pt>
                <c:pt idx="2">
                  <c:v>Hi Tech Manufacturing</c:v>
                </c:pt>
                <c:pt idx="3">
                  <c:v>Civil Engineering &amp; Waste</c:v>
                </c:pt>
                <c:pt idx="4">
                  <c:v>Wholesale trade and warehousing</c:v>
                </c:pt>
                <c:pt idx="5">
                  <c:v>Food and beverage service </c:v>
                </c:pt>
                <c:pt idx="6">
                  <c:v>Computer programming</c:v>
                </c:pt>
                <c:pt idx="7">
                  <c:v>Financial services</c:v>
                </c:pt>
                <c:pt idx="8">
                  <c:v>Scientific research and development</c:v>
                </c:pt>
                <c:pt idx="9">
                  <c:v>Office administration</c:v>
                </c:pt>
                <c:pt idx="10">
                  <c:v>Education</c:v>
                </c:pt>
              </c:strCache>
            </c:strRef>
          </c:cat>
          <c:val>
            <c:numRef>
              <c:f>'Total Jobs Growth from OE'!$AA$110:$AA$120</c:f>
              <c:numCache>
                <c:formatCode>0.00%</c:formatCode>
                <c:ptCount val="11"/>
                <c:pt idx="0">
                  <c:v>-5.4613993695161733E-3</c:v>
                </c:pt>
                <c:pt idx="1">
                  <c:v>-8.134008143753424E-3</c:v>
                </c:pt>
                <c:pt idx="2">
                  <c:v>-2.4786999386199993E-2</c:v>
                </c:pt>
                <c:pt idx="3">
                  <c:v>-2.4383333963720055E-3</c:v>
                </c:pt>
                <c:pt idx="4">
                  <c:v>2.5598555806709555E-3</c:v>
                </c:pt>
                <c:pt idx="5">
                  <c:v>3.5130015868880538E-3</c:v>
                </c:pt>
                <c:pt idx="6">
                  <c:v>8.2496718097504473E-3</c:v>
                </c:pt>
                <c:pt idx="7">
                  <c:v>-5.1569427420060654E-3</c:v>
                </c:pt>
                <c:pt idx="8">
                  <c:v>4.7663610990948957E-3</c:v>
                </c:pt>
                <c:pt idx="9">
                  <c:v>1.0674177666880391E-2</c:v>
                </c:pt>
                <c:pt idx="10">
                  <c:v>2.0062375570262247E-3</c:v>
                </c:pt>
              </c:numCache>
            </c:numRef>
          </c:val>
          <c:extLst xmlns:c16r2="http://schemas.microsoft.com/office/drawing/2015/06/chart">
            <c:ext xmlns:c16="http://schemas.microsoft.com/office/drawing/2014/chart" uri="{C3380CC4-5D6E-409C-BE32-E72D297353CC}">
              <c16:uniqueId val="{00000000-2367-46E7-B133-5AA0E711A283}"/>
            </c:ext>
          </c:extLst>
        </c:ser>
        <c:ser>
          <c:idx val="1"/>
          <c:order val="1"/>
          <c:tx>
            <c:strRef>
              <c:f>'Total Jobs Growth from OE'!$AB$109</c:f>
              <c:strCache>
                <c:ptCount val="1"/>
                <c:pt idx="0">
                  <c:v>Growth Scenario</c:v>
                </c:pt>
              </c:strCache>
            </c:strRef>
          </c:tx>
          <c:spPr>
            <a:solidFill>
              <a:schemeClr val="accent2"/>
            </a:solidFill>
            <a:ln>
              <a:noFill/>
            </a:ln>
            <a:effectLst/>
          </c:spPr>
          <c:invertIfNegative val="0"/>
          <c:cat>
            <c:strRef>
              <c:f>'Total Jobs Growth from OE'!$Z$110:$Z$120</c:f>
              <c:strCache>
                <c:ptCount val="11"/>
                <c:pt idx="0">
                  <c:v>Crop and animal production</c:v>
                </c:pt>
                <c:pt idx="1">
                  <c:v>Manufacture of food products</c:v>
                </c:pt>
                <c:pt idx="2">
                  <c:v>Hi Tech Manufacturing</c:v>
                </c:pt>
                <c:pt idx="3">
                  <c:v>Civil Engineering &amp; Waste</c:v>
                </c:pt>
                <c:pt idx="4">
                  <c:v>Wholesale trade and warehousing</c:v>
                </c:pt>
                <c:pt idx="5">
                  <c:v>Food and beverage service </c:v>
                </c:pt>
                <c:pt idx="6">
                  <c:v>Computer programming</c:v>
                </c:pt>
                <c:pt idx="7">
                  <c:v>Financial services</c:v>
                </c:pt>
                <c:pt idx="8">
                  <c:v>Scientific research and development</c:v>
                </c:pt>
                <c:pt idx="9">
                  <c:v>Office administration</c:v>
                </c:pt>
                <c:pt idx="10">
                  <c:v>Education</c:v>
                </c:pt>
              </c:strCache>
            </c:strRef>
          </c:cat>
          <c:val>
            <c:numRef>
              <c:f>'Total Jobs Growth from OE'!$AB$110:$AB$120</c:f>
              <c:numCache>
                <c:formatCode>0.00%</c:formatCode>
                <c:ptCount val="11"/>
                <c:pt idx="0">
                  <c:v>0</c:v>
                </c:pt>
                <c:pt idx="1">
                  <c:v>2.1216468926891441E-2</c:v>
                </c:pt>
                <c:pt idx="2">
                  <c:v>-1.0413430955283576E-2</c:v>
                </c:pt>
                <c:pt idx="3">
                  <c:v>1.4997300246781808E-3</c:v>
                </c:pt>
                <c:pt idx="4">
                  <c:v>1.6599859661625249E-2</c:v>
                </c:pt>
                <c:pt idx="5">
                  <c:v>2.3034230434913594E-2</c:v>
                </c:pt>
                <c:pt idx="6">
                  <c:v>2.7101549026181893E-2</c:v>
                </c:pt>
                <c:pt idx="7">
                  <c:v>4.9670319747203706E-3</c:v>
                </c:pt>
                <c:pt idx="8">
                  <c:v>1.6592245306845443E-2</c:v>
                </c:pt>
                <c:pt idx="9">
                  <c:v>1.501772963703174E-2</c:v>
                </c:pt>
                <c:pt idx="10">
                  <c:v>8.5575936628967675E-3</c:v>
                </c:pt>
              </c:numCache>
            </c:numRef>
          </c:val>
          <c:extLst xmlns:c16r2="http://schemas.microsoft.com/office/drawing/2015/06/chart">
            <c:ext xmlns:c16="http://schemas.microsoft.com/office/drawing/2014/chart" uri="{C3380CC4-5D6E-409C-BE32-E72D297353CC}">
              <c16:uniqueId val="{00000001-2367-46E7-B133-5AA0E711A283}"/>
            </c:ext>
          </c:extLst>
        </c:ser>
        <c:dLbls>
          <c:showLegendKey val="0"/>
          <c:showVal val="0"/>
          <c:showCatName val="0"/>
          <c:showSerName val="0"/>
          <c:showPercent val="0"/>
          <c:showBubbleSize val="0"/>
        </c:dLbls>
        <c:gapWidth val="182"/>
        <c:axId val="283970176"/>
        <c:axId val="283971968"/>
      </c:barChart>
      <c:catAx>
        <c:axId val="283970176"/>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a:pPr>
            <a:endParaRPr lang="en-US"/>
          </a:p>
        </c:txPr>
        <c:crossAx val="283971968"/>
        <c:crosses val="autoZero"/>
        <c:auto val="1"/>
        <c:lblAlgn val="ctr"/>
        <c:lblOffset val="100"/>
        <c:noMultiLvlLbl val="0"/>
      </c:catAx>
      <c:valAx>
        <c:axId val="283971968"/>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vert="horz"/>
              <a:lstStyle/>
              <a:p>
                <a:pPr>
                  <a:defRPr/>
                </a:pPr>
                <a:r>
                  <a:rPr lang="en-GB"/>
                  <a:t>Annual Growth Rate (2019-36)</a:t>
                </a:r>
              </a:p>
            </c:rich>
          </c:tx>
          <c:overlay val="0"/>
          <c:spPr>
            <a:noFill/>
            <a:ln>
              <a:noFill/>
            </a:ln>
            <a:effectLst/>
          </c:spPr>
        </c:title>
        <c:numFmt formatCode="0%" sourceLinked="0"/>
        <c:majorTickMark val="none"/>
        <c:minorTickMark val="none"/>
        <c:tickLblPos val="nextTo"/>
        <c:spPr>
          <a:noFill/>
          <a:ln>
            <a:noFill/>
          </a:ln>
          <a:effectLst/>
        </c:spPr>
        <c:txPr>
          <a:bodyPr rot="-60000000" vert="horz"/>
          <a:lstStyle/>
          <a:p>
            <a:pPr>
              <a:defRPr/>
            </a:pPr>
            <a:endParaRPr lang="en-US"/>
          </a:p>
        </c:txPr>
        <c:crossAx val="283970176"/>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69658317597178"/>
          <c:y val="3.7872267171630232E-2"/>
          <c:w val="0.84457672711725529"/>
          <c:h val="0.73440425730911718"/>
        </c:manualLayout>
      </c:layout>
      <c:lineChart>
        <c:grouping val="standard"/>
        <c:varyColors val="0"/>
        <c:ser>
          <c:idx val="0"/>
          <c:order val="0"/>
          <c:tx>
            <c:strRef>
              <c:f>'Employment chart'!$A$2</c:f>
              <c:strCache>
                <c:ptCount val="1"/>
                <c:pt idx="0">
                  <c:v>2017</c:v>
                </c:pt>
              </c:strCache>
            </c:strRef>
          </c:tx>
          <c:spPr>
            <a:ln w="28575" cap="rnd">
              <a:solidFill>
                <a:schemeClr val="accent1"/>
              </a:solidFill>
              <a:round/>
            </a:ln>
            <a:effectLst/>
          </c:spPr>
          <c:marker>
            <c:symbol val="none"/>
          </c:marker>
          <c:cat>
            <c:numRef>
              <c:f>'Employment chart'!$B$1:$AU$1</c:f>
              <c:numCache>
                <c:formatCode>0</c:formatCode>
                <c:ptCount val="4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pt idx="31">
                  <c:v>2022</c:v>
                </c:pt>
                <c:pt idx="32">
                  <c:v>2023</c:v>
                </c:pt>
                <c:pt idx="33">
                  <c:v>2024</c:v>
                </c:pt>
                <c:pt idx="34">
                  <c:v>2025</c:v>
                </c:pt>
                <c:pt idx="35">
                  <c:v>2026</c:v>
                </c:pt>
                <c:pt idx="36">
                  <c:v>2027</c:v>
                </c:pt>
                <c:pt idx="37">
                  <c:v>2028</c:v>
                </c:pt>
                <c:pt idx="38">
                  <c:v>2029</c:v>
                </c:pt>
                <c:pt idx="39">
                  <c:v>2030</c:v>
                </c:pt>
                <c:pt idx="40">
                  <c:v>2031</c:v>
                </c:pt>
                <c:pt idx="41">
                  <c:v>2032</c:v>
                </c:pt>
                <c:pt idx="42">
                  <c:v>2033</c:v>
                </c:pt>
                <c:pt idx="43">
                  <c:v>2034</c:v>
                </c:pt>
                <c:pt idx="44">
                  <c:v>2035</c:v>
                </c:pt>
                <c:pt idx="45">
                  <c:v>2036</c:v>
                </c:pt>
              </c:numCache>
            </c:numRef>
          </c:cat>
          <c:val>
            <c:numRef>
              <c:f>'Employment chart'!$B$2:$AU$2</c:f>
              <c:numCache>
                <c:formatCode>0.0</c:formatCode>
                <c:ptCount val="46"/>
                <c:pt idx="0">
                  <c:v>55.288328241966241</c:v>
                </c:pt>
                <c:pt idx="1">
                  <c:v>53.945188096069273</c:v>
                </c:pt>
                <c:pt idx="2">
                  <c:v>53.355943451934124</c:v>
                </c:pt>
                <c:pt idx="3">
                  <c:v>55.186631703815401</c:v>
                </c:pt>
                <c:pt idx="4">
                  <c:v>56.947321415524691</c:v>
                </c:pt>
                <c:pt idx="5">
                  <c:v>55.779800748290953</c:v>
                </c:pt>
                <c:pt idx="6">
                  <c:v>58.42202417990574</c:v>
                </c:pt>
                <c:pt idx="7">
                  <c:v>60.352209796787868</c:v>
                </c:pt>
                <c:pt idx="8">
                  <c:v>58.790309454964195</c:v>
                </c:pt>
                <c:pt idx="9">
                  <c:v>60.239045266442488</c:v>
                </c:pt>
                <c:pt idx="10">
                  <c:v>64.075521100370864</c:v>
                </c:pt>
                <c:pt idx="11">
                  <c:v>67.250233309172387</c:v>
                </c:pt>
                <c:pt idx="12">
                  <c:v>59.225530993053738</c:v>
                </c:pt>
                <c:pt idx="13">
                  <c:v>59.981672213422328</c:v>
                </c:pt>
                <c:pt idx="14">
                  <c:v>61.846775521203334</c:v>
                </c:pt>
                <c:pt idx="15">
                  <c:v>62.431440997632521</c:v>
                </c:pt>
                <c:pt idx="16">
                  <c:v>63.088463299655174</c:v>
                </c:pt>
                <c:pt idx="17">
                  <c:v>61.330277691039988</c:v>
                </c:pt>
                <c:pt idx="18">
                  <c:v>65.826782646258934</c:v>
                </c:pt>
                <c:pt idx="19">
                  <c:v>69.411441046435172</c:v>
                </c:pt>
                <c:pt idx="20">
                  <c:v>68.728829073166565</c:v>
                </c:pt>
                <c:pt idx="21">
                  <c:v>68.770908436967702</c:v>
                </c:pt>
                <c:pt idx="22">
                  <c:v>70.897004741038472</c:v>
                </c:pt>
                <c:pt idx="23" formatCode="0.000">
                  <c:v>71.423759538540097</c:v>
                </c:pt>
                <c:pt idx="24">
                  <c:v>72.086604383349368</c:v>
                </c:pt>
                <c:pt idx="25" formatCode="0.000">
                  <c:v>74.264581947162441</c:v>
                </c:pt>
                <c:pt idx="26">
                  <c:v>75.018041747761004</c:v>
                </c:pt>
                <c:pt idx="27">
                  <c:v>75.142669815954278</c:v>
                </c:pt>
                <c:pt idx="28">
                  <c:v>75.326873321847756</c:v>
                </c:pt>
                <c:pt idx="29">
                  <c:v>75.832513715074199</c:v>
                </c:pt>
                <c:pt idx="30">
                  <c:v>76.604313386337907</c:v>
                </c:pt>
                <c:pt idx="31">
                  <c:v>77.39054813212131</c:v>
                </c:pt>
                <c:pt idx="32">
                  <c:v>78.135387504678576</c:v>
                </c:pt>
                <c:pt idx="33">
                  <c:v>78.721275029674899</c:v>
                </c:pt>
                <c:pt idx="34">
                  <c:v>79.1606165746378</c:v>
                </c:pt>
                <c:pt idx="35">
                  <c:v>79.563844165747568</c:v>
                </c:pt>
                <c:pt idx="36">
                  <c:v>79.972709811339143</c:v>
                </c:pt>
                <c:pt idx="37">
                  <c:v>80.378344971868657</c:v>
                </c:pt>
                <c:pt idx="38">
                  <c:v>80.775798875482309</c:v>
                </c:pt>
                <c:pt idx="39">
                  <c:v>81.165968866443691</c:v>
                </c:pt>
                <c:pt idx="40">
                  <c:v>81.52589675852748</c:v>
                </c:pt>
                <c:pt idx="41">
                  <c:v>81.863089613066421</c:v>
                </c:pt>
                <c:pt idx="42">
                  <c:v>82.195016529057085</c:v>
                </c:pt>
                <c:pt idx="43">
                  <c:v>82.522535861378216</c:v>
                </c:pt>
                <c:pt idx="44" formatCode="0.000">
                  <c:v>82.845522273964164</c:v>
                </c:pt>
                <c:pt idx="45" formatCode="0.00">
                  <c:v>83.164031064896378</c:v>
                </c:pt>
              </c:numCache>
            </c:numRef>
          </c:val>
          <c:smooth val="0"/>
          <c:extLst xmlns:c16r2="http://schemas.microsoft.com/office/drawing/2015/06/chart">
            <c:ext xmlns:c16="http://schemas.microsoft.com/office/drawing/2014/chart" uri="{C3380CC4-5D6E-409C-BE32-E72D297353CC}">
              <c16:uniqueId val="{00000000-D97C-482C-AFD5-222F930F2B10}"/>
            </c:ext>
          </c:extLst>
        </c:ser>
        <c:ser>
          <c:idx val="1"/>
          <c:order val="1"/>
          <c:tx>
            <c:strRef>
              <c:f>'Employment chart'!$A$3</c:f>
              <c:strCache>
                <c:ptCount val="1"/>
                <c:pt idx="0">
                  <c:v>2019</c:v>
                </c:pt>
              </c:strCache>
            </c:strRef>
          </c:tx>
          <c:spPr>
            <a:ln w="28575" cap="rnd">
              <a:solidFill>
                <a:schemeClr val="accent2"/>
              </a:solidFill>
              <a:round/>
            </a:ln>
            <a:effectLst/>
          </c:spPr>
          <c:marker>
            <c:symbol val="none"/>
          </c:marker>
          <c:cat>
            <c:numRef>
              <c:f>'Employment chart'!$B$1:$AU$1</c:f>
              <c:numCache>
                <c:formatCode>0</c:formatCode>
                <c:ptCount val="4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pt idx="31">
                  <c:v>2022</c:v>
                </c:pt>
                <c:pt idx="32">
                  <c:v>2023</c:v>
                </c:pt>
                <c:pt idx="33">
                  <c:v>2024</c:v>
                </c:pt>
                <c:pt idx="34">
                  <c:v>2025</c:v>
                </c:pt>
                <c:pt idx="35">
                  <c:v>2026</c:v>
                </c:pt>
                <c:pt idx="36">
                  <c:v>2027</c:v>
                </c:pt>
                <c:pt idx="37">
                  <c:v>2028</c:v>
                </c:pt>
                <c:pt idx="38">
                  <c:v>2029</c:v>
                </c:pt>
                <c:pt idx="39">
                  <c:v>2030</c:v>
                </c:pt>
                <c:pt idx="40">
                  <c:v>2031</c:v>
                </c:pt>
                <c:pt idx="41">
                  <c:v>2032</c:v>
                </c:pt>
                <c:pt idx="42">
                  <c:v>2033</c:v>
                </c:pt>
                <c:pt idx="43">
                  <c:v>2034</c:v>
                </c:pt>
                <c:pt idx="44">
                  <c:v>2035</c:v>
                </c:pt>
                <c:pt idx="45">
                  <c:v>2036</c:v>
                </c:pt>
              </c:numCache>
            </c:numRef>
          </c:cat>
          <c:val>
            <c:numRef>
              <c:f>'Employment chart'!$B$3:$AU$3</c:f>
              <c:numCache>
                <c:formatCode>0.0</c:formatCode>
                <c:ptCount val="46"/>
                <c:pt idx="0">
                  <c:v>55.695346717526029</c:v>
                </c:pt>
                <c:pt idx="1">
                  <c:v>54.274451997120025</c:v>
                </c:pt>
                <c:pt idx="2">
                  <c:v>53.620837064150209</c:v>
                </c:pt>
                <c:pt idx="3">
                  <c:v>55.357176057586429</c:v>
                </c:pt>
                <c:pt idx="4">
                  <c:v>57.079341705287902</c:v>
                </c:pt>
                <c:pt idx="5">
                  <c:v>56.860371679072124</c:v>
                </c:pt>
                <c:pt idx="6">
                  <c:v>59.521704369246216</c:v>
                </c:pt>
                <c:pt idx="7">
                  <c:v>61.335504780065094</c:v>
                </c:pt>
                <c:pt idx="8">
                  <c:v>59.321967022404436</c:v>
                </c:pt>
                <c:pt idx="9">
                  <c:v>60.933471508717005</c:v>
                </c:pt>
                <c:pt idx="10">
                  <c:v>64.871713604915399</c:v>
                </c:pt>
                <c:pt idx="11">
                  <c:v>67.900926418670053</c:v>
                </c:pt>
                <c:pt idx="12">
                  <c:v>59.146220980239882</c:v>
                </c:pt>
                <c:pt idx="13">
                  <c:v>60.042846520784124</c:v>
                </c:pt>
                <c:pt idx="14">
                  <c:v>61.791060800637148</c:v>
                </c:pt>
                <c:pt idx="15">
                  <c:v>62.331568915918879</c:v>
                </c:pt>
                <c:pt idx="16">
                  <c:v>62.762818809961601</c:v>
                </c:pt>
                <c:pt idx="17">
                  <c:v>60.931487339336257</c:v>
                </c:pt>
                <c:pt idx="18">
                  <c:v>66.633556010236603</c:v>
                </c:pt>
                <c:pt idx="19">
                  <c:v>70.66772229038763</c:v>
                </c:pt>
                <c:pt idx="20">
                  <c:v>69.774545222338617</c:v>
                </c:pt>
                <c:pt idx="21">
                  <c:v>69.860282784241207</c:v>
                </c:pt>
                <c:pt idx="22">
                  <c:v>72.690366780745151</c:v>
                </c:pt>
                <c:pt idx="23">
                  <c:v>72.371647844266434</c:v>
                </c:pt>
                <c:pt idx="24">
                  <c:v>72.786937757077595</c:v>
                </c:pt>
                <c:pt idx="25">
                  <c:v>73.793852007733733</c:v>
                </c:pt>
                <c:pt idx="26">
                  <c:v>72.746078737268419</c:v>
                </c:pt>
                <c:pt idx="27">
                  <c:v>71.379497122916419</c:v>
                </c:pt>
                <c:pt idx="28">
                  <c:v>72.21556294022129</c:v>
                </c:pt>
                <c:pt idx="29">
                  <c:v>72.661530823403695</c:v>
                </c:pt>
                <c:pt idx="30">
                  <c:v>73.282055086896165</c:v>
                </c:pt>
                <c:pt idx="31">
                  <c:v>73.805713108754105</c:v>
                </c:pt>
                <c:pt idx="32">
                  <c:v>74.24664426673732</c:v>
                </c:pt>
                <c:pt idx="33">
                  <c:v>74.57332359031318</c:v>
                </c:pt>
                <c:pt idx="34">
                  <c:v>74.750970109575761</c:v>
                </c:pt>
                <c:pt idx="35">
                  <c:v>74.905964109930338</c:v>
                </c:pt>
                <c:pt idx="36">
                  <c:v>75.061060374227537</c:v>
                </c:pt>
                <c:pt idx="37">
                  <c:v>75.216368308274824</c:v>
                </c:pt>
                <c:pt idx="38">
                  <c:v>75.378228291978644</c:v>
                </c:pt>
                <c:pt idx="39">
                  <c:v>75.538875235156539</c:v>
                </c:pt>
                <c:pt idx="40">
                  <c:v>75.635502112872643</c:v>
                </c:pt>
                <c:pt idx="41">
                  <c:v>75.69138642084161</c:v>
                </c:pt>
                <c:pt idx="42">
                  <c:v>75.729753729566994</c:v>
                </c:pt>
                <c:pt idx="43">
                  <c:v>75.762773599135144</c:v>
                </c:pt>
                <c:pt idx="44">
                  <c:v>75.810866373537095</c:v>
                </c:pt>
                <c:pt idx="45">
                  <c:v>75.870164318146536</c:v>
                </c:pt>
              </c:numCache>
            </c:numRef>
          </c:val>
          <c:smooth val="0"/>
          <c:extLst xmlns:c16r2="http://schemas.microsoft.com/office/drawing/2015/06/chart">
            <c:ext xmlns:c16="http://schemas.microsoft.com/office/drawing/2014/chart" uri="{C3380CC4-5D6E-409C-BE32-E72D297353CC}">
              <c16:uniqueId val="{00000001-D97C-482C-AFD5-222F930F2B10}"/>
            </c:ext>
          </c:extLst>
        </c:ser>
        <c:ser>
          <c:idx val="2"/>
          <c:order val="2"/>
          <c:tx>
            <c:strRef>
              <c:f>'Employment chart'!$A$4</c:f>
              <c:strCache>
                <c:ptCount val="1"/>
                <c:pt idx="0">
                  <c:v>2017 Grow</c:v>
                </c:pt>
              </c:strCache>
            </c:strRef>
          </c:tx>
          <c:spPr>
            <a:ln w="28575" cap="rnd">
              <a:solidFill>
                <a:schemeClr val="accent3"/>
              </a:solidFill>
              <a:round/>
            </a:ln>
            <a:effectLst/>
          </c:spPr>
          <c:marker>
            <c:symbol val="none"/>
          </c:marker>
          <c:cat>
            <c:numRef>
              <c:f>'Employment chart'!$B$1:$AU$1</c:f>
              <c:numCache>
                <c:formatCode>0</c:formatCode>
                <c:ptCount val="4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pt idx="31">
                  <c:v>2022</c:v>
                </c:pt>
                <c:pt idx="32">
                  <c:v>2023</c:v>
                </c:pt>
                <c:pt idx="33">
                  <c:v>2024</c:v>
                </c:pt>
                <c:pt idx="34">
                  <c:v>2025</c:v>
                </c:pt>
                <c:pt idx="35">
                  <c:v>2026</c:v>
                </c:pt>
                <c:pt idx="36">
                  <c:v>2027</c:v>
                </c:pt>
                <c:pt idx="37">
                  <c:v>2028</c:v>
                </c:pt>
                <c:pt idx="38">
                  <c:v>2029</c:v>
                </c:pt>
                <c:pt idx="39">
                  <c:v>2030</c:v>
                </c:pt>
                <c:pt idx="40">
                  <c:v>2031</c:v>
                </c:pt>
                <c:pt idx="41">
                  <c:v>2032</c:v>
                </c:pt>
                <c:pt idx="42">
                  <c:v>2033</c:v>
                </c:pt>
                <c:pt idx="43">
                  <c:v>2034</c:v>
                </c:pt>
                <c:pt idx="44">
                  <c:v>2035</c:v>
                </c:pt>
                <c:pt idx="45">
                  <c:v>2036</c:v>
                </c:pt>
              </c:numCache>
            </c:numRef>
          </c:cat>
          <c:val>
            <c:numRef>
              <c:f>'Employment chart'!$B$4:$AU$4</c:f>
              <c:numCache>
                <c:formatCode>0.0</c:formatCode>
                <c:ptCount val="46"/>
                <c:pt idx="0">
                  <c:v>55.288328241966241</c:v>
                </c:pt>
                <c:pt idx="1">
                  <c:v>53.945188096069273</c:v>
                </c:pt>
                <c:pt idx="2">
                  <c:v>53.355943451934124</c:v>
                </c:pt>
                <c:pt idx="3">
                  <c:v>55.186631703815401</c:v>
                </c:pt>
                <c:pt idx="4">
                  <c:v>56.947321415524691</c:v>
                </c:pt>
                <c:pt idx="5">
                  <c:v>55.779800748290953</c:v>
                </c:pt>
                <c:pt idx="6">
                  <c:v>58.42202417990574</c:v>
                </c:pt>
                <c:pt idx="7">
                  <c:v>60.352209796787868</c:v>
                </c:pt>
                <c:pt idx="8">
                  <c:v>58.790309454964195</c:v>
                </c:pt>
                <c:pt idx="9">
                  <c:v>60.239045266442488</c:v>
                </c:pt>
                <c:pt idx="10">
                  <c:v>64.075521100370864</c:v>
                </c:pt>
                <c:pt idx="11">
                  <c:v>67.250233309172387</c:v>
                </c:pt>
                <c:pt idx="12">
                  <c:v>59.225530993053738</c:v>
                </c:pt>
                <c:pt idx="13">
                  <c:v>59.981672213422328</c:v>
                </c:pt>
                <c:pt idx="14">
                  <c:v>61.846775521203334</c:v>
                </c:pt>
                <c:pt idx="15">
                  <c:v>62.431440997632521</c:v>
                </c:pt>
                <c:pt idx="16">
                  <c:v>63.088463299655174</c:v>
                </c:pt>
                <c:pt idx="17">
                  <c:v>61.330277691039988</c:v>
                </c:pt>
                <c:pt idx="18">
                  <c:v>65.826782646258934</c:v>
                </c:pt>
                <c:pt idx="19">
                  <c:v>69.411441046435172</c:v>
                </c:pt>
                <c:pt idx="20">
                  <c:v>68.728829073166565</c:v>
                </c:pt>
                <c:pt idx="21">
                  <c:v>68.770908436967702</c:v>
                </c:pt>
                <c:pt idx="22">
                  <c:v>70.897004741038472</c:v>
                </c:pt>
                <c:pt idx="23">
                  <c:v>71.423759538540097</c:v>
                </c:pt>
                <c:pt idx="24">
                  <c:v>72.086604383349368</c:v>
                </c:pt>
                <c:pt idx="25">
                  <c:v>74.264581947162441</c:v>
                </c:pt>
                <c:pt idx="26">
                  <c:v>75.072491388069295</c:v>
                </c:pt>
                <c:pt idx="27">
                  <c:v>75.549655665136314</c:v>
                </c:pt>
                <c:pt idx="28">
                  <c:v>76.074301028476484</c:v>
                </c:pt>
                <c:pt idx="29">
                  <c:v>76.827843075243536</c:v>
                </c:pt>
                <c:pt idx="30">
                  <c:v>77.764778077849968</c:v>
                </c:pt>
                <c:pt idx="31">
                  <c:v>78.713552847445754</c:v>
                </c:pt>
                <c:pt idx="32">
                  <c:v>79.643644049560862</c:v>
                </c:pt>
                <c:pt idx="33">
                  <c:v>80.473816316210218</c:v>
                </c:pt>
                <c:pt idx="34">
                  <c:v>81.212026317223405</c:v>
                </c:pt>
                <c:pt idx="35">
                  <c:v>81.933054248926879</c:v>
                </c:pt>
                <c:pt idx="36">
                  <c:v>82.666653781982774</c:v>
                </c:pt>
                <c:pt idx="37">
                  <c:v>83.405419727624675</c:v>
                </c:pt>
                <c:pt idx="38">
                  <c:v>84.1490716745773</c:v>
                </c:pt>
                <c:pt idx="39">
                  <c:v>84.894654179354177</c:v>
                </c:pt>
                <c:pt idx="40">
                  <c:v>85.61985871850375</c:v>
                </c:pt>
                <c:pt idx="41">
                  <c:v>86.33398784920243</c:v>
                </c:pt>
                <c:pt idx="42">
                  <c:v>87.052919158052674</c:v>
                </c:pt>
                <c:pt idx="43">
                  <c:v>87.777239003088781</c:v>
                </c:pt>
                <c:pt idx="44">
                  <c:v>88.507206412598052</c:v>
                </c:pt>
                <c:pt idx="45">
                  <c:v>89.243041061123364</c:v>
                </c:pt>
              </c:numCache>
            </c:numRef>
          </c:val>
          <c:smooth val="0"/>
          <c:extLst xmlns:c16r2="http://schemas.microsoft.com/office/drawing/2015/06/chart">
            <c:ext xmlns:c16="http://schemas.microsoft.com/office/drawing/2014/chart" uri="{C3380CC4-5D6E-409C-BE32-E72D297353CC}">
              <c16:uniqueId val="{00000002-D97C-482C-AFD5-222F930F2B10}"/>
            </c:ext>
          </c:extLst>
        </c:ser>
        <c:ser>
          <c:idx val="3"/>
          <c:order val="3"/>
          <c:tx>
            <c:strRef>
              <c:f>'Employment chart'!$A$5</c:f>
              <c:strCache>
                <c:ptCount val="1"/>
                <c:pt idx="0">
                  <c:v>2019 Grow</c:v>
                </c:pt>
              </c:strCache>
            </c:strRef>
          </c:tx>
          <c:spPr>
            <a:ln w="28575" cap="rnd">
              <a:solidFill>
                <a:schemeClr val="accent4"/>
              </a:solidFill>
              <a:round/>
            </a:ln>
            <a:effectLst/>
          </c:spPr>
          <c:marker>
            <c:symbol val="none"/>
          </c:marker>
          <c:cat>
            <c:numRef>
              <c:f>'Employment chart'!$B$1:$AU$1</c:f>
              <c:numCache>
                <c:formatCode>0</c:formatCode>
                <c:ptCount val="4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pt idx="31">
                  <c:v>2022</c:v>
                </c:pt>
                <c:pt idx="32">
                  <c:v>2023</c:v>
                </c:pt>
                <c:pt idx="33">
                  <c:v>2024</c:v>
                </c:pt>
                <c:pt idx="34">
                  <c:v>2025</c:v>
                </c:pt>
                <c:pt idx="35">
                  <c:v>2026</c:v>
                </c:pt>
                <c:pt idx="36">
                  <c:v>2027</c:v>
                </c:pt>
                <c:pt idx="37">
                  <c:v>2028</c:v>
                </c:pt>
                <c:pt idx="38">
                  <c:v>2029</c:v>
                </c:pt>
                <c:pt idx="39">
                  <c:v>2030</c:v>
                </c:pt>
                <c:pt idx="40">
                  <c:v>2031</c:v>
                </c:pt>
                <c:pt idx="41">
                  <c:v>2032</c:v>
                </c:pt>
                <c:pt idx="42">
                  <c:v>2033</c:v>
                </c:pt>
                <c:pt idx="43">
                  <c:v>2034</c:v>
                </c:pt>
                <c:pt idx="44">
                  <c:v>2035</c:v>
                </c:pt>
                <c:pt idx="45">
                  <c:v>2036</c:v>
                </c:pt>
              </c:numCache>
            </c:numRef>
          </c:cat>
          <c:val>
            <c:numRef>
              <c:f>'Employment chart'!$B$5:$AU$5</c:f>
              <c:numCache>
                <c:formatCode>0.0</c:formatCode>
                <c:ptCount val="46"/>
                <c:pt idx="0">
                  <c:v>55.695346717526029</c:v>
                </c:pt>
                <c:pt idx="1">
                  <c:v>54.274451997120025</c:v>
                </c:pt>
                <c:pt idx="2">
                  <c:v>53.620837064150209</c:v>
                </c:pt>
                <c:pt idx="3">
                  <c:v>55.357176057586429</c:v>
                </c:pt>
                <c:pt idx="4">
                  <c:v>57.079341705287902</c:v>
                </c:pt>
                <c:pt idx="5">
                  <c:v>56.860371679072124</c:v>
                </c:pt>
                <c:pt idx="6">
                  <c:v>59.521704369246216</c:v>
                </c:pt>
                <c:pt idx="7">
                  <c:v>61.335504780065094</c:v>
                </c:pt>
                <c:pt idx="8">
                  <c:v>59.321967022404436</c:v>
                </c:pt>
                <c:pt idx="9">
                  <c:v>60.933471508717005</c:v>
                </c:pt>
                <c:pt idx="10">
                  <c:v>64.871713604915399</c:v>
                </c:pt>
                <c:pt idx="11">
                  <c:v>67.900926418670053</c:v>
                </c:pt>
                <c:pt idx="12">
                  <c:v>59.146220980239882</c:v>
                </c:pt>
                <c:pt idx="13">
                  <c:v>60.042846520784124</c:v>
                </c:pt>
                <c:pt idx="14">
                  <c:v>61.791060800637148</c:v>
                </c:pt>
                <c:pt idx="15">
                  <c:v>62.331568915918879</c:v>
                </c:pt>
                <c:pt idx="16">
                  <c:v>62.762818809961601</c:v>
                </c:pt>
                <c:pt idx="17">
                  <c:v>60.931487339336257</c:v>
                </c:pt>
                <c:pt idx="18">
                  <c:v>66.633556010236603</c:v>
                </c:pt>
                <c:pt idx="19">
                  <c:v>70.66772229038763</c:v>
                </c:pt>
                <c:pt idx="20">
                  <c:v>69.774545222338617</c:v>
                </c:pt>
                <c:pt idx="21">
                  <c:v>69.860282784241207</c:v>
                </c:pt>
                <c:pt idx="22">
                  <c:v>72.690366780745151</c:v>
                </c:pt>
                <c:pt idx="23">
                  <c:v>72.371647844266434</c:v>
                </c:pt>
                <c:pt idx="24">
                  <c:v>72.786937757077595</c:v>
                </c:pt>
                <c:pt idx="25">
                  <c:v>73.793852007733733</c:v>
                </c:pt>
                <c:pt idx="26">
                  <c:v>72.746078737268419</c:v>
                </c:pt>
                <c:pt idx="27">
                  <c:v>71.379497122916419</c:v>
                </c:pt>
                <c:pt idx="28">
                  <c:v>72.322683804117176</c:v>
                </c:pt>
                <c:pt idx="29">
                  <c:v>72.966816066008448</c:v>
                </c:pt>
                <c:pt idx="30">
                  <c:v>73.754689735866705</c:v>
                </c:pt>
                <c:pt idx="31">
                  <c:v>74.483812843103209</c:v>
                </c:pt>
                <c:pt idx="32">
                  <c:v>75.170167374947809</c:v>
                </c:pt>
                <c:pt idx="33">
                  <c:v>75.791329722371785</c:v>
                </c:pt>
                <c:pt idx="34">
                  <c:v>76.310794073601372</c:v>
                </c:pt>
                <c:pt idx="35">
                  <c:v>76.809509377282694</c:v>
                </c:pt>
                <c:pt idx="36">
                  <c:v>77.314421533743712</c:v>
                </c:pt>
                <c:pt idx="37">
                  <c:v>77.824431048832551</c:v>
                </c:pt>
                <c:pt idx="38">
                  <c:v>78.34562023331992</c:v>
                </c:pt>
                <c:pt idx="39">
                  <c:v>78.875938950127292</c:v>
                </c:pt>
                <c:pt idx="40">
                  <c:v>79.373842988477151</c:v>
                </c:pt>
                <c:pt idx="41">
                  <c:v>79.857197609587104</c:v>
                </c:pt>
                <c:pt idx="42">
                  <c:v>80.337013065509083</c:v>
                </c:pt>
                <c:pt idx="43">
                  <c:v>80.818585395316703</c:v>
                </c:pt>
                <c:pt idx="44">
                  <c:v>81.318070157001102</c:v>
                </c:pt>
                <c:pt idx="45">
                  <c:v>81.834177669146129</c:v>
                </c:pt>
              </c:numCache>
            </c:numRef>
          </c:val>
          <c:smooth val="0"/>
          <c:extLst xmlns:c16r2="http://schemas.microsoft.com/office/drawing/2015/06/chart">
            <c:ext xmlns:c16="http://schemas.microsoft.com/office/drawing/2014/chart" uri="{C3380CC4-5D6E-409C-BE32-E72D297353CC}">
              <c16:uniqueId val="{00000003-D97C-482C-AFD5-222F930F2B10}"/>
            </c:ext>
          </c:extLst>
        </c:ser>
        <c:dLbls>
          <c:showLegendKey val="0"/>
          <c:showVal val="0"/>
          <c:showCatName val="0"/>
          <c:showSerName val="0"/>
          <c:showPercent val="0"/>
          <c:showBubbleSize val="0"/>
        </c:dLbls>
        <c:marker val="1"/>
        <c:smooth val="0"/>
        <c:axId val="284496256"/>
        <c:axId val="284497792"/>
      </c:lineChart>
      <c:catAx>
        <c:axId val="284496256"/>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84497792"/>
        <c:crosses val="autoZero"/>
        <c:auto val="1"/>
        <c:lblAlgn val="ctr"/>
        <c:lblOffset val="100"/>
        <c:noMultiLvlLbl val="0"/>
      </c:catAx>
      <c:valAx>
        <c:axId val="284497792"/>
        <c:scaling>
          <c:orientation val="minMax"/>
          <c:min val="4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GB"/>
                  <a:t>Employment (000's)</a:t>
                </a:r>
              </a:p>
              <a:p>
                <a:pPr>
                  <a:defRPr/>
                </a:pPr>
                <a:endParaRPr lang="en-GB"/>
              </a:p>
            </c:rich>
          </c:tx>
          <c:overlay val="0"/>
        </c:title>
        <c:numFmt formatCode="0.0" sourceLinked="1"/>
        <c:majorTickMark val="none"/>
        <c:minorTickMark val="none"/>
        <c:tickLblPos val="nextTo"/>
        <c:spPr>
          <a:noFill/>
          <a:ln>
            <a:noFill/>
          </a:ln>
          <a:effectLst/>
        </c:spPr>
        <c:txPr>
          <a:bodyPr rot="-60000000" vert="horz"/>
          <a:lstStyle/>
          <a:p>
            <a:pPr>
              <a:defRPr/>
            </a:pPr>
            <a:endParaRPr lang="en-US"/>
          </a:p>
        </c:txPr>
        <c:crossAx val="284496256"/>
        <c:crosses val="autoZero"/>
        <c:crossBetween val="between"/>
      </c:valAx>
      <c:spPr>
        <a:noFill/>
        <a:ln>
          <a:noFill/>
        </a:ln>
        <a:effectLst/>
      </c:spPr>
    </c:plotArea>
    <c:legend>
      <c:legendPos val="b"/>
      <c:layout>
        <c:manualLayout>
          <c:xMode val="edge"/>
          <c:yMode val="edge"/>
          <c:x val="0.19581786439590979"/>
          <c:y val="0.89077415848066344"/>
          <c:w val="0.65813784871913639"/>
          <c:h val="6.1855836955808097E-2"/>
        </c:manualLayout>
      </c:layout>
      <c:overlay val="0"/>
      <c:spPr>
        <a:no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1200"/>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58271713497742"/>
          <c:y val="4.5155993431855501E-2"/>
          <c:w val="0.81645451678946224"/>
          <c:h val="0.82244556828770399"/>
        </c:manualLayout>
      </c:layout>
      <c:lineChart>
        <c:grouping val="standard"/>
        <c:varyColors val="0"/>
        <c:ser>
          <c:idx val="0"/>
          <c:order val="0"/>
          <c:tx>
            <c:strRef>
              <c:f>Sheet1!$B$1</c:f>
              <c:strCache>
                <c:ptCount val="1"/>
                <c:pt idx="0">
                  <c:v>Chichester</c:v>
                </c:pt>
              </c:strCache>
            </c:strRef>
          </c:tx>
          <c:spPr>
            <a:ln w="28575" cap="rnd">
              <a:solidFill>
                <a:schemeClr val="accent2"/>
              </a:solidFill>
              <a:round/>
            </a:ln>
            <a:effectLst/>
          </c:spPr>
          <c:marker>
            <c:symbol val="none"/>
          </c:marker>
          <c:cat>
            <c:numRef>
              <c:f>Sheet1!$A$2:$A$59</c:f>
              <c:numCache>
                <c:formatCode>General</c:formatCode>
                <c:ptCount val="58"/>
                <c:pt idx="0">
                  <c:v>2004</c:v>
                </c:pt>
                <c:pt idx="4">
                  <c:v>2005</c:v>
                </c:pt>
                <c:pt idx="8">
                  <c:v>2006</c:v>
                </c:pt>
                <c:pt idx="12">
                  <c:v>2007</c:v>
                </c:pt>
                <c:pt idx="16">
                  <c:v>2008</c:v>
                </c:pt>
                <c:pt idx="20">
                  <c:v>2009</c:v>
                </c:pt>
                <c:pt idx="24">
                  <c:v>2010</c:v>
                </c:pt>
                <c:pt idx="28">
                  <c:v>2011</c:v>
                </c:pt>
                <c:pt idx="32">
                  <c:v>2012</c:v>
                </c:pt>
                <c:pt idx="36">
                  <c:v>2013</c:v>
                </c:pt>
                <c:pt idx="40">
                  <c:v>2014</c:v>
                </c:pt>
                <c:pt idx="44">
                  <c:v>2015</c:v>
                </c:pt>
                <c:pt idx="48">
                  <c:v>2016</c:v>
                </c:pt>
                <c:pt idx="52">
                  <c:v>2017</c:v>
                </c:pt>
                <c:pt idx="56">
                  <c:v>2018</c:v>
                </c:pt>
              </c:numCache>
            </c:numRef>
          </c:cat>
          <c:val>
            <c:numRef>
              <c:f>Sheet1!$B$2:$B$59</c:f>
              <c:numCache>
                <c:formatCode>General</c:formatCode>
                <c:ptCount val="58"/>
                <c:pt idx="0">
                  <c:v>1600</c:v>
                </c:pt>
                <c:pt idx="1">
                  <c:v>1600</c:v>
                </c:pt>
                <c:pt idx="2">
                  <c:v>1800</c:v>
                </c:pt>
                <c:pt idx="3">
                  <c:v>1700</c:v>
                </c:pt>
                <c:pt idx="4">
                  <c:v>1700</c:v>
                </c:pt>
                <c:pt idx="5">
                  <c:v>1800</c:v>
                </c:pt>
                <c:pt idx="6">
                  <c:v>2100</c:v>
                </c:pt>
                <c:pt idx="7">
                  <c:v>2300</c:v>
                </c:pt>
                <c:pt idx="8">
                  <c:v>2300</c:v>
                </c:pt>
                <c:pt idx="9">
                  <c:v>2200</c:v>
                </c:pt>
                <c:pt idx="10">
                  <c:v>2000</c:v>
                </c:pt>
                <c:pt idx="11">
                  <c:v>2000</c:v>
                </c:pt>
                <c:pt idx="12">
                  <c:v>2100</c:v>
                </c:pt>
                <c:pt idx="13">
                  <c:v>2100</c:v>
                </c:pt>
                <c:pt idx="14">
                  <c:v>2200</c:v>
                </c:pt>
                <c:pt idx="15">
                  <c:v>2200</c:v>
                </c:pt>
                <c:pt idx="16">
                  <c:v>2200</c:v>
                </c:pt>
                <c:pt idx="17">
                  <c:v>2100</c:v>
                </c:pt>
                <c:pt idx="18">
                  <c:v>2200</c:v>
                </c:pt>
                <c:pt idx="19">
                  <c:v>2400</c:v>
                </c:pt>
                <c:pt idx="20">
                  <c:v>2400</c:v>
                </c:pt>
                <c:pt idx="21">
                  <c:v>2700</c:v>
                </c:pt>
                <c:pt idx="22">
                  <c:v>2600</c:v>
                </c:pt>
                <c:pt idx="23">
                  <c:v>2500</c:v>
                </c:pt>
                <c:pt idx="24">
                  <c:v>2500</c:v>
                </c:pt>
                <c:pt idx="25">
                  <c:v>2500</c:v>
                </c:pt>
                <c:pt idx="26">
                  <c:v>2700</c:v>
                </c:pt>
                <c:pt idx="27">
                  <c:v>2800</c:v>
                </c:pt>
                <c:pt idx="28">
                  <c:v>2900</c:v>
                </c:pt>
                <c:pt idx="29">
                  <c:v>2800</c:v>
                </c:pt>
                <c:pt idx="30">
                  <c:v>2700</c:v>
                </c:pt>
                <c:pt idx="31">
                  <c:v>2700</c:v>
                </c:pt>
                <c:pt idx="32">
                  <c:v>2700</c:v>
                </c:pt>
                <c:pt idx="33">
                  <c:v>2900</c:v>
                </c:pt>
                <c:pt idx="34">
                  <c:v>2900</c:v>
                </c:pt>
                <c:pt idx="35">
                  <c:v>3100</c:v>
                </c:pt>
                <c:pt idx="36">
                  <c:v>3000</c:v>
                </c:pt>
                <c:pt idx="37">
                  <c:v>2700</c:v>
                </c:pt>
                <c:pt idx="38">
                  <c:v>2500</c:v>
                </c:pt>
                <c:pt idx="39">
                  <c:v>2400</c:v>
                </c:pt>
                <c:pt idx="40">
                  <c:v>2400</c:v>
                </c:pt>
                <c:pt idx="41">
                  <c:v>2200</c:v>
                </c:pt>
                <c:pt idx="42">
                  <c:v>2000</c:v>
                </c:pt>
                <c:pt idx="43">
                  <c:v>1800</c:v>
                </c:pt>
                <c:pt idx="44">
                  <c:v>1700</c:v>
                </c:pt>
                <c:pt idx="45">
                  <c:v>1700</c:v>
                </c:pt>
                <c:pt idx="46">
                  <c:v>1800</c:v>
                </c:pt>
                <c:pt idx="47">
                  <c:v>1900</c:v>
                </c:pt>
                <c:pt idx="48">
                  <c:v>2000</c:v>
                </c:pt>
                <c:pt idx="49">
                  <c:v>1800</c:v>
                </c:pt>
                <c:pt idx="50">
                  <c:v>1800</c:v>
                </c:pt>
                <c:pt idx="51">
                  <c:v>1700</c:v>
                </c:pt>
                <c:pt idx="52">
                  <c:v>1500</c:v>
                </c:pt>
                <c:pt idx="53">
                  <c:v>1700</c:v>
                </c:pt>
                <c:pt idx="54">
                  <c:v>1600</c:v>
                </c:pt>
                <c:pt idx="55">
                  <c:v>1500</c:v>
                </c:pt>
                <c:pt idx="56">
                  <c:v>1600</c:v>
                </c:pt>
                <c:pt idx="57">
                  <c:v>1700</c:v>
                </c:pt>
              </c:numCache>
            </c:numRef>
          </c:val>
          <c:smooth val="1"/>
          <c:extLst xmlns:c16r2="http://schemas.microsoft.com/office/drawing/2015/06/chart">
            <c:ext xmlns:c16="http://schemas.microsoft.com/office/drawing/2014/chart" uri="{C3380CC4-5D6E-409C-BE32-E72D297353CC}">
              <c16:uniqueId val="{00000000-B672-4029-8361-00FFF8623A6B}"/>
            </c:ext>
          </c:extLst>
        </c:ser>
        <c:dLbls>
          <c:showLegendKey val="0"/>
          <c:showVal val="0"/>
          <c:showCatName val="0"/>
          <c:showSerName val="0"/>
          <c:showPercent val="0"/>
          <c:showBubbleSize val="0"/>
        </c:dLbls>
        <c:marker val="1"/>
        <c:smooth val="0"/>
        <c:axId val="284527232"/>
        <c:axId val="284529024"/>
      </c:lineChart>
      <c:catAx>
        <c:axId val="28452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a:lstStyle/>
          <a:p>
            <a:pPr>
              <a:defRPr/>
            </a:pPr>
            <a:endParaRPr lang="en-US"/>
          </a:p>
        </c:txPr>
        <c:crossAx val="284529024"/>
        <c:crosses val="autoZero"/>
        <c:auto val="1"/>
        <c:lblAlgn val="ctr"/>
        <c:lblOffset val="100"/>
        <c:noMultiLvlLbl val="0"/>
      </c:catAx>
      <c:valAx>
        <c:axId val="284529024"/>
        <c:scaling>
          <c:orientation val="minMax"/>
        </c:scaling>
        <c:delete val="0"/>
        <c:axPos val="l"/>
        <c:majorGridlines>
          <c:spPr>
            <a:ln w="9525" cap="flat" cmpd="sng" algn="ctr">
              <a:noFill/>
              <a:round/>
            </a:ln>
            <a:effectLst/>
          </c:spPr>
        </c:majorGridlines>
        <c:title>
          <c:tx>
            <c:rich>
              <a:bodyPr rot="-5400000" vert="horz"/>
              <a:lstStyle/>
              <a:p>
                <a:pPr>
                  <a:defRPr/>
                </a:pPr>
                <a:r>
                  <a:rPr lang="en-GB"/>
                  <a:t>Number of people unemployed</a:t>
                </a:r>
              </a:p>
            </c:rich>
          </c:tx>
          <c:layout>
            <c:manualLayout>
              <c:xMode val="edge"/>
              <c:yMode val="edge"/>
              <c:x val="0"/>
              <c:y val="0.17227383215029199"/>
            </c:manualLayout>
          </c:layout>
          <c:overlay val="0"/>
          <c:spPr>
            <a:noFill/>
            <a:ln>
              <a:noFill/>
            </a:ln>
            <a:effectLst/>
          </c:spPr>
        </c:title>
        <c:numFmt formatCode="#,##0" sourceLinked="0"/>
        <c:majorTickMark val="none"/>
        <c:minorTickMark val="none"/>
        <c:tickLblPos val="nextTo"/>
        <c:spPr>
          <a:noFill/>
          <a:ln w="9525" cap="flat" cmpd="sng" algn="ctr">
            <a:noFill/>
            <a:prstDash val="solid"/>
          </a:ln>
          <a:effectLst/>
        </c:spPr>
        <c:txPr>
          <a:bodyPr rot="-60000000" vert="horz"/>
          <a:lstStyle/>
          <a:p>
            <a:pPr>
              <a:defRPr/>
            </a:pPr>
            <a:endParaRPr lang="en-US"/>
          </a:p>
        </c:txPr>
        <c:crossAx val="284527232"/>
        <c:crosses val="autoZero"/>
        <c:crossBetween val="between"/>
      </c:valAx>
      <c:spPr>
        <a:solidFill>
          <a:schemeClr val="lt1"/>
        </a:solidFill>
        <a:ln w="25400" cap="flat" cmpd="sng" algn="ctr">
          <a:noFill/>
          <a:prstDash val="solid"/>
        </a:ln>
        <a:effectLst/>
      </c:spPr>
    </c:plotArea>
    <c:plotVisOnly val="1"/>
    <c:dispBlanksAs val="gap"/>
    <c:showDLblsOverMax val="0"/>
  </c:chart>
  <c:spPr>
    <a:solidFill>
      <a:schemeClr val="lt1"/>
    </a:solidFill>
    <a:ln w="6350" cap="flat" cmpd="sng" algn="ctr">
      <a:solidFill>
        <a:schemeClr val="dk1"/>
      </a:solidFill>
      <a:prstDash val="solid"/>
      <a:round/>
    </a:ln>
    <a:effectLst/>
  </c:spPr>
  <c:txPr>
    <a:bodyPr/>
    <a:lstStyle/>
    <a:p>
      <a:pPr>
        <a:defRPr sz="1200">
          <a:solidFill>
            <a:schemeClr val="dk1"/>
          </a:solidFill>
          <a:latin typeface="+mn-lt"/>
          <a:ea typeface="+mn-ea"/>
          <a:cs typeface="+mn-cs"/>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'House price trends'!$A$23</c:f>
              <c:strCache>
                <c:ptCount val="1"/>
                <c:pt idx="0">
                  <c:v>Chichester District</c:v>
                </c:pt>
              </c:strCache>
            </c:strRef>
          </c:tx>
          <c:invertIfNegative val="0"/>
          <c:cat>
            <c:strRef>
              <c:f>'House price trends'!$B$22:$E$22</c:f>
              <c:strCache>
                <c:ptCount val="4"/>
                <c:pt idx="0">
                  <c:v>Detached</c:v>
                </c:pt>
                <c:pt idx="1">
                  <c:v>Semi-detached</c:v>
                </c:pt>
                <c:pt idx="2">
                  <c:v>Terraced</c:v>
                </c:pt>
                <c:pt idx="3">
                  <c:v>Flat</c:v>
                </c:pt>
              </c:strCache>
            </c:strRef>
          </c:cat>
          <c:val>
            <c:numRef>
              <c:f>'House price trends'!$B$23:$E$23</c:f>
              <c:numCache>
                <c:formatCode>"£"#,##0</c:formatCode>
                <c:ptCount val="4"/>
                <c:pt idx="0">
                  <c:v>535000</c:v>
                </c:pt>
                <c:pt idx="1">
                  <c:v>327500</c:v>
                </c:pt>
                <c:pt idx="2">
                  <c:v>315000</c:v>
                </c:pt>
                <c:pt idx="3">
                  <c:v>221250</c:v>
                </c:pt>
              </c:numCache>
            </c:numRef>
          </c:val>
          <c:extLst xmlns:c16r2="http://schemas.microsoft.com/office/drawing/2015/06/chart">
            <c:ext xmlns:c16="http://schemas.microsoft.com/office/drawing/2014/chart" uri="{C3380CC4-5D6E-409C-BE32-E72D297353CC}">
              <c16:uniqueId val="{00000000-26BC-440A-9040-44ADEE96C02C}"/>
            </c:ext>
          </c:extLst>
        </c:ser>
        <c:ser>
          <c:idx val="1"/>
          <c:order val="1"/>
          <c:tx>
            <c:strRef>
              <c:f>'House price trends'!$A$24</c:f>
              <c:strCache>
                <c:ptCount val="1"/>
                <c:pt idx="0">
                  <c:v>Arun</c:v>
                </c:pt>
              </c:strCache>
            </c:strRef>
          </c:tx>
          <c:invertIfNegative val="0"/>
          <c:cat>
            <c:strRef>
              <c:f>'House price trends'!$B$22:$E$22</c:f>
              <c:strCache>
                <c:ptCount val="4"/>
                <c:pt idx="0">
                  <c:v>Detached</c:v>
                </c:pt>
                <c:pt idx="1">
                  <c:v>Semi-detached</c:v>
                </c:pt>
                <c:pt idx="2">
                  <c:v>Terraced</c:v>
                </c:pt>
                <c:pt idx="3">
                  <c:v>Flat</c:v>
                </c:pt>
              </c:strCache>
            </c:strRef>
          </c:cat>
          <c:val>
            <c:numRef>
              <c:f>'House price trends'!$B$24:$E$24</c:f>
              <c:numCache>
                <c:formatCode>"£"#,##0</c:formatCode>
                <c:ptCount val="4"/>
                <c:pt idx="0">
                  <c:v>415000</c:v>
                </c:pt>
                <c:pt idx="1">
                  <c:v>289972.5</c:v>
                </c:pt>
                <c:pt idx="2">
                  <c:v>250000</c:v>
                </c:pt>
                <c:pt idx="3">
                  <c:v>157000</c:v>
                </c:pt>
              </c:numCache>
            </c:numRef>
          </c:val>
          <c:extLst xmlns:c16r2="http://schemas.microsoft.com/office/drawing/2015/06/chart">
            <c:ext xmlns:c16="http://schemas.microsoft.com/office/drawing/2014/chart" uri="{C3380CC4-5D6E-409C-BE32-E72D297353CC}">
              <c16:uniqueId val="{00000001-26BC-440A-9040-44ADEE96C02C}"/>
            </c:ext>
          </c:extLst>
        </c:ser>
        <c:ser>
          <c:idx val="2"/>
          <c:order val="2"/>
          <c:tx>
            <c:strRef>
              <c:f>'House price trends'!$A$25</c:f>
              <c:strCache>
                <c:ptCount val="1"/>
                <c:pt idx="0">
                  <c:v>Cotswold</c:v>
                </c:pt>
              </c:strCache>
            </c:strRef>
          </c:tx>
          <c:invertIfNegative val="0"/>
          <c:cat>
            <c:strRef>
              <c:f>'House price trends'!$B$22:$E$22</c:f>
              <c:strCache>
                <c:ptCount val="4"/>
                <c:pt idx="0">
                  <c:v>Detached</c:v>
                </c:pt>
                <c:pt idx="1">
                  <c:v>Semi-detached</c:v>
                </c:pt>
                <c:pt idx="2">
                  <c:v>Terraced</c:v>
                </c:pt>
                <c:pt idx="3">
                  <c:v>Flat</c:v>
                </c:pt>
              </c:strCache>
            </c:strRef>
          </c:cat>
          <c:val>
            <c:numRef>
              <c:f>'House price trends'!$B$25:$E$25</c:f>
              <c:numCache>
                <c:formatCode>"£"#,##0</c:formatCode>
                <c:ptCount val="4"/>
                <c:pt idx="0">
                  <c:v>501250</c:v>
                </c:pt>
                <c:pt idx="1">
                  <c:v>300000</c:v>
                </c:pt>
                <c:pt idx="2">
                  <c:v>275000</c:v>
                </c:pt>
                <c:pt idx="3">
                  <c:v>216475</c:v>
                </c:pt>
              </c:numCache>
            </c:numRef>
          </c:val>
          <c:extLst xmlns:c16r2="http://schemas.microsoft.com/office/drawing/2015/06/chart">
            <c:ext xmlns:c16="http://schemas.microsoft.com/office/drawing/2014/chart" uri="{C3380CC4-5D6E-409C-BE32-E72D297353CC}">
              <c16:uniqueId val="{00000002-26BC-440A-9040-44ADEE96C02C}"/>
            </c:ext>
          </c:extLst>
        </c:ser>
        <c:ser>
          <c:idx val="3"/>
          <c:order val="3"/>
          <c:tx>
            <c:strRef>
              <c:f>'House price trends'!$A$26</c:f>
              <c:strCache>
                <c:ptCount val="1"/>
                <c:pt idx="0">
                  <c:v>West Dorset</c:v>
                </c:pt>
              </c:strCache>
            </c:strRef>
          </c:tx>
          <c:invertIfNegative val="0"/>
          <c:cat>
            <c:strRef>
              <c:f>'House price trends'!$B$22:$E$22</c:f>
              <c:strCache>
                <c:ptCount val="4"/>
                <c:pt idx="0">
                  <c:v>Detached</c:v>
                </c:pt>
                <c:pt idx="1">
                  <c:v>Semi-detached</c:v>
                </c:pt>
                <c:pt idx="2">
                  <c:v>Terraced</c:v>
                </c:pt>
                <c:pt idx="3">
                  <c:v>Flat</c:v>
                </c:pt>
              </c:strCache>
            </c:strRef>
          </c:cat>
          <c:val>
            <c:numRef>
              <c:f>'House price trends'!$B$26:$E$26</c:f>
              <c:numCache>
                <c:formatCode>"£"#,##0</c:formatCode>
                <c:ptCount val="4"/>
                <c:pt idx="0">
                  <c:v>395000</c:v>
                </c:pt>
                <c:pt idx="1">
                  <c:v>284950</c:v>
                </c:pt>
                <c:pt idx="2">
                  <c:v>240000</c:v>
                </c:pt>
                <c:pt idx="3">
                  <c:v>179000</c:v>
                </c:pt>
              </c:numCache>
            </c:numRef>
          </c:val>
          <c:extLst xmlns:c16r2="http://schemas.microsoft.com/office/drawing/2015/06/chart">
            <c:ext xmlns:c16="http://schemas.microsoft.com/office/drawing/2014/chart" uri="{C3380CC4-5D6E-409C-BE32-E72D297353CC}">
              <c16:uniqueId val="{00000003-26BC-440A-9040-44ADEE96C02C}"/>
            </c:ext>
          </c:extLst>
        </c:ser>
        <c:ser>
          <c:idx val="13"/>
          <c:order val="4"/>
          <c:tx>
            <c:strRef>
              <c:f>'House price trends'!$A$33</c:f>
              <c:strCache>
                <c:ptCount val="1"/>
                <c:pt idx="0">
                  <c:v>Chichester and Bognor HMA</c:v>
                </c:pt>
              </c:strCache>
            </c:strRef>
          </c:tx>
          <c:invertIfNegative val="0"/>
          <c:val>
            <c:numRef>
              <c:f>'House price trends'!$B$33:$E$33</c:f>
              <c:numCache>
                <c:formatCode>"£"#,##0</c:formatCode>
                <c:ptCount val="4"/>
                <c:pt idx="0">
                  <c:v>475000</c:v>
                </c:pt>
                <c:pt idx="1">
                  <c:v>308736.25</c:v>
                </c:pt>
                <c:pt idx="2">
                  <c:v>282500</c:v>
                </c:pt>
                <c:pt idx="3">
                  <c:v>189125</c:v>
                </c:pt>
              </c:numCache>
            </c:numRef>
          </c:val>
          <c:extLst xmlns:c16r2="http://schemas.microsoft.com/office/drawing/2015/06/chart">
            <c:ext xmlns:c16="http://schemas.microsoft.com/office/drawing/2014/chart" uri="{C3380CC4-5D6E-409C-BE32-E72D297353CC}">
              <c16:uniqueId val="{00000004-26BC-440A-9040-44ADEE96C02C}"/>
            </c:ext>
          </c:extLst>
        </c:ser>
        <c:ser>
          <c:idx val="10"/>
          <c:order val="5"/>
          <c:tx>
            <c:strRef>
              <c:f>'House price trends'!$A$34</c:f>
              <c:strCache>
                <c:ptCount val="1"/>
                <c:pt idx="0">
                  <c:v>West Sussex</c:v>
                </c:pt>
              </c:strCache>
            </c:strRef>
          </c:tx>
          <c:invertIfNegative val="0"/>
          <c:cat>
            <c:strRef>
              <c:f>'House price trends'!$B$22:$E$22</c:f>
              <c:strCache>
                <c:ptCount val="4"/>
                <c:pt idx="0">
                  <c:v>Detached</c:v>
                </c:pt>
                <c:pt idx="1">
                  <c:v>Semi-detached</c:v>
                </c:pt>
                <c:pt idx="2">
                  <c:v>Terraced</c:v>
                </c:pt>
                <c:pt idx="3">
                  <c:v>Flat</c:v>
                </c:pt>
              </c:strCache>
            </c:strRef>
          </c:cat>
          <c:val>
            <c:numRef>
              <c:f>'House price trends'!$B$34:$E$34</c:f>
              <c:numCache>
                <c:formatCode>"£"#,##0</c:formatCode>
                <c:ptCount val="4"/>
                <c:pt idx="0">
                  <c:v>485000</c:v>
                </c:pt>
                <c:pt idx="1">
                  <c:v>339995</c:v>
                </c:pt>
                <c:pt idx="2">
                  <c:v>292950</c:v>
                </c:pt>
                <c:pt idx="3">
                  <c:v>205000</c:v>
                </c:pt>
              </c:numCache>
            </c:numRef>
          </c:val>
          <c:extLst xmlns:c16r2="http://schemas.microsoft.com/office/drawing/2015/06/chart">
            <c:ext xmlns:c16="http://schemas.microsoft.com/office/drawing/2014/chart" uri="{C3380CC4-5D6E-409C-BE32-E72D297353CC}">
              <c16:uniqueId val="{00000005-26BC-440A-9040-44ADEE96C02C}"/>
            </c:ext>
          </c:extLst>
        </c:ser>
        <c:ser>
          <c:idx val="11"/>
          <c:order val="6"/>
          <c:tx>
            <c:strRef>
              <c:f>'House price trends'!$A$35</c:f>
              <c:strCache>
                <c:ptCount val="1"/>
                <c:pt idx="0">
                  <c:v>South East</c:v>
                </c:pt>
              </c:strCache>
            </c:strRef>
          </c:tx>
          <c:invertIfNegative val="0"/>
          <c:cat>
            <c:strRef>
              <c:f>'House price trends'!$B$22:$E$22</c:f>
              <c:strCache>
                <c:ptCount val="4"/>
                <c:pt idx="0">
                  <c:v>Detached</c:v>
                </c:pt>
                <c:pt idx="1">
                  <c:v>Semi-detached</c:v>
                </c:pt>
                <c:pt idx="2">
                  <c:v>Terraced</c:v>
                </c:pt>
                <c:pt idx="3">
                  <c:v>Flat</c:v>
                </c:pt>
              </c:strCache>
            </c:strRef>
          </c:cat>
          <c:val>
            <c:numRef>
              <c:f>'House price trends'!$B$35:$E$35</c:f>
              <c:numCache>
                <c:formatCode>"£"#,##0</c:formatCode>
                <c:ptCount val="4"/>
                <c:pt idx="0">
                  <c:v>495000</c:v>
                </c:pt>
                <c:pt idx="1">
                  <c:v>335000</c:v>
                </c:pt>
                <c:pt idx="2">
                  <c:v>276500</c:v>
                </c:pt>
                <c:pt idx="3">
                  <c:v>211500</c:v>
                </c:pt>
              </c:numCache>
            </c:numRef>
          </c:val>
          <c:extLst xmlns:c16r2="http://schemas.microsoft.com/office/drawing/2015/06/chart">
            <c:ext xmlns:c16="http://schemas.microsoft.com/office/drawing/2014/chart" uri="{C3380CC4-5D6E-409C-BE32-E72D297353CC}">
              <c16:uniqueId val="{00000006-26BC-440A-9040-44ADEE96C02C}"/>
            </c:ext>
          </c:extLst>
        </c:ser>
        <c:ser>
          <c:idx val="12"/>
          <c:order val="7"/>
          <c:tx>
            <c:strRef>
              <c:f>'House price trends'!$A$36</c:f>
              <c:strCache>
                <c:ptCount val="1"/>
                <c:pt idx="0">
                  <c:v>England and Wales</c:v>
                </c:pt>
              </c:strCache>
            </c:strRef>
          </c:tx>
          <c:invertIfNegative val="0"/>
          <c:cat>
            <c:strRef>
              <c:f>'House price trends'!$B$22:$E$22</c:f>
              <c:strCache>
                <c:ptCount val="4"/>
                <c:pt idx="0">
                  <c:v>Detached</c:v>
                </c:pt>
                <c:pt idx="1">
                  <c:v>Semi-detached</c:v>
                </c:pt>
                <c:pt idx="2">
                  <c:v>Terraced</c:v>
                </c:pt>
                <c:pt idx="3">
                  <c:v>Flat</c:v>
                </c:pt>
              </c:strCache>
            </c:strRef>
          </c:cat>
          <c:val>
            <c:numRef>
              <c:f>'House price trends'!$B$36:$E$36</c:f>
              <c:numCache>
                <c:formatCode>"£"#,##0</c:formatCode>
                <c:ptCount val="4"/>
                <c:pt idx="0">
                  <c:v>330000</c:v>
                </c:pt>
                <c:pt idx="1">
                  <c:v>205000</c:v>
                </c:pt>
                <c:pt idx="2">
                  <c:v>175000</c:v>
                </c:pt>
                <c:pt idx="3">
                  <c:v>210000</c:v>
                </c:pt>
              </c:numCache>
            </c:numRef>
          </c:val>
          <c:extLst xmlns:c16r2="http://schemas.microsoft.com/office/drawing/2015/06/chart">
            <c:ext xmlns:c16="http://schemas.microsoft.com/office/drawing/2014/chart" uri="{C3380CC4-5D6E-409C-BE32-E72D297353CC}">
              <c16:uniqueId val="{00000007-26BC-440A-9040-44ADEE96C02C}"/>
            </c:ext>
          </c:extLst>
        </c:ser>
        <c:dLbls>
          <c:showLegendKey val="0"/>
          <c:showVal val="0"/>
          <c:showCatName val="0"/>
          <c:showSerName val="0"/>
          <c:showPercent val="0"/>
          <c:showBubbleSize val="0"/>
        </c:dLbls>
        <c:gapWidth val="150"/>
        <c:axId val="282925696"/>
        <c:axId val="282939776"/>
        <c:extLst xmlns:c16r2="http://schemas.microsoft.com/office/drawing/2015/06/chart">
          <c:ext xmlns:c15="http://schemas.microsoft.com/office/drawing/2012/chart" uri="{02D57815-91ED-43cb-92C2-25804820EDAC}">
            <c15:filteredBarSeries>
              <c15:ser>
                <c:idx val="4"/>
                <c:order val="4"/>
                <c:tx>
                  <c:strRef>
                    <c:extLst>
                      <c:ext uri="{02D57815-91ED-43cb-92C2-25804820EDAC}">
                        <c15:formulaRef>
                          <c15:sqref>'House price trends'!$A$27</c15:sqref>
                        </c15:formulaRef>
                      </c:ext>
                    </c:extLst>
                    <c:strCache>
                      <c:ptCount val="1"/>
                      <c:pt idx="0">
                        <c:v>Harrogate</c:v>
                      </c:pt>
                    </c:strCache>
                  </c:strRef>
                </c:tx>
                <c:invertIfNegative val="0"/>
                <c:cat>
                  <c:strRef>
                    <c:extLst>
                      <c:ext uri="{02D57815-91ED-43cb-92C2-25804820EDAC}">
                        <c15:formulaRef>
                          <c15:sqref>'House price trends'!$B$22:$E$22</c15:sqref>
                        </c15:formulaRef>
                      </c:ext>
                    </c:extLst>
                    <c:strCache>
                      <c:ptCount val="4"/>
                      <c:pt idx="0">
                        <c:v>Detached</c:v>
                      </c:pt>
                      <c:pt idx="1">
                        <c:v>Semi-detached</c:v>
                      </c:pt>
                      <c:pt idx="2">
                        <c:v>Terraced</c:v>
                      </c:pt>
                      <c:pt idx="3">
                        <c:v>Flat</c:v>
                      </c:pt>
                    </c:strCache>
                  </c:strRef>
                </c:cat>
                <c:val>
                  <c:numRef>
                    <c:extLst>
                      <c:ext uri="{02D57815-91ED-43cb-92C2-25804820EDAC}">
                        <c15:formulaRef>
                          <c15:sqref>'House price trends'!$B$27:$E$27</c15:sqref>
                        </c15:formulaRef>
                      </c:ext>
                    </c:extLst>
                    <c:numCache>
                      <c:formatCode>"£"#,##0</c:formatCode>
                      <c:ptCount val="4"/>
                      <c:pt idx="0">
                        <c:v>425000</c:v>
                      </c:pt>
                      <c:pt idx="1">
                        <c:v>249999.5</c:v>
                      </c:pt>
                      <c:pt idx="2">
                        <c:v>218000</c:v>
                      </c:pt>
                      <c:pt idx="3">
                        <c:v>176000</c:v>
                      </c:pt>
                    </c:numCache>
                  </c:numRef>
                </c:val>
                <c:extLst>
                  <c:ext xmlns:c16="http://schemas.microsoft.com/office/drawing/2014/chart" uri="{C3380CC4-5D6E-409C-BE32-E72D297353CC}">
                    <c16:uniqueId val="{00000008-26BC-440A-9040-44ADEE96C02C}"/>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'House price trends'!$A$28</c15:sqref>
                        </c15:formulaRef>
                      </c:ext>
                    </c:extLst>
                    <c:strCache>
                      <c:ptCount val="1"/>
                      <c:pt idx="0">
                        <c:v>South Hams</c:v>
                      </c:pt>
                    </c:strCache>
                  </c:strRef>
                </c:tx>
                <c:invertIfNegative val="0"/>
                <c:cat>
                  <c:strRef>
                    <c:extLst xmlns:c15="http://schemas.microsoft.com/office/drawing/2012/chart">
                      <c:ext xmlns:c15="http://schemas.microsoft.com/office/drawing/2012/chart" uri="{02D57815-91ED-43cb-92C2-25804820EDAC}">
                        <c15:formulaRef>
                          <c15:sqref>'House price trends'!$B$22:$E$22</c15:sqref>
                        </c15:formulaRef>
                      </c:ext>
                    </c:extLst>
                    <c:strCache>
                      <c:ptCount val="4"/>
                      <c:pt idx="0">
                        <c:v>Detached</c:v>
                      </c:pt>
                      <c:pt idx="1">
                        <c:v>Semi-detached</c:v>
                      </c:pt>
                      <c:pt idx="2">
                        <c:v>Terraced</c:v>
                      </c:pt>
                      <c:pt idx="3">
                        <c:v>Flat</c:v>
                      </c:pt>
                    </c:strCache>
                  </c:strRef>
                </c:cat>
                <c:val>
                  <c:numRef>
                    <c:extLst xmlns:c15="http://schemas.microsoft.com/office/drawing/2012/chart">
                      <c:ext xmlns:c15="http://schemas.microsoft.com/office/drawing/2012/chart" uri="{02D57815-91ED-43cb-92C2-25804820EDAC}">
                        <c15:formulaRef>
                          <c15:sqref>'House price trends'!$B$28:$E$28</c15:sqref>
                        </c15:formulaRef>
                      </c:ext>
                    </c:extLst>
                    <c:numCache>
                      <c:formatCode>"£"#,##0</c:formatCode>
                      <c:ptCount val="4"/>
                      <c:pt idx="0">
                        <c:v>415000</c:v>
                      </c:pt>
                      <c:pt idx="1">
                        <c:v>242000</c:v>
                      </c:pt>
                      <c:pt idx="2">
                        <c:v>237250</c:v>
                      </c:pt>
                      <c:pt idx="3">
                        <c:v>202500</c:v>
                      </c:pt>
                    </c:numCache>
                  </c:numRef>
                </c:val>
                <c:extLst xmlns:c15="http://schemas.microsoft.com/office/drawing/2012/chart">
                  <c:ext xmlns:c16="http://schemas.microsoft.com/office/drawing/2014/chart" uri="{C3380CC4-5D6E-409C-BE32-E72D297353CC}">
                    <c16:uniqueId val="{00000009-26BC-440A-9040-44ADEE96C02C}"/>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'House price trends'!$A$29</c15:sqref>
                        </c15:formulaRef>
                      </c:ext>
                    </c:extLst>
                    <c:strCache>
                      <c:ptCount val="1"/>
                      <c:pt idx="0">
                        <c:v>Lewes</c:v>
                      </c:pt>
                    </c:strCache>
                  </c:strRef>
                </c:tx>
                <c:invertIfNegative val="0"/>
                <c:cat>
                  <c:strRef>
                    <c:extLst xmlns:c15="http://schemas.microsoft.com/office/drawing/2012/chart">
                      <c:ext xmlns:c15="http://schemas.microsoft.com/office/drawing/2012/chart" uri="{02D57815-91ED-43cb-92C2-25804820EDAC}">
                        <c15:formulaRef>
                          <c15:sqref>'House price trends'!$B$22:$E$22</c15:sqref>
                        </c15:formulaRef>
                      </c:ext>
                    </c:extLst>
                    <c:strCache>
                      <c:ptCount val="4"/>
                      <c:pt idx="0">
                        <c:v>Detached</c:v>
                      </c:pt>
                      <c:pt idx="1">
                        <c:v>Semi-detached</c:v>
                      </c:pt>
                      <c:pt idx="2">
                        <c:v>Terraced</c:v>
                      </c:pt>
                      <c:pt idx="3">
                        <c:v>Flat</c:v>
                      </c:pt>
                    </c:strCache>
                  </c:strRef>
                </c:cat>
                <c:val>
                  <c:numRef>
                    <c:extLst xmlns:c15="http://schemas.microsoft.com/office/drawing/2012/chart">
                      <c:ext xmlns:c15="http://schemas.microsoft.com/office/drawing/2012/chart" uri="{02D57815-91ED-43cb-92C2-25804820EDAC}">
                        <c15:formulaRef>
                          <c15:sqref>'House price trends'!$B$29:$E$29</c15:sqref>
                        </c15:formulaRef>
                      </c:ext>
                    </c:extLst>
                    <c:numCache>
                      <c:formatCode>"£"#,##0</c:formatCode>
                      <c:ptCount val="4"/>
                      <c:pt idx="0">
                        <c:v>438000</c:v>
                      </c:pt>
                      <c:pt idx="1">
                        <c:v>317000</c:v>
                      </c:pt>
                      <c:pt idx="2">
                        <c:v>285000</c:v>
                      </c:pt>
                      <c:pt idx="3">
                        <c:v>199950</c:v>
                      </c:pt>
                    </c:numCache>
                  </c:numRef>
                </c:val>
                <c:extLst xmlns:c15="http://schemas.microsoft.com/office/drawing/2012/chart">
                  <c:ext xmlns:c16="http://schemas.microsoft.com/office/drawing/2014/chart" uri="{C3380CC4-5D6E-409C-BE32-E72D297353CC}">
                    <c16:uniqueId val="{0000000A-26BC-440A-9040-44ADEE96C02C}"/>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'House price trends'!$A$30</c15:sqref>
                        </c15:formulaRef>
                      </c:ext>
                    </c:extLst>
                    <c:strCache>
                      <c:ptCount val="1"/>
                      <c:pt idx="0">
                        <c:v>Havant</c:v>
                      </c:pt>
                    </c:strCache>
                  </c:strRef>
                </c:tx>
                <c:invertIfNegative val="0"/>
                <c:cat>
                  <c:strRef>
                    <c:extLst xmlns:c15="http://schemas.microsoft.com/office/drawing/2012/chart">
                      <c:ext xmlns:c15="http://schemas.microsoft.com/office/drawing/2012/chart" uri="{02D57815-91ED-43cb-92C2-25804820EDAC}">
                        <c15:formulaRef>
                          <c15:sqref>'House price trends'!$B$22:$E$22</c15:sqref>
                        </c15:formulaRef>
                      </c:ext>
                    </c:extLst>
                    <c:strCache>
                      <c:ptCount val="4"/>
                      <c:pt idx="0">
                        <c:v>Detached</c:v>
                      </c:pt>
                      <c:pt idx="1">
                        <c:v>Semi-detached</c:v>
                      </c:pt>
                      <c:pt idx="2">
                        <c:v>Terraced</c:v>
                      </c:pt>
                      <c:pt idx="3">
                        <c:v>Flat</c:v>
                      </c:pt>
                    </c:strCache>
                  </c:strRef>
                </c:cat>
                <c:val>
                  <c:numRef>
                    <c:extLst xmlns:c15="http://schemas.microsoft.com/office/drawing/2012/chart">
                      <c:ext xmlns:c15="http://schemas.microsoft.com/office/drawing/2012/chart" uri="{02D57815-91ED-43cb-92C2-25804820EDAC}">
                        <c15:formulaRef>
                          <c15:sqref>'House price trends'!$B$30:$E$30</c15:sqref>
                        </c15:formulaRef>
                      </c:ext>
                    </c:extLst>
                    <c:numCache>
                      <c:formatCode>"£"#,##0</c:formatCode>
                      <c:ptCount val="4"/>
                      <c:pt idx="0">
                        <c:v>382000</c:v>
                      </c:pt>
                      <c:pt idx="1">
                        <c:v>277500</c:v>
                      </c:pt>
                      <c:pt idx="2">
                        <c:v>225000</c:v>
                      </c:pt>
                      <c:pt idx="3">
                        <c:v>152000</c:v>
                      </c:pt>
                    </c:numCache>
                  </c:numRef>
                </c:val>
                <c:extLst xmlns:c15="http://schemas.microsoft.com/office/drawing/2012/chart">
                  <c:ext xmlns:c16="http://schemas.microsoft.com/office/drawing/2014/chart" uri="{C3380CC4-5D6E-409C-BE32-E72D297353CC}">
                    <c16:uniqueId val="{0000000B-26BC-440A-9040-44ADEE96C02C}"/>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'House price trends'!$A$31</c15:sqref>
                        </c15:formulaRef>
                      </c:ext>
                    </c:extLst>
                    <c:strCache>
                      <c:ptCount val="1"/>
                      <c:pt idx="0">
                        <c:v>Horsham</c:v>
                      </c:pt>
                    </c:strCache>
                  </c:strRef>
                </c:tx>
                <c:invertIfNegative val="0"/>
                <c:cat>
                  <c:strRef>
                    <c:extLst xmlns:c15="http://schemas.microsoft.com/office/drawing/2012/chart">
                      <c:ext xmlns:c15="http://schemas.microsoft.com/office/drawing/2012/chart" uri="{02D57815-91ED-43cb-92C2-25804820EDAC}">
                        <c15:formulaRef>
                          <c15:sqref>'House price trends'!$B$22:$E$22</c15:sqref>
                        </c15:formulaRef>
                      </c:ext>
                    </c:extLst>
                    <c:strCache>
                      <c:ptCount val="4"/>
                      <c:pt idx="0">
                        <c:v>Detached</c:v>
                      </c:pt>
                      <c:pt idx="1">
                        <c:v>Semi-detached</c:v>
                      </c:pt>
                      <c:pt idx="2">
                        <c:v>Terraced</c:v>
                      </c:pt>
                      <c:pt idx="3">
                        <c:v>Flat</c:v>
                      </c:pt>
                    </c:strCache>
                  </c:strRef>
                </c:cat>
                <c:val>
                  <c:numRef>
                    <c:extLst xmlns:c15="http://schemas.microsoft.com/office/drawing/2012/chart">
                      <c:ext xmlns:c15="http://schemas.microsoft.com/office/drawing/2012/chart" uri="{02D57815-91ED-43cb-92C2-25804820EDAC}">
                        <c15:formulaRef>
                          <c15:sqref>'House price trends'!$B$31:$E$31</c15:sqref>
                        </c15:formulaRef>
                      </c:ext>
                    </c:extLst>
                    <c:numCache>
                      <c:formatCode>"£"#,##0</c:formatCode>
                      <c:ptCount val="4"/>
                      <c:pt idx="0">
                        <c:v>532500</c:v>
                      </c:pt>
                      <c:pt idx="1">
                        <c:v>380000</c:v>
                      </c:pt>
                      <c:pt idx="2">
                        <c:v>320000</c:v>
                      </c:pt>
                      <c:pt idx="3">
                        <c:v>224000</c:v>
                      </c:pt>
                    </c:numCache>
                  </c:numRef>
                </c:val>
                <c:extLst xmlns:c15="http://schemas.microsoft.com/office/drawing/2012/chart">
                  <c:ext xmlns:c16="http://schemas.microsoft.com/office/drawing/2014/chart" uri="{C3380CC4-5D6E-409C-BE32-E72D297353CC}">
                    <c16:uniqueId val="{0000000C-26BC-440A-9040-44ADEE96C02C}"/>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'House price trends'!$A$32</c15:sqref>
                        </c15:formulaRef>
                      </c:ext>
                    </c:extLst>
                    <c:strCache>
                      <c:ptCount val="1"/>
                      <c:pt idx="0">
                        <c:v>Waverley</c:v>
                      </c:pt>
                    </c:strCache>
                  </c:strRef>
                </c:tx>
                <c:invertIfNegative val="0"/>
                <c:cat>
                  <c:strRef>
                    <c:extLst xmlns:c15="http://schemas.microsoft.com/office/drawing/2012/chart">
                      <c:ext xmlns:c15="http://schemas.microsoft.com/office/drawing/2012/chart" uri="{02D57815-91ED-43cb-92C2-25804820EDAC}">
                        <c15:formulaRef>
                          <c15:sqref>'House price trends'!$B$22:$E$22</c15:sqref>
                        </c15:formulaRef>
                      </c:ext>
                    </c:extLst>
                    <c:strCache>
                      <c:ptCount val="4"/>
                      <c:pt idx="0">
                        <c:v>Detached</c:v>
                      </c:pt>
                      <c:pt idx="1">
                        <c:v>Semi-detached</c:v>
                      </c:pt>
                      <c:pt idx="2">
                        <c:v>Terraced</c:v>
                      </c:pt>
                      <c:pt idx="3">
                        <c:v>Flat</c:v>
                      </c:pt>
                    </c:strCache>
                  </c:strRef>
                </c:cat>
                <c:val>
                  <c:numRef>
                    <c:extLst xmlns:c15="http://schemas.microsoft.com/office/drawing/2012/chart">
                      <c:ext xmlns:c15="http://schemas.microsoft.com/office/drawing/2012/chart" uri="{02D57815-91ED-43cb-92C2-25804820EDAC}">
                        <c15:formulaRef>
                          <c15:sqref>'House price trends'!$B$32:$E$32</c15:sqref>
                        </c15:formulaRef>
                      </c:ext>
                    </c:extLst>
                    <c:numCache>
                      <c:formatCode>"£"#,##0</c:formatCode>
                      <c:ptCount val="4"/>
                      <c:pt idx="0">
                        <c:v>710000</c:v>
                      </c:pt>
                      <c:pt idx="1">
                        <c:v>450000</c:v>
                      </c:pt>
                      <c:pt idx="2">
                        <c:v>365000</c:v>
                      </c:pt>
                      <c:pt idx="3">
                        <c:v>265000</c:v>
                      </c:pt>
                    </c:numCache>
                  </c:numRef>
                </c:val>
                <c:extLst xmlns:c15="http://schemas.microsoft.com/office/drawing/2012/chart">
                  <c:ext xmlns:c16="http://schemas.microsoft.com/office/drawing/2014/chart" uri="{C3380CC4-5D6E-409C-BE32-E72D297353CC}">
                    <c16:uniqueId val="{0000000D-26BC-440A-9040-44ADEE96C02C}"/>
                  </c:ext>
                </c:extLst>
              </c15:ser>
            </c15:filteredBarSeries>
          </c:ext>
        </c:extLst>
      </c:barChart>
      <c:catAx>
        <c:axId val="282925696"/>
        <c:scaling>
          <c:orientation val="minMax"/>
        </c:scaling>
        <c:delete val="0"/>
        <c:axPos val="b"/>
        <c:numFmt formatCode="General" sourceLinked="0"/>
        <c:majorTickMark val="none"/>
        <c:minorTickMark val="none"/>
        <c:tickLblPos val="nextTo"/>
        <c:crossAx val="282939776"/>
        <c:crosses val="autoZero"/>
        <c:auto val="1"/>
        <c:lblAlgn val="ctr"/>
        <c:lblOffset val="100"/>
        <c:noMultiLvlLbl val="0"/>
      </c:catAx>
      <c:valAx>
        <c:axId val="282939776"/>
        <c:scaling>
          <c:orientation val="minMax"/>
        </c:scaling>
        <c:delete val="0"/>
        <c:axPos val="l"/>
        <c:majorGridlines/>
        <c:numFmt formatCode="&quot;£&quot;#,##0" sourceLinked="1"/>
        <c:majorTickMark val="none"/>
        <c:minorTickMark val="none"/>
        <c:tickLblPos val="nextTo"/>
        <c:crossAx val="282925696"/>
        <c:crosses val="autoZero"/>
        <c:crossBetween val="between"/>
      </c:valAx>
      <c:dTable>
        <c:showHorzBorder val="1"/>
        <c:showVertBorder val="1"/>
        <c:showOutline val="1"/>
        <c:showKeys val="1"/>
      </c:dTable>
    </c:plotArea>
    <c:plotVisOnly val="1"/>
    <c:dispBlanksAs val="gap"/>
    <c:showDLblsOverMax val="0"/>
  </c:chart>
  <c:txPr>
    <a:bodyPr/>
    <a:lstStyle/>
    <a:p>
      <a:pPr>
        <a:defRPr sz="1200">
          <a:latin typeface="Arial Narrow" panose="020B0606020202030204" pitchFamily="34" charset="0"/>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949982979262101"/>
          <c:y val="4.7794916358896399E-2"/>
          <c:w val="0.81050017020737897"/>
          <c:h val="0.73219177496360599"/>
        </c:manualLayout>
      </c:layout>
      <c:lineChart>
        <c:grouping val="standard"/>
        <c:varyColors val="0"/>
        <c:ser>
          <c:idx val="0"/>
          <c:order val="0"/>
          <c:tx>
            <c:strRef>
              <c:f>Sheet1!$B$1</c:f>
              <c:strCache>
                <c:ptCount val="1"/>
                <c:pt idx="0">
                  <c:v>2019</c:v>
                </c:pt>
              </c:strCache>
            </c:strRef>
          </c:tx>
          <c:spPr>
            <a:ln w="28575" cap="rnd">
              <a:solidFill>
                <a:schemeClr val="accent1"/>
              </a:solidFill>
              <a:round/>
            </a:ln>
            <a:effectLst/>
          </c:spPr>
          <c:marker>
            <c:symbol val="none"/>
          </c:marker>
          <c:cat>
            <c:strRef>
              <c:f>Sheet1!$A$2:$A$14</c:f>
              <c:strCache>
                <c:ptCount val="13"/>
                <c:pt idx="0">
                  <c:v>16-19</c:v>
                </c:pt>
                <c:pt idx="1">
                  <c:v>20-24</c:v>
                </c:pt>
                <c:pt idx="2">
                  <c:v>25-29</c:v>
                </c:pt>
                <c:pt idx="3">
                  <c:v>30-34</c:v>
                </c:pt>
                <c:pt idx="4">
                  <c:v>35-39</c:v>
                </c:pt>
                <c:pt idx="5">
                  <c:v>40-44</c:v>
                </c:pt>
                <c:pt idx="6">
                  <c:v>45-49</c:v>
                </c:pt>
                <c:pt idx="7">
                  <c:v>50-54</c:v>
                </c:pt>
                <c:pt idx="8">
                  <c:v>55-59</c:v>
                </c:pt>
                <c:pt idx="9">
                  <c:v>60-64</c:v>
                </c:pt>
                <c:pt idx="10">
                  <c:v>65-69</c:v>
                </c:pt>
                <c:pt idx="11">
                  <c:v>70-74</c:v>
                </c:pt>
                <c:pt idx="12">
                  <c:v>75-89</c:v>
                </c:pt>
              </c:strCache>
            </c:strRef>
          </c:cat>
          <c:val>
            <c:numRef>
              <c:f>Sheet1!$B$2:$B$14</c:f>
              <c:numCache>
                <c:formatCode>General</c:formatCode>
                <c:ptCount val="13"/>
                <c:pt idx="0">
                  <c:v>0.51018945308237507</c:v>
                </c:pt>
                <c:pt idx="1">
                  <c:v>0.80974961770793152</c:v>
                </c:pt>
                <c:pt idx="2">
                  <c:v>0.94815844272612204</c:v>
                </c:pt>
                <c:pt idx="3">
                  <c:v>0.9432647078807912</c:v>
                </c:pt>
                <c:pt idx="4">
                  <c:v>0.95715506721371391</c:v>
                </c:pt>
                <c:pt idx="5">
                  <c:v>0.95128566201731513</c:v>
                </c:pt>
                <c:pt idx="6">
                  <c:v>0.93470061557285522</c:v>
                </c:pt>
                <c:pt idx="7">
                  <c:v>0.9322158524351879</c:v>
                </c:pt>
                <c:pt idx="8">
                  <c:v>0.8925305777518755</c:v>
                </c:pt>
                <c:pt idx="9">
                  <c:v>0.71323717766534223</c:v>
                </c:pt>
                <c:pt idx="10">
                  <c:v>0.37485668229569308</c:v>
                </c:pt>
                <c:pt idx="11">
                  <c:v>0.20779381481736858</c:v>
                </c:pt>
                <c:pt idx="12">
                  <c:v>5.1428668032732133E-2</c:v>
                </c:pt>
              </c:numCache>
            </c:numRef>
          </c:val>
          <c:smooth val="0"/>
          <c:extLst xmlns:c16r2="http://schemas.microsoft.com/office/drawing/2015/06/chart">
            <c:ext xmlns:c16="http://schemas.microsoft.com/office/drawing/2014/chart" uri="{C3380CC4-5D6E-409C-BE32-E72D297353CC}">
              <c16:uniqueId val="{00000000-EC2B-4B91-B74C-C41540F40AB7}"/>
            </c:ext>
          </c:extLst>
        </c:ser>
        <c:ser>
          <c:idx val="1"/>
          <c:order val="1"/>
          <c:tx>
            <c:strRef>
              <c:f>Sheet1!$C$1</c:f>
              <c:strCache>
                <c:ptCount val="1"/>
                <c:pt idx="0">
                  <c:v>2036</c:v>
                </c:pt>
              </c:strCache>
            </c:strRef>
          </c:tx>
          <c:spPr>
            <a:ln w="28575" cap="rnd">
              <a:solidFill>
                <a:schemeClr val="accent2"/>
              </a:solidFill>
              <a:round/>
            </a:ln>
            <a:effectLst/>
          </c:spPr>
          <c:marker>
            <c:symbol val="none"/>
          </c:marker>
          <c:cat>
            <c:strRef>
              <c:f>Sheet1!$A$2:$A$14</c:f>
              <c:strCache>
                <c:ptCount val="13"/>
                <c:pt idx="0">
                  <c:v>16-19</c:v>
                </c:pt>
                <c:pt idx="1">
                  <c:v>20-24</c:v>
                </c:pt>
                <c:pt idx="2">
                  <c:v>25-29</c:v>
                </c:pt>
                <c:pt idx="3">
                  <c:v>30-34</c:v>
                </c:pt>
                <c:pt idx="4">
                  <c:v>35-39</c:v>
                </c:pt>
                <c:pt idx="5">
                  <c:v>40-44</c:v>
                </c:pt>
                <c:pt idx="6">
                  <c:v>45-49</c:v>
                </c:pt>
                <c:pt idx="7">
                  <c:v>50-54</c:v>
                </c:pt>
                <c:pt idx="8">
                  <c:v>55-59</c:v>
                </c:pt>
                <c:pt idx="9">
                  <c:v>60-64</c:v>
                </c:pt>
                <c:pt idx="10">
                  <c:v>65-69</c:v>
                </c:pt>
                <c:pt idx="11">
                  <c:v>70-74</c:v>
                </c:pt>
                <c:pt idx="12">
                  <c:v>75-89</c:v>
                </c:pt>
              </c:strCache>
            </c:strRef>
          </c:cat>
          <c:val>
            <c:numRef>
              <c:f>Sheet1!$C$2:$C$14</c:f>
              <c:numCache>
                <c:formatCode>General</c:formatCode>
                <c:ptCount val="13"/>
                <c:pt idx="0">
                  <c:v>0.49795826052939773</c:v>
                </c:pt>
                <c:pt idx="1">
                  <c:v>0.83051033054454537</c:v>
                </c:pt>
                <c:pt idx="2">
                  <c:v>0.94787223654056407</c:v>
                </c:pt>
                <c:pt idx="3">
                  <c:v>0.94164956264458766</c:v>
                </c:pt>
                <c:pt idx="4">
                  <c:v>0.94810497774149172</c:v>
                </c:pt>
                <c:pt idx="5">
                  <c:v>0.93951272449749557</c:v>
                </c:pt>
                <c:pt idx="6">
                  <c:v>0.92833443972847063</c:v>
                </c:pt>
                <c:pt idx="7">
                  <c:v>0.92022807044491328</c:v>
                </c:pt>
                <c:pt idx="8">
                  <c:v>0.89723299542761414</c:v>
                </c:pt>
                <c:pt idx="9">
                  <c:v>0.7737433066114372</c:v>
                </c:pt>
                <c:pt idx="10">
                  <c:v>0.47473675530528558</c:v>
                </c:pt>
                <c:pt idx="11">
                  <c:v>0.22840308008455334</c:v>
                </c:pt>
                <c:pt idx="12">
                  <c:v>6.2315044692146465E-2</c:v>
                </c:pt>
              </c:numCache>
            </c:numRef>
          </c:val>
          <c:smooth val="0"/>
          <c:extLst xmlns:c16r2="http://schemas.microsoft.com/office/drawing/2015/06/chart">
            <c:ext xmlns:c16="http://schemas.microsoft.com/office/drawing/2014/chart" uri="{C3380CC4-5D6E-409C-BE32-E72D297353CC}">
              <c16:uniqueId val="{00000001-EC2B-4B91-B74C-C41540F40AB7}"/>
            </c:ext>
          </c:extLst>
        </c:ser>
        <c:dLbls>
          <c:showLegendKey val="0"/>
          <c:showVal val="0"/>
          <c:showCatName val="0"/>
          <c:showSerName val="0"/>
          <c:showPercent val="0"/>
          <c:showBubbleSize val="0"/>
        </c:dLbls>
        <c:marker val="1"/>
        <c:smooth val="0"/>
        <c:axId val="284935680"/>
        <c:axId val="284937216"/>
      </c:lineChart>
      <c:catAx>
        <c:axId val="284935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a:lstStyle/>
          <a:p>
            <a:pPr>
              <a:defRPr/>
            </a:pPr>
            <a:endParaRPr lang="en-US"/>
          </a:p>
        </c:txPr>
        <c:crossAx val="284937216"/>
        <c:crosses val="autoZero"/>
        <c:auto val="1"/>
        <c:lblAlgn val="ctr"/>
        <c:lblOffset val="100"/>
        <c:noMultiLvlLbl val="0"/>
      </c:catAx>
      <c:valAx>
        <c:axId val="284937216"/>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GB"/>
                  <a:t>Percent economically active</a:t>
                </a:r>
              </a:p>
            </c:rich>
          </c:tx>
          <c:layout>
            <c:manualLayout>
              <c:xMode val="edge"/>
              <c:yMode val="edge"/>
              <c:x val="3.5628937649359099E-3"/>
              <c:y val="0.224177658870199"/>
            </c:manualLayout>
          </c:layout>
          <c:overlay val="0"/>
          <c:spPr>
            <a:noFill/>
            <a:ln>
              <a:noFill/>
            </a:ln>
            <a:effectLst/>
          </c:spPr>
        </c:title>
        <c:numFmt formatCode="0%" sourceLinked="0"/>
        <c:majorTickMark val="none"/>
        <c:minorTickMark val="none"/>
        <c:tickLblPos val="nextTo"/>
        <c:spPr>
          <a:noFill/>
          <a:ln>
            <a:noFill/>
          </a:ln>
          <a:effectLst/>
        </c:spPr>
        <c:txPr>
          <a:bodyPr rot="-60000000" vert="horz"/>
          <a:lstStyle/>
          <a:p>
            <a:pPr>
              <a:defRPr/>
            </a:pPr>
            <a:endParaRPr lang="en-US"/>
          </a:p>
        </c:txPr>
        <c:crossAx val="284935680"/>
        <c:crosses val="autoZero"/>
        <c:crossBetween val="between"/>
      </c:valAx>
      <c:spPr>
        <a:noFill/>
        <a:ln>
          <a:noFill/>
        </a:ln>
        <a:effectLst/>
      </c:spPr>
    </c:plotArea>
    <c:legend>
      <c:legendPos val="b"/>
      <c:layout>
        <c:manualLayout>
          <c:xMode val="edge"/>
          <c:yMode val="edge"/>
          <c:x val="0.27976105963074399"/>
          <c:y val="0.92521515410182698"/>
          <c:w val="0.44047788073851202"/>
          <c:h val="7.4784845898173205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Arial Narrow" panose="020B0606020202030204" pitchFamily="34" charset="0"/>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949982979262101"/>
          <c:y val="4.7794916358896399E-2"/>
          <c:w val="0.81050017020737897"/>
          <c:h val="0.73219177496360599"/>
        </c:manualLayout>
      </c:layout>
      <c:lineChart>
        <c:grouping val="standard"/>
        <c:varyColors val="0"/>
        <c:ser>
          <c:idx val="0"/>
          <c:order val="0"/>
          <c:tx>
            <c:strRef>
              <c:f>Sheet1!$B$1</c:f>
              <c:strCache>
                <c:ptCount val="1"/>
                <c:pt idx="0">
                  <c:v>2019</c:v>
                </c:pt>
              </c:strCache>
            </c:strRef>
          </c:tx>
          <c:spPr>
            <a:ln w="28575" cap="rnd">
              <a:solidFill>
                <a:schemeClr val="accent1"/>
              </a:solidFill>
              <a:round/>
            </a:ln>
            <a:effectLst/>
          </c:spPr>
          <c:marker>
            <c:symbol val="none"/>
          </c:marker>
          <c:cat>
            <c:strRef>
              <c:f>Sheet1!$A$2:$A$14</c:f>
              <c:strCache>
                <c:ptCount val="13"/>
                <c:pt idx="0">
                  <c:v>16-19</c:v>
                </c:pt>
                <c:pt idx="1">
                  <c:v>20-24</c:v>
                </c:pt>
                <c:pt idx="2">
                  <c:v>25-29</c:v>
                </c:pt>
                <c:pt idx="3">
                  <c:v>30-34</c:v>
                </c:pt>
                <c:pt idx="4">
                  <c:v>35-39</c:v>
                </c:pt>
                <c:pt idx="5">
                  <c:v>40-44</c:v>
                </c:pt>
                <c:pt idx="6">
                  <c:v>45-49</c:v>
                </c:pt>
                <c:pt idx="7">
                  <c:v>50-54</c:v>
                </c:pt>
                <c:pt idx="8">
                  <c:v>55-59</c:v>
                </c:pt>
                <c:pt idx="9">
                  <c:v>60-64</c:v>
                </c:pt>
                <c:pt idx="10">
                  <c:v>65-69</c:v>
                </c:pt>
                <c:pt idx="11">
                  <c:v>70-74</c:v>
                </c:pt>
                <c:pt idx="12">
                  <c:v>75-89</c:v>
                </c:pt>
              </c:strCache>
            </c:strRef>
          </c:cat>
          <c:val>
            <c:numRef>
              <c:f>Sheet1!$B$2:$B$14</c:f>
              <c:numCache>
                <c:formatCode>General</c:formatCode>
                <c:ptCount val="13"/>
                <c:pt idx="0">
                  <c:v>0.51406729176609522</c:v>
                </c:pt>
                <c:pt idx="1">
                  <c:v>0.76480218045312931</c:v>
                </c:pt>
                <c:pt idx="2">
                  <c:v>0.86849136832060669</c:v>
                </c:pt>
                <c:pt idx="3">
                  <c:v>0.84654516183259132</c:v>
                </c:pt>
                <c:pt idx="4">
                  <c:v>0.83496164726480626</c:v>
                </c:pt>
                <c:pt idx="5">
                  <c:v>0.83581678590554576</c:v>
                </c:pt>
                <c:pt idx="6">
                  <c:v>0.84086383321169655</c:v>
                </c:pt>
                <c:pt idx="7">
                  <c:v>0.83161033108556526</c:v>
                </c:pt>
                <c:pt idx="8">
                  <c:v>0.78535528120138576</c:v>
                </c:pt>
                <c:pt idx="9">
                  <c:v>0.61024511608936782</c:v>
                </c:pt>
                <c:pt idx="10">
                  <c:v>0.23666415405078145</c:v>
                </c:pt>
                <c:pt idx="11">
                  <c:v>0.12313623778437428</c:v>
                </c:pt>
                <c:pt idx="12">
                  <c:v>2.0938154449443122E-2</c:v>
                </c:pt>
              </c:numCache>
            </c:numRef>
          </c:val>
          <c:smooth val="0"/>
          <c:extLst xmlns:c16r2="http://schemas.microsoft.com/office/drawing/2015/06/chart">
            <c:ext xmlns:c16="http://schemas.microsoft.com/office/drawing/2014/chart" uri="{C3380CC4-5D6E-409C-BE32-E72D297353CC}">
              <c16:uniqueId val="{00000000-799D-4140-B646-EE707802B959}"/>
            </c:ext>
          </c:extLst>
        </c:ser>
        <c:ser>
          <c:idx val="1"/>
          <c:order val="1"/>
          <c:tx>
            <c:strRef>
              <c:f>Sheet1!$C$1</c:f>
              <c:strCache>
                <c:ptCount val="1"/>
                <c:pt idx="0">
                  <c:v>2036</c:v>
                </c:pt>
              </c:strCache>
            </c:strRef>
          </c:tx>
          <c:spPr>
            <a:ln w="28575" cap="rnd">
              <a:solidFill>
                <a:schemeClr val="accent2"/>
              </a:solidFill>
              <a:round/>
            </a:ln>
            <a:effectLst/>
          </c:spPr>
          <c:marker>
            <c:symbol val="none"/>
          </c:marker>
          <c:cat>
            <c:strRef>
              <c:f>Sheet1!$A$2:$A$14</c:f>
              <c:strCache>
                <c:ptCount val="13"/>
                <c:pt idx="0">
                  <c:v>16-19</c:v>
                </c:pt>
                <c:pt idx="1">
                  <c:v>20-24</c:v>
                </c:pt>
                <c:pt idx="2">
                  <c:v>25-29</c:v>
                </c:pt>
                <c:pt idx="3">
                  <c:v>30-34</c:v>
                </c:pt>
                <c:pt idx="4">
                  <c:v>35-39</c:v>
                </c:pt>
                <c:pt idx="5">
                  <c:v>40-44</c:v>
                </c:pt>
                <c:pt idx="6">
                  <c:v>45-49</c:v>
                </c:pt>
                <c:pt idx="7">
                  <c:v>50-54</c:v>
                </c:pt>
                <c:pt idx="8">
                  <c:v>55-59</c:v>
                </c:pt>
                <c:pt idx="9">
                  <c:v>60-64</c:v>
                </c:pt>
                <c:pt idx="10">
                  <c:v>65-69</c:v>
                </c:pt>
                <c:pt idx="11">
                  <c:v>70-74</c:v>
                </c:pt>
                <c:pt idx="12">
                  <c:v>75-89</c:v>
                </c:pt>
              </c:strCache>
            </c:strRef>
          </c:cat>
          <c:val>
            <c:numRef>
              <c:f>Sheet1!$C$2:$C$14</c:f>
              <c:numCache>
                <c:formatCode>General</c:formatCode>
                <c:ptCount val="13"/>
                <c:pt idx="0">
                  <c:v>0.50405070242812267</c:v>
                </c:pt>
                <c:pt idx="1">
                  <c:v>0.78097695064338313</c:v>
                </c:pt>
                <c:pt idx="2">
                  <c:v>0.86883969881510337</c:v>
                </c:pt>
                <c:pt idx="3">
                  <c:v>0.85696217769598404</c:v>
                </c:pt>
                <c:pt idx="4">
                  <c:v>0.85990076962432505</c:v>
                </c:pt>
                <c:pt idx="5">
                  <c:v>0.87384840511620732</c:v>
                </c:pt>
                <c:pt idx="6">
                  <c:v>0.88043368036415481</c:v>
                </c:pt>
                <c:pt idx="7">
                  <c:v>0.85277107120153328</c:v>
                </c:pt>
                <c:pt idx="8">
                  <c:v>0.80261524291166775</c:v>
                </c:pt>
                <c:pt idx="9">
                  <c:v>0.6933435906448272</c:v>
                </c:pt>
                <c:pt idx="10">
                  <c:v>0.38681392934353881</c:v>
                </c:pt>
                <c:pt idx="11">
                  <c:v>0.18541882995992201</c:v>
                </c:pt>
                <c:pt idx="12">
                  <c:v>4.8836241246388114E-2</c:v>
                </c:pt>
              </c:numCache>
            </c:numRef>
          </c:val>
          <c:smooth val="0"/>
          <c:extLst xmlns:c16r2="http://schemas.microsoft.com/office/drawing/2015/06/chart">
            <c:ext xmlns:c16="http://schemas.microsoft.com/office/drawing/2014/chart" uri="{C3380CC4-5D6E-409C-BE32-E72D297353CC}">
              <c16:uniqueId val="{00000001-799D-4140-B646-EE707802B959}"/>
            </c:ext>
          </c:extLst>
        </c:ser>
        <c:dLbls>
          <c:showLegendKey val="0"/>
          <c:showVal val="0"/>
          <c:showCatName val="0"/>
          <c:showSerName val="0"/>
          <c:showPercent val="0"/>
          <c:showBubbleSize val="0"/>
        </c:dLbls>
        <c:marker val="1"/>
        <c:smooth val="0"/>
        <c:axId val="284644480"/>
        <c:axId val="284646016"/>
      </c:lineChart>
      <c:catAx>
        <c:axId val="28464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a:lstStyle/>
          <a:p>
            <a:pPr>
              <a:defRPr/>
            </a:pPr>
            <a:endParaRPr lang="en-US"/>
          </a:p>
        </c:txPr>
        <c:crossAx val="284646016"/>
        <c:crosses val="autoZero"/>
        <c:auto val="1"/>
        <c:lblAlgn val="ctr"/>
        <c:lblOffset val="100"/>
        <c:noMultiLvlLbl val="0"/>
      </c:catAx>
      <c:valAx>
        <c:axId val="284646016"/>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GB"/>
                  <a:t>Percent economically active</a:t>
                </a:r>
              </a:p>
            </c:rich>
          </c:tx>
          <c:layout>
            <c:manualLayout>
              <c:xMode val="edge"/>
              <c:yMode val="edge"/>
              <c:x val="3.5628937649359099E-3"/>
              <c:y val="0.224177658870199"/>
            </c:manualLayout>
          </c:layout>
          <c:overlay val="0"/>
          <c:spPr>
            <a:noFill/>
            <a:ln>
              <a:noFill/>
            </a:ln>
            <a:effectLst/>
          </c:spPr>
        </c:title>
        <c:numFmt formatCode="0%" sourceLinked="0"/>
        <c:majorTickMark val="none"/>
        <c:minorTickMark val="none"/>
        <c:tickLblPos val="nextTo"/>
        <c:spPr>
          <a:noFill/>
          <a:ln>
            <a:noFill/>
          </a:ln>
          <a:effectLst/>
        </c:spPr>
        <c:txPr>
          <a:bodyPr rot="-60000000" vert="horz"/>
          <a:lstStyle/>
          <a:p>
            <a:pPr>
              <a:defRPr/>
            </a:pPr>
            <a:endParaRPr lang="en-US"/>
          </a:p>
        </c:txPr>
        <c:crossAx val="284644480"/>
        <c:crosses val="autoZero"/>
        <c:crossBetween val="between"/>
      </c:valAx>
      <c:spPr>
        <a:noFill/>
        <a:ln>
          <a:noFill/>
        </a:ln>
        <a:effectLst/>
      </c:spPr>
    </c:plotArea>
    <c:legend>
      <c:legendPos val="b"/>
      <c:layout>
        <c:manualLayout>
          <c:xMode val="edge"/>
          <c:yMode val="edge"/>
          <c:x val="0.27976105963074399"/>
          <c:y val="0.92521515410182698"/>
          <c:w val="0.44047788073851202"/>
          <c:h val="7.4784845898173205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Arial Narrow" panose="020B0606020202030204" pitchFamily="34" charset="0"/>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982973282185887E-2"/>
          <c:y val="4.7495682210708115E-2"/>
          <c:w val="0.90339287340213692"/>
          <c:h val="0.79343957005374333"/>
        </c:manualLayout>
      </c:layout>
      <c:lineChart>
        <c:grouping val="standard"/>
        <c:varyColors val="0"/>
        <c:ser>
          <c:idx val="0"/>
          <c:order val="0"/>
          <c:tx>
            <c:strRef>
              <c:f>Sheet1!$B$1</c:f>
              <c:strCache>
                <c:ptCount val="1"/>
                <c:pt idx="0">
                  <c:v>Chichester</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Sheet1!$A$2:$A$59</c:f>
              <c:numCache>
                <c:formatCode>General</c:formatCode>
                <c:ptCount val="58"/>
                <c:pt idx="0">
                  <c:v>2004</c:v>
                </c:pt>
                <c:pt idx="4">
                  <c:v>2005</c:v>
                </c:pt>
                <c:pt idx="8">
                  <c:v>2006</c:v>
                </c:pt>
                <c:pt idx="12">
                  <c:v>2007</c:v>
                </c:pt>
                <c:pt idx="16">
                  <c:v>2008</c:v>
                </c:pt>
                <c:pt idx="20">
                  <c:v>2009</c:v>
                </c:pt>
                <c:pt idx="24">
                  <c:v>2010</c:v>
                </c:pt>
                <c:pt idx="28">
                  <c:v>2011</c:v>
                </c:pt>
                <c:pt idx="32">
                  <c:v>2012</c:v>
                </c:pt>
                <c:pt idx="36">
                  <c:v>2013</c:v>
                </c:pt>
                <c:pt idx="40">
                  <c:v>2014</c:v>
                </c:pt>
                <c:pt idx="44">
                  <c:v>2015</c:v>
                </c:pt>
                <c:pt idx="48">
                  <c:v>2016</c:v>
                </c:pt>
                <c:pt idx="52">
                  <c:v>2017</c:v>
                </c:pt>
                <c:pt idx="56">
                  <c:v>2018</c:v>
                </c:pt>
              </c:numCache>
            </c:numRef>
          </c:cat>
          <c:val>
            <c:numRef>
              <c:f>Sheet1!$B$2:$B$59</c:f>
              <c:numCache>
                <c:formatCode>General</c:formatCode>
                <c:ptCount val="58"/>
                <c:pt idx="0">
                  <c:v>3.5000000000000003E-2</c:v>
                </c:pt>
                <c:pt idx="1">
                  <c:v>2.1000000000000001E-2</c:v>
                </c:pt>
                <c:pt idx="2">
                  <c:v>1.4999999999999999E-2</c:v>
                </c:pt>
                <c:pt idx="3">
                  <c:v>2.1000000000000001E-2</c:v>
                </c:pt>
                <c:pt idx="4">
                  <c:v>1.4999999999999999E-2</c:v>
                </c:pt>
                <c:pt idx="5">
                  <c:v>5.2000000000000005E-2</c:v>
                </c:pt>
                <c:pt idx="6">
                  <c:v>4.8000000000000001E-2</c:v>
                </c:pt>
                <c:pt idx="7">
                  <c:v>4.5999999999999999E-2</c:v>
                </c:pt>
                <c:pt idx="8">
                  <c:v>4.8000000000000001E-2</c:v>
                </c:pt>
                <c:pt idx="9">
                  <c:v>6.3E-2</c:v>
                </c:pt>
                <c:pt idx="10">
                  <c:v>6.3E-2</c:v>
                </c:pt>
                <c:pt idx="11">
                  <c:v>3.4000000000000002E-2</c:v>
                </c:pt>
                <c:pt idx="12">
                  <c:v>2.7999999999999997E-2</c:v>
                </c:pt>
                <c:pt idx="14">
                  <c:v>2.6000000000000002E-2</c:v>
                </c:pt>
                <c:pt idx="15">
                  <c:v>6.3E-2</c:v>
                </c:pt>
                <c:pt idx="16">
                  <c:v>7.2000000000000008E-2</c:v>
                </c:pt>
                <c:pt idx="17">
                  <c:v>6.6000000000000003E-2</c:v>
                </c:pt>
                <c:pt idx="18">
                  <c:v>6.0999999999999999E-2</c:v>
                </c:pt>
                <c:pt idx="19">
                  <c:v>3.9E-2</c:v>
                </c:pt>
                <c:pt idx="20">
                  <c:v>3.7999999999999999E-2</c:v>
                </c:pt>
                <c:pt idx="21">
                  <c:v>3.3000000000000002E-2</c:v>
                </c:pt>
                <c:pt idx="22">
                  <c:v>3.6000000000000004E-2</c:v>
                </c:pt>
                <c:pt idx="23">
                  <c:v>3.4000000000000002E-2</c:v>
                </c:pt>
                <c:pt idx="24">
                  <c:v>3.3000000000000002E-2</c:v>
                </c:pt>
                <c:pt idx="25">
                  <c:v>5.2999999999999999E-2</c:v>
                </c:pt>
                <c:pt idx="26">
                  <c:v>6.6000000000000003E-2</c:v>
                </c:pt>
                <c:pt idx="27">
                  <c:v>8.5000000000000006E-2</c:v>
                </c:pt>
                <c:pt idx="28">
                  <c:v>9.3000000000000013E-2</c:v>
                </c:pt>
                <c:pt idx="29">
                  <c:v>8.1000000000000003E-2</c:v>
                </c:pt>
                <c:pt idx="30">
                  <c:v>5.7999999999999996E-2</c:v>
                </c:pt>
                <c:pt idx="31">
                  <c:v>3.6000000000000004E-2</c:v>
                </c:pt>
                <c:pt idx="32">
                  <c:v>4.5999999999999999E-2</c:v>
                </c:pt>
                <c:pt idx="33">
                  <c:v>5.0999999999999997E-2</c:v>
                </c:pt>
                <c:pt idx="34">
                  <c:v>5.2000000000000005E-2</c:v>
                </c:pt>
                <c:pt idx="35">
                  <c:v>3.6000000000000004E-2</c:v>
                </c:pt>
                <c:pt idx="36">
                  <c:v>0.03</c:v>
                </c:pt>
                <c:pt idx="37">
                  <c:v>2.7000000000000003E-2</c:v>
                </c:pt>
                <c:pt idx="38">
                  <c:v>2.4E-2</c:v>
                </c:pt>
                <c:pt idx="39">
                  <c:v>2.3E-2</c:v>
                </c:pt>
                <c:pt idx="40">
                  <c:v>1.7000000000000001E-2</c:v>
                </c:pt>
                <c:pt idx="41">
                  <c:v>0.02</c:v>
                </c:pt>
                <c:pt idx="42">
                  <c:v>2.1000000000000001E-2</c:v>
                </c:pt>
                <c:pt idx="43">
                  <c:v>3.2000000000000001E-2</c:v>
                </c:pt>
                <c:pt idx="44">
                  <c:v>3.7000000000000005E-2</c:v>
                </c:pt>
                <c:pt idx="45">
                  <c:v>2.3E-2</c:v>
                </c:pt>
                <c:pt idx="46">
                  <c:v>2.8999999999999998E-2</c:v>
                </c:pt>
                <c:pt idx="48">
                  <c:v>0.03</c:v>
                </c:pt>
                <c:pt idx="49">
                  <c:v>2.8999999999999998E-2</c:v>
                </c:pt>
                <c:pt idx="50">
                  <c:v>7.8E-2</c:v>
                </c:pt>
                <c:pt idx="51">
                  <c:v>9.5000000000000001E-2</c:v>
                </c:pt>
                <c:pt idx="52">
                  <c:v>9.1999999999999998E-2</c:v>
                </c:pt>
                <c:pt idx="53">
                  <c:v>8.4000000000000005E-2</c:v>
                </c:pt>
                <c:pt idx="54">
                  <c:v>6.0999999999999999E-2</c:v>
                </c:pt>
                <c:pt idx="55">
                  <c:v>4.9000000000000002E-2</c:v>
                </c:pt>
                <c:pt idx="56">
                  <c:v>6.6000000000000003E-2</c:v>
                </c:pt>
                <c:pt idx="57">
                  <c:v>6.7000000000000004E-2</c:v>
                </c:pt>
              </c:numCache>
            </c:numRef>
          </c:val>
          <c:smooth val="0"/>
          <c:extLst xmlns:c16r2="http://schemas.microsoft.com/office/drawing/2015/06/chart">
            <c:ext xmlns:c16="http://schemas.microsoft.com/office/drawing/2014/chart" uri="{C3380CC4-5D6E-409C-BE32-E72D297353CC}">
              <c16:uniqueId val="{00000001-048A-491A-958F-72D6BB22FB01}"/>
            </c:ext>
          </c:extLst>
        </c:ser>
        <c:dLbls>
          <c:showLegendKey val="0"/>
          <c:showVal val="0"/>
          <c:showCatName val="0"/>
          <c:showSerName val="0"/>
          <c:showPercent val="0"/>
          <c:showBubbleSize val="0"/>
        </c:dLbls>
        <c:marker val="1"/>
        <c:smooth val="0"/>
        <c:axId val="284594176"/>
        <c:axId val="284595712"/>
      </c:lineChart>
      <c:catAx>
        <c:axId val="28459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84595712"/>
        <c:crosses val="autoZero"/>
        <c:auto val="1"/>
        <c:lblAlgn val="ctr"/>
        <c:lblOffset val="100"/>
        <c:noMultiLvlLbl val="0"/>
      </c:catAx>
      <c:valAx>
        <c:axId val="284595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en-US"/>
          </a:p>
        </c:txPr>
        <c:crossAx val="284594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200">
          <a:solidFill>
            <a:sysClr val="windowText" lastClr="000000"/>
          </a:solidFill>
          <a:latin typeface="Arial Narrow" panose="020B0606020202030204" pitchFamily="34" charset="0"/>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0466087532557476"/>
          <c:y val="4.6709129511677279E-2"/>
          <c:w val="0.88031255175320577"/>
          <c:h val="0.75335318476590651"/>
        </c:manualLayout>
      </c:layout>
      <c:barChart>
        <c:barDir val="col"/>
        <c:grouping val="clustered"/>
        <c:varyColors val="0"/>
        <c:ser>
          <c:idx val="0"/>
          <c:order val="0"/>
          <c:tx>
            <c:strRef>
              <c:f>Sheet1!$B$1</c:f>
              <c:strCache>
                <c:ptCount val="1"/>
                <c:pt idx="0">
                  <c:v>Chichester</c:v>
                </c:pt>
              </c:strCache>
            </c:strRef>
          </c:tx>
          <c:spPr>
            <a:solidFill>
              <a:schemeClr val="accent2"/>
            </a:solidFill>
            <a:ln>
              <a:noFill/>
            </a:ln>
            <a:effectLst/>
          </c:spPr>
          <c:invertIfNegative val="0"/>
          <c:dLbls>
            <c:spPr>
              <a:noFill/>
              <a:ln>
                <a:noFill/>
              </a:ln>
              <a:effectLst/>
            </c:spPr>
            <c:txPr>
              <a:bodyPr rot="-5400000"/>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Sheet1!$A$2:$A$14</c:f>
              <c:strCache>
                <c:ptCount val="13"/>
                <c:pt idx="0">
                  <c:v>Under 10k</c:v>
                </c:pt>
                <c:pt idx="1">
                  <c:v>£10k to £20k</c:v>
                </c:pt>
                <c:pt idx="2">
                  <c:v>£20k to £30k</c:v>
                </c:pt>
                <c:pt idx="3">
                  <c:v>£30k to £40k</c:v>
                </c:pt>
                <c:pt idx="4">
                  <c:v>£40k to £50k</c:v>
                </c:pt>
                <c:pt idx="5">
                  <c:v>£50k to £60k</c:v>
                </c:pt>
                <c:pt idx="6">
                  <c:v>£60k to £70k</c:v>
                </c:pt>
                <c:pt idx="7">
                  <c:v>£70k to £80k</c:v>
                </c:pt>
                <c:pt idx="8">
                  <c:v>£80k to £90k</c:v>
                </c:pt>
                <c:pt idx="9">
                  <c:v>£90k to £100k</c:v>
                </c:pt>
                <c:pt idx="10">
                  <c:v>£100k to £110k</c:v>
                </c:pt>
                <c:pt idx="11">
                  <c:v>£110k to £120k</c:v>
                </c:pt>
                <c:pt idx="12">
                  <c:v>Over £120k</c:v>
                </c:pt>
              </c:strCache>
            </c:strRef>
          </c:cat>
          <c:val>
            <c:numRef>
              <c:f>Sheet1!$B$2:$B$14</c:f>
              <c:numCache>
                <c:formatCode>0.0%</c:formatCode>
                <c:ptCount val="13"/>
                <c:pt idx="0">
                  <c:v>1.8000000000000002E-2</c:v>
                </c:pt>
                <c:pt idx="1">
                  <c:v>0.2</c:v>
                </c:pt>
                <c:pt idx="2">
                  <c:v>0.18100000000000002</c:v>
                </c:pt>
                <c:pt idx="3">
                  <c:v>0.13800000000000001</c:v>
                </c:pt>
                <c:pt idx="4">
                  <c:v>0.107</c:v>
                </c:pt>
                <c:pt idx="5">
                  <c:v>8.6999999999999994E-2</c:v>
                </c:pt>
                <c:pt idx="6">
                  <c:v>6.3E-2</c:v>
                </c:pt>
                <c:pt idx="7">
                  <c:v>4.4000000000000004E-2</c:v>
                </c:pt>
                <c:pt idx="8">
                  <c:v>3.1E-2</c:v>
                </c:pt>
                <c:pt idx="9">
                  <c:v>2.3E-2</c:v>
                </c:pt>
                <c:pt idx="10">
                  <c:v>1.9E-2</c:v>
                </c:pt>
                <c:pt idx="11">
                  <c:v>1.7000000000000001E-2</c:v>
                </c:pt>
                <c:pt idx="12">
                  <c:v>7.2000000000000008E-2</c:v>
                </c:pt>
              </c:numCache>
            </c:numRef>
          </c:val>
          <c:extLst xmlns:c16r2="http://schemas.microsoft.com/office/drawing/2015/06/chart">
            <c:ext xmlns:c16="http://schemas.microsoft.com/office/drawing/2014/chart" uri="{C3380CC4-5D6E-409C-BE32-E72D297353CC}">
              <c16:uniqueId val="{00000000-F3C2-47B4-B534-C6A53902888C}"/>
            </c:ext>
          </c:extLst>
        </c:ser>
        <c:dLbls>
          <c:showLegendKey val="0"/>
          <c:showVal val="1"/>
          <c:showCatName val="0"/>
          <c:showSerName val="0"/>
          <c:showPercent val="0"/>
          <c:showBubbleSize val="0"/>
        </c:dLbls>
        <c:gapWidth val="50"/>
        <c:axId val="284229632"/>
        <c:axId val="284232320"/>
      </c:barChart>
      <c:catAx>
        <c:axId val="28422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5400000"/>
          <a:lstStyle/>
          <a:p>
            <a:pPr>
              <a:defRPr/>
            </a:pPr>
            <a:endParaRPr lang="en-US"/>
          </a:p>
        </c:txPr>
        <c:crossAx val="284232320"/>
        <c:crosses val="autoZero"/>
        <c:auto val="1"/>
        <c:lblAlgn val="ctr"/>
        <c:lblOffset val="100"/>
        <c:noMultiLvlLbl val="0"/>
      </c:catAx>
      <c:valAx>
        <c:axId val="284232320"/>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vert="horz"/>
              <a:lstStyle/>
              <a:p>
                <a:pPr>
                  <a:defRPr/>
                </a:pPr>
                <a:r>
                  <a:rPr lang="en-GB"/>
                  <a:t>Proportion of households in group</a:t>
                </a:r>
              </a:p>
            </c:rich>
          </c:tx>
          <c:layout>
            <c:manualLayout>
              <c:xMode val="edge"/>
              <c:yMode val="edge"/>
              <c:x val="2.5493945188018066E-3"/>
              <c:y val="0.14151094170553521"/>
            </c:manualLayout>
          </c:layout>
          <c:overlay val="0"/>
          <c:spPr>
            <a:noFill/>
            <a:ln>
              <a:noFill/>
            </a:ln>
            <a:effectLst/>
          </c:spPr>
        </c:title>
        <c:numFmt formatCode="0%" sourceLinked="0"/>
        <c:majorTickMark val="none"/>
        <c:minorTickMark val="none"/>
        <c:tickLblPos val="nextTo"/>
        <c:spPr>
          <a:noFill/>
          <a:ln w="9525" cap="flat" cmpd="sng" algn="ctr">
            <a:noFill/>
            <a:prstDash val="solid"/>
            <a:round/>
          </a:ln>
          <a:effectLst/>
        </c:spPr>
        <c:txPr>
          <a:bodyPr rot="-60000000" vert="horz"/>
          <a:lstStyle/>
          <a:p>
            <a:pPr>
              <a:defRPr/>
            </a:pPr>
            <a:endParaRPr lang="en-US"/>
          </a:p>
        </c:txPr>
        <c:crossAx val="284229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prstDash val="solid"/>
      <a:round/>
    </a:ln>
    <a:effectLst/>
  </c:spPr>
  <c:txPr>
    <a:bodyPr/>
    <a:lstStyle/>
    <a:p>
      <a:pPr>
        <a:defRPr sz="1200" b="0">
          <a:solidFill>
            <a:sysClr val="windowText" lastClr="000000"/>
          </a:solidFill>
          <a:latin typeface="Arial Narrow" panose="020B0606020202030204" pitchFamily="34" charset="0"/>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'house types'!$B$397</c:f>
              <c:strCache>
                <c:ptCount val="1"/>
                <c:pt idx="0">
                  <c:v>Detached</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'house types'!$A$398:$A$402</c:f>
              <c:strCache>
                <c:ptCount val="5"/>
                <c:pt idx="0">
                  <c:v>Chichester City</c:v>
                </c:pt>
                <c:pt idx="1">
                  <c:v>East-West Corridor</c:v>
                </c:pt>
                <c:pt idx="2">
                  <c:v>Manhood Peninsula</c:v>
                </c:pt>
                <c:pt idx="3">
                  <c:v>Plan Area North</c:v>
                </c:pt>
                <c:pt idx="4">
                  <c:v>SDNP</c:v>
                </c:pt>
              </c:strCache>
            </c:strRef>
          </c:cat>
          <c:val>
            <c:numRef>
              <c:f>'house types'!$B$398:$B$402</c:f>
              <c:numCache>
                <c:formatCode>0%</c:formatCode>
                <c:ptCount val="5"/>
                <c:pt idx="0">
                  <c:v>0.16990440949737898</c:v>
                </c:pt>
                <c:pt idx="1">
                  <c:v>0.38770145159446795</c:v>
                </c:pt>
                <c:pt idx="2">
                  <c:v>0.48448926179662843</c:v>
                </c:pt>
                <c:pt idx="3">
                  <c:v>0.60227272727272729</c:v>
                </c:pt>
                <c:pt idx="4">
                  <c:v>0.41498835456911903</c:v>
                </c:pt>
              </c:numCache>
            </c:numRef>
          </c:val>
          <c:extLst xmlns:c16r2="http://schemas.microsoft.com/office/drawing/2015/06/chart">
            <c:ext xmlns:c16="http://schemas.microsoft.com/office/drawing/2014/chart" uri="{C3380CC4-5D6E-409C-BE32-E72D297353CC}">
              <c16:uniqueId val="{00000000-0988-41ED-BFB1-4BCAB79CD604}"/>
            </c:ext>
          </c:extLst>
        </c:ser>
        <c:ser>
          <c:idx val="1"/>
          <c:order val="1"/>
          <c:tx>
            <c:strRef>
              <c:f>'house types'!$C$397</c:f>
              <c:strCache>
                <c:ptCount val="1"/>
                <c:pt idx="0">
                  <c:v>Semi-detached</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'house types'!$A$398:$A$402</c:f>
              <c:strCache>
                <c:ptCount val="5"/>
                <c:pt idx="0">
                  <c:v>Chichester City</c:v>
                </c:pt>
                <c:pt idx="1">
                  <c:v>East-West Corridor</c:v>
                </c:pt>
                <c:pt idx="2">
                  <c:v>Manhood Peninsula</c:v>
                </c:pt>
                <c:pt idx="3">
                  <c:v>Plan Area North</c:v>
                </c:pt>
                <c:pt idx="4">
                  <c:v>SDNP</c:v>
                </c:pt>
              </c:strCache>
            </c:strRef>
          </c:cat>
          <c:val>
            <c:numRef>
              <c:f>'house types'!$C$398:$C$402</c:f>
              <c:numCache>
                <c:formatCode>0%</c:formatCode>
                <c:ptCount val="5"/>
                <c:pt idx="0">
                  <c:v>0.23897625655257479</c:v>
                </c:pt>
                <c:pt idx="1">
                  <c:v>0.31649331352154531</c:v>
                </c:pt>
                <c:pt idx="2">
                  <c:v>0.27041798167962433</c:v>
                </c:pt>
                <c:pt idx="3">
                  <c:v>0.23222610722610723</c:v>
                </c:pt>
                <c:pt idx="4">
                  <c:v>0.29695848746403619</c:v>
                </c:pt>
              </c:numCache>
            </c:numRef>
          </c:val>
          <c:extLst xmlns:c16r2="http://schemas.microsoft.com/office/drawing/2015/06/chart">
            <c:ext xmlns:c16="http://schemas.microsoft.com/office/drawing/2014/chart" uri="{C3380CC4-5D6E-409C-BE32-E72D297353CC}">
              <c16:uniqueId val="{00000001-0988-41ED-BFB1-4BCAB79CD604}"/>
            </c:ext>
          </c:extLst>
        </c:ser>
        <c:ser>
          <c:idx val="2"/>
          <c:order val="2"/>
          <c:tx>
            <c:strRef>
              <c:f>'house types'!$D$397</c:f>
              <c:strCache>
                <c:ptCount val="1"/>
                <c:pt idx="0">
                  <c:v>Terrace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'house types'!$A$398:$A$402</c:f>
              <c:strCache>
                <c:ptCount val="5"/>
                <c:pt idx="0">
                  <c:v>Chichester City</c:v>
                </c:pt>
                <c:pt idx="1">
                  <c:v>East-West Corridor</c:v>
                </c:pt>
                <c:pt idx="2">
                  <c:v>Manhood Peninsula</c:v>
                </c:pt>
                <c:pt idx="3">
                  <c:v>Plan Area North</c:v>
                </c:pt>
                <c:pt idx="4">
                  <c:v>SDNP</c:v>
                </c:pt>
              </c:strCache>
            </c:strRef>
          </c:cat>
          <c:val>
            <c:numRef>
              <c:f>'house types'!$D$398:$D$402</c:f>
              <c:numCache>
                <c:formatCode>0%</c:formatCode>
                <c:ptCount val="5"/>
                <c:pt idx="0">
                  <c:v>0.26071538698735741</c:v>
                </c:pt>
                <c:pt idx="1">
                  <c:v>0.21499599954280491</c:v>
                </c:pt>
                <c:pt idx="2">
                  <c:v>0.12939727503656379</c:v>
                </c:pt>
                <c:pt idx="3">
                  <c:v>8.6538461538461536E-2</c:v>
                </c:pt>
                <c:pt idx="4">
                  <c:v>0.16365255514454036</c:v>
                </c:pt>
              </c:numCache>
            </c:numRef>
          </c:val>
          <c:extLst xmlns:c16r2="http://schemas.microsoft.com/office/drawing/2015/06/chart">
            <c:ext xmlns:c16="http://schemas.microsoft.com/office/drawing/2014/chart" uri="{C3380CC4-5D6E-409C-BE32-E72D297353CC}">
              <c16:uniqueId val="{00000002-0988-41ED-BFB1-4BCAB79CD604}"/>
            </c:ext>
          </c:extLst>
        </c:ser>
        <c:ser>
          <c:idx val="3"/>
          <c:order val="3"/>
          <c:tx>
            <c:strRef>
              <c:f>'house types'!$E$397</c:f>
              <c:strCache>
                <c:ptCount val="1"/>
                <c:pt idx="0">
                  <c:v>Flat</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'house types'!$A$398:$A$402</c:f>
              <c:strCache>
                <c:ptCount val="5"/>
                <c:pt idx="0">
                  <c:v>Chichester City</c:v>
                </c:pt>
                <c:pt idx="1">
                  <c:v>East-West Corridor</c:v>
                </c:pt>
                <c:pt idx="2">
                  <c:v>Manhood Peninsula</c:v>
                </c:pt>
                <c:pt idx="3">
                  <c:v>Plan Area North</c:v>
                </c:pt>
                <c:pt idx="4">
                  <c:v>SDNP</c:v>
                </c:pt>
              </c:strCache>
            </c:strRef>
          </c:cat>
          <c:val>
            <c:numRef>
              <c:f>'house types'!$E$398:$E$402</c:f>
              <c:numCache>
                <c:formatCode>0%</c:formatCode>
                <c:ptCount val="5"/>
                <c:pt idx="0">
                  <c:v>0.33040394696268888</c:v>
                </c:pt>
                <c:pt idx="1">
                  <c:v>8.0809235341181854E-2</c:v>
                </c:pt>
                <c:pt idx="2">
                  <c:v>0.11569548148718344</c:v>
                </c:pt>
                <c:pt idx="3">
                  <c:v>7.8962703962703967E-2</c:v>
                </c:pt>
                <c:pt idx="4">
                  <c:v>0.12440060282230443</c:v>
                </c:pt>
              </c:numCache>
            </c:numRef>
          </c:val>
          <c:extLst xmlns:c16r2="http://schemas.microsoft.com/office/drawing/2015/06/chart">
            <c:ext xmlns:c16="http://schemas.microsoft.com/office/drawing/2014/chart" uri="{C3380CC4-5D6E-409C-BE32-E72D297353CC}">
              <c16:uniqueId val="{00000003-0988-41ED-BFB1-4BCAB79CD604}"/>
            </c:ext>
          </c:extLst>
        </c:ser>
        <c:dLbls>
          <c:showLegendKey val="0"/>
          <c:showVal val="1"/>
          <c:showCatName val="0"/>
          <c:showSerName val="0"/>
          <c:showPercent val="0"/>
          <c:showBubbleSize val="0"/>
        </c:dLbls>
        <c:gapWidth val="55"/>
        <c:overlap val="100"/>
        <c:axId val="284883968"/>
        <c:axId val="285037312"/>
      </c:barChart>
      <c:catAx>
        <c:axId val="284883968"/>
        <c:scaling>
          <c:orientation val="minMax"/>
        </c:scaling>
        <c:delete val="0"/>
        <c:axPos val="b"/>
        <c:numFmt formatCode="General" sourceLinked="0"/>
        <c:majorTickMark val="none"/>
        <c:minorTickMark val="none"/>
        <c:tickLblPos val="nextTo"/>
        <c:crossAx val="285037312"/>
        <c:crosses val="autoZero"/>
        <c:auto val="1"/>
        <c:lblAlgn val="ctr"/>
        <c:lblOffset val="100"/>
        <c:noMultiLvlLbl val="0"/>
      </c:catAx>
      <c:valAx>
        <c:axId val="285037312"/>
        <c:scaling>
          <c:orientation val="minMax"/>
        </c:scaling>
        <c:delete val="0"/>
        <c:axPos val="l"/>
        <c:majorGridlines/>
        <c:numFmt formatCode="0%" sourceLinked="1"/>
        <c:majorTickMark val="none"/>
        <c:minorTickMark val="none"/>
        <c:tickLblPos val="nextTo"/>
        <c:crossAx val="284883968"/>
        <c:crosses val="autoZero"/>
        <c:crossBetween val="between"/>
      </c:valAx>
    </c:plotArea>
    <c:legend>
      <c:legendPos val="b"/>
      <c:overlay val="0"/>
    </c:legend>
    <c:plotVisOnly val="1"/>
    <c:dispBlanksAs val="gap"/>
    <c:showDLblsOverMax val="0"/>
  </c:chart>
  <c:txPr>
    <a:bodyPr/>
    <a:lstStyle/>
    <a:p>
      <a:pPr>
        <a:defRPr sz="1200">
          <a:latin typeface="Arial Narrow" panose="020B0606020202030204" pitchFamily="34" charset="0"/>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'NOs of bed'!$W$2</c:f>
              <c:strCache>
                <c:ptCount val="1"/>
                <c:pt idx="0">
                  <c:v>1-bed</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'NOs of bed'!$U$3:$U$7</c:f>
              <c:strCache>
                <c:ptCount val="5"/>
                <c:pt idx="0">
                  <c:v>Chichester City</c:v>
                </c:pt>
                <c:pt idx="1">
                  <c:v>East-West Corridor</c:v>
                </c:pt>
                <c:pt idx="2">
                  <c:v>Manhood Peninsula</c:v>
                </c:pt>
                <c:pt idx="3">
                  <c:v>Plan Area North</c:v>
                </c:pt>
                <c:pt idx="4">
                  <c:v>SDNP</c:v>
                </c:pt>
              </c:strCache>
            </c:strRef>
          </c:cat>
          <c:val>
            <c:numRef>
              <c:f>'NOs of bed'!$W$3:$W$7</c:f>
              <c:numCache>
                <c:formatCode>0%</c:formatCode>
                <c:ptCount val="5"/>
                <c:pt idx="0">
                  <c:v>0.16571938941214681</c:v>
                </c:pt>
                <c:pt idx="1">
                  <c:v>6.5435041716328968E-2</c:v>
                </c:pt>
                <c:pt idx="2">
                  <c:v>7.3489245476271767E-2</c:v>
                </c:pt>
                <c:pt idx="3">
                  <c:v>5.5199756023177796E-2</c:v>
                </c:pt>
                <c:pt idx="4">
                  <c:v>7.410429493361026E-2</c:v>
                </c:pt>
              </c:numCache>
            </c:numRef>
          </c:val>
          <c:extLst xmlns:c16r2="http://schemas.microsoft.com/office/drawing/2015/06/chart">
            <c:ext xmlns:c16="http://schemas.microsoft.com/office/drawing/2014/chart" uri="{C3380CC4-5D6E-409C-BE32-E72D297353CC}">
              <c16:uniqueId val="{00000000-148C-4DD5-9EE4-8100A4AEB011}"/>
            </c:ext>
          </c:extLst>
        </c:ser>
        <c:ser>
          <c:idx val="1"/>
          <c:order val="1"/>
          <c:tx>
            <c:strRef>
              <c:f>'NOs of bed'!$X$2</c:f>
              <c:strCache>
                <c:ptCount val="1"/>
                <c:pt idx="0">
                  <c:v>2-beds</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'NOs of bed'!$U$3:$U$7</c:f>
              <c:strCache>
                <c:ptCount val="5"/>
                <c:pt idx="0">
                  <c:v>Chichester City</c:v>
                </c:pt>
                <c:pt idx="1">
                  <c:v>East-West Corridor</c:v>
                </c:pt>
                <c:pt idx="2">
                  <c:v>Manhood Peninsula</c:v>
                </c:pt>
                <c:pt idx="3">
                  <c:v>Plan Area North</c:v>
                </c:pt>
                <c:pt idx="4">
                  <c:v>SDNP</c:v>
                </c:pt>
              </c:strCache>
            </c:strRef>
          </c:cat>
          <c:val>
            <c:numRef>
              <c:f>'NOs of bed'!$X$3:$X$7</c:f>
              <c:numCache>
                <c:formatCode>0%</c:formatCode>
                <c:ptCount val="5"/>
                <c:pt idx="0">
                  <c:v>0.32437479701201688</c:v>
                </c:pt>
                <c:pt idx="1">
                  <c:v>0.27806912991656735</c:v>
                </c:pt>
                <c:pt idx="2">
                  <c:v>0.29651758279276202</c:v>
                </c:pt>
                <c:pt idx="3">
                  <c:v>0.18023787740164685</c:v>
                </c:pt>
                <c:pt idx="4">
                  <c:v>0.24486314071656406</c:v>
                </c:pt>
              </c:numCache>
            </c:numRef>
          </c:val>
          <c:extLst xmlns:c16r2="http://schemas.microsoft.com/office/drawing/2015/06/chart">
            <c:ext xmlns:c16="http://schemas.microsoft.com/office/drawing/2014/chart" uri="{C3380CC4-5D6E-409C-BE32-E72D297353CC}">
              <c16:uniqueId val="{00000001-148C-4DD5-9EE4-8100A4AEB011}"/>
            </c:ext>
          </c:extLst>
        </c:ser>
        <c:ser>
          <c:idx val="2"/>
          <c:order val="2"/>
          <c:tx>
            <c:strRef>
              <c:f>'NOs of bed'!$Y$2</c:f>
              <c:strCache>
                <c:ptCount val="1"/>
                <c:pt idx="0">
                  <c:v>3-beds</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'NOs of bed'!$U$3:$U$7</c:f>
              <c:strCache>
                <c:ptCount val="5"/>
                <c:pt idx="0">
                  <c:v>Chichester City</c:v>
                </c:pt>
                <c:pt idx="1">
                  <c:v>East-West Corridor</c:v>
                </c:pt>
                <c:pt idx="2">
                  <c:v>Manhood Peninsula</c:v>
                </c:pt>
                <c:pt idx="3">
                  <c:v>Plan Area North</c:v>
                </c:pt>
                <c:pt idx="4">
                  <c:v>SDNP</c:v>
                </c:pt>
              </c:strCache>
            </c:strRef>
          </c:cat>
          <c:val>
            <c:numRef>
              <c:f>'NOs of bed'!$Y$3:$Y$7</c:f>
              <c:numCache>
                <c:formatCode>0%</c:formatCode>
                <c:ptCount val="5"/>
                <c:pt idx="0">
                  <c:v>0.34296849626502113</c:v>
                </c:pt>
                <c:pt idx="1">
                  <c:v>0.40822407628128726</c:v>
                </c:pt>
                <c:pt idx="2">
                  <c:v>0.39535677705701605</c:v>
                </c:pt>
                <c:pt idx="3">
                  <c:v>0.3467520585544373</c:v>
                </c:pt>
                <c:pt idx="4">
                  <c:v>0.39114309027520211</c:v>
                </c:pt>
              </c:numCache>
            </c:numRef>
          </c:val>
          <c:extLst xmlns:c16r2="http://schemas.microsoft.com/office/drawing/2015/06/chart">
            <c:ext xmlns:c16="http://schemas.microsoft.com/office/drawing/2014/chart" uri="{C3380CC4-5D6E-409C-BE32-E72D297353CC}">
              <c16:uniqueId val="{00000002-148C-4DD5-9EE4-8100A4AEB011}"/>
            </c:ext>
          </c:extLst>
        </c:ser>
        <c:ser>
          <c:idx val="3"/>
          <c:order val="3"/>
          <c:tx>
            <c:strRef>
              <c:f>'NOs of bed'!$Z$2</c:f>
              <c:strCache>
                <c:ptCount val="1"/>
                <c:pt idx="0">
                  <c:v>4-beds</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'NOs of bed'!$U$3:$U$7</c:f>
              <c:strCache>
                <c:ptCount val="5"/>
                <c:pt idx="0">
                  <c:v>Chichester City</c:v>
                </c:pt>
                <c:pt idx="1">
                  <c:v>East-West Corridor</c:v>
                </c:pt>
                <c:pt idx="2">
                  <c:v>Manhood Peninsula</c:v>
                </c:pt>
                <c:pt idx="3">
                  <c:v>Plan Area North</c:v>
                </c:pt>
                <c:pt idx="4">
                  <c:v>SDNP</c:v>
                </c:pt>
              </c:strCache>
            </c:strRef>
          </c:cat>
          <c:val>
            <c:numRef>
              <c:f>'NOs of bed'!$Z$3:$Z$7</c:f>
              <c:numCache>
                <c:formatCode>0%</c:formatCode>
                <c:ptCount val="5"/>
                <c:pt idx="0">
                  <c:v>0.12885677167911661</c:v>
                </c:pt>
                <c:pt idx="1">
                  <c:v>0.18831942789034564</c:v>
                </c:pt>
                <c:pt idx="2">
                  <c:v>0.17864458859679072</c:v>
                </c:pt>
                <c:pt idx="3">
                  <c:v>0.27599878011588896</c:v>
                </c:pt>
                <c:pt idx="4">
                  <c:v>0.18247904458126252</c:v>
                </c:pt>
              </c:numCache>
            </c:numRef>
          </c:val>
          <c:extLst xmlns:c16r2="http://schemas.microsoft.com/office/drawing/2015/06/chart">
            <c:ext xmlns:c16="http://schemas.microsoft.com/office/drawing/2014/chart" uri="{C3380CC4-5D6E-409C-BE32-E72D297353CC}">
              <c16:uniqueId val="{00000003-148C-4DD5-9EE4-8100A4AEB011}"/>
            </c:ext>
          </c:extLst>
        </c:ser>
        <c:ser>
          <c:idx val="4"/>
          <c:order val="4"/>
          <c:tx>
            <c:strRef>
              <c:f>'NOs of bed'!$AA$2</c:f>
              <c:strCache>
                <c:ptCount val="1"/>
                <c:pt idx="0">
                  <c:v>5+ beds</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'NOs of bed'!$U$3:$U$7</c:f>
              <c:strCache>
                <c:ptCount val="5"/>
                <c:pt idx="0">
                  <c:v>Chichester City</c:v>
                </c:pt>
                <c:pt idx="1">
                  <c:v>East-West Corridor</c:v>
                </c:pt>
                <c:pt idx="2">
                  <c:v>Manhood Peninsula</c:v>
                </c:pt>
                <c:pt idx="3">
                  <c:v>Plan Area North</c:v>
                </c:pt>
                <c:pt idx="4">
                  <c:v>SDNP</c:v>
                </c:pt>
              </c:strCache>
            </c:strRef>
          </c:cat>
          <c:val>
            <c:numRef>
              <c:f>'NOs of bed'!$AA$3:$AA$7</c:f>
              <c:numCache>
                <c:formatCode>0%</c:formatCode>
                <c:ptCount val="5"/>
                <c:pt idx="0">
                  <c:v>3.6943812926274765E-2</c:v>
                </c:pt>
                <c:pt idx="1">
                  <c:v>5.8760429082240766E-2</c:v>
                </c:pt>
                <c:pt idx="2">
                  <c:v>5.428473881870946E-2</c:v>
                </c:pt>
                <c:pt idx="3">
                  <c:v>0.14120158584934431</c:v>
                </c:pt>
                <c:pt idx="4">
                  <c:v>0.10570432460499964</c:v>
                </c:pt>
              </c:numCache>
            </c:numRef>
          </c:val>
          <c:extLst xmlns:c16r2="http://schemas.microsoft.com/office/drawing/2015/06/chart">
            <c:ext xmlns:c16="http://schemas.microsoft.com/office/drawing/2014/chart" uri="{C3380CC4-5D6E-409C-BE32-E72D297353CC}">
              <c16:uniqueId val="{00000004-148C-4DD5-9EE4-8100A4AEB011}"/>
            </c:ext>
          </c:extLst>
        </c:ser>
        <c:dLbls>
          <c:dLblPos val="ctr"/>
          <c:showLegendKey val="0"/>
          <c:showVal val="1"/>
          <c:showCatName val="0"/>
          <c:showSerName val="0"/>
          <c:showPercent val="0"/>
          <c:showBubbleSize val="0"/>
        </c:dLbls>
        <c:gapWidth val="150"/>
        <c:overlap val="100"/>
        <c:axId val="285076864"/>
        <c:axId val="285090944"/>
      </c:barChart>
      <c:catAx>
        <c:axId val="285076864"/>
        <c:scaling>
          <c:orientation val="minMax"/>
        </c:scaling>
        <c:delete val="0"/>
        <c:axPos val="b"/>
        <c:numFmt formatCode="General" sourceLinked="0"/>
        <c:majorTickMark val="out"/>
        <c:minorTickMark val="none"/>
        <c:tickLblPos val="nextTo"/>
        <c:crossAx val="285090944"/>
        <c:crosses val="autoZero"/>
        <c:auto val="1"/>
        <c:lblAlgn val="ctr"/>
        <c:lblOffset val="100"/>
        <c:noMultiLvlLbl val="0"/>
      </c:catAx>
      <c:valAx>
        <c:axId val="285090944"/>
        <c:scaling>
          <c:orientation val="minMax"/>
        </c:scaling>
        <c:delete val="0"/>
        <c:axPos val="l"/>
        <c:majorGridlines/>
        <c:numFmt formatCode="0%" sourceLinked="1"/>
        <c:majorTickMark val="out"/>
        <c:minorTickMark val="none"/>
        <c:tickLblPos val="nextTo"/>
        <c:crossAx val="285076864"/>
        <c:crosses val="autoZero"/>
        <c:crossBetween val="between"/>
      </c:valAx>
    </c:plotArea>
    <c:legend>
      <c:legendPos val="b"/>
      <c:overlay val="0"/>
    </c:legend>
    <c:plotVisOnly val="1"/>
    <c:dispBlanksAs val="gap"/>
    <c:showDLblsOverMax val="0"/>
  </c:chart>
  <c:txPr>
    <a:bodyPr/>
    <a:lstStyle/>
    <a:p>
      <a:pPr>
        <a:defRPr sz="1200">
          <a:latin typeface="Arial Narrow" panose="020B0606020202030204" pitchFamily="34" charset="0"/>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557363504596"/>
          <c:y val="4.6267087276551003E-2"/>
          <c:w val="0.87541782853805405"/>
          <c:h val="0.65422809469654208"/>
        </c:manualLayout>
      </c:layout>
      <c:lineChart>
        <c:grouping val="standard"/>
        <c:varyColors val="0"/>
        <c:ser>
          <c:idx val="0"/>
          <c:order val="0"/>
          <c:tx>
            <c:strRef>
              <c:f>Sheet1!$B$1</c:f>
              <c:strCache>
                <c:ptCount val="1"/>
                <c:pt idx="0">
                  <c:v>Owner-occupied</c:v>
                </c:pt>
              </c:strCache>
            </c:strRef>
          </c:tx>
          <c:spPr>
            <a:ln w="28575" cap="rnd">
              <a:solidFill>
                <a:schemeClr val="accent1"/>
              </a:solidFill>
              <a:round/>
            </a:ln>
            <a:effectLst/>
          </c:spPr>
          <c:marker>
            <c:symbol val="none"/>
          </c:marker>
          <c:cat>
            <c:strRef>
              <c:f>Sheet1!$A$2:$A$15</c:f>
              <c:strCache>
                <c:ptCount val="14"/>
                <c:pt idx="0">
                  <c:v>16-24</c:v>
                </c:pt>
                <c:pt idx="1">
                  <c:v>25-29</c:v>
                </c:pt>
                <c:pt idx="2">
                  <c:v>30-34</c:v>
                </c:pt>
                <c:pt idx="3">
                  <c:v>35-39</c:v>
                </c:pt>
                <c:pt idx="4">
                  <c:v>40-44</c:v>
                </c:pt>
                <c:pt idx="5">
                  <c:v>45-49</c:v>
                </c:pt>
                <c:pt idx="6">
                  <c:v>50-54</c:v>
                </c:pt>
                <c:pt idx="7">
                  <c:v>55-59</c:v>
                </c:pt>
                <c:pt idx="8">
                  <c:v>60-64</c:v>
                </c:pt>
                <c:pt idx="9">
                  <c:v>65-69</c:v>
                </c:pt>
                <c:pt idx="10">
                  <c:v>70-74</c:v>
                </c:pt>
                <c:pt idx="11">
                  <c:v>75-79</c:v>
                </c:pt>
                <c:pt idx="12">
                  <c:v>80-84</c:v>
                </c:pt>
                <c:pt idx="13">
                  <c:v>85+</c:v>
                </c:pt>
              </c:strCache>
            </c:strRef>
          </c:cat>
          <c:val>
            <c:numRef>
              <c:f>Sheet1!$B$2:$B$15</c:f>
              <c:numCache>
                <c:formatCode>General</c:formatCode>
                <c:ptCount val="14"/>
                <c:pt idx="0">
                  <c:v>2.6507936507936511</c:v>
                </c:pt>
                <c:pt idx="1">
                  <c:v>2.3983903420523132</c:v>
                </c:pt>
                <c:pt idx="2">
                  <c:v>2.6984771573604065</c:v>
                </c:pt>
                <c:pt idx="3">
                  <c:v>3.1269185360094442</c:v>
                </c:pt>
                <c:pt idx="4">
                  <c:v>3.3384859294490687</c:v>
                </c:pt>
                <c:pt idx="5">
                  <c:v>3.4413512668126374</c:v>
                </c:pt>
                <c:pt idx="6">
                  <c:v>3.4374258600237249</c:v>
                </c:pt>
                <c:pt idx="7">
                  <c:v>3.3466945857014658</c:v>
                </c:pt>
                <c:pt idx="8">
                  <c:v>3.1900417101147034</c:v>
                </c:pt>
                <c:pt idx="9">
                  <c:v>3.1629802095459838</c:v>
                </c:pt>
                <c:pt idx="10">
                  <c:v>3.0488342785129183</c:v>
                </c:pt>
                <c:pt idx="11">
                  <c:v>2.9207954162453649</c:v>
                </c:pt>
                <c:pt idx="12">
                  <c:v>2.8331322878970648</c:v>
                </c:pt>
                <c:pt idx="13">
                  <c:v>2.6892950391644912</c:v>
                </c:pt>
              </c:numCache>
            </c:numRef>
          </c:val>
          <c:smooth val="1"/>
          <c:extLst xmlns:c16r2="http://schemas.microsoft.com/office/drawing/2015/06/chart">
            <c:ext xmlns:c16="http://schemas.microsoft.com/office/drawing/2014/chart" uri="{C3380CC4-5D6E-409C-BE32-E72D297353CC}">
              <c16:uniqueId val="{00000000-DC5E-461A-971B-0858A51AFB25}"/>
            </c:ext>
          </c:extLst>
        </c:ser>
        <c:ser>
          <c:idx val="1"/>
          <c:order val="1"/>
          <c:tx>
            <c:strRef>
              <c:f>Sheet1!$C$1</c:f>
              <c:strCache>
                <c:ptCount val="1"/>
                <c:pt idx="0">
                  <c:v>Private rented</c:v>
                </c:pt>
              </c:strCache>
            </c:strRef>
          </c:tx>
          <c:spPr>
            <a:ln w="28575" cap="rnd">
              <a:solidFill>
                <a:schemeClr val="accent2"/>
              </a:solidFill>
              <a:round/>
            </a:ln>
            <a:effectLst/>
          </c:spPr>
          <c:marker>
            <c:symbol val="none"/>
          </c:marker>
          <c:cat>
            <c:strRef>
              <c:f>Sheet1!$A$2:$A$15</c:f>
              <c:strCache>
                <c:ptCount val="14"/>
                <c:pt idx="0">
                  <c:v>16-24</c:v>
                </c:pt>
                <c:pt idx="1">
                  <c:v>25-29</c:v>
                </c:pt>
                <c:pt idx="2">
                  <c:v>30-34</c:v>
                </c:pt>
                <c:pt idx="3">
                  <c:v>35-39</c:v>
                </c:pt>
                <c:pt idx="4">
                  <c:v>40-44</c:v>
                </c:pt>
                <c:pt idx="5">
                  <c:v>45-49</c:v>
                </c:pt>
                <c:pt idx="6">
                  <c:v>50-54</c:v>
                </c:pt>
                <c:pt idx="7">
                  <c:v>55-59</c:v>
                </c:pt>
                <c:pt idx="8">
                  <c:v>60-64</c:v>
                </c:pt>
                <c:pt idx="9">
                  <c:v>65-69</c:v>
                </c:pt>
                <c:pt idx="10">
                  <c:v>70-74</c:v>
                </c:pt>
                <c:pt idx="11">
                  <c:v>75-79</c:v>
                </c:pt>
                <c:pt idx="12">
                  <c:v>80-84</c:v>
                </c:pt>
                <c:pt idx="13">
                  <c:v>85+</c:v>
                </c:pt>
              </c:strCache>
            </c:strRef>
          </c:cat>
          <c:val>
            <c:numRef>
              <c:f>Sheet1!$C$2:$C$15</c:f>
              <c:numCache>
                <c:formatCode>General</c:formatCode>
                <c:ptCount val="14"/>
                <c:pt idx="0">
                  <c:v>2.7943805874840359</c:v>
                </c:pt>
                <c:pt idx="1">
                  <c:v>2.1564625850340136</c:v>
                </c:pt>
                <c:pt idx="2">
                  <c:v>2.2598584428715878</c:v>
                </c:pt>
                <c:pt idx="3">
                  <c:v>2.461950696677385</c:v>
                </c:pt>
                <c:pt idx="4">
                  <c:v>2.6866158868335148</c:v>
                </c:pt>
                <c:pt idx="5">
                  <c:v>2.6247058823529414</c:v>
                </c:pt>
                <c:pt idx="6">
                  <c:v>2.5104166666666665</c:v>
                </c:pt>
                <c:pt idx="7">
                  <c:v>2.5841209829867671</c:v>
                </c:pt>
                <c:pt idx="8">
                  <c:v>2.5119999999999996</c:v>
                </c:pt>
                <c:pt idx="9">
                  <c:v>2.4178674351585019</c:v>
                </c:pt>
                <c:pt idx="10">
                  <c:v>2.2920962199312718</c:v>
                </c:pt>
                <c:pt idx="11">
                  <c:v>2.3108614232209739</c:v>
                </c:pt>
                <c:pt idx="12">
                  <c:v>2.3745173745173744</c:v>
                </c:pt>
                <c:pt idx="13">
                  <c:v>2.1985815602836873</c:v>
                </c:pt>
              </c:numCache>
            </c:numRef>
          </c:val>
          <c:smooth val="1"/>
          <c:extLst xmlns:c16r2="http://schemas.microsoft.com/office/drawing/2015/06/chart">
            <c:ext xmlns:c16="http://schemas.microsoft.com/office/drawing/2014/chart" uri="{C3380CC4-5D6E-409C-BE32-E72D297353CC}">
              <c16:uniqueId val="{00000001-DC5E-461A-971B-0858A51AFB25}"/>
            </c:ext>
          </c:extLst>
        </c:ser>
        <c:ser>
          <c:idx val="2"/>
          <c:order val="2"/>
          <c:tx>
            <c:strRef>
              <c:f>Sheet1!$D$1</c:f>
              <c:strCache>
                <c:ptCount val="1"/>
                <c:pt idx="0">
                  <c:v>Social rented</c:v>
                </c:pt>
              </c:strCache>
            </c:strRef>
          </c:tx>
          <c:spPr>
            <a:ln w="28575"/>
          </c:spPr>
          <c:marker>
            <c:symbol val="none"/>
          </c:marker>
          <c:cat>
            <c:strRef>
              <c:f>Sheet1!$A$2:$A$15</c:f>
              <c:strCache>
                <c:ptCount val="14"/>
                <c:pt idx="0">
                  <c:v>16-24</c:v>
                </c:pt>
                <c:pt idx="1">
                  <c:v>25-29</c:v>
                </c:pt>
                <c:pt idx="2">
                  <c:v>30-34</c:v>
                </c:pt>
                <c:pt idx="3">
                  <c:v>35-39</c:v>
                </c:pt>
                <c:pt idx="4">
                  <c:v>40-44</c:v>
                </c:pt>
                <c:pt idx="5">
                  <c:v>45-49</c:v>
                </c:pt>
                <c:pt idx="6">
                  <c:v>50-54</c:v>
                </c:pt>
                <c:pt idx="7">
                  <c:v>55-59</c:v>
                </c:pt>
                <c:pt idx="8">
                  <c:v>60-64</c:v>
                </c:pt>
                <c:pt idx="9">
                  <c:v>65-69</c:v>
                </c:pt>
                <c:pt idx="10">
                  <c:v>70-74</c:v>
                </c:pt>
                <c:pt idx="11">
                  <c:v>75-79</c:v>
                </c:pt>
                <c:pt idx="12">
                  <c:v>80-84</c:v>
                </c:pt>
                <c:pt idx="13">
                  <c:v>85+</c:v>
                </c:pt>
              </c:strCache>
            </c:strRef>
          </c:cat>
          <c:val>
            <c:numRef>
              <c:f>Sheet1!$D$2:$D$15</c:f>
              <c:numCache>
                <c:formatCode>General</c:formatCode>
                <c:ptCount val="14"/>
                <c:pt idx="0">
                  <c:v>1.8494897959183672</c:v>
                </c:pt>
                <c:pt idx="1">
                  <c:v>2.0973236009732359</c:v>
                </c:pt>
                <c:pt idx="2">
                  <c:v>2.1625514403292181</c:v>
                </c:pt>
                <c:pt idx="3">
                  <c:v>2.2983050847457629</c:v>
                </c:pt>
                <c:pt idx="4">
                  <c:v>2.3271954674220958</c:v>
                </c:pt>
                <c:pt idx="5">
                  <c:v>2.3160690571049134</c:v>
                </c:pt>
                <c:pt idx="6">
                  <c:v>2.2397372742200328</c:v>
                </c:pt>
                <c:pt idx="7">
                  <c:v>2.1512287334593574</c:v>
                </c:pt>
                <c:pt idx="8">
                  <c:v>2.0474516695957825</c:v>
                </c:pt>
                <c:pt idx="9">
                  <c:v>1.89</c:v>
                </c:pt>
                <c:pt idx="10">
                  <c:v>1.8378947368421052</c:v>
                </c:pt>
                <c:pt idx="11">
                  <c:v>1.8556910569105691</c:v>
                </c:pt>
                <c:pt idx="12">
                  <c:v>1.83710407239819</c:v>
                </c:pt>
                <c:pt idx="13">
                  <c:v>1.6048565121412803</c:v>
                </c:pt>
              </c:numCache>
            </c:numRef>
          </c:val>
          <c:smooth val="1"/>
          <c:extLst xmlns:c16r2="http://schemas.microsoft.com/office/drawing/2015/06/chart">
            <c:ext xmlns:c16="http://schemas.microsoft.com/office/drawing/2014/chart" uri="{C3380CC4-5D6E-409C-BE32-E72D297353CC}">
              <c16:uniqueId val="{00000002-DC5E-461A-971B-0858A51AFB25}"/>
            </c:ext>
          </c:extLst>
        </c:ser>
        <c:dLbls>
          <c:showLegendKey val="0"/>
          <c:showVal val="0"/>
          <c:showCatName val="0"/>
          <c:showSerName val="0"/>
          <c:showPercent val="0"/>
          <c:showBubbleSize val="0"/>
        </c:dLbls>
        <c:marker val="1"/>
        <c:smooth val="0"/>
        <c:axId val="286449664"/>
        <c:axId val="286451584"/>
      </c:lineChart>
      <c:catAx>
        <c:axId val="286449664"/>
        <c:scaling>
          <c:orientation val="minMax"/>
        </c:scaling>
        <c:delete val="0"/>
        <c:axPos val="b"/>
        <c:title>
          <c:tx>
            <c:rich>
              <a:bodyPr/>
              <a:lstStyle/>
              <a:p>
                <a:pPr>
                  <a:defRPr/>
                </a:pPr>
                <a:r>
                  <a:rPr lang="en-GB"/>
                  <a:t>Age of household reference person</a:t>
                </a:r>
              </a:p>
            </c:rich>
          </c:tx>
          <c:layout>
            <c:manualLayout>
              <c:xMode val="edge"/>
              <c:yMode val="edge"/>
              <c:x val="0.36853242734074793"/>
              <c:y val="0.839928812647041"/>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a:pPr>
            <a:endParaRPr lang="en-US"/>
          </a:p>
        </c:txPr>
        <c:crossAx val="286451584"/>
        <c:crosses val="autoZero"/>
        <c:auto val="1"/>
        <c:lblAlgn val="ctr"/>
        <c:lblOffset val="100"/>
        <c:noMultiLvlLbl val="0"/>
      </c:catAx>
      <c:valAx>
        <c:axId val="286451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GB"/>
                  <a:t>Average number of bedrooms</a:t>
                </a:r>
              </a:p>
            </c:rich>
          </c:tx>
          <c:layout>
            <c:manualLayout>
              <c:xMode val="edge"/>
              <c:yMode val="edge"/>
              <c:x val="4.3449538278542898E-3"/>
              <c:y val="0.15942945941018699"/>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286449664"/>
        <c:crosses val="autoZero"/>
        <c:crossBetween val="between"/>
      </c:valAx>
      <c:spPr>
        <a:noFill/>
        <a:ln>
          <a:noFill/>
        </a:ln>
        <a:effectLst/>
      </c:spPr>
    </c:plotArea>
    <c:legend>
      <c:legendPos val="b"/>
      <c:layout>
        <c:manualLayout>
          <c:xMode val="edge"/>
          <c:yMode val="edge"/>
          <c:x val="0.18709637211223767"/>
          <c:y val="0.90645322035958298"/>
          <c:w val="0.62580725577552476"/>
          <c:h val="7.59062063217842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1200" b="0">
          <a:solidFill>
            <a:sysClr val="windowText" lastClr="000000"/>
          </a:solidFill>
          <a:latin typeface="Arial Narrow" panose="020B0606020202030204" pitchFamily="34" charset="0"/>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Summary!$A$11</c:f>
              <c:strCache>
                <c:ptCount val="1"/>
                <c:pt idx="0">
                  <c:v>Chichester District</c:v>
                </c:pt>
              </c:strCache>
            </c:strRef>
          </c:tx>
          <c:spPr>
            <a:solidFill>
              <a:schemeClr val="accent1"/>
            </a:solidFill>
            <a:ln>
              <a:noFill/>
            </a:ln>
            <a:effectLst/>
          </c:spPr>
          <c:invertIfNegative val="0"/>
          <c:dLbls>
            <c:numFmt formatCode="0%" sourceLinked="0"/>
            <c:spPr>
              <a:noFill/>
              <a:ln>
                <a:noFill/>
              </a:ln>
              <a:effectLst/>
            </c:spPr>
            <c:txPr>
              <a:bodyPr rot="-5400000"/>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Summary!$B$10:$G$10</c:f>
              <c:strCache>
                <c:ptCount val="6"/>
                <c:pt idx="0">
                  <c:v>Age 0 to 15</c:v>
                </c:pt>
                <c:pt idx="1">
                  <c:v>Age 16-49</c:v>
                </c:pt>
                <c:pt idx="2">
                  <c:v>Age 50 to 64</c:v>
                </c:pt>
                <c:pt idx="3">
                  <c:v>Age 65 to 74</c:v>
                </c:pt>
                <c:pt idx="4">
                  <c:v>Age 75 to 85</c:v>
                </c:pt>
                <c:pt idx="5">
                  <c:v>Age 85 and over</c:v>
                </c:pt>
              </c:strCache>
            </c:strRef>
          </c:cat>
          <c:val>
            <c:numRef>
              <c:f>Summary!$B$11:$G$11</c:f>
              <c:numCache>
                <c:formatCode>_(* #,##0.00_);_(* \(#,##0.00\);_(* "-"??_);_(@_)</c:formatCode>
                <c:ptCount val="6"/>
                <c:pt idx="0">
                  <c:v>3.633347158855247E-2</c:v>
                </c:pt>
                <c:pt idx="1">
                  <c:v>7.34599537734901E-2</c:v>
                </c:pt>
                <c:pt idx="2">
                  <c:v>0.17749087115284298</c:v>
                </c:pt>
                <c:pt idx="3">
                  <c:v>0.28816317673863512</c:v>
                </c:pt>
                <c:pt idx="4" formatCode="0%">
                  <c:v>0.52830472749171942</c:v>
                </c:pt>
                <c:pt idx="5" formatCode="0%">
                  <c:v>0.76381322957198439</c:v>
                </c:pt>
              </c:numCache>
            </c:numRef>
          </c:val>
          <c:extLst xmlns:c16r2="http://schemas.microsoft.com/office/drawing/2015/06/chart">
            <c:ext xmlns:c16="http://schemas.microsoft.com/office/drawing/2014/chart" uri="{C3380CC4-5D6E-409C-BE32-E72D297353CC}">
              <c16:uniqueId val="{00000000-4297-4F7F-A3CE-942E74C8D733}"/>
            </c:ext>
          </c:extLst>
        </c:ser>
        <c:ser>
          <c:idx val="1"/>
          <c:order val="1"/>
          <c:tx>
            <c:strRef>
              <c:f>Summary!$A$12</c:f>
              <c:strCache>
                <c:ptCount val="1"/>
                <c:pt idx="0">
                  <c:v>Plan Area</c:v>
                </c:pt>
              </c:strCache>
            </c:strRef>
          </c:tx>
          <c:spPr>
            <a:solidFill>
              <a:schemeClr val="accent2"/>
            </a:solidFill>
            <a:ln>
              <a:noFill/>
            </a:ln>
            <a:effectLst/>
          </c:spPr>
          <c:invertIfNegative val="0"/>
          <c:dLbls>
            <c:spPr>
              <a:noFill/>
              <a:ln>
                <a:noFill/>
              </a:ln>
              <a:effectLst/>
            </c:spPr>
            <c:txPr>
              <a:bodyPr rot="-5400000"/>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Summary!$B$10:$G$10</c:f>
              <c:strCache>
                <c:ptCount val="6"/>
                <c:pt idx="0">
                  <c:v>Age 0 to 15</c:v>
                </c:pt>
                <c:pt idx="1">
                  <c:v>Age 16-49</c:v>
                </c:pt>
                <c:pt idx="2">
                  <c:v>Age 50 to 64</c:v>
                </c:pt>
                <c:pt idx="3">
                  <c:v>Age 65 to 74</c:v>
                </c:pt>
                <c:pt idx="4">
                  <c:v>Age 75 to 85</c:v>
                </c:pt>
                <c:pt idx="5">
                  <c:v>Age 85 and over</c:v>
                </c:pt>
              </c:strCache>
            </c:strRef>
          </c:cat>
          <c:val>
            <c:numRef>
              <c:f>Summary!$B$12:$G$12</c:f>
              <c:numCache>
                <c:formatCode>0%</c:formatCode>
                <c:ptCount val="6"/>
                <c:pt idx="0">
                  <c:v>3.4035068125977216E-2</c:v>
                </c:pt>
                <c:pt idx="1">
                  <c:v>7.6923999112853442E-2</c:v>
                </c:pt>
                <c:pt idx="2">
                  <c:v>0.17618588507520247</c:v>
                </c:pt>
                <c:pt idx="3">
                  <c:v>0.30298996770933473</c:v>
                </c:pt>
                <c:pt idx="4">
                  <c:v>0.53598214285714285</c:v>
                </c:pt>
                <c:pt idx="5">
                  <c:v>0.79254930606281959</c:v>
                </c:pt>
              </c:numCache>
            </c:numRef>
          </c:val>
          <c:extLst xmlns:c16r2="http://schemas.microsoft.com/office/drawing/2015/06/chart">
            <c:ext xmlns:c16="http://schemas.microsoft.com/office/drawing/2014/chart" uri="{C3380CC4-5D6E-409C-BE32-E72D297353CC}">
              <c16:uniqueId val="{00000001-4297-4F7F-A3CE-942E74C8D733}"/>
            </c:ext>
          </c:extLst>
        </c:ser>
        <c:ser>
          <c:idx val="2"/>
          <c:order val="2"/>
          <c:tx>
            <c:strRef>
              <c:f>Summary!$A$13</c:f>
              <c:strCache>
                <c:ptCount val="1"/>
                <c:pt idx="0">
                  <c:v>West Sussex</c:v>
                </c:pt>
              </c:strCache>
            </c:strRef>
          </c:tx>
          <c:spPr>
            <a:solidFill>
              <a:schemeClr val="accent3"/>
            </a:solidFill>
            <a:ln>
              <a:noFill/>
            </a:ln>
            <a:effectLst/>
          </c:spPr>
          <c:invertIfNegative val="0"/>
          <c:dLbls>
            <c:spPr>
              <a:noFill/>
              <a:ln>
                <a:noFill/>
              </a:ln>
              <a:effectLst/>
            </c:spPr>
            <c:txPr>
              <a:bodyPr rot="-5400000"/>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Summary!$B$10:$G$10</c:f>
              <c:strCache>
                <c:ptCount val="6"/>
                <c:pt idx="0">
                  <c:v>Age 0 to 15</c:v>
                </c:pt>
                <c:pt idx="1">
                  <c:v>Age 16-49</c:v>
                </c:pt>
                <c:pt idx="2">
                  <c:v>Age 50 to 64</c:v>
                </c:pt>
                <c:pt idx="3">
                  <c:v>Age 65 to 74</c:v>
                </c:pt>
                <c:pt idx="4">
                  <c:v>Age 75 to 85</c:v>
                </c:pt>
                <c:pt idx="5">
                  <c:v>Age 85 and over</c:v>
                </c:pt>
              </c:strCache>
            </c:strRef>
          </c:cat>
          <c:val>
            <c:numRef>
              <c:f>Summary!$B$13:$G$13</c:f>
              <c:numCache>
                <c:formatCode>0%</c:formatCode>
                <c:ptCount val="6"/>
                <c:pt idx="0">
                  <c:v>3.1723536465714595E-2</c:v>
                </c:pt>
                <c:pt idx="1">
                  <c:v>6.8247650896074236E-2</c:v>
                </c:pt>
                <c:pt idx="2">
                  <c:v>0.1621864566389864</c:v>
                </c:pt>
                <c:pt idx="3">
                  <c:v>0.27067614094205555</c:v>
                </c:pt>
                <c:pt idx="4">
                  <c:v>0.51072825282739664</c:v>
                </c:pt>
                <c:pt idx="5">
                  <c:v>0.76252110298255482</c:v>
                </c:pt>
              </c:numCache>
            </c:numRef>
          </c:val>
          <c:extLst xmlns:c16r2="http://schemas.microsoft.com/office/drawing/2015/06/chart">
            <c:ext xmlns:c16="http://schemas.microsoft.com/office/drawing/2014/chart" uri="{C3380CC4-5D6E-409C-BE32-E72D297353CC}">
              <c16:uniqueId val="{00000002-4297-4F7F-A3CE-942E74C8D733}"/>
            </c:ext>
          </c:extLst>
        </c:ser>
        <c:ser>
          <c:idx val="3"/>
          <c:order val="3"/>
          <c:tx>
            <c:strRef>
              <c:f>Summary!$A$14</c:f>
              <c:strCache>
                <c:ptCount val="1"/>
                <c:pt idx="0">
                  <c:v>South East </c:v>
                </c:pt>
              </c:strCache>
            </c:strRef>
          </c:tx>
          <c:spPr>
            <a:solidFill>
              <a:schemeClr val="accent4"/>
            </a:solidFill>
            <a:ln>
              <a:noFill/>
            </a:ln>
            <a:effectLst/>
          </c:spPr>
          <c:invertIfNegative val="0"/>
          <c:dLbls>
            <c:spPr>
              <a:noFill/>
              <a:ln>
                <a:noFill/>
              </a:ln>
              <a:effectLst/>
            </c:spPr>
            <c:txPr>
              <a:bodyPr rot="-5400000"/>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Summary!$B$10:$G$10</c:f>
              <c:strCache>
                <c:ptCount val="6"/>
                <c:pt idx="0">
                  <c:v>Age 0 to 15</c:v>
                </c:pt>
                <c:pt idx="1">
                  <c:v>Age 16-49</c:v>
                </c:pt>
                <c:pt idx="2">
                  <c:v>Age 50 to 64</c:v>
                </c:pt>
                <c:pt idx="3">
                  <c:v>Age 65 to 74</c:v>
                </c:pt>
                <c:pt idx="4">
                  <c:v>Age 75 to 85</c:v>
                </c:pt>
                <c:pt idx="5">
                  <c:v>Age 85 and over</c:v>
                </c:pt>
              </c:strCache>
            </c:strRef>
          </c:cat>
          <c:val>
            <c:numRef>
              <c:f>Summary!$B$14:$G$14</c:f>
              <c:numCache>
                <c:formatCode>0%</c:formatCode>
                <c:ptCount val="6"/>
                <c:pt idx="0">
                  <c:v>3.7278758236226624E-2</c:v>
                </c:pt>
                <c:pt idx="1">
                  <c:v>8.5467643068365462E-2</c:v>
                </c:pt>
                <c:pt idx="2">
                  <c:v>0.23089241527522153</c:v>
                </c:pt>
                <c:pt idx="3">
                  <c:v>0.38694348581041954</c:v>
                </c:pt>
                <c:pt idx="4">
                  <c:v>0.6087262056313707</c:v>
                </c:pt>
                <c:pt idx="5">
                  <c:v>0.8297743688374094</c:v>
                </c:pt>
              </c:numCache>
            </c:numRef>
          </c:val>
          <c:extLst xmlns:c16r2="http://schemas.microsoft.com/office/drawing/2015/06/chart">
            <c:ext xmlns:c16="http://schemas.microsoft.com/office/drawing/2014/chart" uri="{C3380CC4-5D6E-409C-BE32-E72D297353CC}">
              <c16:uniqueId val="{00000003-4297-4F7F-A3CE-942E74C8D733}"/>
            </c:ext>
          </c:extLst>
        </c:ser>
        <c:ser>
          <c:idx val="4"/>
          <c:order val="4"/>
          <c:tx>
            <c:strRef>
              <c:f>Summary!$A$15</c:f>
              <c:strCache>
                <c:ptCount val="1"/>
                <c:pt idx="0">
                  <c:v>England</c:v>
                </c:pt>
              </c:strCache>
            </c:strRef>
          </c:tx>
          <c:spPr>
            <a:solidFill>
              <a:schemeClr val="accent5"/>
            </a:solidFill>
            <a:ln>
              <a:noFill/>
            </a:ln>
            <a:effectLst/>
          </c:spPr>
          <c:invertIfNegative val="0"/>
          <c:dLbls>
            <c:spPr>
              <a:noFill/>
              <a:ln>
                <a:noFill/>
              </a:ln>
              <a:effectLst/>
            </c:spPr>
            <c:txPr>
              <a:bodyPr rot="-5400000"/>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Summary!$B$10:$G$10</c:f>
              <c:strCache>
                <c:ptCount val="6"/>
                <c:pt idx="0">
                  <c:v>Age 0 to 15</c:v>
                </c:pt>
                <c:pt idx="1">
                  <c:v>Age 16-49</c:v>
                </c:pt>
                <c:pt idx="2">
                  <c:v>Age 50 to 64</c:v>
                </c:pt>
                <c:pt idx="3">
                  <c:v>Age 65 to 74</c:v>
                </c:pt>
                <c:pt idx="4">
                  <c:v>Age 75 to 85</c:v>
                </c:pt>
                <c:pt idx="5">
                  <c:v>Age 85 and over</c:v>
                </c:pt>
              </c:strCache>
            </c:strRef>
          </c:cat>
          <c:val>
            <c:numRef>
              <c:f>Summary!$B$15:$G$15</c:f>
              <c:numCache>
                <c:formatCode>0%</c:formatCode>
                <c:ptCount val="6"/>
                <c:pt idx="0">
                  <c:v>3.5450762113327136E-2</c:v>
                </c:pt>
                <c:pt idx="1">
                  <c:v>7.3573756542612001E-2</c:v>
                </c:pt>
                <c:pt idx="2">
                  <c:v>0.18042589660787861</c:v>
                </c:pt>
                <c:pt idx="3">
                  <c:v>0.31811422322711519</c:v>
                </c:pt>
                <c:pt idx="4">
                  <c:v>0.55264413198667661</c:v>
                </c:pt>
                <c:pt idx="5">
                  <c:v>0.80556414390141562</c:v>
                </c:pt>
              </c:numCache>
            </c:numRef>
          </c:val>
          <c:extLst xmlns:c16r2="http://schemas.microsoft.com/office/drawing/2015/06/chart">
            <c:ext xmlns:c16="http://schemas.microsoft.com/office/drawing/2014/chart" uri="{C3380CC4-5D6E-409C-BE32-E72D297353CC}">
              <c16:uniqueId val="{00000004-4297-4F7F-A3CE-942E74C8D733}"/>
            </c:ext>
          </c:extLst>
        </c:ser>
        <c:dLbls>
          <c:showLegendKey val="0"/>
          <c:showVal val="0"/>
          <c:showCatName val="0"/>
          <c:showSerName val="0"/>
          <c:showPercent val="0"/>
          <c:showBubbleSize val="0"/>
        </c:dLbls>
        <c:gapWidth val="309"/>
        <c:overlap val="-66"/>
        <c:axId val="289859456"/>
        <c:axId val="289860992"/>
      </c:barChart>
      <c:catAx>
        <c:axId val="28985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89860992"/>
        <c:crosses val="autoZero"/>
        <c:auto val="1"/>
        <c:lblAlgn val="ctr"/>
        <c:lblOffset val="100"/>
        <c:noMultiLvlLbl val="0"/>
      </c:catAx>
      <c:valAx>
        <c:axId val="289860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GB"/>
                  <a:t>%</a:t>
                </a:r>
                <a:r>
                  <a:rPr lang="en-GB" baseline="0"/>
                  <a:t> of Pop with LTHP</a:t>
                </a:r>
                <a:endParaRPr lang="en-GB"/>
              </a:p>
            </c:rich>
          </c:tx>
          <c:overlay val="0"/>
        </c:title>
        <c:numFmt formatCode="0%" sourceLinked="0"/>
        <c:majorTickMark val="none"/>
        <c:minorTickMark val="none"/>
        <c:tickLblPos val="nextTo"/>
        <c:spPr>
          <a:noFill/>
          <a:ln>
            <a:noFill/>
          </a:ln>
          <a:effectLst/>
        </c:spPr>
        <c:txPr>
          <a:bodyPr rot="-60000000" vert="horz"/>
          <a:lstStyle/>
          <a:p>
            <a:pPr>
              <a:defRPr/>
            </a:pPr>
            <a:endParaRPr lang="en-US"/>
          </a:p>
        </c:txPr>
        <c:crossAx val="289859456"/>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[nomis_2019_12_20_161659.xlsx]Data!$B$43</c:f>
              <c:strCache>
                <c:ptCount val="1"/>
                <c:pt idx="0">
                  <c:v>Owner-occupier</c:v>
                </c:pt>
              </c:strCache>
            </c:strRef>
          </c:tx>
          <c:spPr>
            <a:solidFill>
              <a:schemeClr val="accent1"/>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[nomis_2019_12_20_161659.xlsx]Data!$A$44:$A$48</c:f>
              <c:strCache>
                <c:ptCount val="5"/>
                <c:pt idx="0">
                  <c:v>Chichester District</c:v>
                </c:pt>
                <c:pt idx="1">
                  <c:v>Plan Area</c:v>
                </c:pt>
                <c:pt idx="2">
                  <c:v>West Sussex</c:v>
                </c:pt>
                <c:pt idx="3">
                  <c:v>South East </c:v>
                </c:pt>
                <c:pt idx="4">
                  <c:v>England</c:v>
                </c:pt>
              </c:strCache>
            </c:strRef>
          </c:cat>
          <c:val>
            <c:numRef>
              <c:f>[nomis_2019_12_20_161659.xlsx]Data!$B$44:$B$48</c:f>
              <c:numCache>
                <c:formatCode>0%</c:formatCode>
                <c:ptCount val="5"/>
                <c:pt idx="0">
                  <c:v>0.5153463741489247</c:v>
                </c:pt>
                <c:pt idx="1">
                  <c:v>0.51473330846698995</c:v>
                </c:pt>
                <c:pt idx="2">
                  <c:v>0.38238461584230288</c:v>
                </c:pt>
                <c:pt idx="3">
                  <c:v>0.45169136895174533</c:v>
                </c:pt>
                <c:pt idx="4">
                  <c:v>0.42033023779690487</c:v>
                </c:pt>
              </c:numCache>
            </c:numRef>
          </c:val>
          <c:extLst xmlns:c16r2="http://schemas.microsoft.com/office/drawing/2015/06/chart">
            <c:ext xmlns:c16="http://schemas.microsoft.com/office/drawing/2014/chart" uri="{C3380CC4-5D6E-409C-BE32-E72D297353CC}">
              <c16:uniqueId val="{00000000-4D12-4EAC-AB4E-95C1E6D2008E}"/>
            </c:ext>
          </c:extLst>
        </c:ser>
        <c:ser>
          <c:idx val="1"/>
          <c:order val="1"/>
          <c:tx>
            <c:strRef>
              <c:f>[nomis_2019_12_20_161659.xlsx]Data!$C$43</c:f>
              <c:strCache>
                <c:ptCount val="1"/>
                <c:pt idx="0">
                  <c:v>Owner-occupier with mortgage</c:v>
                </c:pt>
              </c:strCache>
            </c:strRef>
          </c:tx>
          <c:spPr>
            <a:solidFill>
              <a:schemeClr val="accent2"/>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[nomis_2019_12_20_161659.xlsx]Data!$A$44:$A$48</c:f>
              <c:strCache>
                <c:ptCount val="5"/>
                <c:pt idx="0">
                  <c:v>Chichester District</c:v>
                </c:pt>
                <c:pt idx="1">
                  <c:v>Plan Area</c:v>
                </c:pt>
                <c:pt idx="2">
                  <c:v>West Sussex</c:v>
                </c:pt>
                <c:pt idx="3">
                  <c:v>South East </c:v>
                </c:pt>
                <c:pt idx="4">
                  <c:v>England</c:v>
                </c:pt>
              </c:strCache>
            </c:strRef>
          </c:cat>
          <c:val>
            <c:numRef>
              <c:f>[nomis_2019_12_20_161659.xlsx]Data!$C$44:$C$48</c:f>
              <c:numCache>
                <c:formatCode>0%</c:formatCode>
                <c:ptCount val="5"/>
                <c:pt idx="0">
                  <c:v>0.15151842645628444</c:v>
                </c:pt>
                <c:pt idx="1">
                  <c:v>0.14494591570309587</c:v>
                </c:pt>
                <c:pt idx="2">
                  <c:v>0.38238461584230288</c:v>
                </c:pt>
                <c:pt idx="3">
                  <c:v>0.20900744665213408</c:v>
                </c:pt>
                <c:pt idx="4">
                  <c:v>0.1956435044870993</c:v>
                </c:pt>
              </c:numCache>
            </c:numRef>
          </c:val>
          <c:extLst xmlns:c16r2="http://schemas.microsoft.com/office/drawing/2015/06/chart">
            <c:ext xmlns:c16="http://schemas.microsoft.com/office/drawing/2014/chart" uri="{C3380CC4-5D6E-409C-BE32-E72D297353CC}">
              <c16:uniqueId val="{00000001-4D12-4EAC-AB4E-95C1E6D2008E}"/>
            </c:ext>
          </c:extLst>
        </c:ser>
        <c:ser>
          <c:idx val="2"/>
          <c:order val="2"/>
          <c:tx>
            <c:strRef>
              <c:f>[nomis_2019_12_20_161659.xlsx]Data!$D$43</c:f>
              <c:strCache>
                <c:ptCount val="1"/>
                <c:pt idx="0">
                  <c:v>Social rent</c:v>
                </c:pt>
              </c:strCache>
            </c:strRef>
          </c:tx>
          <c:spPr>
            <a:solidFill>
              <a:schemeClr val="accent3"/>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[nomis_2019_12_20_161659.xlsx]Data!$A$44:$A$48</c:f>
              <c:strCache>
                <c:ptCount val="5"/>
                <c:pt idx="0">
                  <c:v>Chichester District</c:v>
                </c:pt>
                <c:pt idx="1">
                  <c:v>Plan Area</c:v>
                </c:pt>
                <c:pt idx="2">
                  <c:v>West Sussex</c:v>
                </c:pt>
                <c:pt idx="3">
                  <c:v>South East </c:v>
                </c:pt>
                <c:pt idx="4">
                  <c:v>England</c:v>
                </c:pt>
              </c:strCache>
            </c:strRef>
          </c:cat>
          <c:val>
            <c:numRef>
              <c:f>[nomis_2019_12_20_161659.xlsx]Data!$D$44:$D$48</c:f>
              <c:numCache>
                <c:formatCode>0%</c:formatCode>
                <c:ptCount val="5"/>
                <c:pt idx="0">
                  <c:v>0.22095536582729924</c:v>
                </c:pt>
                <c:pt idx="1">
                  <c:v>0.21887355464378963</c:v>
                </c:pt>
                <c:pt idx="2">
                  <c:v>0.15303833544556106</c:v>
                </c:pt>
                <c:pt idx="3">
                  <c:v>0.22633475219005383</c:v>
                </c:pt>
                <c:pt idx="4">
                  <c:v>0.27042155526368378</c:v>
                </c:pt>
              </c:numCache>
            </c:numRef>
          </c:val>
          <c:extLst xmlns:c16r2="http://schemas.microsoft.com/office/drawing/2015/06/chart">
            <c:ext xmlns:c16="http://schemas.microsoft.com/office/drawing/2014/chart" uri="{C3380CC4-5D6E-409C-BE32-E72D297353CC}">
              <c16:uniqueId val="{00000002-4D12-4EAC-AB4E-95C1E6D2008E}"/>
            </c:ext>
          </c:extLst>
        </c:ser>
        <c:ser>
          <c:idx val="3"/>
          <c:order val="3"/>
          <c:tx>
            <c:strRef>
              <c:f>[nomis_2019_12_20_161659.xlsx]Data!$E$43</c:f>
              <c:strCache>
                <c:ptCount val="1"/>
                <c:pt idx="0">
                  <c:v>Private rent</c:v>
                </c:pt>
              </c:strCache>
            </c:strRef>
          </c:tx>
          <c:spPr>
            <a:solidFill>
              <a:schemeClr val="accent4"/>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[nomis_2019_12_20_161659.xlsx]Data!$A$44:$A$48</c:f>
              <c:strCache>
                <c:ptCount val="5"/>
                <c:pt idx="0">
                  <c:v>Chichester District</c:v>
                </c:pt>
                <c:pt idx="1">
                  <c:v>Plan Area</c:v>
                </c:pt>
                <c:pt idx="2">
                  <c:v>West Sussex</c:v>
                </c:pt>
                <c:pt idx="3">
                  <c:v>South East </c:v>
                </c:pt>
                <c:pt idx="4">
                  <c:v>England</c:v>
                </c:pt>
              </c:strCache>
            </c:strRef>
          </c:cat>
          <c:val>
            <c:numRef>
              <c:f>[nomis_2019_12_20_161659.xlsx]Data!$E$44:$E$48</c:f>
              <c:numCache>
                <c:formatCode>0%</c:formatCode>
                <c:ptCount val="5"/>
                <c:pt idx="0">
                  <c:v>0.11217983356749163</c:v>
                </c:pt>
                <c:pt idx="1">
                  <c:v>0.12144722118612458</c:v>
                </c:pt>
                <c:pt idx="2">
                  <c:v>8.2192432869833229E-2</c:v>
                </c:pt>
                <c:pt idx="3">
                  <c:v>0.11296643220606678</c:v>
                </c:pt>
                <c:pt idx="4">
                  <c:v>0.11360470245231205</c:v>
                </c:pt>
              </c:numCache>
            </c:numRef>
          </c:val>
          <c:extLst xmlns:c16r2="http://schemas.microsoft.com/office/drawing/2015/06/chart">
            <c:ext xmlns:c16="http://schemas.microsoft.com/office/drawing/2014/chart" uri="{C3380CC4-5D6E-409C-BE32-E72D297353CC}">
              <c16:uniqueId val="{00000003-4D12-4EAC-AB4E-95C1E6D2008E}"/>
            </c:ext>
          </c:extLst>
        </c:ser>
        <c:dLbls>
          <c:showLegendKey val="0"/>
          <c:showVal val="0"/>
          <c:showCatName val="0"/>
          <c:showSerName val="0"/>
          <c:showPercent val="0"/>
          <c:showBubbleSize val="0"/>
        </c:dLbls>
        <c:gapWidth val="150"/>
        <c:overlap val="100"/>
        <c:axId val="285390720"/>
        <c:axId val="285392256"/>
      </c:barChart>
      <c:catAx>
        <c:axId val="28539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85392256"/>
        <c:crosses val="autoZero"/>
        <c:auto val="1"/>
        <c:lblAlgn val="ctr"/>
        <c:lblOffset val="100"/>
        <c:noMultiLvlLbl val="0"/>
      </c:catAx>
      <c:valAx>
        <c:axId val="285392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285390720"/>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'BME By Age'!$A$75</c:f>
              <c:strCache>
                <c:ptCount val="1"/>
                <c:pt idx="0">
                  <c:v>School and Pre School (&lt;=15)</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'BME By Age'!$B$74:$H$74</c:f>
              <c:strCache>
                <c:ptCount val="7"/>
                <c:pt idx="0">
                  <c:v>Total Population</c:v>
                </c:pt>
                <c:pt idx="1">
                  <c:v>White (British/Irish)</c:v>
                </c:pt>
                <c:pt idx="2">
                  <c:v>White - Other</c:v>
                </c:pt>
                <c:pt idx="3">
                  <c:v>Mixed</c:v>
                </c:pt>
                <c:pt idx="4">
                  <c:v>Asian or Asian British</c:v>
                </c:pt>
                <c:pt idx="5">
                  <c:v>Black or Black British</c:v>
                </c:pt>
                <c:pt idx="6">
                  <c:v>Chinese and other</c:v>
                </c:pt>
              </c:strCache>
            </c:strRef>
          </c:cat>
          <c:val>
            <c:numRef>
              <c:f>'BME By Age'!$B$75:$H$75</c:f>
              <c:numCache>
                <c:formatCode>0%</c:formatCode>
                <c:ptCount val="7"/>
                <c:pt idx="0">
                  <c:v>0.16374325535616993</c:v>
                </c:pt>
                <c:pt idx="1">
                  <c:v>0.16243526232830444</c:v>
                </c:pt>
                <c:pt idx="2">
                  <c:v>0.12145532370251472</c:v>
                </c:pt>
                <c:pt idx="3">
                  <c:v>0.42124542124542125</c:v>
                </c:pt>
                <c:pt idx="4">
                  <c:v>0.20722135007849293</c:v>
                </c:pt>
                <c:pt idx="5">
                  <c:v>0.20656370656370657</c:v>
                </c:pt>
                <c:pt idx="6">
                  <c:v>0.11301369863013698</c:v>
                </c:pt>
              </c:numCache>
            </c:numRef>
          </c:val>
          <c:extLst xmlns:c16r2="http://schemas.microsoft.com/office/drawing/2015/06/chart">
            <c:ext xmlns:c16="http://schemas.microsoft.com/office/drawing/2014/chart" uri="{C3380CC4-5D6E-409C-BE32-E72D297353CC}">
              <c16:uniqueId val="{00000000-BB9C-4DB2-A494-57D614CAA6FE}"/>
            </c:ext>
          </c:extLst>
        </c:ser>
        <c:ser>
          <c:idx val="1"/>
          <c:order val="1"/>
          <c:tx>
            <c:strRef>
              <c:f>'BME By Age'!$A$76</c:f>
              <c:strCache>
                <c:ptCount val="1"/>
                <c:pt idx="0">
                  <c:v>Student Age Groups (16--24)</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'BME By Age'!$B$74:$H$74</c:f>
              <c:strCache>
                <c:ptCount val="7"/>
                <c:pt idx="0">
                  <c:v>Total Population</c:v>
                </c:pt>
                <c:pt idx="1">
                  <c:v>White (British/Irish)</c:v>
                </c:pt>
                <c:pt idx="2">
                  <c:v>White - Other</c:v>
                </c:pt>
                <c:pt idx="3">
                  <c:v>Mixed</c:v>
                </c:pt>
                <c:pt idx="4">
                  <c:v>Asian or Asian British</c:v>
                </c:pt>
                <c:pt idx="5">
                  <c:v>Black or Black British</c:v>
                </c:pt>
                <c:pt idx="6">
                  <c:v>Chinese and other</c:v>
                </c:pt>
              </c:strCache>
            </c:strRef>
          </c:cat>
          <c:val>
            <c:numRef>
              <c:f>'BME By Age'!$B$76:$H$76</c:f>
              <c:numCache>
                <c:formatCode>0%</c:formatCode>
                <c:ptCount val="7"/>
                <c:pt idx="0">
                  <c:v>0.10069072183067648</c:v>
                </c:pt>
                <c:pt idx="1">
                  <c:v>9.8363731892216463E-2</c:v>
                </c:pt>
                <c:pt idx="2">
                  <c:v>0.1104868913857678</c:v>
                </c:pt>
                <c:pt idx="3">
                  <c:v>0.19322344322344323</c:v>
                </c:pt>
                <c:pt idx="4">
                  <c:v>8.1632653061224483E-2</c:v>
                </c:pt>
                <c:pt idx="5">
                  <c:v>0.138996138996139</c:v>
                </c:pt>
                <c:pt idx="6">
                  <c:v>0.24486301369863014</c:v>
                </c:pt>
              </c:numCache>
            </c:numRef>
          </c:val>
          <c:extLst xmlns:c16r2="http://schemas.microsoft.com/office/drawing/2015/06/chart">
            <c:ext xmlns:c16="http://schemas.microsoft.com/office/drawing/2014/chart" uri="{C3380CC4-5D6E-409C-BE32-E72D297353CC}">
              <c16:uniqueId val="{00000001-BB9C-4DB2-A494-57D614CAA6FE}"/>
            </c:ext>
          </c:extLst>
        </c:ser>
        <c:ser>
          <c:idx val="2"/>
          <c:order val="2"/>
          <c:tx>
            <c:strRef>
              <c:f>'BME By Age'!$A$77</c:f>
              <c:strCache>
                <c:ptCount val="1"/>
                <c:pt idx="0">
                  <c:v>Working age (25-64)</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'BME By Age'!$B$74:$H$74</c:f>
              <c:strCache>
                <c:ptCount val="7"/>
                <c:pt idx="0">
                  <c:v>Total Population</c:v>
                </c:pt>
                <c:pt idx="1">
                  <c:v>White (British/Irish)</c:v>
                </c:pt>
                <c:pt idx="2">
                  <c:v>White - Other</c:v>
                </c:pt>
                <c:pt idx="3">
                  <c:v>Mixed</c:v>
                </c:pt>
                <c:pt idx="4">
                  <c:v>Asian or Asian British</c:v>
                </c:pt>
                <c:pt idx="5">
                  <c:v>Black or Black British</c:v>
                </c:pt>
                <c:pt idx="6">
                  <c:v>Chinese and other</c:v>
                </c:pt>
              </c:strCache>
            </c:strRef>
          </c:cat>
          <c:val>
            <c:numRef>
              <c:f>'BME By Age'!$B$77:$H$77</c:f>
              <c:numCache>
                <c:formatCode>0%</c:formatCode>
                <c:ptCount val="7"/>
                <c:pt idx="0">
                  <c:v>0.49043886320895652</c:v>
                </c:pt>
                <c:pt idx="1">
                  <c:v>0.48327141034301585</c:v>
                </c:pt>
                <c:pt idx="2">
                  <c:v>0.65141787051899414</c:v>
                </c:pt>
                <c:pt idx="3">
                  <c:v>0.33516483516483514</c:v>
                </c:pt>
                <c:pt idx="4">
                  <c:v>0.67189952904238615</c:v>
                </c:pt>
                <c:pt idx="5">
                  <c:v>0.60424710424710426</c:v>
                </c:pt>
                <c:pt idx="6">
                  <c:v>0.58047945205479456</c:v>
                </c:pt>
              </c:numCache>
            </c:numRef>
          </c:val>
          <c:extLst xmlns:c16r2="http://schemas.microsoft.com/office/drawing/2015/06/chart">
            <c:ext xmlns:c16="http://schemas.microsoft.com/office/drawing/2014/chart" uri="{C3380CC4-5D6E-409C-BE32-E72D297353CC}">
              <c16:uniqueId val="{00000002-BB9C-4DB2-A494-57D614CAA6FE}"/>
            </c:ext>
          </c:extLst>
        </c:ser>
        <c:ser>
          <c:idx val="4"/>
          <c:order val="3"/>
          <c:tx>
            <c:strRef>
              <c:f>'BME By Age'!$A$78</c:f>
              <c:strCache>
                <c:ptCount val="1"/>
                <c:pt idx="0">
                  <c:v>Retirement Age (+65)</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'BME By Age'!$B$74:$H$74</c:f>
              <c:strCache>
                <c:ptCount val="7"/>
                <c:pt idx="0">
                  <c:v>Total Population</c:v>
                </c:pt>
                <c:pt idx="1">
                  <c:v>White (British/Irish)</c:v>
                </c:pt>
                <c:pt idx="2">
                  <c:v>White - Other</c:v>
                </c:pt>
                <c:pt idx="3">
                  <c:v>Mixed</c:v>
                </c:pt>
                <c:pt idx="4">
                  <c:v>Asian or Asian British</c:v>
                </c:pt>
                <c:pt idx="5">
                  <c:v>Black or Black British</c:v>
                </c:pt>
                <c:pt idx="6">
                  <c:v>Chinese and other</c:v>
                </c:pt>
              </c:strCache>
            </c:strRef>
          </c:cat>
          <c:val>
            <c:numRef>
              <c:f>'BME By Age'!$B$78:$H$78</c:f>
              <c:numCache>
                <c:formatCode>0%</c:formatCode>
                <c:ptCount val="7"/>
                <c:pt idx="0">
                  <c:v>0.24512715960419706</c:v>
                </c:pt>
                <c:pt idx="1">
                  <c:v>0.25592959543646326</c:v>
                </c:pt>
                <c:pt idx="2">
                  <c:v>0.11663991439272338</c:v>
                </c:pt>
                <c:pt idx="3">
                  <c:v>5.0366300366300368E-2</c:v>
                </c:pt>
                <c:pt idx="4">
                  <c:v>3.924646781789639E-2</c:v>
                </c:pt>
                <c:pt idx="5">
                  <c:v>5.019305019305019E-2</c:v>
                </c:pt>
                <c:pt idx="6">
                  <c:v>6.1643835616438353E-2</c:v>
                </c:pt>
              </c:numCache>
            </c:numRef>
          </c:val>
          <c:extLst xmlns:c16r2="http://schemas.microsoft.com/office/drawing/2015/06/chart">
            <c:ext xmlns:c16="http://schemas.microsoft.com/office/drawing/2014/chart" uri="{C3380CC4-5D6E-409C-BE32-E72D297353CC}">
              <c16:uniqueId val="{00000003-BB9C-4DB2-A494-57D614CAA6FE}"/>
            </c:ext>
          </c:extLst>
        </c:ser>
        <c:dLbls>
          <c:dLblPos val="ctr"/>
          <c:showLegendKey val="0"/>
          <c:showVal val="1"/>
          <c:showCatName val="0"/>
          <c:showSerName val="0"/>
          <c:showPercent val="0"/>
          <c:showBubbleSize val="0"/>
        </c:dLbls>
        <c:gapWidth val="150"/>
        <c:overlap val="100"/>
        <c:axId val="289903744"/>
        <c:axId val="289905280"/>
      </c:barChart>
      <c:catAx>
        <c:axId val="289903744"/>
        <c:scaling>
          <c:orientation val="minMax"/>
        </c:scaling>
        <c:delete val="0"/>
        <c:axPos val="l"/>
        <c:numFmt formatCode="General" sourceLinked="0"/>
        <c:majorTickMark val="out"/>
        <c:minorTickMark val="none"/>
        <c:tickLblPos val="nextTo"/>
        <c:crossAx val="289905280"/>
        <c:crosses val="autoZero"/>
        <c:auto val="1"/>
        <c:lblAlgn val="ctr"/>
        <c:lblOffset val="100"/>
        <c:noMultiLvlLbl val="0"/>
      </c:catAx>
      <c:valAx>
        <c:axId val="289905280"/>
        <c:scaling>
          <c:orientation val="minMax"/>
        </c:scaling>
        <c:delete val="0"/>
        <c:axPos val="b"/>
        <c:majorGridlines/>
        <c:numFmt formatCode="0%" sourceLinked="1"/>
        <c:majorTickMark val="out"/>
        <c:minorTickMark val="none"/>
        <c:tickLblPos val="nextTo"/>
        <c:crossAx val="289903744"/>
        <c:crosses val="autoZero"/>
        <c:crossBetween val="between"/>
      </c:valAx>
    </c:plotArea>
    <c:legend>
      <c:legendPos val="b"/>
      <c:layout>
        <c:manualLayout>
          <c:xMode val="edge"/>
          <c:yMode val="edge"/>
          <c:x val="0.18565480046255645"/>
          <c:y val="0.83886747725466693"/>
          <c:w val="0.73594188295018881"/>
          <c:h val="0.13735838083741764"/>
        </c:manualLayout>
      </c:layout>
      <c:overlay val="0"/>
    </c:legend>
    <c:plotVisOnly val="1"/>
    <c:dispBlanksAs val="gap"/>
    <c:showDLblsOverMax val="0"/>
  </c:chart>
  <c:txPr>
    <a:bodyPr/>
    <a:lstStyle/>
    <a:p>
      <a:pPr>
        <a:defRPr sz="1200">
          <a:latin typeface="Arial Narrow" panose="020B060602020203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876587000573361E-2"/>
          <c:y val="4.8511576626240352E-2"/>
          <c:w val="0.89324779110887942"/>
          <c:h val="0.54374705918099819"/>
        </c:manualLayout>
      </c:layout>
      <c:barChart>
        <c:barDir val="col"/>
        <c:grouping val="stacked"/>
        <c:varyColors val="0"/>
        <c:ser>
          <c:idx val="0"/>
          <c:order val="0"/>
          <c:tx>
            <c:strRef>
              <c:f>Sales!$B$59</c:f>
              <c:strCache>
                <c:ptCount val="1"/>
                <c:pt idx="0">
                  <c:v>Detached</c:v>
                </c:pt>
              </c:strCache>
            </c:strRef>
          </c:tx>
          <c:spPr>
            <a:solidFill>
              <a:schemeClr val="accent1"/>
            </a:solidFill>
            <a:ln>
              <a:noFill/>
            </a:ln>
            <a:effectLst/>
          </c:spPr>
          <c:invertIfNegative val="0"/>
          <c:cat>
            <c:strRef>
              <c:f>Sales!$A$60:$A$73</c:f>
              <c:strCache>
                <c:ptCount val="14"/>
                <c:pt idx="0">
                  <c:v>Chichester</c:v>
                </c:pt>
                <c:pt idx="1">
                  <c:v>Arun</c:v>
                </c:pt>
                <c:pt idx="2">
                  <c:v>Cotswold</c:v>
                </c:pt>
                <c:pt idx="3">
                  <c:v>West Dorset</c:v>
                </c:pt>
                <c:pt idx="4">
                  <c:v>Harrogate</c:v>
                </c:pt>
                <c:pt idx="5">
                  <c:v>South Hams</c:v>
                </c:pt>
                <c:pt idx="6">
                  <c:v>Lewes</c:v>
                </c:pt>
                <c:pt idx="7">
                  <c:v>Havant</c:v>
                </c:pt>
                <c:pt idx="8">
                  <c:v>Horsham</c:v>
                </c:pt>
                <c:pt idx="9">
                  <c:v>Waverley</c:v>
                </c:pt>
                <c:pt idx="10">
                  <c:v>Chichester and Bognor HMA</c:v>
                </c:pt>
                <c:pt idx="11">
                  <c:v>West Sussex</c:v>
                </c:pt>
                <c:pt idx="12">
                  <c:v>South East</c:v>
                </c:pt>
                <c:pt idx="13">
                  <c:v>England and Wales</c:v>
                </c:pt>
              </c:strCache>
            </c:strRef>
          </c:cat>
          <c:val>
            <c:numRef>
              <c:f>Sales!$B$60:$B$73</c:f>
              <c:numCache>
                <c:formatCode>0%</c:formatCode>
                <c:ptCount val="14"/>
                <c:pt idx="0">
                  <c:v>0.35037794575366832</c:v>
                </c:pt>
                <c:pt idx="1">
                  <c:v>0.30780516431924881</c:v>
                </c:pt>
                <c:pt idx="2">
                  <c:v>0.34548335974643424</c:v>
                </c:pt>
                <c:pt idx="3">
                  <c:v>0.33195211786372009</c:v>
                </c:pt>
                <c:pt idx="4">
                  <c:v>0.28326046221111806</c:v>
                </c:pt>
                <c:pt idx="5">
                  <c:v>0.34428571428571431</c:v>
                </c:pt>
                <c:pt idx="6">
                  <c:v>0.30139275766016715</c:v>
                </c:pt>
                <c:pt idx="7">
                  <c:v>0.271078431372549</c:v>
                </c:pt>
                <c:pt idx="8">
                  <c:v>0.31265597147950092</c:v>
                </c:pt>
                <c:pt idx="9">
                  <c:v>0.35016062413951354</c:v>
                </c:pt>
                <c:pt idx="10">
                  <c:v>0.32473042248541628</c:v>
                </c:pt>
                <c:pt idx="11">
                  <c:v>0.26863401277760879</c:v>
                </c:pt>
                <c:pt idx="12">
                  <c:v>0.24744514057236408</c:v>
                </c:pt>
                <c:pt idx="13">
                  <c:v>0.22840356617029178</c:v>
                </c:pt>
              </c:numCache>
            </c:numRef>
          </c:val>
          <c:extLst xmlns:c16r2="http://schemas.microsoft.com/office/drawing/2015/06/chart">
            <c:ext xmlns:c16="http://schemas.microsoft.com/office/drawing/2014/chart" uri="{C3380CC4-5D6E-409C-BE32-E72D297353CC}">
              <c16:uniqueId val="{00000000-DA24-4551-A10C-592738770393}"/>
            </c:ext>
          </c:extLst>
        </c:ser>
        <c:ser>
          <c:idx val="1"/>
          <c:order val="1"/>
          <c:tx>
            <c:strRef>
              <c:f>Sales!$C$59</c:f>
              <c:strCache>
                <c:ptCount val="1"/>
                <c:pt idx="0">
                  <c:v>Semi-Detached</c:v>
                </c:pt>
              </c:strCache>
            </c:strRef>
          </c:tx>
          <c:spPr>
            <a:solidFill>
              <a:schemeClr val="accent2"/>
            </a:solidFill>
            <a:ln>
              <a:noFill/>
            </a:ln>
            <a:effectLst/>
          </c:spPr>
          <c:invertIfNegative val="0"/>
          <c:cat>
            <c:strRef>
              <c:f>Sales!$A$60:$A$73</c:f>
              <c:strCache>
                <c:ptCount val="14"/>
                <c:pt idx="0">
                  <c:v>Chichester</c:v>
                </c:pt>
                <c:pt idx="1">
                  <c:v>Arun</c:v>
                </c:pt>
                <c:pt idx="2">
                  <c:v>Cotswold</c:v>
                </c:pt>
                <c:pt idx="3">
                  <c:v>West Dorset</c:v>
                </c:pt>
                <c:pt idx="4">
                  <c:v>Harrogate</c:v>
                </c:pt>
                <c:pt idx="5">
                  <c:v>South Hams</c:v>
                </c:pt>
                <c:pt idx="6">
                  <c:v>Lewes</c:v>
                </c:pt>
                <c:pt idx="7">
                  <c:v>Havant</c:v>
                </c:pt>
                <c:pt idx="8">
                  <c:v>Horsham</c:v>
                </c:pt>
                <c:pt idx="9">
                  <c:v>Waverley</c:v>
                </c:pt>
                <c:pt idx="10">
                  <c:v>Chichester and Bognor HMA</c:v>
                </c:pt>
                <c:pt idx="11">
                  <c:v>West Sussex</c:v>
                </c:pt>
                <c:pt idx="12">
                  <c:v>South East</c:v>
                </c:pt>
                <c:pt idx="13">
                  <c:v>England and Wales</c:v>
                </c:pt>
              </c:strCache>
            </c:strRef>
          </c:cat>
          <c:val>
            <c:numRef>
              <c:f>Sales!$C$60:$C$73</c:f>
              <c:numCache>
                <c:formatCode>0%</c:formatCode>
                <c:ptCount val="14"/>
                <c:pt idx="0">
                  <c:v>0.20898176967541129</c:v>
                </c:pt>
                <c:pt idx="1">
                  <c:v>0.21948356807511737</c:v>
                </c:pt>
                <c:pt idx="2">
                  <c:v>0.24035921817221342</c:v>
                </c:pt>
                <c:pt idx="3">
                  <c:v>0.18186003683241253</c:v>
                </c:pt>
                <c:pt idx="4">
                  <c:v>0.26920674578388509</c:v>
                </c:pt>
                <c:pt idx="5">
                  <c:v>0.20142857142857143</c:v>
                </c:pt>
                <c:pt idx="6">
                  <c:v>0.24122562674094708</c:v>
                </c:pt>
                <c:pt idx="7">
                  <c:v>0.27941176470588236</c:v>
                </c:pt>
                <c:pt idx="8">
                  <c:v>0.24313725490196078</c:v>
                </c:pt>
                <c:pt idx="9">
                  <c:v>0.22257916475447453</c:v>
                </c:pt>
                <c:pt idx="10">
                  <c:v>0.21530846738554005</c:v>
                </c:pt>
                <c:pt idx="11">
                  <c:v>0.23157894736842105</c:v>
                </c:pt>
                <c:pt idx="12">
                  <c:v>0.23831502062147783</c:v>
                </c:pt>
                <c:pt idx="13">
                  <c:v>0.26444064484119995</c:v>
                </c:pt>
              </c:numCache>
            </c:numRef>
          </c:val>
          <c:extLst xmlns:c16r2="http://schemas.microsoft.com/office/drawing/2015/06/chart">
            <c:ext xmlns:c16="http://schemas.microsoft.com/office/drawing/2014/chart" uri="{C3380CC4-5D6E-409C-BE32-E72D297353CC}">
              <c16:uniqueId val="{00000001-DA24-4551-A10C-592738770393}"/>
            </c:ext>
          </c:extLst>
        </c:ser>
        <c:ser>
          <c:idx val="2"/>
          <c:order val="2"/>
          <c:tx>
            <c:strRef>
              <c:f>Sales!$D$59</c:f>
              <c:strCache>
                <c:ptCount val="1"/>
                <c:pt idx="0">
                  <c:v>Terrace</c:v>
                </c:pt>
              </c:strCache>
            </c:strRef>
          </c:tx>
          <c:spPr>
            <a:solidFill>
              <a:schemeClr val="accent3"/>
            </a:solidFill>
            <a:ln>
              <a:noFill/>
            </a:ln>
            <a:effectLst/>
          </c:spPr>
          <c:invertIfNegative val="0"/>
          <c:cat>
            <c:strRef>
              <c:f>Sales!$A$60:$A$73</c:f>
              <c:strCache>
                <c:ptCount val="14"/>
                <c:pt idx="0">
                  <c:v>Chichester</c:v>
                </c:pt>
                <c:pt idx="1">
                  <c:v>Arun</c:v>
                </c:pt>
                <c:pt idx="2">
                  <c:v>Cotswold</c:v>
                </c:pt>
                <c:pt idx="3">
                  <c:v>West Dorset</c:v>
                </c:pt>
                <c:pt idx="4">
                  <c:v>Harrogate</c:v>
                </c:pt>
                <c:pt idx="5">
                  <c:v>South Hams</c:v>
                </c:pt>
                <c:pt idx="6">
                  <c:v>Lewes</c:v>
                </c:pt>
                <c:pt idx="7">
                  <c:v>Havant</c:v>
                </c:pt>
                <c:pt idx="8">
                  <c:v>Horsham</c:v>
                </c:pt>
                <c:pt idx="9">
                  <c:v>Waverley</c:v>
                </c:pt>
                <c:pt idx="10">
                  <c:v>Chichester and Bognor HMA</c:v>
                </c:pt>
                <c:pt idx="11">
                  <c:v>West Sussex</c:v>
                </c:pt>
                <c:pt idx="12">
                  <c:v>South East</c:v>
                </c:pt>
                <c:pt idx="13">
                  <c:v>England and Wales</c:v>
                </c:pt>
              </c:strCache>
            </c:strRef>
          </c:cat>
          <c:val>
            <c:numRef>
              <c:f>Sales!$D$60:$D$73</c:f>
              <c:numCache>
                <c:formatCode>0%</c:formatCode>
                <c:ptCount val="14"/>
                <c:pt idx="0">
                  <c:v>0.1925300133392619</c:v>
                </c:pt>
                <c:pt idx="1">
                  <c:v>0.23180751173708919</c:v>
                </c:pt>
                <c:pt idx="2">
                  <c:v>0.20390913893291071</c:v>
                </c:pt>
                <c:pt idx="3">
                  <c:v>0.24447513812154695</c:v>
                </c:pt>
                <c:pt idx="4">
                  <c:v>0.23360399750156152</c:v>
                </c:pt>
                <c:pt idx="5">
                  <c:v>0.25523809523809526</c:v>
                </c:pt>
                <c:pt idx="6">
                  <c:v>0.1883008356545961</c:v>
                </c:pt>
                <c:pt idx="7">
                  <c:v>0.2534313725490196</c:v>
                </c:pt>
                <c:pt idx="8">
                  <c:v>0.19821746880570409</c:v>
                </c:pt>
                <c:pt idx="9">
                  <c:v>0.15144561725562183</c:v>
                </c:pt>
                <c:pt idx="10">
                  <c:v>0.21619232808909317</c:v>
                </c:pt>
                <c:pt idx="11">
                  <c:v>0.22281715850319439</c:v>
                </c:pt>
                <c:pt idx="12">
                  <c:v>0.24252117243333438</c:v>
                </c:pt>
                <c:pt idx="13">
                  <c:v>0.27149428734460401</c:v>
                </c:pt>
              </c:numCache>
            </c:numRef>
          </c:val>
          <c:extLst xmlns:c16r2="http://schemas.microsoft.com/office/drawing/2015/06/chart">
            <c:ext xmlns:c16="http://schemas.microsoft.com/office/drawing/2014/chart" uri="{C3380CC4-5D6E-409C-BE32-E72D297353CC}">
              <c16:uniqueId val="{00000002-DA24-4551-A10C-592738770393}"/>
            </c:ext>
          </c:extLst>
        </c:ser>
        <c:ser>
          <c:idx val="3"/>
          <c:order val="3"/>
          <c:tx>
            <c:strRef>
              <c:f>Sales!$E$59</c:f>
              <c:strCache>
                <c:ptCount val="1"/>
                <c:pt idx="0">
                  <c:v>Flat</c:v>
                </c:pt>
              </c:strCache>
            </c:strRef>
          </c:tx>
          <c:spPr>
            <a:solidFill>
              <a:schemeClr val="accent4"/>
            </a:solidFill>
            <a:ln>
              <a:noFill/>
            </a:ln>
            <a:effectLst/>
          </c:spPr>
          <c:invertIfNegative val="0"/>
          <c:cat>
            <c:strRef>
              <c:f>Sales!$A$60:$A$73</c:f>
              <c:strCache>
                <c:ptCount val="14"/>
                <c:pt idx="0">
                  <c:v>Chichester</c:v>
                </c:pt>
                <c:pt idx="1">
                  <c:v>Arun</c:v>
                </c:pt>
                <c:pt idx="2">
                  <c:v>Cotswold</c:v>
                </c:pt>
                <c:pt idx="3">
                  <c:v>West Dorset</c:v>
                </c:pt>
                <c:pt idx="4">
                  <c:v>Harrogate</c:v>
                </c:pt>
                <c:pt idx="5">
                  <c:v>South Hams</c:v>
                </c:pt>
                <c:pt idx="6">
                  <c:v>Lewes</c:v>
                </c:pt>
                <c:pt idx="7">
                  <c:v>Havant</c:v>
                </c:pt>
                <c:pt idx="8">
                  <c:v>Horsham</c:v>
                </c:pt>
                <c:pt idx="9">
                  <c:v>Waverley</c:v>
                </c:pt>
                <c:pt idx="10">
                  <c:v>Chichester and Bognor HMA</c:v>
                </c:pt>
                <c:pt idx="11">
                  <c:v>West Sussex</c:v>
                </c:pt>
                <c:pt idx="12">
                  <c:v>South East</c:v>
                </c:pt>
                <c:pt idx="13">
                  <c:v>England and Wales</c:v>
                </c:pt>
              </c:strCache>
            </c:strRef>
          </c:cat>
          <c:val>
            <c:numRef>
              <c:f>Sales!$E$60:$E$73</c:f>
              <c:numCache>
                <c:formatCode>0%</c:formatCode>
                <c:ptCount val="14"/>
                <c:pt idx="0">
                  <c:v>0.15829257447754558</c:v>
                </c:pt>
                <c:pt idx="1">
                  <c:v>0.20041079812206572</c:v>
                </c:pt>
                <c:pt idx="2">
                  <c:v>0.11938721605916534</c:v>
                </c:pt>
                <c:pt idx="3">
                  <c:v>0.16666666666666666</c:v>
                </c:pt>
                <c:pt idx="4">
                  <c:v>0.14209868831980013</c:v>
                </c:pt>
                <c:pt idx="5">
                  <c:v>8.4761904761904761E-2</c:v>
                </c:pt>
                <c:pt idx="6">
                  <c:v>0.17771587743732589</c:v>
                </c:pt>
                <c:pt idx="7">
                  <c:v>0.16274509803921569</c:v>
                </c:pt>
                <c:pt idx="8">
                  <c:v>0.16007130124777183</c:v>
                </c:pt>
                <c:pt idx="9">
                  <c:v>0.20009178522257917</c:v>
                </c:pt>
                <c:pt idx="10">
                  <c:v>0.18366625419833835</c:v>
                </c:pt>
                <c:pt idx="11">
                  <c:v>0.21940979616671738</c:v>
                </c:pt>
                <c:pt idx="12">
                  <c:v>0.21278846456568964</c:v>
                </c:pt>
                <c:pt idx="13">
                  <c:v>0.17493214554918077</c:v>
                </c:pt>
              </c:numCache>
            </c:numRef>
          </c:val>
          <c:extLst xmlns:c16r2="http://schemas.microsoft.com/office/drawing/2015/06/chart">
            <c:ext xmlns:c16="http://schemas.microsoft.com/office/drawing/2014/chart" uri="{C3380CC4-5D6E-409C-BE32-E72D297353CC}">
              <c16:uniqueId val="{00000003-DA24-4551-A10C-592738770393}"/>
            </c:ext>
          </c:extLst>
        </c:ser>
        <c:ser>
          <c:idx val="4"/>
          <c:order val="4"/>
          <c:tx>
            <c:strRef>
              <c:f>Sales!$F$59</c:f>
              <c:strCache>
                <c:ptCount val="1"/>
                <c:pt idx="0">
                  <c:v>Other</c:v>
                </c:pt>
              </c:strCache>
            </c:strRef>
          </c:tx>
          <c:spPr>
            <a:solidFill>
              <a:schemeClr val="accent5"/>
            </a:solidFill>
            <a:ln>
              <a:noFill/>
            </a:ln>
            <a:effectLst/>
          </c:spPr>
          <c:invertIfNegative val="0"/>
          <c:cat>
            <c:strRef>
              <c:f>Sales!$A$60:$A$73</c:f>
              <c:strCache>
                <c:ptCount val="14"/>
                <c:pt idx="0">
                  <c:v>Chichester</c:v>
                </c:pt>
                <c:pt idx="1">
                  <c:v>Arun</c:v>
                </c:pt>
                <c:pt idx="2">
                  <c:v>Cotswold</c:v>
                </c:pt>
                <c:pt idx="3">
                  <c:v>West Dorset</c:v>
                </c:pt>
                <c:pt idx="4">
                  <c:v>Harrogate</c:v>
                </c:pt>
                <c:pt idx="5">
                  <c:v>South Hams</c:v>
                </c:pt>
                <c:pt idx="6">
                  <c:v>Lewes</c:v>
                </c:pt>
                <c:pt idx="7">
                  <c:v>Havant</c:v>
                </c:pt>
                <c:pt idx="8">
                  <c:v>Horsham</c:v>
                </c:pt>
                <c:pt idx="9">
                  <c:v>Waverley</c:v>
                </c:pt>
                <c:pt idx="10">
                  <c:v>Chichester and Bognor HMA</c:v>
                </c:pt>
                <c:pt idx="11">
                  <c:v>West Sussex</c:v>
                </c:pt>
                <c:pt idx="12">
                  <c:v>South East</c:v>
                </c:pt>
                <c:pt idx="13">
                  <c:v>England and Wales</c:v>
                </c:pt>
              </c:strCache>
            </c:strRef>
          </c:cat>
          <c:val>
            <c:numRef>
              <c:f>Sales!$F$60:$F$73</c:f>
              <c:numCache>
                <c:formatCode>0%</c:formatCode>
                <c:ptCount val="14"/>
                <c:pt idx="0">
                  <c:v>8.9817696754112941E-2</c:v>
                </c:pt>
                <c:pt idx="1">
                  <c:v>4.0492957746478875E-2</c:v>
                </c:pt>
                <c:pt idx="2">
                  <c:v>9.0861067089276285E-2</c:v>
                </c:pt>
                <c:pt idx="3">
                  <c:v>7.5046040515653778E-2</c:v>
                </c:pt>
                <c:pt idx="4">
                  <c:v>7.1830106183635223E-2</c:v>
                </c:pt>
                <c:pt idx="5">
                  <c:v>0.11428571428571428</c:v>
                </c:pt>
                <c:pt idx="6">
                  <c:v>9.1364902506963788E-2</c:v>
                </c:pt>
                <c:pt idx="7">
                  <c:v>3.3333333333333333E-2</c:v>
                </c:pt>
                <c:pt idx="8">
                  <c:v>8.5918003565062392E-2</c:v>
                </c:pt>
                <c:pt idx="9">
                  <c:v>7.5722808627810917E-2</c:v>
                </c:pt>
                <c:pt idx="10">
                  <c:v>6.0102527841612165E-2</c:v>
                </c:pt>
                <c:pt idx="11">
                  <c:v>5.7560085184058411E-2</c:v>
                </c:pt>
                <c:pt idx="12">
                  <c:v>5.893020180713409E-2</c:v>
                </c:pt>
                <c:pt idx="13">
                  <c:v>6.0729356094723505E-2</c:v>
                </c:pt>
              </c:numCache>
            </c:numRef>
          </c:val>
          <c:extLst xmlns:c16r2="http://schemas.microsoft.com/office/drawing/2015/06/chart">
            <c:ext xmlns:c16="http://schemas.microsoft.com/office/drawing/2014/chart" uri="{C3380CC4-5D6E-409C-BE32-E72D297353CC}">
              <c16:uniqueId val="{00000004-DA24-4551-A10C-592738770393}"/>
            </c:ext>
          </c:extLst>
        </c:ser>
        <c:dLbls>
          <c:showLegendKey val="0"/>
          <c:showVal val="0"/>
          <c:showCatName val="0"/>
          <c:showSerName val="0"/>
          <c:showPercent val="0"/>
          <c:showBubbleSize val="0"/>
        </c:dLbls>
        <c:gapWidth val="150"/>
        <c:overlap val="100"/>
        <c:axId val="282966656"/>
        <c:axId val="282984832"/>
      </c:barChart>
      <c:catAx>
        <c:axId val="28296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82984832"/>
        <c:crosses val="autoZero"/>
        <c:auto val="1"/>
        <c:lblAlgn val="ctr"/>
        <c:lblOffset val="100"/>
        <c:noMultiLvlLbl val="0"/>
      </c:catAx>
      <c:valAx>
        <c:axId val="28298483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282966656"/>
        <c:crosses val="autoZero"/>
        <c:crossBetween val="between"/>
      </c:valAx>
      <c:spPr>
        <a:noFill/>
        <a:ln>
          <a:noFill/>
        </a:ln>
        <a:effectLst/>
      </c:spPr>
    </c:plotArea>
    <c:legend>
      <c:legendPos val="b"/>
      <c:layout>
        <c:manualLayout>
          <c:xMode val="edge"/>
          <c:yMode val="edge"/>
          <c:x val="2.5098202616124818E-2"/>
          <c:y val="0.8711720737223172"/>
          <c:w val="0.55631630679814958"/>
          <c:h val="7.59062063217842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rot="-5400000" vert="horz"/>
    <a:lstStyle/>
    <a:p>
      <a:pPr>
        <a:defRPr sz="1200">
          <a:solidFill>
            <a:sysClr val="windowText" lastClr="000000"/>
          </a:solidFill>
          <a:latin typeface="Arial Narrow" panose="020B0606020202030204" pitchFamily="34" charset="0"/>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'BME by Tenure'!$B$70</c:f>
              <c:strCache>
                <c:ptCount val="1"/>
                <c:pt idx="0">
                  <c:v>Owned no Mortgage</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'BME by Tenure'!$A$71:$A$77</c:f>
              <c:strCache>
                <c:ptCount val="7"/>
                <c:pt idx="0">
                  <c:v>Total Population</c:v>
                </c:pt>
                <c:pt idx="1">
                  <c:v>White (British/Irish)</c:v>
                </c:pt>
                <c:pt idx="2">
                  <c:v>White - Other</c:v>
                </c:pt>
                <c:pt idx="3">
                  <c:v>Mixed</c:v>
                </c:pt>
                <c:pt idx="4">
                  <c:v>Asian or Asian British</c:v>
                </c:pt>
                <c:pt idx="5">
                  <c:v>Black or Black British</c:v>
                </c:pt>
                <c:pt idx="6">
                  <c:v>Chinese and other</c:v>
                </c:pt>
              </c:strCache>
            </c:strRef>
          </c:cat>
          <c:val>
            <c:numRef>
              <c:f>'BME by Tenure'!$B$71:$B$77</c:f>
              <c:numCache>
                <c:formatCode>0%</c:formatCode>
                <c:ptCount val="7"/>
                <c:pt idx="0">
                  <c:v>0.40543251484512921</c:v>
                </c:pt>
                <c:pt idx="1">
                  <c:v>0.41525370045820226</c:v>
                </c:pt>
                <c:pt idx="2">
                  <c:v>0.26415094339622641</c:v>
                </c:pt>
                <c:pt idx="3">
                  <c:v>0.20242914979757085</c:v>
                </c:pt>
                <c:pt idx="4">
                  <c:v>5.5299539170506916E-2</c:v>
                </c:pt>
                <c:pt idx="5">
                  <c:v>9.8901098901098897E-2</c:v>
                </c:pt>
                <c:pt idx="6">
                  <c:v>0.20873786407766989</c:v>
                </c:pt>
              </c:numCache>
            </c:numRef>
          </c:val>
          <c:extLst xmlns:c16r2="http://schemas.microsoft.com/office/drawing/2015/06/chart">
            <c:ext xmlns:c16="http://schemas.microsoft.com/office/drawing/2014/chart" uri="{C3380CC4-5D6E-409C-BE32-E72D297353CC}">
              <c16:uniqueId val="{00000000-C058-45BC-9C29-8C0B1D5AD72D}"/>
            </c:ext>
          </c:extLst>
        </c:ser>
        <c:ser>
          <c:idx val="1"/>
          <c:order val="1"/>
          <c:tx>
            <c:strRef>
              <c:f>'BME by Tenure'!$C$70</c:f>
              <c:strCache>
                <c:ptCount val="1"/>
                <c:pt idx="0">
                  <c:v>Owned: With Mortgage</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'BME by Tenure'!$A$71:$A$77</c:f>
              <c:strCache>
                <c:ptCount val="7"/>
                <c:pt idx="0">
                  <c:v>Total Population</c:v>
                </c:pt>
                <c:pt idx="1">
                  <c:v>White (British/Irish)</c:v>
                </c:pt>
                <c:pt idx="2">
                  <c:v>White - Other</c:v>
                </c:pt>
                <c:pt idx="3">
                  <c:v>Mixed</c:v>
                </c:pt>
                <c:pt idx="4">
                  <c:v>Asian or Asian British</c:v>
                </c:pt>
                <c:pt idx="5">
                  <c:v>Black or Black British</c:v>
                </c:pt>
                <c:pt idx="6">
                  <c:v>Chinese and other</c:v>
                </c:pt>
              </c:strCache>
            </c:strRef>
          </c:cat>
          <c:val>
            <c:numRef>
              <c:f>'BME by Tenure'!$C$71:$C$77</c:f>
              <c:numCache>
                <c:formatCode>0%</c:formatCode>
                <c:ptCount val="7"/>
                <c:pt idx="0">
                  <c:v>0.27535708554004173</c:v>
                </c:pt>
                <c:pt idx="1">
                  <c:v>0.27671614687810131</c:v>
                </c:pt>
                <c:pt idx="2">
                  <c:v>0.21663172606568834</c:v>
                </c:pt>
                <c:pt idx="3">
                  <c:v>0.24291497975708501</c:v>
                </c:pt>
                <c:pt idx="4">
                  <c:v>0.4009216589861751</c:v>
                </c:pt>
                <c:pt idx="5">
                  <c:v>0.21428571428571427</c:v>
                </c:pt>
                <c:pt idx="6">
                  <c:v>0.30339805825242716</c:v>
                </c:pt>
              </c:numCache>
            </c:numRef>
          </c:val>
          <c:extLst xmlns:c16r2="http://schemas.microsoft.com/office/drawing/2015/06/chart">
            <c:ext xmlns:c16="http://schemas.microsoft.com/office/drawing/2014/chart" uri="{C3380CC4-5D6E-409C-BE32-E72D297353CC}">
              <c16:uniqueId val="{00000001-C058-45BC-9C29-8C0B1D5AD72D}"/>
            </c:ext>
          </c:extLst>
        </c:ser>
        <c:ser>
          <c:idx val="2"/>
          <c:order val="2"/>
          <c:tx>
            <c:strRef>
              <c:f>'BME by Tenure'!$D$70</c:f>
              <c:strCache>
                <c:ptCount val="1"/>
                <c:pt idx="0">
                  <c:v>Social Rent</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'BME by Tenure'!$A$71:$A$77</c:f>
              <c:strCache>
                <c:ptCount val="7"/>
                <c:pt idx="0">
                  <c:v>Total Population</c:v>
                </c:pt>
                <c:pt idx="1">
                  <c:v>White (British/Irish)</c:v>
                </c:pt>
                <c:pt idx="2">
                  <c:v>White - Other</c:v>
                </c:pt>
                <c:pt idx="3">
                  <c:v>Mixed</c:v>
                </c:pt>
                <c:pt idx="4">
                  <c:v>Asian or Asian British</c:v>
                </c:pt>
                <c:pt idx="5">
                  <c:v>Black or Black British</c:v>
                </c:pt>
                <c:pt idx="6">
                  <c:v>Chinese and other</c:v>
                </c:pt>
              </c:strCache>
            </c:strRef>
          </c:cat>
          <c:val>
            <c:numRef>
              <c:f>'BME by Tenure'!$D$71:$D$77</c:f>
              <c:numCache>
                <c:formatCode>0%</c:formatCode>
                <c:ptCount val="7"/>
                <c:pt idx="0">
                  <c:v>0.1485917188252287</c:v>
                </c:pt>
                <c:pt idx="1">
                  <c:v>0.14966532232521801</c:v>
                </c:pt>
                <c:pt idx="2">
                  <c:v>0.1090146750524109</c:v>
                </c:pt>
                <c:pt idx="3">
                  <c:v>0.20647773279352227</c:v>
                </c:pt>
                <c:pt idx="4">
                  <c:v>0.10138248847926268</c:v>
                </c:pt>
                <c:pt idx="5">
                  <c:v>0.18131868131868131</c:v>
                </c:pt>
                <c:pt idx="6">
                  <c:v>0.13834951456310679</c:v>
                </c:pt>
              </c:numCache>
            </c:numRef>
          </c:val>
          <c:extLst xmlns:c16r2="http://schemas.microsoft.com/office/drawing/2015/06/chart">
            <c:ext xmlns:c16="http://schemas.microsoft.com/office/drawing/2014/chart" uri="{C3380CC4-5D6E-409C-BE32-E72D297353CC}">
              <c16:uniqueId val="{00000002-C058-45BC-9C29-8C0B1D5AD72D}"/>
            </c:ext>
          </c:extLst>
        </c:ser>
        <c:ser>
          <c:idx val="3"/>
          <c:order val="3"/>
          <c:tx>
            <c:strRef>
              <c:f>'BME by Tenure'!$E$70</c:f>
              <c:strCache>
                <c:ptCount val="1"/>
                <c:pt idx="0">
                  <c:v>Private Rent</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'BME by Tenure'!$A$71:$A$77</c:f>
              <c:strCache>
                <c:ptCount val="7"/>
                <c:pt idx="0">
                  <c:v>Total Population</c:v>
                </c:pt>
                <c:pt idx="1">
                  <c:v>White (British/Irish)</c:v>
                </c:pt>
                <c:pt idx="2">
                  <c:v>White - Other</c:v>
                </c:pt>
                <c:pt idx="3">
                  <c:v>Mixed</c:v>
                </c:pt>
                <c:pt idx="4">
                  <c:v>Asian or Asian British</c:v>
                </c:pt>
                <c:pt idx="5">
                  <c:v>Black or Black British</c:v>
                </c:pt>
                <c:pt idx="6">
                  <c:v>Chinese and other</c:v>
                </c:pt>
              </c:strCache>
            </c:strRef>
          </c:cat>
          <c:val>
            <c:numRef>
              <c:f>'BME by Tenure'!$E$71:$E$77</c:f>
              <c:numCache>
                <c:formatCode>0%</c:formatCode>
                <c:ptCount val="7"/>
                <c:pt idx="0">
                  <c:v>0.17061868078960038</c:v>
                </c:pt>
                <c:pt idx="1">
                  <c:v>0.15836483033847842</c:v>
                </c:pt>
                <c:pt idx="2">
                  <c:v>0.41020265548567436</c:v>
                </c:pt>
                <c:pt idx="3">
                  <c:v>0.34817813765182187</c:v>
                </c:pt>
                <c:pt idx="4">
                  <c:v>0.44239631336405533</c:v>
                </c:pt>
                <c:pt idx="5">
                  <c:v>0.50549450549450547</c:v>
                </c:pt>
                <c:pt idx="6">
                  <c:v>0.34951456310679613</c:v>
                </c:pt>
              </c:numCache>
            </c:numRef>
          </c:val>
          <c:extLst xmlns:c16r2="http://schemas.microsoft.com/office/drawing/2015/06/chart">
            <c:ext xmlns:c16="http://schemas.microsoft.com/office/drawing/2014/chart" uri="{C3380CC4-5D6E-409C-BE32-E72D297353CC}">
              <c16:uniqueId val="{00000003-C058-45BC-9C29-8C0B1D5AD72D}"/>
            </c:ext>
          </c:extLst>
        </c:ser>
        <c:dLbls>
          <c:dLblPos val="ctr"/>
          <c:showLegendKey val="0"/>
          <c:showVal val="1"/>
          <c:showCatName val="0"/>
          <c:showSerName val="0"/>
          <c:showPercent val="0"/>
          <c:showBubbleSize val="0"/>
        </c:dLbls>
        <c:gapWidth val="72"/>
        <c:overlap val="100"/>
        <c:axId val="284991488"/>
        <c:axId val="284993024"/>
      </c:barChart>
      <c:catAx>
        <c:axId val="284991488"/>
        <c:scaling>
          <c:orientation val="minMax"/>
        </c:scaling>
        <c:delete val="0"/>
        <c:axPos val="b"/>
        <c:numFmt formatCode="General" sourceLinked="0"/>
        <c:majorTickMark val="out"/>
        <c:minorTickMark val="none"/>
        <c:tickLblPos val="nextTo"/>
        <c:crossAx val="284993024"/>
        <c:crosses val="autoZero"/>
        <c:auto val="1"/>
        <c:lblAlgn val="ctr"/>
        <c:lblOffset val="100"/>
        <c:noMultiLvlLbl val="0"/>
      </c:catAx>
      <c:valAx>
        <c:axId val="284993024"/>
        <c:scaling>
          <c:orientation val="minMax"/>
        </c:scaling>
        <c:delete val="0"/>
        <c:axPos val="l"/>
        <c:majorGridlines/>
        <c:numFmt formatCode="0%" sourceLinked="1"/>
        <c:majorTickMark val="out"/>
        <c:minorTickMark val="none"/>
        <c:tickLblPos val="nextTo"/>
        <c:crossAx val="284991488"/>
        <c:crosses val="autoZero"/>
        <c:crossBetween val="between"/>
      </c:valAx>
    </c:plotArea>
    <c:legend>
      <c:legendPos val="b"/>
      <c:overlay val="0"/>
    </c:legend>
    <c:plotVisOnly val="1"/>
    <c:dispBlanksAs val="gap"/>
    <c:showDLblsOverMax val="0"/>
  </c:chart>
  <c:txPr>
    <a:bodyPr/>
    <a:lstStyle/>
    <a:p>
      <a:pPr>
        <a:defRPr sz="1100">
          <a:latin typeface="Arial Narrow" panose="020B0606020202030204" pitchFamily="34" charset="0"/>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'BME By Occupancy Rating'!$B$66</c:f>
              <c:strCache>
                <c:ptCount val="1"/>
                <c:pt idx="0">
                  <c:v>Under Occupied</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'BME By Occupancy Rating'!$A$67:$A$73</c:f>
              <c:strCache>
                <c:ptCount val="7"/>
                <c:pt idx="0">
                  <c:v>Total Population</c:v>
                </c:pt>
                <c:pt idx="1">
                  <c:v>White (British/Irish)</c:v>
                </c:pt>
                <c:pt idx="2">
                  <c:v>White - Other</c:v>
                </c:pt>
                <c:pt idx="3">
                  <c:v>Mixed</c:v>
                </c:pt>
                <c:pt idx="4">
                  <c:v>Asian or Asian British</c:v>
                </c:pt>
                <c:pt idx="5">
                  <c:v>Black or Black British</c:v>
                </c:pt>
                <c:pt idx="6">
                  <c:v>Chinese and other</c:v>
                </c:pt>
              </c:strCache>
            </c:strRef>
          </c:cat>
          <c:val>
            <c:numRef>
              <c:f>'BME By Occupancy Rating'!$B$67:$B$73</c:f>
              <c:numCache>
                <c:formatCode>0%</c:formatCode>
                <c:ptCount val="7"/>
                <c:pt idx="0">
                  <c:v>0.71727852612394782</c:v>
                </c:pt>
                <c:pt idx="1">
                  <c:v>0.72769889911429619</c:v>
                </c:pt>
                <c:pt idx="2">
                  <c:v>0.57349602724177073</c:v>
                </c:pt>
                <c:pt idx="3">
                  <c:v>0.58429118773946365</c:v>
                </c:pt>
                <c:pt idx="4">
                  <c:v>0.47438016528925619</c:v>
                </c:pt>
                <c:pt idx="5">
                  <c:v>0.50440528634361237</c:v>
                </c:pt>
                <c:pt idx="6">
                  <c:v>0.54136690647482011</c:v>
                </c:pt>
              </c:numCache>
            </c:numRef>
          </c:val>
          <c:extLst xmlns:c16r2="http://schemas.microsoft.com/office/drawing/2015/06/chart">
            <c:ext xmlns:c16="http://schemas.microsoft.com/office/drawing/2014/chart" uri="{C3380CC4-5D6E-409C-BE32-E72D297353CC}">
              <c16:uniqueId val="{00000000-15E2-473A-81DE-6F0A2E064EE1}"/>
            </c:ext>
          </c:extLst>
        </c:ser>
        <c:ser>
          <c:idx val="1"/>
          <c:order val="1"/>
          <c:tx>
            <c:strRef>
              <c:f>'BME By Occupancy Rating'!$C$66</c:f>
              <c:strCache>
                <c:ptCount val="1"/>
                <c:pt idx="0">
                  <c:v>Over Occupied</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'BME By Occupancy Rating'!$A$67:$A$73</c:f>
              <c:strCache>
                <c:ptCount val="7"/>
                <c:pt idx="0">
                  <c:v>Total Population</c:v>
                </c:pt>
                <c:pt idx="1">
                  <c:v>White (British/Irish)</c:v>
                </c:pt>
                <c:pt idx="2">
                  <c:v>White - Other</c:v>
                </c:pt>
                <c:pt idx="3">
                  <c:v>Mixed</c:v>
                </c:pt>
                <c:pt idx="4">
                  <c:v>Asian or Asian British</c:v>
                </c:pt>
                <c:pt idx="5">
                  <c:v>Black or Black British</c:v>
                </c:pt>
                <c:pt idx="6">
                  <c:v>Chinese and other</c:v>
                </c:pt>
              </c:strCache>
            </c:strRef>
          </c:cat>
          <c:val>
            <c:numRef>
              <c:f>'BME By Occupancy Rating'!$C$67:$C$73</c:f>
              <c:numCache>
                <c:formatCode>0%</c:formatCode>
                <c:ptCount val="7"/>
                <c:pt idx="0">
                  <c:v>4.288279184748775E-2</c:v>
                </c:pt>
                <c:pt idx="1">
                  <c:v>3.8886433937251434E-2</c:v>
                </c:pt>
                <c:pt idx="2">
                  <c:v>0.10527809307604995</c:v>
                </c:pt>
                <c:pt idx="3">
                  <c:v>7.7586206896551727E-2</c:v>
                </c:pt>
                <c:pt idx="4">
                  <c:v>0.16859504132231404</c:v>
                </c:pt>
                <c:pt idx="5">
                  <c:v>0.10792951541850221</c:v>
                </c:pt>
                <c:pt idx="6">
                  <c:v>9.172661870503597E-2</c:v>
                </c:pt>
              </c:numCache>
            </c:numRef>
          </c:val>
          <c:extLst xmlns:c16r2="http://schemas.microsoft.com/office/drawing/2015/06/chart">
            <c:ext xmlns:c16="http://schemas.microsoft.com/office/drawing/2014/chart" uri="{C3380CC4-5D6E-409C-BE32-E72D297353CC}">
              <c16:uniqueId val="{00000001-15E2-473A-81DE-6F0A2E064EE1}"/>
            </c:ext>
          </c:extLst>
        </c:ser>
        <c:dLbls>
          <c:dLblPos val="outEnd"/>
          <c:showLegendKey val="0"/>
          <c:showVal val="1"/>
          <c:showCatName val="0"/>
          <c:showSerName val="0"/>
          <c:showPercent val="0"/>
          <c:showBubbleSize val="0"/>
        </c:dLbls>
        <c:gapWidth val="150"/>
        <c:axId val="285015424"/>
        <c:axId val="285414528"/>
      </c:barChart>
      <c:catAx>
        <c:axId val="285015424"/>
        <c:scaling>
          <c:orientation val="minMax"/>
        </c:scaling>
        <c:delete val="0"/>
        <c:axPos val="b"/>
        <c:numFmt formatCode="General" sourceLinked="0"/>
        <c:majorTickMark val="out"/>
        <c:minorTickMark val="none"/>
        <c:tickLblPos val="nextTo"/>
        <c:crossAx val="285414528"/>
        <c:crosses val="autoZero"/>
        <c:auto val="1"/>
        <c:lblAlgn val="ctr"/>
        <c:lblOffset val="100"/>
        <c:noMultiLvlLbl val="0"/>
      </c:catAx>
      <c:valAx>
        <c:axId val="285414528"/>
        <c:scaling>
          <c:orientation val="minMax"/>
        </c:scaling>
        <c:delete val="0"/>
        <c:axPos val="l"/>
        <c:majorGridlines/>
        <c:numFmt formatCode="0%" sourceLinked="1"/>
        <c:majorTickMark val="out"/>
        <c:minorTickMark val="none"/>
        <c:tickLblPos val="nextTo"/>
        <c:crossAx val="285015424"/>
        <c:crosses val="autoZero"/>
        <c:crossBetween val="between"/>
      </c:valAx>
    </c:plotArea>
    <c:legend>
      <c:legendPos val="b"/>
      <c:overlay val="0"/>
    </c:legend>
    <c:plotVisOnly val="1"/>
    <c:dispBlanksAs val="gap"/>
    <c:showDLblsOverMax val="0"/>
  </c:chart>
  <c:txPr>
    <a:bodyPr/>
    <a:lstStyle/>
    <a:p>
      <a:pPr>
        <a:defRPr sz="1200">
          <a:latin typeface="Arial Narrow" panose="020B0606020202030204" pitchFamily="34" charset="0"/>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Sheet1!$A$11</c:f>
              <c:strCache>
                <c:ptCount val="1"/>
                <c:pt idx="0">
                  <c:v>Chichester </c:v>
                </c:pt>
              </c:strCache>
            </c:strRef>
          </c:tx>
          <c:spPr>
            <a:ln w="28575" cap="rnd">
              <a:solidFill>
                <a:schemeClr val="accent1"/>
              </a:solidFill>
              <a:round/>
            </a:ln>
            <a:effectLst/>
          </c:spPr>
          <c:marker>
            <c:symbol val="none"/>
          </c:marker>
          <c:cat>
            <c:strRef>
              <c:f>Sheet1!$B$10:$I$10</c:f>
              <c:strCache>
                <c:ptCount val="8"/>
                <c:pt idx="0">
                  <c:v>2010-11</c:v>
                </c:pt>
                <c:pt idx="1">
                  <c:v>2011-12</c:v>
                </c:pt>
                <c:pt idx="2">
                  <c:v>2012-13</c:v>
                </c:pt>
                <c:pt idx="3">
                  <c:v>2013-14</c:v>
                </c:pt>
                <c:pt idx="4">
                  <c:v>2014-15</c:v>
                </c:pt>
                <c:pt idx="5">
                  <c:v>2015-16</c:v>
                </c:pt>
                <c:pt idx="6">
                  <c:v>2016-17</c:v>
                </c:pt>
                <c:pt idx="7">
                  <c:v>2017-18</c:v>
                </c:pt>
              </c:strCache>
            </c:strRef>
          </c:cat>
          <c:val>
            <c:numRef>
              <c:f>Sheet1!$B$11:$I$11</c:f>
              <c:numCache>
                <c:formatCode>General</c:formatCode>
                <c:ptCount val="8"/>
                <c:pt idx="0">
                  <c:v>0.96</c:v>
                </c:pt>
                <c:pt idx="1">
                  <c:v>1.02</c:v>
                </c:pt>
                <c:pt idx="2">
                  <c:v>0.89</c:v>
                </c:pt>
                <c:pt idx="3">
                  <c:v>0.73</c:v>
                </c:pt>
                <c:pt idx="4">
                  <c:v>0.7</c:v>
                </c:pt>
                <c:pt idx="5">
                  <c:v>0.74</c:v>
                </c:pt>
                <c:pt idx="6">
                  <c:v>0.71</c:v>
                </c:pt>
                <c:pt idx="7">
                  <c:v>0.73</c:v>
                </c:pt>
              </c:numCache>
            </c:numRef>
          </c:val>
          <c:smooth val="0"/>
          <c:extLst xmlns:c16r2="http://schemas.microsoft.com/office/drawing/2015/06/chart">
            <c:ext xmlns:c16="http://schemas.microsoft.com/office/drawing/2014/chart" uri="{C3380CC4-5D6E-409C-BE32-E72D297353CC}">
              <c16:uniqueId val="{00000000-1663-4AFE-A3EC-85038392E024}"/>
            </c:ext>
          </c:extLst>
        </c:ser>
        <c:ser>
          <c:idx val="1"/>
          <c:order val="1"/>
          <c:tx>
            <c:strRef>
              <c:f>Sheet1!$A$12</c:f>
              <c:strCache>
                <c:ptCount val="1"/>
                <c:pt idx="0">
                  <c:v>England </c:v>
                </c:pt>
              </c:strCache>
            </c:strRef>
          </c:tx>
          <c:spPr>
            <a:ln w="28575" cap="rnd">
              <a:solidFill>
                <a:schemeClr val="accent2"/>
              </a:solidFill>
              <a:round/>
            </a:ln>
            <a:effectLst/>
          </c:spPr>
          <c:marker>
            <c:symbol val="none"/>
          </c:marker>
          <c:cat>
            <c:strRef>
              <c:f>Sheet1!$B$10:$I$10</c:f>
              <c:strCache>
                <c:ptCount val="8"/>
                <c:pt idx="0">
                  <c:v>2010-11</c:v>
                </c:pt>
                <c:pt idx="1">
                  <c:v>2011-12</c:v>
                </c:pt>
                <c:pt idx="2">
                  <c:v>2012-13</c:v>
                </c:pt>
                <c:pt idx="3">
                  <c:v>2013-14</c:v>
                </c:pt>
                <c:pt idx="4">
                  <c:v>2014-15</c:v>
                </c:pt>
                <c:pt idx="5">
                  <c:v>2015-16</c:v>
                </c:pt>
                <c:pt idx="6">
                  <c:v>2016-17</c:v>
                </c:pt>
                <c:pt idx="7">
                  <c:v>2017-18</c:v>
                </c:pt>
              </c:strCache>
            </c:strRef>
          </c:cat>
          <c:val>
            <c:numRef>
              <c:f>Sheet1!$B$12:$I$12</c:f>
              <c:numCache>
                <c:formatCode>General</c:formatCode>
                <c:ptCount val="8"/>
                <c:pt idx="0">
                  <c:v>2.0299999999999998</c:v>
                </c:pt>
                <c:pt idx="1">
                  <c:v>2.31</c:v>
                </c:pt>
                <c:pt idx="2">
                  <c:v>2.41</c:v>
                </c:pt>
                <c:pt idx="3">
                  <c:v>2.3199999999999998</c:v>
                </c:pt>
                <c:pt idx="4">
                  <c:v>2.4</c:v>
                </c:pt>
                <c:pt idx="5">
                  <c:v>2.52</c:v>
                </c:pt>
                <c:pt idx="6">
                  <c:v>2.54</c:v>
                </c:pt>
                <c:pt idx="7">
                  <c:v>2.41</c:v>
                </c:pt>
              </c:numCache>
            </c:numRef>
          </c:val>
          <c:smooth val="0"/>
          <c:extLst xmlns:c16r2="http://schemas.microsoft.com/office/drawing/2015/06/chart">
            <c:ext xmlns:c16="http://schemas.microsoft.com/office/drawing/2014/chart" uri="{C3380CC4-5D6E-409C-BE32-E72D297353CC}">
              <c16:uniqueId val="{00000001-1663-4AFE-A3EC-85038392E024}"/>
            </c:ext>
          </c:extLst>
        </c:ser>
        <c:dLbls>
          <c:showLegendKey val="0"/>
          <c:showVal val="0"/>
          <c:showCatName val="0"/>
          <c:showSerName val="0"/>
          <c:showPercent val="0"/>
          <c:showBubbleSize val="0"/>
        </c:dLbls>
        <c:marker val="1"/>
        <c:smooth val="0"/>
        <c:axId val="285436928"/>
        <c:axId val="285471488"/>
      </c:lineChart>
      <c:catAx>
        <c:axId val="285436928"/>
        <c:scaling>
          <c:orientation val="minMax"/>
        </c:scaling>
        <c:delete val="0"/>
        <c:axPos val="b"/>
        <c:numFmt formatCode="General" sourceLinked="1"/>
        <c:majorTickMark val="in"/>
        <c:minorTickMark val="in"/>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85471488"/>
        <c:crossesAt val="0"/>
        <c:auto val="1"/>
        <c:lblAlgn val="ctr"/>
        <c:lblOffset val="100"/>
        <c:noMultiLvlLbl val="0"/>
      </c:catAx>
      <c:valAx>
        <c:axId val="285471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GB"/>
                  <a:t>% Homeless or in Priorirty Need</a:t>
                </a:r>
              </a:p>
            </c:rich>
          </c:tx>
          <c:overlay val="0"/>
        </c:title>
        <c:numFmt formatCode="#,##0.0" sourceLinked="0"/>
        <c:majorTickMark val="none"/>
        <c:minorTickMark val="none"/>
        <c:tickLblPos val="nextTo"/>
        <c:spPr>
          <a:noFill/>
          <a:ln>
            <a:noFill/>
          </a:ln>
          <a:effectLst/>
        </c:spPr>
        <c:txPr>
          <a:bodyPr rot="-60000000" vert="horz"/>
          <a:lstStyle/>
          <a:p>
            <a:pPr>
              <a:defRPr/>
            </a:pPr>
            <a:endParaRPr lang="en-US"/>
          </a:p>
        </c:txPr>
        <c:crossAx val="285436928"/>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1200">
          <a:solidFill>
            <a:sysClr val="windowText" lastClr="000000"/>
          </a:solidFill>
          <a:latin typeface="Arial Narrow" panose="020B0606020202030204" pitchFamily="34" charset="0"/>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Data!$A$2</c:f>
              <c:strCache>
                <c:ptCount val="1"/>
                <c:pt idx="0">
                  <c:v>Office Floorspace Chichester</c:v>
                </c:pt>
              </c:strCache>
            </c:strRef>
          </c:tx>
          <c:spPr>
            <a:ln w="28575" cap="rnd">
              <a:solidFill>
                <a:schemeClr val="accent1"/>
              </a:solidFill>
              <a:round/>
            </a:ln>
            <a:effectLst/>
          </c:spPr>
          <c:marker>
            <c:symbol val="none"/>
          </c:marker>
          <c:cat>
            <c:strRef>
              <c:f>Data!$C$1:$U$1</c:f>
              <c:strCache>
                <c:ptCount val="19"/>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strCache>
            </c:strRef>
          </c:cat>
          <c:val>
            <c:numRef>
              <c:f>Data!$C$2:$U$2</c:f>
              <c:numCache>
                <c:formatCode>#,##0</c:formatCode>
                <c:ptCount val="19"/>
                <c:pt idx="0">
                  <c:v>113</c:v>
                </c:pt>
                <c:pt idx="1">
                  <c:v>113</c:v>
                </c:pt>
                <c:pt idx="2">
                  <c:v>120</c:v>
                </c:pt>
                <c:pt idx="3">
                  <c:v>102</c:v>
                </c:pt>
                <c:pt idx="4">
                  <c:v>105</c:v>
                </c:pt>
                <c:pt idx="5">
                  <c:v>97</c:v>
                </c:pt>
                <c:pt idx="6">
                  <c:v>96</c:v>
                </c:pt>
                <c:pt idx="7">
                  <c:v>97</c:v>
                </c:pt>
                <c:pt idx="8">
                  <c:v>99</c:v>
                </c:pt>
                <c:pt idx="9">
                  <c:v>96</c:v>
                </c:pt>
                <c:pt idx="10">
                  <c:v>97</c:v>
                </c:pt>
                <c:pt idx="11">
                  <c:v>98</c:v>
                </c:pt>
                <c:pt idx="12">
                  <c:v>98</c:v>
                </c:pt>
                <c:pt idx="13">
                  <c:v>101</c:v>
                </c:pt>
                <c:pt idx="14">
                  <c:v>105</c:v>
                </c:pt>
                <c:pt idx="15">
                  <c:v>104</c:v>
                </c:pt>
                <c:pt idx="16">
                  <c:v>103</c:v>
                </c:pt>
                <c:pt idx="17">
                  <c:v>103</c:v>
                </c:pt>
                <c:pt idx="18">
                  <c:v>101</c:v>
                </c:pt>
              </c:numCache>
            </c:numRef>
          </c:val>
          <c:smooth val="0"/>
          <c:extLst xmlns:c16r2="http://schemas.microsoft.com/office/drawing/2015/06/chart">
            <c:ext xmlns:c16="http://schemas.microsoft.com/office/drawing/2014/chart" uri="{C3380CC4-5D6E-409C-BE32-E72D297353CC}">
              <c16:uniqueId val="{00000000-1654-42C0-82F7-896D90951330}"/>
            </c:ext>
          </c:extLst>
        </c:ser>
        <c:dLbls>
          <c:showLegendKey val="0"/>
          <c:showVal val="0"/>
          <c:showCatName val="0"/>
          <c:showSerName val="0"/>
          <c:showPercent val="0"/>
          <c:showBubbleSize val="0"/>
        </c:dLbls>
        <c:marker val="1"/>
        <c:smooth val="0"/>
        <c:axId val="285538560"/>
        <c:axId val="290193792"/>
        <c:extLst xmlns:c16r2="http://schemas.microsoft.com/office/drawing/2015/06/chart">
          <c:ext xmlns:c15="http://schemas.microsoft.com/office/drawing/2012/chart" uri="{02D57815-91ED-43cb-92C2-25804820EDAC}">
            <c15:filteredLineSeries>
              <c15:ser>
                <c:idx val="1"/>
                <c:order val="1"/>
                <c:tx>
                  <c:strRef>
                    <c:extLst>
                      <c:ext uri="{02D57815-91ED-43cb-92C2-25804820EDAC}">
                        <c15:formulaRef>
                          <c15:sqref>Data!$A$3</c15:sqref>
                        </c15:formulaRef>
                      </c:ext>
                    </c:extLst>
                    <c:strCache>
                      <c:ptCount val="1"/>
                      <c:pt idx="0">
                        <c:v>Industrial Floorspace Chichister</c:v>
                      </c:pt>
                    </c:strCache>
                  </c:strRef>
                </c:tx>
                <c:spPr>
                  <a:ln w="28575" cap="rnd">
                    <a:solidFill>
                      <a:schemeClr val="accent2"/>
                    </a:solidFill>
                    <a:round/>
                  </a:ln>
                  <a:effectLst/>
                </c:spPr>
                <c:marker>
                  <c:symbol val="none"/>
                </c:marker>
                <c:cat>
                  <c:strRef>
                    <c:extLst>
                      <c:ext uri="{02D57815-91ED-43cb-92C2-25804820EDAC}">
                        <c15:formulaRef>
                          <c15:sqref>Data!$C$1:$U$1</c15:sqref>
                        </c15:formulaRef>
                      </c:ext>
                    </c:extLst>
                    <c:strCache>
                      <c:ptCount val="19"/>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strCache>
                  </c:strRef>
                </c:cat>
                <c:val>
                  <c:numRef>
                    <c:extLst>
                      <c:ext uri="{02D57815-91ED-43cb-92C2-25804820EDAC}">
                        <c15:formulaRef>
                          <c15:sqref>Data!$C$3:$U$3</c15:sqref>
                        </c15:formulaRef>
                      </c:ext>
                    </c:extLst>
                    <c:numCache>
                      <c:formatCode>#,##0</c:formatCode>
                      <c:ptCount val="19"/>
                      <c:pt idx="0">
                        <c:v>386</c:v>
                      </c:pt>
                      <c:pt idx="1">
                        <c:v>378</c:v>
                      </c:pt>
                      <c:pt idx="2">
                        <c:v>435</c:v>
                      </c:pt>
                      <c:pt idx="3">
                        <c:v>437</c:v>
                      </c:pt>
                      <c:pt idx="4">
                        <c:v>441</c:v>
                      </c:pt>
                      <c:pt idx="5">
                        <c:v>446</c:v>
                      </c:pt>
                      <c:pt idx="6">
                        <c:v>455</c:v>
                      </c:pt>
                      <c:pt idx="7">
                        <c:v>460</c:v>
                      </c:pt>
                      <c:pt idx="8">
                        <c:v>460</c:v>
                      </c:pt>
                      <c:pt idx="9">
                        <c:v>455</c:v>
                      </c:pt>
                      <c:pt idx="10">
                        <c:v>474</c:v>
                      </c:pt>
                      <c:pt idx="11">
                        <c:v>472</c:v>
                      </c:pt>
                      <c:pt idx="12">
                        <c:v>483</c:v>
                      </c:pt>
                      <c:pt idx="13">
                        <c:v>493</c:v>
                      </c:pt>
                      <c:pt idx="14">
                        <c:v>498</c:v>
                      </c:pt>
                      <c:pt idx="15">
                        <c:v>496</c:v>
                      </c:pt>
                      <c:pt idx="16">
                        <c:v>497</c:v>
                      </c:pt>
                      <c:pt idx="17">
                        <c:v>507</c:v>
                      </c:pt>
                      <c:pt idx="18">
                        <c:v>509</c:v>
                      </c:pt>
                    </c:numCache>
                  </c:numRef>
                </c:val>
                <c:smooth val="0"/>
                <c:extLst>
                  <c:ext xmlns:c16="http://schemas.microsoft.com/office/drawing/2014/chart" uri="{C3380CC4-5D6E-409C-BE32-E72D297353CC}">
                    <c16:uniqueId val="{00000001-1654-42C0-82F7-896D90951330}"/>
                  </c:ext>
                </c:extLst>
              </c15:ser>
            </c15:filteredLineSeries>
          </c:ext>
        </c:extLst>
      </c:lineChart>
      <c:catAx>
        <c:axId val="285538560"/>
        <c:scaling>
          <c:orientation val="minMax"/>
        </c:scaling>
        <c:delete val="0"/>
        <c:axPos val="b"/>
        <c:title>
          <c:tx>
            <c:rich>
              <a:bodyPr rot="0" vert="horz"/>
              <a:lstStyle/>
              <a:p>
                <a:pPr>
                  <a:defRPr/>
                </a:pPr>
                <a:r>
                  <a:rPr lang="en-GB"/>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90193792"/>
        <c:crosses val="autoZero"/>
        <c:auto val="1"/>
        <c:lblAlgn val="ctr"/>
        <c:lblOffset val="100"/>
        <c:noMultiLvlLbl val="0"/>
      </c:catAx>
      <c:valAx>
        <c:axId val="290193792"/>
        <c:scaling>
          <c:orientation val="minMax"/>
          <c:min val="8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GB"/>
                  <a:t>sqm ('000s)</a:t>
                </a:r>
              </a:p>
            </c:rich>
          </c:tx>
          <c:overlay val="0"/>
          <c:spPr>
            <a:noFill/>
            <a:ln>
              <a:noFill/>
            </a:ln>
            <a:effectLst/>
          </c:spPr>
        </c:title>
        <c:numFmt formatCode="#,##0" sourceLinked="1"/>
        <c:majorTickMark val="none"/>
        <c:minorTickMark val="none"/>
        <c:tickLblPos val="nextTo"/>
        <c:spPr>
          <a:noFill/>
          <a:ln>
            <a:noFill/>
          </a:ln>
          <a:effectLst/>
        </c:spPr>
        <c:txPr>
          <a:bodyPr rot="-60000000" vert="horz"/>
          <a:lstStyle/>
          <a:p>
            <a:pPr>
              <a:defRPr/>
            </a:pPr>
            <a:endParaRPr lang="en-US"/>
          </a:p>
        </c:txPr>
        <c:crossAx val="2855385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Sheet2!$D$3</c:f>
              <c:strCache>
                <c:ptCount val="1"/>
                <c:pt idx="0">
                  <c:v>2007</c:v>
                </c:pt>
              </c:strCache>
            </c:strRef>
          </c:tx>
          <c:invertIfNegative val="0"/>
          <c:cat>
            <c:strRef>
              <c:f>Sheet2!$A$4:$A$8</c:f>
              <c:strCache>
                <c:ptCount val="5"/>
                <c:pt idx="0">
                  <c:v>Chichester City</c:v>
                </c:pt>
                <c:pt idx="1">
                  <c:v>East-West Corridor</c:v>
                </c:pt>
                <c:pt idx="2">
                  <c:v>Manhood Peninsula</c:v>
                </c:pt>
                <c:pt idx="3">
                  <c:v>Plan Area North</c:v>
                </c:pt>
                <c:pt idx="4">
                  <c:v>SDNP</c:v>
                </c:pt>
              </c:strCache>
            </c:strRef>
          </c:cat>
          <c:val>
            <c:numRef>
              <c:f>Sheet2!$D$4:$D$8</c:f>
              <c:numCache>
                <c:formatCode>General</c:formatCode>
                <c:ptCount val="5"/>
                <c:pt idx="0">
                  <c:v>13</c:v>
                </c:pt>
                <c:pt idx="1">
                  <c:v>1</c:v>
                </c:pt>
                <c:pt idx="2">
                  <c:v>3</c:v>
                </c:pt>
                <c:pt idx="3">
                  <c:v>0</c:v>
                </c:pt>
                <c:pt idx="4">
                  <c:v>2</c:v>
                </c:pt>
              </c:numCache>
            </c:numRef>
          </c:val>
          <c:extLst xmlns:c16r2="http://schemas.microsoft.com/office/drawing/2015/06/chart">
            <c:ext xmlns:c16="http://schemas.microsoft.com/office/drawing/2014/chart" uri="{C3380CC4-5D6E-409C-BE32-E72D297353CC}">
              <c16:uniqueId val="{00000000-800C-4AA3-9035-D10F2CC1F002}"/>
            </c:ext>
          </c:extLst>
        </c:ser>
        <c:ser>
          <c:idx val="1"/>
          <c:order val="1"/>
          <c:tx>
            <c:strRef>
              <c:f>Sheet2!$E$3</c:f>
              <c:strCache>
                <c:ptCount val="1"/>
                <c:pt idx="0">
                  <c:v>2008</c:v>
                </c:pt>
              </c:strCache>
            </c:strRef>
          </c:tx>
          <c:invertIfNegative val="0"/>
          <c:cat>
            <c:strRef>
              <c:f>Sheet2!$A$4:$A$8</c:f>
              <c:strCache>
                <c:ptCount val="5"/>
                <c:pt idx="0">
                  <c:v>Chichester City</c:v>
                </c:pt>
                <c:pt idx="1">
                  <c:v>East-West Corridor</c:v>
                </c:pt>
                <c:pt idx="2">
                  <c:v>Manhood Peninsula</c:v>
                </c:pt>
                <c:pt idx="3">
                  <c:v>Plan Area North</c:v>
                </c:pt>
                <c:pt idx="4">
                  <c:v>SDNP</c:v>
                </c:pt>
              </c:strCache>
            </c:strRef>
          </c:cat>
          <c:val>
            <c:numRef>
              <c:f>Sheet2!$E$4:$E$8</c:f>
              <c:numCache>
                <c:formatCode>General</c:formatCode>
                <c:ptCount val="5"/>
                <c:pt idx="0">
                  <c:v>5</c:v>
                </c:pt>
                <c:pt idx="1">
                  <c:v>4</c:v>
                </c:pt>
                <c:pt idx="2">
                  <c:v>2</c:v>
                </c:pt>
                <c:pt idx="3">
                  <c:v>0</c:v>
                </c:pt>
                <c:pt idx="4">
                  <c:v>2</c:v>
                </c:pt>
              </c:numCache>
            </c:numRef>
          </c:val>
          <c:extLst xmlns:c16r2="http://schemas.microsoft.com/office/drawing/2015/06/chart">
            <c:ext xmlns:c16="http://schemas.microsoft.com/office/drawing/2014/chart" uri="{C3380CC4-5D6E-409C-BE32-E72D297353CC}">
              <c16:uniqueId val="{00000001-800C-4AA3-9035-D10F2CC1F002}"/>
            </c:ext>
          </c:extLst>
        </c:ser>
        <c:ser>
          <c:idx val="2"/>
          <c:order val="2"/>
          <c:tx>
            <c:strRef>
              <c:f>Sheet2!$F$3</c:f>
              <c:strCache>
                <c:ptCount val="1"/>
                <c:pt idx="0">
                  <c:v>2009</c:v>
                </c:pt>
              </c:strCache>
            </c:strRef>
          </c:tx>
          <c:invertIfNegative val="0"/>
          <c:cat>
            <c:strRef>
              <c:f>Sheet2!$A$4:$A$8</c:f>
              <c:strCache>
                <c:ptCount val="5"/>
                <c:pt idx="0">
                  <c:v>Chichester City</c:v>
                </c:pt>
                <c:pt idx="1">
                  <c:v>East-West Corridor</c:v>
                </c:pt>
                <c:pt idx="2">
                  <c:v>Manhood Peninsula</c:v>
                </c:pt>
                <c:pt idx="3">
                  <c:v>Plan Area North</c:v>
                </c:pt>
                <c:pt idx="4">
                  <c:v>SDNP</c:v>
                </c:pt>
              </c:strCache>
            </c:strRef>
          </c:cat>
          <c:val>
            <c:numRef>
              <c:f>Sheet2!$F$4:$F$8</c:f>
              <c:numCache>
                <c:formatCode>General</c:formatCode>
                <c:ptCount val="5"/>
                <c:pt idx="0">
                  <c:v>17</c:v>
                </c:pt>
                <c:pt idx="1">
                  <c:v>3</c:v>
                </c:pt>
                <c:pt idx="2">
                  <c:v>5</c:v>
                </c:pt>
                <c:pt idx="3">
                  <c:v>0</c:v>
                </c:pt>
                <c:pt idx="4">
                  <c:v>2</c:v>
                </c:pt>
              </c:numCache>
            </c:numRef>
          </c:val>
          <c:extLst xmlns:c16r2="http://schemas.microsoft.com/office/drawing/2015/06/chart">
            <c:ext xmlns:c16="http://schemas.microsoft.com/office/drawing/2014/chart" uri="{C3380CC4-5D6E-409C-BE32-E72D297353CC}">
              <c16:uniqueId val="{00000002-800C-4AA3-9035-D10F2CC1F002}"/>
            </c:ext>
          </c:extLst>
        </c:ser>
        <c:ser>
          <c:idx val="3"/>
          <c:order val="3"/>
          <c:tx>
            <c:strRef>
              <c:f>Sheet2!$G$3</c:f>
              <c:strCache>
                <c:ptCount val="1"/>
                <c:pt idx="0">
                  <c:v>2010</c:v>
                </c:pt>
              </c:strCache>
            </c:strRef>
          </c:tx>
          <c:invertIfNegative val="0"/>
          <c:cat>
            <c:strRef>
              <c:f>Sheet2!$A$4:$A$8</c:f>
              <c:strCache>
                <c:ptCount val="5"/>
                <c:pt idx="0">
                  <c:v>Chichester City</c:v>
                </c:pt>
                <c:pt idx="1">
                  <c:v>East-West Corridor</c:v>
                </c:pt>
                <c:pt idx="2">
                  <c:v>Manhood Peninsula</c:v>
                </c:pt>
                <c:pt idx="3">
                  <c:v>Plan Area North</c:v>
                </c:pt>
                <c:pt idx="4">
                  <c:v>SDNP</c:v>
                </c:pt>
              </c:strCache>
            </c:strRef>
          </c:cat>
          <c:val>
            <c:numRef>
              <c:f>Sheet2!$G$4:$G$8</c:f>
              <c:numCache>
                <c:formatCode>General</c:formatCode>
                <c:ptCount val="5"/>
                <c:pt idx="0">
                  <c:v>10</c:v>
                </c:pt>
                <c:pt idx="1">
                  <c:v>3</c:v>
                </c:pt>
                <c:pt idx="2">
                  <c:v>1</c:v>
                </c:pt>
                <c:pt idx="3">
                  <c:v>0</c:v>
                </c:pt>
                <c:pt idx="4">
                  <c:v>1</c:v>
                </c:pt>
              </c:numCache>
            </c:numRef>
          </c:val>
          <c:extLst xmlns:c16r2="http://schemas.microsoft.com/office/drawing/2015/06/chart">
            <c:ext xmlns:c16="http://schemas.microsoft.com/office/drawing/2014/chart" uri="{C3380CC4-5D6E-409C-BE32-E72D297353CC}">
              <c16:uniqueId val="{00000003-800C-4AA3-9035-D10F2CC1F002}"/>
            </c:ext>
          </c:extLst>
        </c:ser>
        <c:ser>
          <c:idx val="4"/>
          <c:order val="4"/>
          <c:tx>
            <c:strRef>
              <c:f>Sheet2!$H$3</c:f>
              <c:strCache>
                <c:ptCount val="1"/>
                <c:pt idx="0">
                  <c:v>2011</c:v>
                </c:pt>
              </c:strCache>
            </c:strRef>
          </c:tx>
          <c:invertIfNegative val="0"/>
          <c:cat>
            <c:strRef>
              <c:f>Sheet2!$A$4:$A$8</c:f>
              <c:strCache>
                <c:ptCount val="5"/>
                <c:pt idx="0">
                  <c:v>Chichester City</c:v>
                </c:pt>
                <c:pt idx="1">
                  <c:v>East-West Corridor</c:v>
                </c:pt>
                <c:pt idx="2">
                  <c:v>Manhood Peninsula</c:v>
                </c:pt>
                <c:pt idx="3">
                  <c:v>Plan Area North</c:v>
                </c:pt>
                <c:pt idx="4">
                  <c:v>SDNP</c:v>
                </c:pt>
              </c:strCache>
            </c:strRef>
          </c:cat>
          <c:val>
            <c:numRef>
              <c:f>Sheet2!$H$4:$H$8</c:f>
              <c:numCache>
                <c:formatCode>General</c:formatCode>
                <c:ptCount val="5"/>
                <c:pt idx="0">
                  <c:v>17</c:v>
                </c:pt>
                <c:pt idx="1">
                  <c:v>6</c:v>
                </c:pt>
                <c:pt idx="2">
                  <c:v>0</c:v>
                </c:pt>
                <c:pt idx="3">
                  <c:v>0</c:v>
                </c:pt>
                <c:pt idx="4">
                  <c:v>7</c:v>
                </c:pt>
              </c:numCache>
            </c:numRef>
          </c:val>
          <c:extLst xmlns:c16r2="http://schemas.microsoft.com/office/drawing/2015/06/chart">
            <c:ext xmlns:c16="http://schemas.microsoft.com/office/drawing/2014/chart" uri="{C3380CC4-5D6E-409C-BE32-E72D297353CC}">
              <c16:uniqueId val="{00000004-800C-4AA3-9035-D10F2CC1F002}"/>
            </c:ext>
          </c:extLst>
        </c:ser>
        <c:ser>
          <c:idx val="5"/>
          <c:order val="5"/>
          <c:tx>
            <c:strRef>
              <c:f>Sheet2!$I$3</c:f>
              <c:strCache>
                <c:ptCount val="1"/>
                <c:pt idx="0">
                  <c:v>2012</c:v>
                </c:pt>
              </c:strCache>
            </c:strRef>
          </c:tx>
          <c:invertIfNegative val="0"/>
          <c:cat>
            <c:strRef>
              <c:f>Sheet2!$A$4:$A$8</c:f>
              <c:strCache>
                <c:ptCount val="5"/>
                <c:pt idx="0">
                  <c:v>Chichester City</c:v>
                </c:pt>
                <c:pt idx="1">
                  <c:v>East-West Corridor</c:v>
                </c:pt>
                <c:pt idx="2">
                  <c:v>Manhood Peninsula</c:v>
                </c:pt>
                <c:pt idx="3">
                  <c:v>Plan Area North</c:v>
                </c:pt>
                <c:pt idx="4">
                  <c:v>SDNP</c:v>
                </c:pt>
              </c:strCache>
            </c:strRef>
          </c:cat>
          <c:val>
            <c:numRef>
              <c:f>Sheet2!$I$4:$I$8</c:f>
              <c:numCache>
                <c:formatCode>General</c:formatCode>
                <c:ptCount val="5"/>
                <c:pt idx="0">
                  <c:v>29</c:v>
                </c:pt>
                <c:pt idx="1">
                  <c:v>3</c:v>
                </c:pt>
                <c:pt idx="2">
                  <c:v>7</c:v>
                </c:pt>
                <c:pt idx="3">
                  <c:v>0</c:v>
                </c:pt>
                <c:pt idx="4">
                  <c:v>8</c:v>
                </c:pt>
              </c:numCache>
            </c:numRef>
          </c:val>
          <c:extLst xmlns:c16r2="http://schemas.microsoft.com/office/drawing/2015/06/chart">
            <c:ext xmlns:c16="http://schemas.microsoft.com/office/drawing/2014/chart" uri="{C3380CC4-5D6E-409C-BE32-E72D297353CC}">
              <c16:uniqueId val="{00000005-800C-4AA3-9035-D10F2CC1F002}"/>
            </c:ext>
          </c:extLst>
        </c:ser>
        <c:ser>
          <c:idx val="6"/>
          <c:order val="6"/>
          <c:tx>
            <c:strRef>
              <c:f>Sheet2!$J$3</c:f>
              <c:strCache>
                <c:ptCount val="1"/>
                <c:pt idx="0">
                  <c:v>2013</c:v>
                </c:pt>
              </c:strCache>
            </c:strRef>
          </c:tx>
          <c:invertIfNegative val="0"/>
          <c:cat>
            <c:strRef>
              <c:f>Sheet2!$A$4:$A$8</c:f>
              <c:strCache>
                <c:ptCount val="5"/>
                <c:pt idx="0">
                  <c:v>Chichester City</c:v>
                </c:pt>
                <c:pt idx="1">
                  <c:v>East-West Corridor</c:v>
                </c:pt>
                <c:pt idx="2">
                  <c:v>Manhood Peninsula</c:v>
                </c:pt>
                <c:pt idx="3">
                  <c:v>Plan Area North</c:v>
                </c:pt>
                <c:pt idx="4">
                  <c:v>SDNP</c:v>
                </c:pt>
              </c:strCache>
            </c:strRef>
          </c:cat>
          <c:val>
            <c:numRef>
              <c:f>Sheet2!$J$4:$J$8</c:f>
              <c:numCache>
                <c:formatCode>General</c:formatCode>
                <c:ptCount val="5"/>
                <c:pt idx="0">
                  <c:v>24</c:v>
                </c:pt>
                <c:pt idx="1">
                  <c:v>7</c:v>
                </c:pt>
                <c:pt idx="2">
                  <c:v>12</c:v>
                </c:pt>
                <c:pt idx="3">
                  <c:v>0</c:v>
                </c:pt>
                <c:pt idx="4">
                  <c:v>6</c:v>
                </c:pt>
              </c:numCache>
            </c:numRef>
          </c:val>
          <c:extLst xmlns:c16r2="http://schemas.microsoft.com/office/drawing/2015/06/chart">
            <c:ext xmlns:c16="http://schemas.microsoft.com/office/drawing/2014/chart" uri="{C3380CC4-5D6E-409C-BE32-E72D297353CC}">
              <c16:uniqueId val="{00000006-800C-4AA3-9035-D10F2CC1F002}"/>
            </c:ext>
          </c:extLst>
        </c:ser>
        <c:ser>
          <c:idx val="7"/>
          <c:order val="7"/>
          <c:tx>
            <c:strRef>
              <c:f>Sheet2!$K$3</c:f>
              <c:strCache>
                <c:ptCount val="1"/>
                <c:pt idx="0">
                  <c:v>2014</c:v>
                </c:pt>
              </c:strCache>
            </c:strRef>
          </c:tx>
          <c:invertIfNegative val="0"/>
          <c:cat>
            <c:strRef>
              <c:f>Sheet2!$A$4:$A$8</c:f>
              <c:strCache>
                <c:ptCount val="5"/>
                <c:pt idx="0">
                  <c:v>Chichester City</c:v>
                </c:pt>
                <c:pt idx="1">
                  <c:v>East-West Corridor</c:v>
                </c:pt>
                <c:pt idx="2">
                  <c:v>Manhood Peninsula</c:v>
                </c:pt>
                <c:pt idx="3">
                  <c:v>Plan Area North</c:v>
                </c:pt>
                <c:pt idx="4">
                  <c:v>SDNP</c:v>
                </c:pt>
              </c:strCache>
            </c:strRef>
          </c:cat>
          <c:val>
            <c:numRef>
              <c:f>Sheet2!$K$4:$K$8</c:f>
              <c:numCache>
                <c:formatCode>General</c:formatCode>
                <c:ptCount val="5"/>
                <c:pt idx="0">
                  <c:v>22</c:v>
                </c:pt>
                <c:pt idx="1">
                  <c:v>4</c:v>
                </c:pt>
                <c:pt idx="2">
                  <c:v>9</c:v>
                </c:pt>
                <c:pt idx="3">
                  <c:v>0</c:v>
                </c:pt>
                <c:pt idx="4">
                  <c:v>19</c:v>
                </c:pt>
              </c:numCache>
            </c:numRef>
          </c:val>
          <c:extLst xmlns:c16r2="http://schemas.microsoft.com/office/drawing/2015/06/chart">
            <c:ext xmlns:c16="http://schemas.microsoft.com/office/drawing/2014/chart" uri="{C3380CC4-5D6E-409C-BE32-E72D297353CC}">
              <c16:uniqueId val="{00000007-800C-4AA3-9035-D10F2CC1F002}"/>
            </c:ext>
          </c:extLst>
        </c:ser>
        <c:ser>
          <c:idx val="8"/>
          <c:order val="8"/>
          <c:tx>
            <c:strRef>
              <c:f>Sheet2!$L$3</c:f>
              <c:strCache>
                <c:ptCount val="1"/>
                <c:pt idx="0">
                  <c:v>2015</c:v>
                </c:pt>
              </c:strCache>
            </c:strRef>
          </c:tx>
          <c:invertIfNegative val="0"/>
          <c:cat>
            <c:strRef>
              <c:f>Sheet2!$A$4:$A$8</c:f>
              <c:strCache>
                <c:ptCount val="5"/>
                <c:pt idx="0">
                  <c:v>Chichester City</c:v>
                </c:pt>
                <c:pt idx="1">
                  <c:v>East-West Corridor</c:v>
                </c:pt>
                <c:pt idx="2">
                  <c:v>Manhood Peninsula</c:v>
                </c:pt>
                <c:pt idx="3">
                  <c:v>Plan Area North</c:v>
                </c:pt>
                <c:pt idx="4">
                  <c:v>SDNP</c:v>
                </c:pt>
              </c:strCache>
            </c:strRef>
          </c:cat>
          <c:val>
            <c:numRef>
              <c:f>Sheet2!$L$4:$L$8</c:f>
              <c:numCache>
                <c:formatCode>General</c:formatCode>
                <c:ptCount val="5"/>
                <c:pt idx="0">
                  <c:v>15</c:v>
                </c:pt>
                <c:pt idx="1">
                  <c:v>9</c:v>
                </c:pt>
                <c:pt idx="2">
                  <c:v>11</c:v>
                </c:pt>
                <c:pt idx="3">
                  <c:v>0</c:v>
                </c:pt>
                <c:pt idx="4">
                  <c:v>12</c:v>
                </c:pt>
              </c:numCache>
            </c:numRef>
          </c:val>
          <c:extLst xmlns:c16r2="http://schemas.microsoft.com/office/drawing/2015/06/chart">
            <c:ext xmlns:c16="http://schemas.microsoft.com/office/drawing/2014/chart" uri="{C3380CC4-5D6E-409C-BE32-E72D297353CC}">
              <c16:uniqueId val="{00000008-800C-4AA3-9035-D10F2CC1F002}"/>
            </c:ext>
          </c:extLst>
        </c:ser>
        <c:ser>
          <c:idx val="9"/>
          <c:order val="9"/>
          <c:tx>
            <c:strRef>
              <c:f>Sheet2!$M$3</c:f>
              <c:strCache>
                <c:ptCount val="1"/>
                <c:pt idx="0">
                  <c:v>2016</c:v>
                </c:pt>
              </c:strCache>
            </c:strRef>
          </c:tx>
          <c:invertIfNegative val="0"/>
          <c:cat>
            <c:strRef>
              <c:f>Sheet2!$A$4:$A$8</c:f>
              <c:strCache>
                <c:ptCount val="5"/>
                <c:pt idx="0">
                  <c:v>Chichester City</c:v>
                </c:pt>
                <c:pt idx="1">
                  <c:v>East-West Corridor</c:v>
                </c:pt>
                <c:pt idx="2">
                  <c:v>Manhood Peninsula</c:v>
                </c:pt>
                <c:pt idx="3">
                  <c:v>Plan Area North</c:v>
                </c:pt>
                <c:pt idx="4">
                  <c:v>SDNP</c:v>
                </c:pt>
              </c:strCache>
            </c:strRef>
          </c:cat>
          <c:val>
            <c:numRef>
              <c:f>Sheet2!$M$4:$M$8</c:f>
              <c:numCache>
                <c:formatCode>General</c:formatCode>
                <c:ptCount val="5"/>
                <c:pt idx="0">
                  <c:v>24</c:v>
                </c:pt>
                <c:pt idx="1">
                  <c:v>12</c:v>
                </c:pt>
                <c:pt idx="2">
                  <c:v>9</c:v>
                </c:pt>
                <c:pt idx="3">
                  <c:v>1</c:v>
                </c:pt>
                <c:pt idx="4">
                  <c:v>24</c:v>
                </c:pt>
              </c:numCache>
            </c:numRef>
          </c:val>
          <c:extLst xmlns:c16r2="http://schemas.microsoft.com/office/drawing/2015/06/chart">
            <c:ext xmlns:c16="http://schemas.microsoft.com/office/drawing/2014/chart" uri="{C3380CC4-5D6E-409C-BE32-E72D297353CC}">
              <c16:uniqueId val="{00000009-800C-4AA3-9035-D10F2CC1F002}"/>
            </c:ext>
          </c:extLst>
        </c:ser>
        <c:ser>
          <c:idx val="10"/>
          <c:order val="10"/>
          <c:tx>
            <c:strRef>
              <c:f>Sheet2!$N$3</c:f>
              <c:strCache>
                <c:ptCount val="1"/>
                <c:pt idx="0">
                  <c:v>2017</c:v>
                </c:pt>
              </c:strCache>
            </c:strRef>
          </c:tx>
          <c:invertIfNegative val="0"/>
          <c:cat>
            <c:strRef>
              <c:f>Sheet2!$A$4:$A$8</c:f>
              <c:strCache>
                <c:ptCount val="5"/>
                <c:pt idx="0">
                  <c:v>Chichester City</c:v>
                </c:pt>
                <c:pt idx="1">
                  <c:v>East-West Corridor</c:v>
                </c:pt>
                <c:pt idx="2">
                  <c:v>Manhood Peninsula</c:v>
                </c:pt>
                <c:pt idx="3">
                  <c:v>Plan Area North</c:v>
                </c:pt>
                <c:pt idx="4">
                  <c:v>SDNP</c:v>
                </c:pt>
              </c:strCache>
            </c:strRef>
          </c:cat>
          <c:val>
            <c:numRef>
              <c:f>Sheet2!$N$4:$N$8</c:f>
              <c:numCache>
                <c:formatCode>General</c:formatCode>
                <c:ptCount val="5"/>
                <c:pt idx="0">
                  <c:v>17</c:v>
                </c:pt>
                <c:pt idx="1">
                  <c:v>6</c:v>
                </c:pt>
                <c:pt idx="2">
                  <c:v>4</c:v>
                </c:pt>
                <c:pt idx="3">
                  <c:v>0</c:v>
                </c:pt>
                <c:pt idx="4">
                  <c:v>12</c:v>
                </c:pt>
              </c:numCache>
            </c:numRef>
          </c:val>
          <c:extLst xmlns:c16r2="http://schemas.microsoft.com/office/drawing/2015/06/chart">
            <c:ext xmlns:c16="http://schemas.microsoft.com/office/drawing/2014/chart" uri="{C3380CC4-5D6E-409C-BE32-E72D297353CC}">
              <c16:uniqueId val="{0000000A-800C-4AA3-9035-D10F2CC1F002}"/>
            </c:ext>
          </c:extLst>
        </c:ser>
        <c:ser>
          <c:idx val="11"/>
          <c:order val="11"/>
          <c:tx>
            <c:strRef>
              <c:f>Sheet2!$O$3</c:f>
              <c:strCache>
                <c:ptCount val="1"/>
                <c:pt idx="0">
                  <c:v>2018</c:v>
                </c:pt>
              </c:strCache>
            </c:strRef>
          </c:tx>
          <c:invertIfNegative val="0"/>
          <c:cat>
            <c:strRef>
              <c:f>Sheet2!$A$4:$A$8</c:f>
              <c:strCache>
                <c:ptCount val="5"/>
                <c:pt idx="0">
                  <c:v>Chichester City</c:v>
                </c:pt>
                <c:pt idx="1">
                  <c:v>East-West Corridor</c:v>
                </c:pt>
                <c:pt idx="2">
                  <c:v>Manhood Peninsula</c:v>
                </c:pt>
                <c:pt idx="3">
                  <c:v>Plan Area North</c:v>
                </c:pt>
                <c:pt idx="4">
                  <c:v>SDNP</c:v>
                </c:pt>
              </c:strCache>
            </c:strRef>
          </c:cat>
          <c:val>
            <c:numRef>
              <c:f>Sheet2!$O$4:$O$8</c:f>
              <c:numCache>
                <c:formatCode>General</c:formatCode>
                <c:ptCount val="5"/>
                <c:pt idx="0">
                  <c:v>20</c:v>
                </c:pt>
                <c:pt idx="1">
                  <c:v>1</c:v>
                </c:pt>
                <c:pt idx="2">
                  <c:v>10</c:v>
                </c:pt>
                <c:pt idx="3">
                  <c:v>0</c:v>
                </c:pt>
                <c:pt idx="4">
                  <c:v>12</c:v>
                </c:pt>
              </c:numCache>
            </c:numRef>
          </c:val>
          <c:extLst xmlns:c16r2="http://schemas.microsoft.com/office/drawing/2015/06/chart">
            <c:ext xmlns:c16="http://schemas.microsoft.com/office/drawing/2014/chart" uri="{C3380CC4-5D6E-409C-BE32-E72D297353CC}">
              <c16:uniqueId val="{0000000B-800C-4AA3-9035-D10F2CC1F002}"/>
            </c:ext>
          </c:extLst>
        </c:ser>
        <c:dLbls>
          <c:showLegendKey val="0"/>
          <c:showVal val="0"/>
          <c:showCatName val="0"/>
          <c:showSerName val="0"/>
          <c:showPercent val="0"/>
          <c:showBubbleSize val="0"/>
        </c:dLbls>
        <c:gapWidth val="150"/>
        <c:overlap val="100"/>
        <c:axId val="290526720"/>
        <c:axId val="290528256"/>
      </c:barChart>
      <c:catAx>
        <c:axId val="290526720"/>
        <c:scaling>
          <c:orientation val="minMax"/>
        </c:scaling>
        <c:delete val="0"/>
        <c:axPos val="b"/>
        <c:numFmt formatCode="General" sourceLinked="0"/>
        <c:majorTickMark val="out"/>
        <c:minorTickMark val="none"/>
        <c:tickLblPos val="nextTo"/>
        <c:crossAx val="290528256"/>
        <c:crosses val="autoZero"/>
        <c:auto val="1"/>
        <c:lblAlgn val="ctr"/>
        <c:lblOffset val="100"/>
        <c:noMultiLvlLbl val="0"/>
      </c:catAx>
      <c:valAx>
        <c:axId val="290528256"/>
        <c:scaling>
          <c:orientation val="minMax"/>
        </c:scaling>
        <c:delete val="0"/>
        <c:axPos val="l"/>
        <c:majorGridlines/>
        <c:numFmt formatCode="General" sourceLinked="1"/>
        <c:majorTickMark val="out"/>
        <c:minorTickMark val="none"/>
        <c:tickLblPos val="nextTo"/>
        <c:crossAx val="290526720"/>
        <c:crosses val="autoZero"/>
        <c:crossBetween val="between"/>
      </c:valAx>
    </c:plotArea>
    <c:legend>
      <c:legendPos val="r"/>
      <c:layout>
        <c:manualLayout>
          <c:xMode val="edge"/>
          <c:yMode val="edge"/>
          <c:x val="0.89567801650302536"/>
          <c:y val="2.1541649399088269E-2"/>
          <c:w val="9.0753462465767085E-2"/>
          <c:h val="0.96471397215698917"/>
        </c:manualLayout>
      </c:layout>
      <c:overlay val="0"/>
    </c:legend>
    <c:plotVisOnly val="1"/>
    <c:dispBlanksAs val="gap"/>
    <c:showDLblsOverMax val="0"/>
  </c:chart>
  <c:txPr>
    <a:bodyPr/>
    <a:lstStyle/>
    <a:p>
      <a:pPr>
        <a:defRPr sz="1200">
          <a:latin typeface="Arial Narrow" panose="020B0606020202030204" pitchFamily="34" charset="0"/>
        </a:defRPr>
      </a:pPr>
      <a:endParaRPr lang="en-U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Sheet2!$D$13</c:f>
              <c:strCache>
                <c:ptCount val="1"/>
                <c:pt idx="0">
                  <c:v>2007</c:v>
                </c:pt>
              </c:strCache>
            </c:strRef>
          </c:tx>
          <c:invertIfNegative val="0"/>
          <c:cat>
            <c:strRef>
              <c:f>Sheet2!$A$14:$A$18</c:f>
              <c:strCache>
                <c:ptCount val="5"/>
                <c:pt idx="0">
                  <c:v>Chichester City</c:v>
                </c:pt>
                <c:pt idx="1">
                  <c:v>East-West Corridor</c:v>
                </c:pt>
                <c:pt idx="2">
                  <c:v>Manhood Peninsula</c:v>
                </c:pt>
                <c:pt idx="3">
                  <c:v>Plan Area North</c:v>
                </c:pt>
                <c:pt idx="4">
                  <c:v>SDNP</c:v>
                </c:pt>
              </c:strCache>
            </c:strRef>
          </c:cat>
          <c:val>
            <c:numRef>
              <c:f>Sheet2!$D$14:$D$18</c:f>
              <c:numCache>
                <c:formatCode>General</c:formatCode>
                <c:ptCount val="5"/>
                <c:pt idx="0">
                  <c:v>2533</c:v>
                </c:pt>
                <c:pt idx="1">
                  <c:v>138</c:v>
                </c:pt>
                <c:pt idx="2">
                  <c:v>202</c:v>
                </c:pt>
                <c:pt idx="3">
                  <c:v>0</c:v>
                </c:pt>
                <c:pt idx="4">
                  <c:v>320</c:v>
                </c:pt>
              </c:numCache>
            </c:numRef>
          </c:val>
          <c:extLst xmlns:c16r2="http://schemas.microsoft.com/office/drawing/2015/06/chart">
            <c:ext xmlns:c16="http://schemas.microsoft.com/office/drawing/2014/chart" uri="{C3380CC4-5D6E-409C-BE32-E72D297353CC}">
              <c16:uniqueId val="{00000000-5CFD-47FF-B0F2-2E62E27A09B8}"/>
            </c:ext>
          </c:extLst>
        </c:ser>
        <c:ser>
          <c:idx val="1"/>
          <c:order val="1"/>
          <c:tx>
            <c:strRef>
              <c:f>Sheet2!$E$13</c:f>
              <c:strCache>
                <c:ptCount val="1"/>
                <c:pt idx="0">
                  <c:v>2008</c:v>
                </c:pt>
              </c:strCache>
            </c:strRef>
          </c:tx>
          <c:invertIfNegative val="0"/>
          <c:cat>
            <c:strRef>
              <c:f>Sheet2!$A$14:$A$18</c:f>
              <c:strCache>
                <c:ptCount val="5"/>
                <c:pt idx="0">
                  <c:v>Chichester City</c:v>
                </c:pt>
                <c:pt idx="1">
                  <c:v>East-West Corridor</c:v>
                </c:pt>
                <c:pt idx="2">
                  <c:v>Manhood Peninsula</c:v>
                </c:pt>
                <c:pt idx="3">
                  <c:v>Plan Area North</c:v>
                </c:pt>
                <c:pt idx="4">
                  <c:v>SDNP</c:v>
                </c:pt>
              </c:strCache>
            </c:strRef>
          </c:cat>
          <c:val>
            <c:numRef>
              <c:f>Sheet2!$E$14:$E$18</c:f>
              <c:numCache>
                <c:formatCode>General</c:formatCode>
                <c:ptCount val="5"/>
                <c:pt idx="0">
                  <c:v>516</c:v>
                </c:pt>
                <c:pt idx="1">
                  <c:v>393</c:v>
                </c:pt>
                <c:pt idx="2">
                  <c:v>146</c:v>
                </c:pt>
                <c:pt idx="3">
                  <c:v>0</c:v>
                </c:pt>
                <c:pt idx="4">
                  <c:v>425</c:v>
                </c:pt>
              </c:numCache>
            </c:numRef>
          </c:val>
          <c:extLst xmlns:c16r2="http://schemas.microsoft.com/office/drawing/2015/06/chart">
            <c:ext xmlns:c16="http://schemas.microsoft.com/office/drawing/2014/chart" uri="{C3380CC4-5D6E-409C-BE32-E72D297353CC}">
              <c16:uniqueId val="{00000001-5CFD-47FF-B0F2-2E62E27A09B8}"/>
            </c:ext>
          </c:extLst>
        </c:ser>
        <c:ser>
          <c:idx val="2"/>
          <c:order val="2"/>
          <c:tx>
            <c:strRef>
              <c:f>Sheet2!$F$13</c:f>
              <c:strCache>
                <c:ptCount val="1"/>
                <c:pt idx="0">
                  <c:v>2009</c:v>
                </c:pt>
              </c:strCache>
            </c:strRef>
          </c:tx>
          <c:invertIfNegative val="0"/>
          <c:cat>
            <c:strRef>
              <c:f>Sheet2!$A$14:$A$18</c:f>
              <c:strCache>
                <c:ptCount val="5"/>
                <c:pt idx="0">
                  <c:v>Chichester City</c:v>
                </c:pt>
                <c:pt idx="1">
                  <c:v>East-West Corridor</c:v>
                </c:pt>
                <c:pt idx="2">
                  <c:v>Manhood Peninsula</c:v>
                </c:pt>
                <c:pt idx="3">
                  <c:v>Plan Area North</c:v>
                </c:pt>
                <c:pt idx="4">
                  <c:v>SDNP</c:v>
                </c:pt>
              </c:strCache>
            </c:strRef>
          </c:cat>
          <c:val>
            <c:numRef>
              <c:f>Sheet2!$F$14:$F$18</c:f>
              <c:numCache>
                <c:formatCode>General</c:formatCode>
                <c:ptCount val="5"/>
                <c:pt idx="0">
                  <c:v>4587</c:v>
                </c:pt>
                <c:pt idx="1">
                  <c:v>231</c:v>
                </c:pt>
                <c:pt idx="2">
                  <c:v>379</c:v>
                </c:pt>
                <c:pt idx="3">
                  <c:v>0</c:v>
                </c:pt>
                <c:pt idx="4">
                  <c:v>211</c:v>
                </c:pt>
              </c:numCache>
            </c:numRef>
          </c:val>
          <c:extLst xmlns:c16r2="http://schemas.microsoft.com/office/drawing/2015/06/chart">
            <c:ext xmlns:c16="http://schemas.microsoft.com/office/drawing/2014/chart" uri="{C3380CC4-5D6E-409C-BE32-E72D297353CC}">
              <c16:uniqueId val="{00000002-5CFD-47FF-B0F2-2E62E27A09B8}"/>
            </c:ext>
          </c:extLst>
        </c:ser>
        <c:ser>
          <c:idx val="3"/>
          <c:order val="3"/>
          <c:tx>
            <c:strRef>
              <c:f>Sheet2!$G$13</c:f>
              <c:strCache>
                <c:ptCount val="1"/>
                <c:pt idx="0">
                  <c:v>2010</c:v>
                </c:pt>
              </c:strCache>
            </c:strRef>
          </c:tx>
          <c:invertIfNegative val="0"/>
          <c:cat>
            <c:strRef>
              <c:f>Sheet2!$A$14:$A$18</c:f>
              <c:strCache>
                <c:ptCount val="5"/>
                <c:pt idx="0">
                  <c:v>Chichester City</c:v>
                </c:pt>
                <c:pt idx="1">
                  <c:v>East-West Corridor</c:v>
                </c:pt>
                <c:pt idx="2">
                  <c:v>Manhood Peninsula</c:v>
                </c:pt>
                <c:pt idx="3">
                  <c:v>Plan Area North</c:v>
                </c:pt>
                <c:pt idx="4">
                  <c:v>SDNP</c:v>
                </c:pt>
              </c:strCache>
            </c:strRef>
          </c:cat>
          <c:val>
            <c:numRef>
              <c:f>Sheet2!$G$14:$G$18</c:f>
              <c:numCache>
                <c:formatCode>General</c:formatCode>
                <c:ptCount val="5"/>
                <c:pt idx="0">
                  <c:v>2648</c:v>
                </c:pt>
                <c:pt idx="1">
                  <c:v>286</c:v>
                </c:pt>
                <c:pt idx="2">
                  <c:v>45</c:v>
                </c:pt>
                <c:pt idx="3">
                  <c:v>0</c:v>
                </c:pt>
                <c:pt idx="4">
                  <c:v>157</c:v>
                </c:pt>
              </c:numCache>
            </c:numRef>
          </c:val>
          <c:extLst xmlns:c16r2="http://schemas.microsoft.com/office/drawing/2015/06/chart">
            <c:ext xmlns:c16="http://schemas.microsoft.com/office/drawing/2014/chart" uri="{C3380CC4-5D6E-409C-BE32-E72D297353CC}">
              <c16:uniqueId val="{00000003-5CFD-47FF-B0F2-2E62E27A09B8}"/>
            </c:ext>
          </c:extLst>
        </c:ser>
        <c:ser>
          <c:idx val="4"/>
          <c:order val="4"/>
          <c:tx>
            <c:strRef>
              <c:f>Sheet2!$H$13</c:f>
              <c:strCache>
                <c:ptCount val="1"/>
                <c:pt idx="0">
                  <c:v>2011</c:v>
                </c:pt>
              </c:strCache>
            </c:strRef>
          </c:tx>
          <c:invertIfNegative val="0"/>
          <c:cat>
            <c:strRef>
              <c:f>Sheet2!$A$14:$A$18</c:f>
              <c:strCache>
                <c:ptCount val="5"/>
                <c:pt idx="0">
                  <c:v>Chichester City</c:v>
                </c:pt>
                <c:pt idx="1">
                  <c:v>East-West Corridor</c:v>
                </c:pt>
                <c:pt idx="2">
                  <c:v>Manhood Peninsula</c:v>
                </c:pt>
                <c:pt idx="3">
                  <c:v>Plan Area North</c:v>
                </c:pt>
                <c:pt idx="4">
                  <c:v>SDNP</c:v>
                </c:pt>
              </c:strCache>
            </c:strRef>
          </c:cat>
          <c:val>
            <c:numRef>
              <c:f>Sheet2!$H$14:$H$18</c:f>
              <c:numCache>
                <c:formatCode>General</c:formatCode>
                <c:ptCount val="5"/>
                <c:pt idx="0">
                  <c:v>2723</c:v>
                </c:pt>
                <c:pt idx="1">
                  <c:v>483</c:v>
                </c:pt>
                <c:pt idx="2">
                  <c:v>0</c:v>
                </c:pt>
                <c:pt idx="3">
                  <c:v>0</c:v>
                </c:pt>
                <c:pt idx="4">
                  <c:v>1093</c:v>
                </c:pt>
              </c:numCache>
            </c:numRef>
          </c:val>
          <c:extLst xmlns:c16r2="http://schemas.microsoft.com/office/drawing/2015/06/chart">
            <c:ext xmlns:c16="http://schemas.microsoft.com/office/drawing/2014/chart" uri="{C3380CC4-5D6E-409C-BE32-E72D297353CC}">
              <c16:uniqueId val="{00000004-5CFD-47FF-B0F2-2E62E27A09B8}"/>
            </c:ext>
          </c:extLst>
        </c:ser>
        <c:ser>
          <c:idx val="5"/>
          <c:order val="5"/>
          <c:tx>
            <c:strRef>
              <c:f>Sheet2!$I$13</c:f>
              <c:strCache>
                <c:ptCount val="1"/>
                <c:pt idx="0">
                  <c:v>2012</c:v>
                </c:pt>
              </c:strCache>
            </c:strRef>
          </c:tx>
          <c:invertIfNegative val="0"/>
          <c:cat>
            <c:strRef>
              <c:f>Sheet2!$A$14:$A$18</c:f>
              <c:strCache>
                <c:ptCount val="5"/>
                <c:pt idx="0">
                  <c:v>Chichester City</c:v>
                </c:pt>
                <c:pt idx="1">
                  <c:v>East-West Corridor</c:v>
                </c:pt>
                <c:pt idx="2">
                  <c:v>Manhood Peninsula</c:v>
                </c:pt>
                <c:pt idx="3">
                  <c:v>Plan Area North</c:v>
                </c:pt>
                <c:pt idx="4">
                  <c:v>SDNP</c:v>
                </c:pt>
              </c:strCache>
            </c:strRef>
          </c:cat>
          <c:val>
            <c:numRef>
              <c:f>Sheet2!$I$14:$I$18</c:f>
              <c:numCache>
                <c:formatCode>General</c:formatCode>
                <c:ptCount val="5"/>
                <c:pt idx="0">
                  <c:v>5573</c:v>
                </c:pt>
                <c:pt idx="1">
                  <c:v>196</c:v>
                </c:pt>
                <c:pt idx="2">
                  <c:v>745</c:v>
                </c:pt>
                <c:pt idx="3">
                  <c:v>0</c:v>
                </c:pt>
                <c:pt idx="4">
                  <c:v>508</c:v>
                </c:pt>
              </c:numCache>
            </c:numRef>
          </c:val>
          <c:extLst xmlns:c16r2="http://schemas.microsoft.com/office/drawing/2015/06/chart">
            <c:ext xmlns:c16="http://schemas.microsoft.com/office/drawing/2014/chart" uri="{C3380CC4-5D6E-409C-BE32-E72D297353CC}">
              <c16:uniqueId val="{00000005-5CFD-47FF-B0F2-2E62E27A09B8}"/>
            </c:ext>
          </c:extLst>
        </c:ser>
        <c:ser>
          <c:idx val="6"/>
          <c:order val="6"/>
          <c:tx>
            <c:strRef>
              <c:f>Sheet2!$J$13</c:f>
              <c:strCache>
                <c:ptCount val="1"/>
                <c:pt idx="0">
                  <c:v>2013</c:v>
                </c:pt>
              </c:strCache>
            </c:strRef>
          </c:tx>
          <c:invertIfNegative val="0"/>
          <c:cat>
            <c:strRef>
              <c:f>Sheet2!$A$14:$A$18</c:f>
              <c:strCache>
                <c:ptCount val="5"/>
                <c:pt idx="0">
                  <c:v>Chichester City</c:v>
                </c:pt>
                <c:pt idx="1">
                  <c:v>East-West Corridor</c:v>
                </c:pt>
                <c:pt idx="2">
                  <c:v>Manhood Peninsula</c:v>
                </c:pt>
                <c:pt idx="3">
                  <c:v>Plan Area North</c:v>
                </c:pt>
                <c:pt idx="4">
                  <c:v>SDNP</c:v>
                </c:pt>
              </c:strCache>
            </c:strRef>
          </c:cat>
          <c:val>
            <c:numRef>
              <c:f>Sheet2!$J$14:$J$18</c:f>
              <c:numCache>
                <c:formatCode>General</c:formatCode>
                <c:ptCount val="5"/>
                <c:pt idx="0">
                  <c:v>5403</c:v>
                </c:pt>
                <c:pt idx="1">
                  <c:v>1069</c:v>
                </c:pt>
                <c:pt idx="2">
                  <c:v>2631</c:v>
                </c:pt>
                <c:pt idx="3">
                  <c:v>0</c:v>
                </c:pt>
                <c:pt idx="4">
                  <c:v>212</c:v>
                </c:pt>
              </c:numCache>
            </c:numRef>
          </c:val>
          <c:extLst xmlns:c16r2="http://schemas.microsoft.com/office/drawing/2015/06/chart">
            <c:ext xmlns:c16="http://schemas.microsoft.com/office/drawing/2014/chart" uri="{C3380CC4-5D6E-409C-BE32-E72D297353CC}">
              <c16:uniqueId val="{00000006-5CFD-47FF-B0F2-2E62E27A09B8}"/>
            </c:ext>
          </c:extLst>
        </c:ser>
        <c:ser>
          <c:idx val="7"/>
          <c:order val="7"/>
          <c:tx>
            <c:strRef>
              <c:f>Sheet2!$K$13</c:f>
              <c:strCache>
                <c:ptCount val="1"/>
                <c:pt idx="0">
                  <c:v>2014</c:v>
                </c:pt>
              </c:strCache>
            </c:strRef>
          </c:tx>
          <c:invertIfNegative val="0"/>
          <c:cat>
            <c:strRef>
              <c:f>Sheet2!$A$14:$A$18</c:f>
              <c:strCache>
                <c:ptCount val="5"/>
                <c:pt idx="0">
                  <c:v>Chichester City</c:v>
                </c:pt>
                <c:pt idx="1">
                  <c:v>East-West Corridor</c:v>
                </c:pt>
                <c:pt idx="2">
                  <c:v>Manhood Peninsula</c:v>
                </c:pt>
                <c:pt idx="3">
                  <c:v>Plan Area North</c:v>
                </c:pt>
                <c:pt idx="4">
                  <c:v>SDNP</c:v>
                </c:pt>
              </c:strCache>
            </c:strRef>
          </c:cat>
          <c:val>
            <c:numRef>
              <c:f>Sheet2!$K$14:$K$18</c:f>
              <c:numCache>
                <c:formatCode>General</c:formatCode>
                <c:ptCount val="5"/>
                <c:pt idx="0">
                  <c:v>6595</c:v>
                </c:pt>
                <c:pt idx="1">
                  <c:v>539</c:v>
                </c:pt>
                <c:pt idx="2">
                  <c:v>1184</c:v>
                </c:pt>
                <c:pt idx="3">
                  <c:v>0</c:v>
                </c:pt>
                <c:pt idx="4">
                  <c:v>1167</c:v>
                </c:pt>
              </c:numCache>
            </c:numRef>
          </c:val>
          <c:extLst xmlns:c16r2="http://schemas.microsoft.com/office/drawing/2015/06/chart">
            <c:ext xmlns:c16="http://schemas.microsoft.com/office/drawing/2014/chart" uri="{C3380CC4-5D6E-409C-BE32-E72D297353CC}">
              <c16:uniqueId val="{00000007-5CFD-47FF-B0F2-2E62E27A09B8}"/>
            </c:ext>
          </c:extLst>
        </c:ser>
        <c:ser>
          <c:idx val="8"/>
          <c:order val="8"/>
          <c:tx>
            <c:strRef>
              <c:f>Sheet2!$L$13</c:f>
              <c:strCache>
                <c:ptCount val="1"/>
                <c:pt idx="0">
                  <c:v>2015</c:v>
                </c:pt>
              </c:strCache>
            </c:strRef>
          </c:tx>
          <c:invertIfNegative val="0"/>
          <c:cat>
            <c:strRef>
              <c:f>Sheet2!$A$14:$A$18</c:f>
              <c:strCache>
                <c:ptCount val="5"/>
                <c:pt idx="0">
                  <c:v>Chichester City</c:v>
                </c:pt>
                <c:pt idx="1">
                  <c:v>East-West Corridor</c:v>
                </c:pt>
                <c:pt idx="2">
                  <c:v>Manhood Peninsula</c:v>
                </c:pt>
                <c:pt idx="3">
                  <c:v>Plan Area North</c:v>
                </c:pt>
                <c:pt idx="4">
                  <c:v>SDNP</c:v>
                </c:pt>
              </c:strCache>
            </c:strRef>
          </c:cat>
          <c:val>
            <c:numRef>
              <c:f>Sheet2!$L$14:$L$18</c:f>
              <c:numCache>
                <c:formatCode>General</c:formatCode>
                <c:ptCount val="5"/>
                <c:pt idx="0">
                  <c:v>3827</c:v>
                </c:pt>
                <c:pt idx="1">
                  <c:v>2624</c:v>
                </c:pt>
                <c:pt idx="2">
                  <c:v>1125</c:v>
                </c:pt>
                <c:pt idx="3">
                  <c:v>0</c:v>
                </c:pt>
                <c:pt idx="4">
                  <c:v>1444</c:v>
                </c:pt>
              </c:numCache>
            </c:numRef>
          </c:val>
          <c:extLst xmlns:c16r2="http://schemas.microsoft.com/office/drawing/2015/06/chart">
            <c:ext xmlns:c16="http://schemas.microsoft.com/office/drawing/2014/chart" uri="{C3380CC4-5D6E-409C-BE32-E72D297353CC}">
              <c16:uniqueId val="{00000008-5CFD-47FF-B0F2-2E62E27A09B8}"/>
            </c:ext>
          </c:extLst>
        </c:ser>
        <c:ser>
          <c:idx val="9"/>
          <c:order val="9"/>
          <c:tx>
            <c:strRef>
              <c:f>Sheet2!$M$13</c:f>
              <c:strCache>
                <c:ptCount val="1"/>
                <c:pt idx="0">
                  <c:v>2016</c:v>
                </c:pt>
              </c:strCache>
            </c:strRef>
          </c:tx>
          <c:invertIfNegative val="0"/>
          <c:cat>
            <c:strRef>
              <c:f>Sheet2!$A$14:$A$18</c:f>
              <c:strCache>
                <c:ptCount val="5"/>
                <c:pt idx="0">
                  <c:v>Chichester City</c:v>
                </c:pt>
                <c:pt idx="1">
                  <c:v>East-West Corridor</c:v>
                </c:pt>
                <c:pt idx="2">
                  <c:v>Manhood Peninsula</c:v>
                </c:pt>
                <c:pt idx="3">
                  <c:v>Plan Area North</c:v>
                </c:pt>
                <c:pt idx="4">
                  <c:v>SDNP</c:v>
                </c:pt>
              </c:strCache>
            </c:strRef>
          </c:cat>
          <c:val>
            <c:numRef>
              <c:f>Sheet2!$M$14:$M$18</c:f>
              <c:numCache>
                <c:formatCode>General</c:formatCode>
                <c:ptCount val="5"/>
                <c:pt idx="0">
                  <c:v>5669</c:v>
                </c:pt>
                <c:pt idx="1">
                  <c:v>1229</c:v>
                </c:pt>
                <c:pt idx="2">
                  <c:v>635</c:v>
                </c:pt>
                <c:pt idx="3">
                  <c:v>25</c:v>
                </c:pt>
                <c:pt idx="4">
                  <c:v>2684</c:v>
                </c:pt>
              </c:numCache>
            </c:numRef>
          </c:val>
          <c:extLst xmlns:c16r2="http://schemas.microsoft.com/office/drawing/2015/06/chart">
            <c:ext xmlns:c16="http://schemas.microsoft.com/office/drawing/2014/chart" uri="{C3380CC4-5D6E-409C-BE32-E72D297353CC}">
              <c16:uniqueId val="{00000009-5CFD-47FF-B0F2-2E62E27A09B8}"/>
            </c:ext>
          </c:extLst>
        </c:ser>
        <c:ser>
          <c:idx val="10"/>
          <c:order val="10"/>
          <c:tx>
            <c:strRef>
              <c:f>Sheet2!$N$13</c:f>
              <c:strCache>
                <c:ptCount val="1"/>
                <c:pt idx="0">
                  <c:v>2017</c:v>
                </c:pt>
              </c:strCache>
            </c:strRef>
          </c:tx>
          <c:invertIfNegative val="0"/>
          <c:cat>
            <c:strRef>
              <c:f>Sheet2!$A$14:$A$18</c:f>
              <c:strCache>
                <c:ptCount val="5"/>
                <c:pt idx="0">
                  <c:v>Chichester City</c:v>
                </c:pt>
                <c:pt idx="1">
                  <c:v>East-West Corridor</c:v>
                </c:pt>
                <c:pt idx="2">
                  <c:v>Manhood Peninsula</c:v>
                </c:pt>
                <c:pt idx="3">
                  <c:v>Plan Area North</c:v>
                </c:pt>
                <c:pt idx="4">
                  <c:v>SDNP</c:v>
                </c:pt>
              </c:strCache>
            </c:strRef>
          </c:cat>
          <c:val>
            <c:numRef>
              <c:f>Sheet2!$N$14:$N$18</c:f>
              <c:numCache>
                <c:formatCode>General</c:formatCode>
                <c:ptCount val="5"/>
                <c:pt idx="0">
                  <c:v>2225.5142999999998</c:v>
                </c:pt>
                <c:pt idx="1">
                  <c:v>596.07419199999993</c:v>
                </c:pt>
                <c:pt idx="2">
                  <c:v>213.45524699999999</c:v>
                </c:pt>
                <c:pt idx="3">
                  <c:v>0</c:v>
                </c:pt>
                <c:pt idx="4">
                  <c:v>679.03549699999996</c:v>
                </c:pt>
              </c:numCache>
            </c:numRef>
          </c:val>
          <c:extLst xmlns:c16r2="http://schemas.microsoft.com/office/drawing/2015/06/chart">
            <c:ext xmlns:c16="http://schemas.microsoft.com/office/drawing/2014/chart" uri="{C3380CC4-5D6E-409C-BE32-E72D297353CC}">
              <c16:uniqueId val="{0000000A-5CFD-47FF-B0F2-2E62E27A09B8}"/>
            </c:ext>
          </c:extLst>
        </c:ser>
        <c:ser>
          <c:idx val="11"/>
          <c:order val="11"/>
          <c:tx>
            <c:strRef>
              <c:f>Sheet2!$O$13</c:f>
              <c:strCache>
                <c:ptCount val="1"/>
                <c:pt idx="0">
                  <c:v>2018</c:v>
                </c:pt>
              </c:strCache>
            </c:strRef>
          </c:tx>
          <c:invertIfNegative val="0"/>
          <c:cat>
            <c:strRef>
              <c:f>Sheet2!$A$14:$A$18</c:f>
              <c:strCache>
                <c:ptCount val="5"/>
                <c:pt idx="0">
                  <c:v>Chichester City</c:v>
                </c:pt>
                <c:pt idx="1">
                  <c:v>East-West Corridor</c:v>
                </c:pt>
                <c:pt idx="2">
                  <c:v>Manhood Peninsula</c:v>
                </c:pt>
                <c:pt idx="3">
                  <c:v>Plan Area North</c:v>
                </c:pt>
                <c:pt idx="4">
                  <c:v>SDNP</c:v>
                </c:pt>
              </c:strCache>
            </c:strRef>
          </c:cat>
          <c:val>
            <c:numRef>
              <c:f>Sheet2!$O$14:$O$18</c:f>
              <c:numCache>
                <c:formatCode>General</c:formatCode>
                <c:ptCount val="5"/>
                <c:pt idx="0">
                  <c:v>3916.9355700000006</c:v>
                </c:pt>
                <c:pt idx="1">
                  <c:v>207.54530199999999</c:v>
                </c:pt>
                <c:pt idx="2">
                  <c:v>866.03782000000001</c:v>
                </c:pt>
                <c:pt idx="3">
                  <c:v>0</c:v>
                </c:pt>
                <c:pt idx="4">
                  <c:v>440.84504500000003</c:v>
                </c:pt>
              </c:numCache>
            </c:numRef>
          </c:val>
          <c:extLst xmlns:c16r2="http://schemas.microsoft.com/office/drawing/2015/06/chart">
            <c:ext xmlns:c16="http://schemas.microsoft.com/office/drawing/2014/chart" uri="{C3380CC4-5D6E-409C-BE32-E72D297353CC}">
              <c16:uniqueId val="{0000000B-5CFD-47FF-B0F2-2E62E27A09B8}"/>
            </c:ext>
          </c:extLst>
        </c:ser>
        <c:dLbls>
          <c:showLegendKey val="0"/>
          <c:showVal val="0"/>
          <c:showCatName val="0"/>
          <c:showSerName val="0"/>
          <c:showPercent val="0"/>
          <c:showBubbleSize val="0"/>
        </c:dLbls>
        <c:gapWidth val="150"/>
        <c:overlap val="100"/>
        <c:axId val="290329728"/>
        <c:axId val="290331264"/>
      </c:barChart>
      <c:catAx>
        <c:axId val="290329728"/>
        <c:scaling>
          <c:orientation val="minMax"/>
        </c:scaling>
        <c:delete val="0"/>
        <c:axPos val="b"/>
        <c:numFmt formatCode="General" sourceLinked="0"/>
        <c:majorTickMark val="out"/>
        <c:minorTickMark val="none"/>
        <c:tickLblPos val="nextTo"/>
        <c:crossAx val="290331264"/>
        <c:crosses val="autoZero"/>
        <c:auto val="1"/>
        <c:lblAlgn val="ctr"/>
        <c:lblOffset val="100"/>
        <c:noMultiLvlLbl val="0"/>
      </c:catAx>
      <c:valAx>
        <c:axId val="290331264"/>
        <c:scaling>
          <c:orientation val="minMax"/>
        </c:scaling>
        <c:delete val="0"/>
        <c:axPos val="l"/>
        <c:majorGridlines/>
        <c:numFmt formatCode="#,##0" sourceLinked="0"/>
        <c:majorTickMark val="out"/>
        <c:minorTickMark val="none"/>
        <c:tickLblPos val="nextTo"/>
        <c:crossAx val="290329728"/>
        <c:crosses val="autoZero"/>
        <c:crossBetween val="between"/>
      </c:valAx>
    </c:plotArea>
    <c:legend>
      <c:legendPos val="r"/>
      <c:overlay val="0"/>
    </c:legend>
    <c:plotVisOnly val="1"/>
    <c:dispBlanksAs val="gap"/>
    <c:showDLblsOverMax val="0"/>
  </c:chart>
  <c:txPr>
    <a:bodyPr/>
    <a:lstStyle/>
    <a:p>
      <a:pPr>
        <a:defRPr sz="1200">
          <a:latin typeface="Arial Narrow" panose="020B0606020202030204" pitchFamily="34" charset="0"/>
        </a:defRPr>
      </a:pPr>
      <a:endParaRPr lang="en-U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Sheet2!$A$26</c:f>
              <c:strCache>
                <c:ptCount val="1"/>
                <c:pt idx="0">
                  <c:v>Less than 185 sqm</c:v>
                </c:pt>
              </c:strCache>
            </c:strRef>
          </c:tx>
          <c:invertIfNegative val="0"/>
          <c:cat>
            <c:numRef>
              <c:f>Sheet2!$D$25:$O$25</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Sheet2!$D$26:$O$26</c:f>
              <c:numCache>
                <c:formatCode>General</c:formatCode>
                <c:ptCount val="12"/>
                <c:pt idx="0">
                  <c:v>16</c:v>
                </c:pt>
                <c:pt idx="1">
                  <c:v>12</c:v>
                </c:pt>
                <c:pt idx="2">
                  <c:v>19</c:v>
                </c:pt>
                <c:pt idx="3">
                  <c:v>13</c:v>
                </c:pt>
                <c:pt idx="4">
                  <c:v>24</c:v>
                </c:pt>
                <c:pt idx="5">
                  <c:v>36</c:v>
                </c:pt>
                <c:pt idx="6">
                  <c:v>37</c:v>
                </c:pt>
                <c:pt idx="7">
                  <c:v>41</c:v>
                </c:pt>
                <c:pt idx="8">
                  <c:v>30</c:v>
                </c:pt>
                <c:pt idx="9">
                  <c:v>64</c:v>
                </c:pt>
                <c:pt idx="10">
                  <c:v>35</c:v>
                </c:pt>
                <c:pt idx="11">
                  <c:v>40</c:v>
                </c:pt>
              </c:numCache>
            </c:numRef>
          </c:val>
          <c:extLst xmlns:c16r2="http://schemas.microsoft.com/office/drawing/2015/06/chart">
            <c:ext xmlns:c16="http://schemas.microsoft.com/office/drawing/2014/chart" uri="{C3380CC4-5D6E-409C-BE32-E72D297353CC}">
              <c16:uniqueId val="{00000000-6DFA-4D52-80A4-06C420CBEC9C}"/>
            </c:ext>
          </c:extLst>
        </c:ser>
        <c:ser>
          <c:idx val="1"/>
          <c:order val="1"/>
          <c:tx>
            <c:strRef>
              <c:f>Sheet2!$A$27</c:f>
              <c:strCache>
                <c:ptCount val="1"/>
                <c:pt idx="0">
                  <c:v>185-500 sqm</c:v>
                </c:pt>
              </c:strCache>
            </c:strRef>
          </c:tx>
          <c:invertIfNegative val="0"/>
          <c:cat>
            <c:numRef>
              <c:f>Sheet2!$D$25:$O$25</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Sheet2!$D$27:$O$27</c:f>
              <c:numCache>
                <c:formatCode>General</c:formatCode>
                <c:ptCount val="12"/>
                <c:pt idx="0">
                  <c:v>2</c:v>
                </c:pt>
                <c:pt idx="1">
                  <c:v>1</c:v>
                </c:pt>
                <c:pt idx="2">
                  <c:v>5</c:v>
                </c:pt>
                <c:pt idx="3">
                  <c:v>1</c:v>
                </c:pt>
                <c:pt idx="4">
                  <c:v>5</c:v>
                </c:pt>
                <c:pt idx="5">
                  <c:v>9</c:v>
                </c:pt>
                <c:pt idx="6">
                  <c:v>8</c:v>
                </c:pt>
                <c:pt idx="7">
                  <c:v>9</c:v>
                </c:pt>
                <c:pt idx="8">
                  <c:v>15</c:v>
                </c:pt>
                <c:pt idx="9">
                  <c:v>3</c:v>
                </c:pt>
                <c:pt idx="10">
                  <c:v>5</c:v>
                </c:pt>
                <c:pt idx="11">
                  <c:v>4</c:v>
                </c:pt>
              </c:numCache>
            </c:numRef>
          </c:val>
          <c:extLst xmlns:c16r2="http://schemas.microsoft.com/office/drawing/2015/06/chart">
            <c:ext xmlns:c16="http://schemas.microsoft.com/office/drawing/2014/chart" uri="{C3380CC4-5D6E-409C-BE32-E72D297353CC}">
              <c16:uniqueId val="{00000001-6DFA-4D52-80A4-06C420CBEC9C}"/>
            </c:ext>
          </c:extLst>
        </c:ser>
        <c:ser>
          <c:idx val="2"/>
          <c:order val="2"/>
          <c:tx>
            <c:strRef>
              <c:f>Sheet2!$A$28</c:f>
              <c:strCache>
                <c:ptCount val="1"/>
                <c:pt idx="0">
                  <c:v>500-1,000 sqm</c:v>
                </c:pt>
              </c:strCache>
            </c:strRef>
          </c:tx>
          <c:invertIfNegative val="0"/>
          <c:cat>
            <c:numRef>
              <c:f>Sheet2!$D$25:$O$25</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Sheet2!$D$28:$O$28</c:f>
              <c:numCache>
                <c:formatCode>General</c:formatCode>
                <c:ptCount val="12"/>
                <c:pt idx="0">
                  <c:v>0</c:v>
                </c:pt>
                <c:pt idx="1">
                  <c:v>0</c:v>
                </c:pt>
                <c:pt idx="2">
                  <c:v>2</c:v>
                </c:pt>
                <c:pt idx="3">
                  <c:v>0</c:v>
                </c:pt>
                <c:pt idx="4">
                  <c:v>1</c:v>
                </c:pt>
                <c:pt idx="5">
                  <c:v>2</c:v>
                </c:pt>
                <c:pt idx="6">
                  <c:v>3</c:v>
                </c:pt>
                <c:pt idx="7">
                  <c:v>3</c:v>
                </c:pt>
                <c:pt idx="8">
                  <c:v>1</c:v>
                </c:pt>
                <c:pt idx="9">
                  <c:v>1</c:v>
                </c:pt>
                <c:pt idx="10">
                  <c:v>0</c:v>
                </c:pt>
                <c:pt idx="11">
                  <c:v>1</c:v>
                </c:pt>
              </c:numCache>
            </c:numRef>
          </c:val>
          <c:extLst xmlns:c16r2="http://schemas.microsoft.com/office/drawing/2015/06/chart">
            <c:ext xmlns:c16="http://schemas.microsoft.com/office/drawing/2014/chart" uri="{C3380CC4-5D6E-409C-BE32-E72D297353CC}">
              <c16:uniqueId val="{00000002-6DFA-4D52-80A4-06C420CBEC9C}"/>
            </c:ext>
          </c:extLst>
        </c:ser>
        <c:ser>
          <c:idx val="3"/>
          <c:order val="3"/>
          <c:tx>
            <c:strRef>
              <c:f>Sheet2!$A$29</c:f>
              <c:strCache>
                <c:ptCount val="1"/>
                <c:pt idx="0">
                  <c:v>1,000-10,000 sqm</c:v>
                </c:pt>
              </c:strCache>
            </c:strRef>
          </c:tx>
          <c:invertIfNegative val="0"/>
          <c:cat>
            <c:numRef>
              <c:f>Sheet2!$D$25:$O$25</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Sheet2!$D$29:$O$29</c:f>
              <c:numCache>
                <c:formatCode>General</c:formatCode>
                <c:ptCount val="12"/>
                <c:pt idx="0">
                  <c:v>1</c:v>
                </c:pt>
                <c:pt idx="1">
                  <c:v>0</c:v>
                </c:pt>
                <c:pt idx="2">
                  <c:v>1</c:v>
                </c:pt>
                <c:pt idx="3">
                  <c:v>1</c:v>
                </c:pt>
                <c:pt idx="4">
                  <c:v>0</c:v>
                </c:pt>
                <c:pt idx="5">
                  <c:v>0</c:v>
                </c:pt>
                <c:pt idx="6">
                  <c:v>1</c:v>
                </c:pt>
                <c:pt idx="7">
                  <c:v>1</c:v>
                </c:pt>
                <c:pt idx="8">
                  <c:v>1</c:v>
                </c:pt>
                <c:pt idx="9">
                  <c:v>2</c:v>
                </c:pt>
                <c:pt idx="10">
                  <c:v>0</c:v>
                </c:pt>
                <c:pt idx="11">
                  <c:v>1</c:v>
                </c:pt>
              </c:numCache>
            </c:numRef>
          </c:val>
          <c:extLst xmlns:c16r2="http://schemas.microsoft.com/office/drawing/2015/06/chart">
            <c:ext xmlns:c16="http://schemas.microsoft.com/office/drawing/2014/chart" uri="{C3380CC4-5D6E-409C-BE32-E72D297353CC}">
              <c16:uniqueId val="{00000003-6DFA-4D52-80A4-06C420CBEC9C}"/>
            </c:ext>
          </c:extLst>
        </c:ser>
        <c:ser>
          <c:idx val="4"/>
          <c:order val="4"/>
          <c:tx>
            <c:strRef>
              <c:f>Sheet2!$A$30</c:f>
              <c:strCache>
                <c:ptCount val="1"/>
                <c:pt idx="0">
                  <c:v>10,000+ sqm</c:v>
                </c:pt>
              </c:strCache>
            </c:strRef>
          </c:tx>
          <c:invertIfNegative val="0"/>
          <c:cat>
            <c:numRef>
              <c:f>Sheet2!$D$25:$O$25</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Sheet2!$D$30:$O$30</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6r2="http://schemas.microsoft.com/office/drawing/2015/06/chart">
            <c:ext xmlns:c16="http://schemas.microsoft.com/office/drawing/2014/chart" uri="{C3380CC4-5D6E-409C-BE32-E72D297353CC}">
              <c16:uniqueId val="{00000004-6DFA-4D52-80A4-06C420CBEC9C}"/>
            </c:ext>
          </c:extLst>
        </c:ser>
        <c:dLbls>
          <c:showLegendKey val="0"/>
          <c:showVal val="0"/>
          <c:showCatName val="0"/>
          <c:showSerName val="0"/>
          <c:showPercent val="0"/>
          <c:showBubbleSize val="0"/>
        </c:dLbls>
        <c:gapWidth val="150"/>
        <c:overlap val="100"/>
        <c:axId val="290378112"/>
        <c:axId val="290379648"/>
      </c:barChart>
      <c:catAx>
        <c:axId val="290378112"/>
        <c:scaling>
          <c:orientation val="minMax"/>
        </c:scaling>
        <c:delete val="0"/>
        <c:axPos val="b"/>
        <c:numFmt formatCode="General" sourceLinked="1"/>
        <c:majorTickMark val="out"/>
        <c:minorTickMark val="none"/>
        <c:tickLblPos val="nextTo"/>
        <c:crossAx val="290379648"/>
        <c:crosses val="autoZero"/>
        <c:auto val="1"/>
        <c:lblAlgn val="ctr"/>
        <c:lblOffset val="100"/>
        <c:noMultiLvlLbl val="0"/>
      </c:catAx>
      <c:valAx>
        <c:axId val="290379648"/>
        <c:scaling>
          <c:orientation val="minMax"/>
        </c:scaling>
        <c:delete val="0"/>
        <c:axPos val="l"/>
        <c:majorGridlines/>
        <c:numFmt formatCode="General" sourceLinked="1"/>
        <c:majorTickMark val="out"/>
        <c:minorTickMark val="none"/>
        <c:tickLblPos val="nextTo"/>
        <c:crossAx val="290378112"/>
        <c:crosses val="autoZero"/>
        <c:crossBetween val="between"/>
      </c:valAx>
    </c:plotArea>
    <c:legend>
      <c:legendPos val="r"/>
      <c:overlay val="0"/>
    </c:legend>
    <c:plotVisOnly val="1"/>
    <c:dispBlanksAs val="gap"/>
    <c:showDLblsOverMax val="0"/>
  </c:chart>
  <c:txPr>
    <a:bodyPr/>
    <a:lstStyle/>
    <a:p>
      <a:pPr>
        <a:defRPr sz="1200">
          <a:latin typeface="Arial Narrow" panose="020B0606020202030204" pitchFamily="34" charset="0"/>
        </a:defRPr>
      </a:pPr>
      <a:endParaRPr lang="en-U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Sheet2!$A$37</c:f>
              <c:strCache>
                <c:ptCount val="1"/>
                <c:pt idx="0">
                  <c:v>Less than 185 sqm</c:v>
                </c:pt>
              </c:strCache>
            </c:strRef>
          </c:tx>
          <c:invertIfNegative val="0"/>
          <c:cat>
            <c:numRef>
              <c:f>Sheet2!$D$36:$O$36</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Sheet2!$D$37:$O$37</c:f>
              <c:numCache>
                <c:formatCode>General</c:formatCode>
                <c:ptCount val="12"/>
                <c:pt idx="0">
                  <c:v>1571</c:v>
                </c:pt>
                <c:pt idx="1">
                  <c:v>1176</c:v>
                </c:pt>
                <c:pt idx="2">
                  <c:v>1482</c:v>
                </c:pt>
                <c:pt idx="3">
                  <c:v>1182</c:v>
                </c:pt>
                <c:pt idx="4">
                  <c:v>2077</c:v>
                </c:pt>
                <c:pt idx="5">
                  <c:v>2782</c:v>
                </c:pt>
                <c:pt idx="6">
                  <c:v>3267</c:v>
                </c:pt>
                <c:pt idx="7">
                  <c:v>2614</c:v>
                </c:pt>
                <c:pt idx="8">
                  <c:v>2854</c:v>
                </c:pt>
                <c:pt idx="9">
                  <c:v>5454</c:v>
                </c:pt>
                <c:pt idx="10">
                  <c:v>2394.4181989999997</c:v>
                </c:pt>
                <c:pt idx="11">
                  <c:v>3017.9941530000001</c:v>
                </c:pt>
              </c:numCache>
            </c:numRef>
          </c:val>
          <c:extLst xmlns:c16r2="http://schemas.microsoft.com/office/drawing/2015/06/chart">
            <c:ext xmlns:c16="http://schemas.microsoft.com/office/drawing/2014/chart" uri="{C3380CC4-5D6E-409C-BE32-E72D297353CC}">
              <c16:uniqueId val="{00000000-7198-4CE0-AEF4-ADF9C551E58F}"/>
            </c:ext>
          </c:extLst>
        </c:ser>
        <c:ser>
          <c:idx val="1"/>
          <c:order val="1"/>
          <c:tx>
            <c:strRef>
              <c:f>Sheet2!$A$38</c:f>
              <c:strCache>
                <c:ptCount val="1"/>
                <c:pt idx="0">
                  <c:v>185-500 sqm</c:v>
                </c:pt>
              </c:strCache>
            </c:strRef>
          </c:tx>
          <c:invertIfNegative val="0"/>
          <c:cat>
            <c:numRef>
              <c:f>Sheet2!$D$36:$O$36</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Sheet2!$D$38:$O$38</c:f>
              <c:numCache>
                <c:formatCode>General</c:formatCode>
                <c:ptCount val="12"/>
                <c:pt idx="0">
                  <c:v>534</c:v>
                </c:pt>
                <c:pt idx="1">
                  <c:v>304</c:v>
                </c:pt>
                <c:pt idx="2">
                  <c:v>1362</c:v>
                </c:pt>
                <c:pt idx="3">
                  <c:v>198</c:v>
                </c:pt>
                <c:pt idx="4">
                  <c:v>1541</c:v>
                </c:pt>
                <c:pt idx="5">
                  <c:v>2342</c:v>
                </c:pt>
                <c:pt idx="6">
                  <c:v>2457</c:v>
                </c:pt>
                <c:pt idx="7">
                  <c:v>2842</c:v>
                </c:pt>
                <c:pt idx="8">
                  <c:v>4230</c:v>
                </c:pt>
                <c:pt idx="9">
                  <c:v>865</c:v>
                </c:pt>
                <c:pt idx="10">
                  <c:v>1341.6610370000001</c:v>
                </c:pt>
                <c:pt idx="11">
                  <c:v>2427.369584</c:v>
                </c:pt>
              </c:numCache>
            </c:numRef>
          </c:val>
          <c:extLst xmlns:c16r2="http://schemas.microsoft.com/office/drawing/2015/06/chart">
            <c:ext xmlns:c16="http://schemas.microsoft.com/office/drawing/2014/chart" uri="{C3380CC4-5D6E-409C-BE32-E72D297353CC}">
              <c16:uniqueId val="{00000001-7198-4CE0-AEF4-ADF9C551E58F}"/>
            </c:ext>
          </c:extLst>
        </c:ser>
        <c:ser>
          <c:idx val="2"/>
          <c:order val="2"/>
          <c:tx>
            <c:strRef>
              <c:f>Sheet2!$A$39</c:f>
              <c:strCache>
                <c:ptCount val="1"/>
                <c:pt idx="0">
                  <c:v>500-1,000 sqm</c:v>
                </c:pt>
              </c:strCache>
            </c:strRef>
          </c:tx>
          <c:invertIfNegative val="0"/>
          <c:cat>
            <c:numRef>
              <c:f>Sheet2!$D$36:$O$36</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Sheet2!$D$39:$O$39</c:f>
              <c:numCache>
                <c:formatCode>General</c:formatCode>
                <c:ptCount val="12"/>
                <c:pt idx="0">
                  <c:v>0</c:v>
                </c:pt>
                <c:pt idx="1">
                  <c:v>0</c:v>
                </c:pt>
                <c:pt idx="2">
                  <c:v>1542</c:v>
                </c:pt>
                <c:pt idx="3">
                  <c:v>0</c:v>
                </c:pt>
                <c:pt idx="4">
                  <c:v>681</c:v>
                </c:pt>
                <c:pt idx="5">
                  <c:v>1898</c:v>
                </c:pt>
                <c:pt idx="6">
                  <c:v>2470</c:v>
                </c:pt>
                <c:pt idx="7">
                  <c:v>2273</c:v>
                </c:pt>
                <c:pt idx="8">
                  <c:v>901</c:v>
                </c:pt>
                <c:pt idx="9">
                  <c:v>632</c:v>
                </c:pt>
                <c:pt idx="10">
                  <c:v>0</c:v>
                </c:pt>
                <c:pt idx="11">
                  <c:v>1371.0624740000001</c:v>
                </c:pt>
              </c:numCache>
            </c:numRef>
          </c:val>
          <c:extLst xmlns:c16r2="http://schemas.microsoft.com/office/drawing/2015/06/chart">
            <c:ext xmlns:c16="http://schemas.microsoft.com/office/drawing/2014/chart" uri="{C3380CC4-5D6E-409C-BE32-E72D297353CC}">
              <c16:uniqueId val="{00000002-7198-4CE0-AEF4-ADF9C551E58F}"/>
            </c:ext>
          </c:extLst>
        </c:ser>
        <c:ser>
          <c:idx val="3"/>
          <c:order val="3"/>
          <c:tx>
            <c:strRef>
              <c:f>Sheet2!$A$40</c:f>
              <c:strCache>
                <c:ptCount val="1"/>
                <c:pt idx="0">
                  <c:v>1,000-10,000 sqm</c:v>
                </c:pt>
              </c:strCache>
            </c:strRef>
          </c:tx>
          <c:invertIfNegative val="0"/>
          <c:cat>
            <c:numRef>
              <c:f>Sheet2!$D$36:$O$36</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Sheet2!$D$40:$O$40</c:f>
              <c:numCache>
                <c:formatCode>General</c:formatCode>
                <c:ptCount val="12"/>
                <c:pt idx="0">
                  <c:v>1088</c:v>
                </c:pt>
                <c:pt idx="1">
                  <c:v>0</c:v>
                </c:pt>
                <c:pt idx="2">
                  <c:v>1022</c:v>
                </c:pt>
                <c:pt idx="3">
                  <c:v>1756</c:v>
                </c:pt>
                <c:pt idx="4">
                  <c:v>0</c:v>
                </c:pt>
                <c:pt idx="5">
                  <c:v>0</c:v>
                </c:pt>
                <c:pt idx="6">
                  <c:v>1121</c:v>
                </c:pt>
                <c:pt idx="7">
                  <c:v>1756</c:v>
                </c:pt>
                <c:pt idx="8">
                  <c:v>1035</c:v>
                </c:pt>
                <c:pt idx="9">
                  <c:v>3291</c:v>
                </c:pt>
                <c:pt idx="10">
                  <c:v>0</c:v>
                </c:pt>
                <c:pt idx="11">
                  <c:v>1371.0624740000001</c:v>
                </c:pt>
              </c:numCache>
            </c:numRef>
          </c:val>
          <c:extLst xmlns:c16r2="http://schemas.microsoft.com/office/drawing/2015/06/chart">
            <c:ext xmlns:c16="http://schemas.microsoft.com/office/drawing/2014/chart" uri="{C3380CC4-5D6E-409C-BE32-E72D297353CC}">
              <c16:uniqueId val="{00000003-7198-4CE0-AEF4-ADF9C551E58F}"/>
            </c:ext>
          </c:extLst>
        </c:ser>
        <c:ser>
          <c:idx val="4"/>
          <c:order val="4"/>
          <c:tx>
            <c:strRef>
              <c:f>Sheet2!$A$41</c:f>
              <c:strCache>
                <c:ptCount val="1"/>
                <c:pt idx="0">
                  <c:v>10,000+ sqm</c:v>
                </c:pt>
              </c:strCache>
            </c:strRef>
          </c:tx>
          <c:invertIfNegative val="0"/>
          <c:cat>
            <c:numRef>
              <c:f>Sheet2!$D$36:$O$36</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Sheet2!$D$41:$O$41</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6r2="http://schemas.microsoft.com/office/drawing/2015/06/chart">
            <c:ext xmlns:c16="http://schemas.microsoft.com/office/drawing/2014/chart" uri="{C3380CC4-5D6E-409C-BE32-E72D297353CC}">
              <c16:uniqueId val="{00000004-7198-4CE0-AEF4-ADF9C551E58F}"/>
            </c:ext>
          </c:extLst>
        </c:ser>
        <c:dLbls>
          <c:showLegendKey val="0"/>
          <c:showVal val="0"/>
          <c:showCatName val="0"/>
          <c:showSerName val="0"/>
          <c:showPercent val="0"/>
          <c:showBubbleSize val="0"/>
        </c:dLbls>
        <c:gapWidth val="150"/>
        <c:overlap val="100"/>
        <c:axId val="290471296"/>
        <c:axId val="290477184"/>
      </c:barChart>
      <c:catAx>
        <c:axId val="290471296"/>
        <c:scaling>
          <c:orientation val="minMax"/>
        </c:scaling>
        <c:delete val="0"/>
        <c:axPos val="b"/>
        <c:numFmt formatCode="General" sourceLinked="1"/>
        <c:majorTickMark val="out"/>
        <c:minorTickMark val="none"/>
        <c:tickLblPos val="nextTo"/>
        <c:crossAx val="290477184"/>
        <c:crosses val="autoZero"/>
        <c:auto val="1"/>
        <c:lblAlgn val="ctr"/>
        <c:lblOffset val="100"/>
        <c:noMultiLvlLbl val="0"/>
      </c:catAx>
      <c:valAx>
        <c:axId val="290477184"/>
        <c:scaling>
          <c:orientation val="minMax"/>
        </c:scaling>
        <c:delete val="0"/>
        <c:axPos val="l"/>
        <c:majorGridlines/>
        <c:numFmt formatCode="#,##0" sourceLinked="0"/>
        <c:majorTickMark val="out"/>
        <c:minorTickMark val="none"/>
        <c:tickLblPos val="nextTo"/>
        <c:crossAx val="290471296"/>
        <c:crosses val="autoZero"/>
        <c:crossBetween val="between"/>
      </c:valAx>
    </c:plotArea>
    <c:legend>
      <c:legendPos val="r"/>
      <c:overlay val="0"/>
    </c:legend>
    <c:plotVisOnly val="1"/>
    <c:dispBlanksAs val="gap"/>
    <c:showDLblsOverMax val="0"/>
  </c:chart>
  <c:txPr>
    <a:bodyPr/>
    <a:lstStyle/>
    <a:p>
      <a:pPr>
        <a:defRPr sz="1200">
          <a:latin typeface="Arial Narrow" panose="020B0606020202030204" pitchFamily="34" charset="0"/>
        </a:defRPr>
      </a:pPr>
      <a:endParaRPr lang="en-U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Analysis!$A$20</c:f>
              <c:strCache>
                <c:ptCount val="1"/>
                <c:pt idx="0">
                  <c:v>Less than 185 sqm</c:v>
                </c:pt>
              </c:strCache>
            </c:strRef>
          </c:tx>
          <c:invertIfNegative val="0"/>
          <c:cat>
            <c:strRef>
              <c:f>Analysis!$D$19:$H$19</c:f>
              <c:strCache>
                <c:ptCount val="5"/>
                <c:pt idx="0">
                  <c:v>Chichester City</c:v>
                </c:pt>
                <c:pt idx="1">
                  <c:v>East-West Corridor</c:v>
                </c:pt>
                <c:pt idx="2">
                  <c:v>Manhood Peninsula</c:v>
                </c:pt>
                <c:pt idx="3">
                  <c:v>Plan Area North</c:v>
                </c:pt>
                <c:pt idx="4">
                  <c:v>SDNP</c:v>
                </c:pt>
              </c:strCache>
            </c:strRef>
          </c:cat>
          <c:val>
            <c:numRef>
              <c:f>Analysis!$D$20:$H$20</c:f>
              <c:numCache>
                <c:formatCode>General</c:formatCode>
                <c:ptCount val="5"/>
                <c:pt idx="0">
                  <c:v>30</c:v>
                </c:pt>
                <c:pt idx="1">
                  <c:v>6</c:v>
                </c:pt>
                <c:pt idx="2">
                  <c:v>7</c:v>
                </c:pt>
                <c:pt idx="3">
                  <c:v>0</c:v>
                </c:pt>
                <c:pt idx="4">
                  <c:v>19</c:v>
                </c:pt>
              </c:numCache>
            </c:numRef>
          </c:val>
          <c:extLst xmlns:c16r2="http://schemas.microsoft.com/office/drawing/2015/06/chart">
            <c:ext xmlns:c16="http://schemas.microsoft.com/office/drawing/2014/chart" uri="{C3380CC4-5D6E-409C-BE32-E72D297353CC}">
              <c16:uniqueId val="{00000000-5211-4481-B2DD-ADEC3CC63775}"/>
            </c:ext>
          </c:extLst>
        </c:ser>
        <c:ser>
          <c:idx val="1"/>
          <c:order val="1"/>
          <c:tx>
            <c:strRef>
              <c:f>Analysis!$A$21</c:f>
              <c:strCache>
                <c:ptCount val="1"/>
                <c:pt idx="0">
                  <c:v>185-500 sqm</c:v>
                </c:pt>
              </c:strCache>
            </c:strRef>
          </c:tx>
          <c:invertIfNegative val="0"/>
          <c:cat>
            <c:strRef>
              <c:f>Analysis!$D$19:$H$19</c:f>
              <c:strCache>
                <c:ptCount val="5"/>
                <c:pt idx="0">
                  <c:v>Chichester City</c:v>
                </c:pt>
                <c:pt idx="1">
                  <c:v>East-West Corridor</c:v>
                </c:pt>
                <c:pt idx="2">
                  <c:v>Manhood Peninsula</c:v>
                </c:pt>
                <c:pt idx="3">
                  <c:v>Plan Area North</c:v>
                </c:pt>
                <c:pt idx="4">
                  <c:v>SDNP</c:v>
                </c:pt>
              </c:strCache>
            </c:strRef>
          </c:cat>
          <c:val>
            <c:numRef>
              <c:f>Analysis!$D$21:$H$21</c:f>
              <c:numCache>
                <c:formatCode>General</c:formatCode>
                <c:ptCount val="5"/>
                <c:pt idx="0">
                  <c:v>11</c:v>
                </c:pt>
                <c:pt idx="1">
                  <c:v>6</c:v>
                </c:pt>
                <c:pt idx="2">
                  <c:v>2</c:v>
                </c:pt>
                <c:pt idx="3">
                  <c:v>0</c:v>
                </c:pt>
                <c:pt idx="4">
                  <c:v>5</c:v>
                </c:pt>
              </c:numCache>
            </c:numRef>
          </c:val>
          <c:extLst xmlns:c16r2="http://schemas.microsoft.com/office/drawing/2015/06/chart">
            <c:ext xmlns:c16="http://schemas.microsoft.com/office/drawing/2014/chart" uri="{C3380CC4-5D6E-409C-BE32-E72D297353CC}">
              <c16:uniqueId val="{00000001-5211-4481-B2DD-ADEC3CC63775}"/>
            </c:ext>
          </c:extLst>
        </c:ser>
        <c:ser>
          <c:idx val="2"/>
          <c:order val="2"/>
          <c:tx>
            <c:strRef>
              <c:f>Analysis!$A$22</c:f>
              <c:strCache>
                <c:ptCount val="1"/>
                <c:pt idx="0">
                  <c:v>500-1,000 sqm</c:v>
                </c:pt>
              </c:strCache>
            </c:strRef>
          </c:tx>
          <c:invertIfNegative val="0"/>
          <c:cat>
            <c:strRef>
              <c:f>Analysis!$D$19:$H$19</c:f>
              <c:strCache>
                <c:ptCount val="5"/>
                <c:pt idx="0">
                  <c:v>Chichester City</c:v>
                </c:pt>
                <c:pt idx="1">
                  <c:v>East-West Corridor</c:v>
                </c:pt>
                <c:pt idx="2">
                  <c:v>Manhood Peninsula</c:v>
                </c:pt>
                <c:pt idx="3">
                  <c:v>Plan Area North</c:v>
                </c:pt>
                <c:pt idx="4">
                  <c:v>SDNP</c:v>
                </c:pt>
              </c:strCache>
            </c:strRef>
          </c:cat>
          <c:val>
            <c:numRef>
              <c:f>Analysis!$D$22:$H$22</c:f>
              <c:numCache>
                <c:formatCode>General</c:formatCode>
                <c:ptCount val="5"/>
                <c:pt idx="0">
                  <c:v>2</c:v>
                </c:pt>
                <c:pt idx="1">
                  <c:v>0</c:v>
                </c:pt>
                <c:pt idx="2">
                  <c:v>3</c:v>
                </c:pt>
                <c:pt idx="3">
                  <c:v>0</c:v>
                </c:pt>
                <c:pt idx="4">
                  <c:v>2</c:v>
                </c:pt>
              </c:numCache>
            </c:numRef>
          </c:val>
          <c:extLst xmlns:c16r2="http://schemas.microsoft.com/office/drawing/2015/06/chart">
            <c:ext xmlns:c16="http://schemas.microsoft.com/office/drawing/2014/chart" uri="{C3380CC4-5D6E-409C-BE32-E72D297353CC}">
              <c16:uniqueId val="{00000002-5211-4481-B2DD-ADEC3CC63775}"/>
            </c:ext>
          </c:extLst>
        </c:ser>
        <c:ser>
          <c:idx val="3"/>
          <c:order val="3"/>
          <c:tx>
            <c:strRef>
              <c:f>Analysis!$A$23</c:f>
              <c:strCache>
                <c:ptCount val="1"/>
                <c:pt idx="0">
                  <c:v>1,000-10,000 sqm</c:v>
                </c:pt>
              </c:strCache>
            </c:strRef>
          </c:tx>
          <c:invertIfNegative val="0"/>
          <c:cat>
            <c:strRef>
              <c:f>Analysis!$D$19:$H$19</c:f>
              <c:strCache>
                <c:ptCount val="5"/>
                <c:pt idx="0">
                  <c:v>Chichester City</c:v>
                </c:pt>
                <c:pt idx="1">
                  <c:v>East-West Corridor</c:v>
                </c:pt>
                <c:pt idx="2">
                  <c:v>Manhood Peninsula</c:v>
                </c:pt>
                <c:pt idx="3">
                  <c:v>Plan Area North</c:v>
                </c:pt>
                <c:pt idx="4">
                  <c:v>SDNP</c:v>
                </c:pt>
              </c:strCache>
            </c:strRef>
          </c:cat>
          <c:val>
            <c:numRef>
              <c:f>Analysis!$D$23:$H$23</c:f>
              <c:numCache>
                <c:formatCode>General</c:formatCode>
                <c:ptCount val="5"/>
                <c:pt idx="0">
                  <c:v>6</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3-5211-4481-B2DD-ADEC3CC63775}"/>
            </c:ext>
          </c:extLst>
        </c:ser>
        <c:ser>
          <c:idx val="4"/>
          <c:order val="4"/>
          <c:tx>
            <c:strRef>
              <c:f>Analysis!$A$24</c:f>
              <c:strCache>
                <c:ptCount val="1"/>
                <c:pt idx="0">
                  <c:v>10,000+ sqm</c:v>
                </c:pt>
              </c:strCache>
            </c:strRef>
          </c:tx>
          <c:invertIfNegative val="0"/>
          <c:cat>
            <c:strRef>
              <c:f>Analysis!$D$19:$H$19</c:f>
              <c:strCache>
                <c:ptCount val="5"/>
                <c:pt idx="0">
                  <c:v>Chichester City</c:v>
                </c:pt>
                <c:pt idx="1">
                  <c:v>East-West Corridor</c:v>
                </c:pt>
                <c:pt idx="2">
                  <c:v>Manhood Peninsula</c:v>
                </c:pt>
                <c:pt idx="3">
                  <c:v>Plan Area North</c:v>
                </c:pt>
                <c:pt idx="4">
                  <c:v>SDNP</c:v>
                </c:pt>
              </c:strCache>
            </c:strRef>
          </c:cat>
          <c:val>
            <c:numRef>
              <c:f>Analysis!$D$24:$H$24</c:f>
              <c:numCache>
                <c:formatCode>General</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4-5211-4481-B2DD-ADEC3CC63775}"/>
            </c:ext>
          </c:extLst>
        </c:ser>
        <c:dLbls>
          <c:showLegendKey val="0"/>
          <c:showVal val="0"/>
          <c:showCatName val="0"/>
          <c:showSerName val="0"/>
          <c:showPercent val="0"/>
          <c:showBubbleSize val="0"/>
        </c:dLbls>
        <c:gapWidth val="150"/>
        <c:overlap val="100"/>
        <c:axId val="290511488"/>
        <c:axId val="290390400"/>
      </c:barChart>
      <c:catAx>
        <c:axId val="290511488"/>
        <c:scaling>
          <c:orientation val="minMax"/>
        </c:scaling>
        <c:delete val="0"/>
        <c:axPos val="b"/>
        <c:numFmt formatCode="General" sourceLinked="0"/>
        <c:majorTickMark val="out"/>
        <c:minorTickMark val="none"/>
        <c:tickLblPos val="nextTo"/>
        <c:crossAx val="290390400"/>
        <c:crosses val="autoZero"/>
        <c:auto val="1"/>
        <c:lblAlgn val="ctr"/>
        <c:lblOffset val="100"/>
        <c:noMultiLvlLbl val="0"/>
      </c:catAx>
      <c:valAx>
        <c:axId val="290390400"/>
        <c:scaling>
          <c:orientation val="minMax"/>
        </c:scaling>
        <c:delete val="0"/>
        <c:axPos val="l"/>
        <c:majorGridlines/>
        <c:numFmt formatCode="General" sourceLinked="1"/>
        <c:majorTickMark val="out"/>
        <c:minorTickMark val="none"/>
        <c:tickLblPos val="nextTo"/>
        <c:crossAx val="290511488"/>
        <c:crosses val="autoZero"/>
        <c:crossBetween val="between"/>
      </c:valAx>
    </c:plotArea>
    <c:legend>
      <c:legendPos val="r"/>
      <c:overlay val="0"/>
    </c:legend>
    <c:plotVisOnly val="1"/>
    <c:dispBlanksAs val="gap"/>
    <c:showDLblsOverMax val="0"/>
  </c:chart>
  <c:txPr>
    <a:bodyPr/>
    <a:lstStyle/>
    <a:p>
      <a:pPr>
        <a:defRPr sz="1200">
          <a:latin typeface="Arial Narrow" panose="020B0606020202030204" pitchFamily="34" charset="0"/>
        </a:defRPr>
      </a:pPr>
      <a:endParaRPr lang="en-U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Analysis!$A$12</c:f>
              <c:strCache>
                <c:ptCount val="1"/>
                <c:pt idx="0">
                  <c:v>Less than 185 sqm</c:v>
                </c:pt>
              </c:strCache>
            </c:strRef>
          </c:tx>
          <c:invertIfNegative val="0"/>
          <c:cat>
            <c:strRef>
              <c:f>Analysis!$D$11:$H$11</c:f>
              <c:strCache>
                <c:ptCount val="5"/>
                <c:pt idx="0">
                  <c:v>Chichester City</c:v>
                </c:pt>
                <c:pt idx="1">
                  <c:v>East-West Corridor</c:v>
                </c:pt>
                <c:pt idx="2">
                  <c:v>Manhood Peninsula</c:v>
                </c:pt>
                <c:pt idx="3">
                  <c:v>Plan Area North</c:v>
                </c:pt>
                <c:pt idx="4">
                  <c:v>SDNP</c:v>
                </c:pt>
              </c:strCache>
            </c:strRef>
          </c:cat>
          <c:val>
            <c:numRef>
              <c:f>Analysis!$D$12:$H$12</c:f>
              <c:numCache>
                <c:formatCode>0</c:formatCode>
                <c:ptCount val="5"/>
                <c:pt idx="0">
                  <c:v>2953.3863700000011</c:v>
                </c:pt>
                <c:pt idx="1">
                  <c:v>393.44420499999995</c:v>
                </c:pt>
                <c:pt idx="2">
                  <c:v>788.09614900000008</c:v>
                </c:pt>
                <c:pt idx="3">
                  <c:v>0</c:v>
                </c:pt>
                <c:pt idx="4">
                  <c:v>1494.9021729999999</c:v>
                </c:pt>
              </c:numCache>
            </c:numRef>
          </c:val>
          <c:extLst xmlns:c16r2="http://schemas.microsoft.com/office/drawing/2015/06/chart">
            <c:ext xmlns:c16="http://schemas.microsoft.com/office/drawing/2014/chart" uri="{C3380CC4-5D6E-409C-BE32-E72D297353CC}">
              <c16:uniqueId val="{00000000-AAD1-441B-B6C7-2FCAEDA091BC}"/>
            </c:ext>
          </c:extLst>
        </c:ser>
        <c:ser>
          <c:idx val="1"/>
          <c:order val="1"/>
          <c:tx>
            <c:strRef>
              <c:f>Analysis!$A$13</c:f>
              <c:strCache>
                <c:ptCount val="1"/>
                <c:pt idx="0">
                  <c:v>185-500 sqm</c:v>
                </c:pt>
              </c:strCache>
            </c:strRef>
          </c:tx>
          <c:invertIfNegative val="0"/>
          <c:cat>
            <c:strRef>
              <c:f>Analysis!$D$11:$H$11</c:f>
              <c:strCache>
                <c:ptCount val="5"/>
                <c:pt idx="0">
                  <c:v>Chichester City</c:v>
                </c:pt>
                <c:pt idx="1">
                  <c:v>East-West Corridor</c:v>
                </c:pt>
                <c:pt idx="2">
                  <c:v>Manhood Peninsula</c:v>
                </c:pt>
                <c:pt idx="3">
                  <c:v>Plan Area North</c:v>
                </c:pt>
                <c:pt idx="4">
                  <c:v>SDNP</c:v>
                </c:pt>
              </c:strCache>
            </c:strRef>
          </c:cat>
          <c:val>
            <c:numRef>
              <c:f>Analysis!$D$13:$H$13</c:f>
              <c:numCache>
                <c:formatCode>0</c:formatCode>
                <c:ptCount val="5"/>
                <c:pt idx="0">
                  <c:v>4482.0123320000002</c:v>
                </c:pt>
                <c:pt idx="1">
                  <c:v>2132.8670739999998</c:v>
                </c:pt>
                <c:pt idx="2">
                  <c:v>433.76410699999997</c:v>
                </c:pt>
                <c:pt idx="3">
                  <c:v>0</c:v>
                </c:pt>
                <c:pt idx="4">
                  <c:v>1313.9271289999999</c:v>
                </c:pt>
              </c:numCache>
            </c:numRef>
          </c:val>
          <c:extLst xmlns:c16r2="http://schemas.microsoft.com/office/drawing/2015/06/chart">
            <c:ext xmlns:c16="http://schemas.microsoft.com/office/drawing/2014/chart" uri="{C3380CC4-5D6E-409C-BE32-E72D297353CC}">
              <c16:uniqueId val="{00000001-AAD1-441B-B6C7-2FCAEDA091BC}"/>
            </c:ext>
          </c:extLst>
        </c:ser>
        <c:ser>
          <c:idx val="2"/>
          <c:order val="2"/>
          <c:tx>
            <c:strRef>
              <c:f>Analysis!$A$14</c:f>
              <c:strCache>
                <c:ptCount val="1"/>
                <c:pt idx="0">
                  <c:v>500-1,000 sqm</c:v>
                </c:pt>
              </c:strCache>
            </c:strRef>
          </c:tx>
          <c:invertIfNegative val="0"/>
          <c:cat>
            <c:strRef>
              <c:f>Analysis!$D$11:$H$11</c:f>
              <c:strCache>
                <c:ptCount val="5"/>
                <c:pt idx="0">
                  <c:v>Chichester City</c:v>
                </c:pt>
                <c:pt idx="1">
                  <c:v>East-West Corridor</c:v>
                </c:pt>
                <c:pt idx="2">
                  <c:v>Manhood Peninsula</c:v>
                </c:pt>
                <c:pt idx="3">
                  <c:v>Plan Area North</c:v>
                </c:pt>
                <c:pt idx="4">
                  <c:v>SDNP</c:v>
                </c:pt>
              </c:strCache>
            </c:strRef>
          </c:cat>
          <c:val>
            <c:numRef>
              <c:f>Analysis!$D$14:$H$14</c:f>
              <c:numCache>
                <c:formatCode>0</c:formatCode>
                <c:ptCount val="5"/>
                <c:pt idx="0">
                  <c:v>1288.3788039999999</c:v>
                </c:pt>
                <c:pt idx="1">
                  <c:v>0</c:v>
                </c:pt>
                <c:pt idx="2">
                  <c:v>2534.7654520000001</c:v>
                </c:pt>
                <c:pt idx="3">
                  <c:v>0</c:v>
                </c:pt>
                <c:pt idx="4">
                  <c:v>1305.9374710000002</c:v>
                </c:pt>
              </c:numCache>
            </c:numRef>
          </c:val>
          <c:extLst xmlns:c16r2="http://schemas.microsoft.com/office/drawing/2015/06/chart">
            <c:ext xmlns:c16="http://schemas.microsoft.com/office/drawing/2014/chart" uri="{C3380CC4-5D6E-409C-BE32-E72D297353CC}">
              <c16:uniqueId val="{00000002-AAD1-441B-B6C7-2FCAEDA091BC}"/>
            </c:ext>
          </c:extLst>
        </c:ser>
        <c:ser>
          <c:idx val="3"/>
          <c:order val="3"/>
          <c:tx>
            <c:strRef>
              <c:f>Analysis!$A$15</c:f>
              <c:strCache>
                <c:ptCount val="1"/>
                <c:pt idx="0">
                  <c:v>1,000-10,000 sqm</c:v>
                </c:pt>
              </c:strCache>
            </c:strRef>
          </c:tx>
          <c:invertIfNegative val="0"/>
          <c:cat>
            <c:strRef>
              <c:f>Analysis!$D$11:$H$11</c:f>
              <c:strCache>
                <c:ptCount val="5"/>
                <c:pt idx="0">
                  <c:v>Chichester City</c:v>
                </c:pt>
                <c:pt idx="1">
                  <c:v>East-West Corridor</c:v>
                </c:pt>
                <c:pt idx="2">
                  <c:v>Manhood Peninsula</c:v>
                </c:pt>
                <c:pt idx="3">
                  <c:v>Plan Area North</c:v>
                </c:pt>
                <c:pt idx="4">
                  <c:v>SDNP</c:v>
                </c:pt>
              </c:strCache>
            </c:strRef>
          </c:cat>
          <c:val>
            <c:numRef>
              <c:f>Analysis!$D$15:$H$15</c:f>
              <c:numCache>
                <c:formatCode>0</c:formatCode>
                <c:ptCount val="5"/>
                <c:pt idx="0">
                  <c:v>6993.4591309999996</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3-AAD1-441B-B6C7-2FCAEDA091BC}"/>
            </c:ext>
          </c:extLst>
        </c:ser>
        <c:ser>
          <c:idx val="4"/>
          <c:order val="4"/>
          <c:tx>
            <c:strRef>
              <c:f>Analysis!$A$16</c:f>
              <c:strCache>
                <c:ptCount val="1"/>
                <c:pt idx="0">
                  <c:v>10,000+ sqm</c:v>
                </c:pt>
              </c:strCache>
            </c:strRef>
          </c:tx>
          <c:invertIfNegative val="0"/>
          <c:cat>
            <c:strRef>
              <c:f>Analysis!$D$11:$H$11</c:f>
              <c:strCache>
                <c:ptCount val="5"/>
                <c:pt idx="0">
                  <c:v>Chichester City</c:v>
                </c:pt>
                <c:pt idx="1">
                  <c:v>East-West Corridor</c:v>
                </c:pt>
                <c:pt idx="2">
                  <c:v>Manhood Peninsula</c:v>
                </c:pt>
                <c:pt idx="3">
                  <c:v>Plan Area North</c:v>
                </c:pt>
                <c:pt idx="4">
                  <c:v>SDNP</c:v>
                </c:pt>
              </c:strCache>
            </c:strRef>
          </c:cat>
          <c:val>
            <c:numRef>
              <c:f>Analysis!$D$16:$H$16</c:f>
              <c:numCache>
                <c:formatCode>General</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4-AAD1-441B-B6C7-2FCAEDA091BC}"/>
            </c:ext>
          </c:extLst>
        </c:ser>
        <c:dLbls>
          <c:showLegendKey val="0"/>
          <c:showVal val="0"/>
          <c:showCatName val="0"/>
          <c:showSerName val="0"/>
          <c:showPercent val="0"/>
          <c:showBubbleSize val="0"/>
        </c:dLbls>
        <c:gapWidth val="150"/>
        <c:overlap val="100"/>
        <c:axId val="290425088"/>
        <c:axId val="290426880"/>
      </c:barChart>
      <c:catAx>
        <c:axId val="290425088"/>
        <c:scaling>
          <c:orientation val="minMax"/>
        </c:scaling>
        <c:delete val="0"/>
        <c:axPos val="b"/>
        <c:numFmt formatCode="General" sourceLinked="0"/>
        <c:majorTickMark val="out"/>
        <c:minorTickMark val="none"/>
        <c:tickLblPos val="nextTo"/>
        <c:crossAx val="290426880"/>
        <c:crosses val="autoZero"/>
        <c:auto val="1"/>
        <c:lblAlgn val="ctr"/>
        <c:lblOffset val="100"/>
        <c:noMultiLvlLbl val="0"/>
      </c:catAx>
      <c:valAx>
        <c:axId val="290426880"/>
        <c:scaling>
          <c:orientation val="minMax"/>
        </c:scaling>
        <c:delete val="0"/>
        <c:axPos val="l"/>
        <c:majorGridlines/>
        <c:numFmt formatCode="#,##0" sourceLinked="0"/>
        <c:majorTickMark val="out"/>
        <c:minorTickMark val="none"/>
        <c:tickLblPos val="nextTo"/>
        <c:crossAx val="290425088"/>
        <c:crosses val="autoZero"/>
        <c:crossBetween val="between"/>
      </c:valAx>
    </c:plotArea>
    <c:legend>
      <c:legendPos val="r"/>
      <c:overlay val="0"/>
    </c:legend>
    <c:plotVisOnly val="1"/>
    <c:dispBlanksAs val="gap"/>
    <c:showDLblsOverMax val="0"/>
  </c:chart>
  <c:txPr>
    <a:bodyPr/>
    <a:lstStyle/>
    <a:p>
      <a:pPr>
        <a:defRPr sz="1200">
          <a:latin typeface="Arial Narrow" panose="020B060602020203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0234795955797248E-2"/>
          <c:y val="4.8511576626240352E-2"/>
          <c:w val="0.71052504122195048"/>
          <c:h val="0.81527402790196979"/>
        </c:manualLayout>
      </c:layout>
      <c:lineChart>
        <c:grouping val="standard"/>
        <c:varyColors val="0"/>
        <c:ser>
          <c:idx val="0"/>
          <c:order val="0"/>
          <c:tx>
            <c:strRef>
              <c:f>Sales!$A$13</c:f>
              <c:strCache>
                <c:ptCount val="1"/>
                <c:pt idx="0">
                  <c:v>Chichester District</c:v>
                </c:pt>
              </c:strCache>
            </c:strRef>
          </c:tx>
          <c:marker>
            <c:symbol val="none"/>
          </c:marker>
          <c:cat>
            <c:numRef>
              <c:f>Sales!$B$12:$X$12</c:f>
              <c:numCache>
                <c:formatCode>General</c:formatCode>
                <c:ptCount val="23"/>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numCache>
            </c:numRef>
          </c:cat>
          <c:val>
            <c:numRef>
              <c:f>Sales!$B$13:$X$13</c:f>
              <c:numCache>
                <c:formatCode>0.0</c:formatCode>
                <c:ptCount val="23"/>
                <c:pt idx="0">
                  <c:v>1</c:v>
                </c:pt>
                <c:pt idx="1">
                  <c:v>1.1969504447268107</c:v>
                </c:pt>
                <c:pt idx="2">
                  <c:v>1.0724269377382465</c:v>
                </c:pt>
                <c:pt idx="3">
                  <c:v>1.1982210927573063</c:v>
                </c:pt>
                <c:pt idx="4">
                  <c:v>1.0779330792037272</c:v>
                </c:pt>
                <c:pt idx="5">
                  <c:v>1.135112240576027</c:v>
                </c:pt>
                <c:pt idx="6">
                  <c:v>1.1660313426514188</c:v>
                </c:pt>
                <c:pt idx="7">
                  <c:v>0.97882253282507414</c:v>
                </c:pt>
                <c:pt idx="8">
                  <c:v>1.0686149936467599</c:v>
                </c:pt>
                <c:pt idx="9">
                  <c:v>0.91486658195679793</c:v>
                </c:pt>
                <c:pt idx="10">
                  <c:v>1.1279119017365522</c:v>
                </c:pt>
                <c:pt idx="11">
                  <c:v>1.121982210927573</c:v>
                </c:pt>
                <c:pt idx="12">
                  <c:v>0.61372299872935199</c:v>
                </c:pt>
                <c:pt idx="13">
                  <c:v>0.74078780177890724</c:v>
                </c:pt>
                <c:pt idx="14">
                  <c:v>0.78568403218975014</c:v>
                </c:pt>
                <c:pt idx="15">
                  <c:v>0.7445997458703939</c:v>
                </c:pt>
                <c:pt idx="16">
                  <c:v>0.7547649301143583</c:v>
                </c:pt>
                <c:pt idx="17">
                  <c:v>0.87886488775942395</c:v>
                </c:pt>
                <c:pt idx="18" formatCode="0.00">
                  <c:v>0.97670478610758149</c:v>
                </c:pt>
                <c:pt idx="19" formatCode="0.00">
                  <c:v>1.0165184243964422</c:v>
                </c:pt>
                <c:pt idx="20">
                  <c:v>0.86404066073697583</c:v>
                </c:pt>
                <c:pt idx="21">
                  <c:v>0.90766624311732313</c:v>
                </c:pt>
                <c:pt idx="22">
                  <c:v>0.95256247352816603</c:v>
                </c:pt>
              </c:numCache>
            </c:numRef>
          </c:val>
          <c:smooth val="1"/>
          <c:extLst xmlns:c16r2="http://schemas.microsoft.com/office/drawing/2015/06/chart">
            <c:ext xmlns:c16="http://schemas.microsoft.com/office/drawing/2014/chart" uri="{C3380CC4-5D6E-409C-BE32-E72D297353CC}">
              <c16:uniqueId val="{00000000-5178-4497-AE75-8F06A7CA860D}"/>
            </c:ext>
          </c:extLst>
        </c:ser>
        <c:ser>
          <c:idx val="1"/>
          <c:order val="1"/>
          <c:tx>
            <c:strRef>
              <c:f>Sales!$A$14</c:f>
              <c:strCache>
                <c:ptCount val="1"/>
                <c:pt idx="0">
                  <c:v>Arun</c:v>
                </c:pt>
              </c:strCache>
            </c:strRef>
          </c:tx>
          <c:marker>
            <c:symbol val="none"/>
          </c:marker>
          <c:cat>
            <c:numRef>
              <c:f>Sales!$B$12:$X$12</c:f>
              <c:numCache>
                <c:formatCode>General</c:formatCode>
                <c:ptCount val="23"/>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numCache>
            </c:numRef>
          </c:cat>
          <c:val>
            <c:numRef>
              <c:f>Sales!$B$14:$X$14</c:f>
              <c:numCache>
                <c:formatCode>0.0</c:formatCode>
                <c:ptCount val="23"/>
                <c:pt idx="0">
                  <c:v>1</c:v>
                </c:pt>
                <c:pt idx="1">
                  <c:v>1.1475917978063901</c:v>
                </c:pt>
                <c:pt idx="2">
                  <c:v>0.97854077253218885</c:v>
                </c:pt>
                <c:pt idx="3">
                  <c:v>1.1254172627563186</c:v>
                </c:pt>
                <c:pt idx="4">
                  <c:v>0.96280400572246061</c:v>
                </c:pt>
                <c:pt idx="5">
                  <c:v>1.0913209346685742</c:v>
                </c:pt>
                <c:pt idx="6">
                  <c:v>1.1857415355269432</c:v>
                </c:pt>
                <c:pt idx="7">
                  <c:v>1.0531711969480211</c:v>
                </c:pt>
                <c:pt idx="8">
                  <c:v>1.0491177873152122</c:v>
                </c:pt>
                <c:pt idx="9">
                  <c:v>0.78779208392942301</c:v>
                </c:pt>
                <c:pt idx="10">
                  <c:v>1.0987124463519313</c:v>
                </c:pt>
                <c:pt idx="11">
                  <c:v>1.0493562231759657</c:v>
                </c:pt>
                <c:pt idx="12">
                  <c:v>0.53385789222699098</c:v>
                </c:pt>
                <c:pt idx="13">
                  <c:v>0.6292322365283739</c:v>
                </c:pt>
                <c:pt idx="14">
                  <c:v>0.61587982832618027</c:v>
                </c:pt>
                <c:pt idx="15">
                  <c:v>0.64592274678111583</c:v>
                </c:pt>
                <c:pt idx="16">
                  <c:v>0.64258464473056742</c:v>
                </c:pt>
                <c:pt idx="17">
                  <c:v>0.71340009537434435</c:v>
                </c:pt>
                <c:pt idx="18">
                  <c:v>0.82618025751072965</c:v>
                </c:pt>
                <c:pt idx="19">
                  <c:v>0.93109203624225079</c:v>
                </c:pt>
                <c:pt idx="20">
                  <c:v>0.76466380543633761</c:v>
                </c:pt>
                <c:pt idx="21">
                  <c:v>0.79256080114449212</c:v>
                </c:pt>
                <c:pt idx="22">
                  <c:v>0.81258941344778257</c:v>
                </c:pt>
              </c:numCache>
            </c:numRef>
          </c:val>
          <c:smooth val="1"/>
          <c:extLst xmlns:c16r2="http://schemas.microsoft.com/office/drawing/2015/06/chart">
            <c:ext xmlns:c16="http://schemas.microsoft.com/office/drawing/2014/chart" uri="{C3380CC4-5D6E-409C-BE32-E72D297353CC}">
              <c16:uniqueId val="{00000001-5178-4497-AE75-8F06A7CA860D}"/>
            </c:ext>
          </c:extLst>
        </c:ser>
        <c:ser>
          <c:idx val="2"/>
          <c:order val="2"/>
          <c:tx>
            <c:strRef>
              <c:f>Sales!$A$15</c:f>
              <c:strCache>
                <c:ptCount val="1"/>
                <c:pt idx="0">
                  <c:v>Cotswold</c:v>
                </c:pt>
              </c:strCache>
            </c:strRef>
          </c:tx>
          <c:marker>
            <c:symbol val="none"/>
          </c:marker>
          <c:cat>
            <c:numRef>
              <c:f>Sales!$B$12:$X$12</c:f>
              <c:numCache>
                <c:formatCode>General</c:formatCode>
                <c:ptCount val="23"/>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numCache>
            </c:numRef>
          </c:cat>
          <c:val>
            <c:numRef>
              <c:f>Sales!$B$15:$X$15</c:f>
              <c:numCache>
                <c:formatCode>0.0</c:formatCode>
                <c:ptCount val="23"/>
                <c:pt idx="0">
                  <c:v>1</c:v>
                </c:pt>
                <c:pt idx="1">
                  <c:v>1.0716208939149166</c:v>
                </c:pt>
                <c:pt idx="2">
                  <c:v>0.95745826602046313</c:v>
                </c:pt>
                <c:pt idx="3">
                  <c:v>1.0926225094238018</c:v>
                </c:pt>
                <c:pt idx="4">
                  <c:v>0.93430263866451269</c:v>
                </c:pt>
                <c:pt idx="5">
                  <c:v>0.9956919763058697</c:v>
                </c:pt>
                <c:pt idx="6">
                  <c:v>1.0430802369413033</c:v>
                </c:pt>
                <c:pt idx="7">
                  <c:v>0.94076467420570808</c:v>
                </c:pt>
                <c:pt idx="8">
                  <c:v>0.94291868605277329</c:v>
                </c:pt>
                <c:pt idx="9">
                  <c:v>0.83898761443187941</c:v>
                </c:pt>
                <c:pt idx="10">
                  <c:v>1.0473882606354334</c:v>
                </c:pt>
                <c:pt idx="11">
                  <c:v>0.93268712977921375</c:v>
                </c:pt>
                <c:pt idx="12">
                  <c:v>0.55035002692514812</c:v>
                </c:pt>
                <c:pt idx="13">
                  <c:v>0.64781906300484648</c:v>
                </c:pt>
                <c:pt idx="14">
                  <c:v>0.66558966074313408</c:v>
                </c:pt>
                <c:pt idx="15">
                  <c:v>0.67743672590199244</c:v>
                </c:pt>
                <c:pt idx="16">
                  <c:v>0.67420570813139469</c:v>
                </c:pt>
                <c:pt idx="17">
                  <c:v>0.76575121163166393</c:v>
                </c:pt>
                <c:pt idx="18">
                  <c:v>0.9009154550350027</c:v>
                </c:pt>
                <c:pt idx="19">
                  <c:v>0.98115239633817986</c:v>
                </c:pt>
                <c:pt idx="20">
                  <c:v>0.90791599353796448</c:v>
                </c:pt>
                <c:pt idx="21">
                  <c:v>1.0080775444264944</c:v>
                </c:pt>
                <c:pt idx="22">
                  <c:v>1.0193861066235865</c:v>
                </c:pt>
              </c:numCache>
            </c:numRef>
          </c:val>
          <c:smooth val="1"/>
          <c:extLst xmlns:c16r2="http://schemas.microsoft.com/office/drawing/2015/06/chart">
            <c:ext xmlns:c16="http://schemas.microsoft.com/office/drawing/2014/chart" uri="{C3380CC4-5D6E-409C-BE32-E72D297353CC}">
              <c16:uniqueId val="{00000002-5178-4497-AE75-8F06A7CA860D}"/>
            </c:ext>
          </c:extLst>
        </c:ser>
        <c:ser>
          <c:idx val="3"/>
          <c:order val="3"/>
          <c:tx>
            <c:strRef>
              <c:f>Sales!$A$16</c:f>
              <c:strCache>
                <c:ptCount val="1"/>
                <c:pt idx="0">
                  <c:v>West Dorset</c:v>
                </c:pt>
              </c:strCache>
            </c:strRef>
          </c:tx>
          <c:marker>
            <c:symbol val="none"/>
          </c:marker>
          <c:cat>
            <c:numRef>
              <c:f>Sales!$B$12:$X$12</c:f>
              <c:numCache>
                <c:formatCode>General</c:formatCode>
                <c:ptCount val="23"/>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numCache>
            </c:numRef>
          </c:cat>
          <c:val>
            <c:numRef>
              <c:f>Sales!$B$16:$X$16</c:f>
              <c:numCache>
                <c:formatCode>0.0</c:formatCode>
                <c:ptCount val="23"/>
                <c:pt idx="0">
                  <c:v>1</c:v>
                </c:pt>
                <c:pt idx="1">
                  <c:v>1.1573785109228711</c:v>
                </c:pt>
                <c:pt idx="2">
                  <c:v>1.065091395452519</c:v>
                </c:pt>
                <c:pt idx="3">
                  <c:v>1.2474364690147124</c:v>
                </c:pt>
                <c:pt idx="4">
                  <c:v>1.0316540347748551</c:v>
                </c:pt>
                <c:pt idx="5">
                  <c:v>1.1292911279536335</c:v>
                </c:pt>
                <c:pt idx="6">
                  <c:v>1.2318323673651359</c:v>
                </c:pt>
                <c:pt idx="7">
                  <c:v>1.0133749442710656</c:v>
                </c:pt>
                <c:pt idx="8">
                  <c:v>1.0641997325011145</c:v>
                </c:pt>
                <c:pt idx="9">
                  <c:v>0.9656709763709318</c:v>
                </c:pt>
                <c:pt idx="10">
                  <c:v>1.1934908604547481</c:v>
                </c:pt>
                <c:pt idx="11">
                  <c:v>1.1119037004012484</c:v>
                </c:pt>
                <c:pt idx="12">
                  <c:v>0.62238074008024968</c:v>
                </c:pt>
                <c:pt idx="13">
                  <c:v>0.77396344181899246</c:v>
                </c:pt>
                <c:pt idx="14">
                  <c:v>0.72403031654034777</c:v>
                </c:pt>
                <c:pt idx="15">
                  <c:v>0.68568880962995993</c:v>
                </c:pt>
                <c:pt idx="16">
                  <c:v>0.66339723584485066</c:v>
                </c:pt>
                <c:pt idx="17">
                  <c:v>0.86625055728934464</c:v>
                </c:pt>
                <c:pt idx="18">
                  <c:v>0.90682122157824341</c:v>
                </c:pt>
                <c:pt idx="19">
                  <c:v>0.98707088720463665</c:v>
                </c:pt>
                <c:pt idx="20">
                  <c:v>0.92420864913062861</c:v>
                </c:pt>
                <c:pt idx="21">
                  <c:v>0.96388765046812308</c:v>
                </c:pt>
                <c:pt idx="22">
                  <c:v>0.96834596522514493</c:v>
                </c:pt>
              </c:numCache>
            </c:numRef>
          </c:val>
          <c:smooth val="1"/>
          <c:extLst xmlns:c16r2="http://schemas.microsoft.com/office/drawing/2015/06/chart">
            <c:ext xmlns:c16="http://schemas.microsoft.com/office/drawing/2014/chart" uri="{C3380CC4-5D6E-409C-BE32-E72D297353CC}">
              <c16:uniqueId val="{00000003-5178-4497-AE75-8F06A7CA860D}"/>
            </c:ext>
          </c:extLst>
        </c:ser>
        <c:ser>
          <c:idx val="9"/>
          <c:order val="4"/>
          <c:tx>
            <c:strRef>
              <c:f>Sales!$A$17</c:f>
              <c:strCache>
                <c:ptCount val="1"/>
                <c:pt idx="0">
                  <c:v>Chichester and Bognor HMA</c:v>
                </c:pt>
              </c:strCache>
            </c:strRef>
          </c:tx>
          <c:marker>
            <c:symbol val="none"/>
          </c:marker>
          <c:cat>
            <c:numRef>
              <c:f>Sales!$B$12:$X$12</c:f>
              <c:numCache>
                <c:formatCode>General</c:formatCode>
                <c:ptCount val="23"/>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numCache>
            </c:numRef>
          </c:cat>
          <c:val>
            <c:numRef>
              <c:f>Sales!$B$17:$X$17</c:f>
              <c:numCache>
                <c:formatCode>0.0</c:formatCode>
                <c:ptCount val="23"/>
                <c:pt idx="0">
                  <c:v>1</c:v>
                </c:pt>
                <c:pt idx="1">
                  <c:v>1.1653699466056446</c:v>
                </c:pt>
                <c:pt idx="2">
                  <c:v>1.0123569794050342</c:v>
                </c:pt>
                <c:pt idx="3">
                  <c:v>1.1516399694889397</c:v>
                </c:pt>
                <c:pt idx="4">
                  <c:v>1.0042715484363081</c:v>
                </c:pt>
                <c:pt idx="5">
                  <c:v>1.1070938215102974</c:v>
                </c:pt>
                <c:pt idx="6">
                  <c:v>1.1786422578184592</c:v>
                </c:pt>
                <c:pt idx="7">
                  <c:v>1.0263920671243325</c:v>
                </c:pt>
                <c:pt idx="8">
                  <c:v>1.0561403508771929</c:v>
                </c:pt>
                <c:pt idx="9">
                  <c:v>0.83356216628527846</c:v>
                </c:pt>
                <c:pt idx="10">
                  <c:v>1.1092295957284515</c:v>
                </c:pt>
                <c:pt idx="11">
                  <c:v>1.0755148741418765</c:v>
                </c:pt>
                <c:pt idx="12">
                  <c:v>0.56262395118230357</c:v>
                </c:pt>
                <c:pt idx="13">
                  <c:v>0.6694126620900076</c:v>
                </c:pt>
                <c:pt idx="14">
                  <c:v>0.67704042715484358</c:v>
                </c:pt>
              </c:numCache>
            </c:numRef>
          </c:val>
          <c:smooth val="1"/>
          <c:extLst xmlns:c16r2="http://schemas.microsoft.com/office/drawing/2015/06/chart">
            <c:ext xmlns:c16="http://schemas.microsoft.com/office/drawing/2014/chart" uri="{C3380CC4-5D6E-409C-BE32-E72D297353CC}">
              <c16:uniqueId val="{00000004-5178-4497-AE75-8F06A7CA860D}"/>
            </c:ext>
          </c:extLst>
        </c:ser>
        <c:ser>
          <c:idx val="10"/>
          <c:order val="5"/>
          <c:tx>
            <c:strRef>
              <c:f>Sales!$A$18</c:f>
              <c:strCache>
                <c:ptCount val="1"/>
                <c:pt idx="0">
                  <c:v>West Sussex</c:v>
                </c:pt>
              </c:strCache>
            </c:strRef>
          </c:tx>
          <c:marker>
            <c:symbol val="none"/>
          </c:marker>
          <c:cat>
            <c:numRef>
              <c:f>Sales!$B$12:$X$12</c:f>
              <c:numCache>
                <c:formatCode>General</c:formatCode>
                <c:ptCount val="23"/>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numCache>
            </c:numRef>
          </c:cat>
          <c:val>
            <c:numRef>
              <c:f>Sales!$B$18:$X$18</c:f>
              <c:numCache>
                <c:formatCode>0.0</c:formatCode>
                <c:ptCount val="23"/>
                <c:pt idx="0">
                  <c:v>1</c:v>
                </c:pt>
                <c:pt idx="1">
                  <c:v>1.1510994656802302</c:v>
                </c:pt>
                <c:pt idx="2">
                  <c:v>1.0129983559391698</c:v>
                </c:pt>
                <c:pt idx="3">
                  <c:v>1.1172934648581998</c:v>
                </c:pt>
                <c:pt idx="4">
                  <c:v>0.97282161939991785</c:v>
                </c:pt>
                <c:pt idx="5">
                  <c:v>1.0782470201397452</c:v>
                </c:pt>
                <c:pt idx="6">
                  <c:v>1.1584463625154131</c:v>
                </c:pt>
                <c:pt idx="7">
                  <c:v>0.99177969584874637</c:v>
                </c:pt>
                <c:pt idx="8">
                  <c:v>1.0293875873407317</c:v>
                </c:pt>
                <c:pt idx="9">
                  <c:v>0.84854089601315252</c:v>
                </c:pt>
                <c:pt idx="10">
                  <c:v>1.114262227702425</c:v>
                </c:pt>
                <c:pt idx="11">
                  <c:v>1.0676120016440609</c:v>
                </c:pt>
                <c:pt idx="12">
                  <c:v>0.54099876695437732</c:v>
                </c:pt>
                <c:pt idx="13">
                  <c:v>0.61446773530620635</c:v>
                </c:pt>
                <c:pt idx="14">
                  <c:v>0.63702219482120837</c:v>
                </c:pt>
                <c:pt idx="15">
                  <c:v>0.63964241676942046</c:v>
                </c:pt>
                <c:pt idx="16">
                  <c:v>0.65839498561446774</c:v>
                </c:pt>
                <c:pt idx="17">
                  <c:v>0.75893958076448831</c:v>
                </c:pt>
                <c:pt idx="18">
                  <c:v>0.86832100287710645</c:v>
                </c:pt>
                <c:pt idx="19">
                  <c:v>1.2152178380600083</c:v>
                </c:pt>
                <c:pt idx="20">
                  <c:v>1.0173653925195232</c:v>
                </c:pt>
                <c:pt idx="21">
                  <c:v>0.78760789149198518</c:v>
                </c:pt>
                <c:pt idx="22">
                  <c:v>0.84530415125359637</c:v>
                </c:pt>
              </c:numCache>
            </c:numRef>
          </c:val>
          <c:smooth val="1"/>
          <c:extLst xmlns:c16r2="http://schemas.microsoft.com/office/drawing/2015/06/chart">
            <c:ext xmlns:c16="http://schemas.microsoft.com/office/drawing/2014/chart" uri="{C3380CC4-5D6E-409C-BE32-E72D297353CC}">
              <c16:uniqueId val="{00000005-5178-4497-AE75-8F06A7CA860D}"/>
            </c:ext>
          </c:extLst>
        </c:ser>
        <c:ser>
          <c:idx val="11"/>
          <c:order val="6"/>
          <c:tx>
            <c:strRef>
              <c:f>Sales!$A$19</c:f>
              <c:strCache>
                <c:ptCount val="1"/>
                <c:pt idx="0">
                  <c:v>England and Wales</c:v>
                </c:pt>
              </c:strCache>
            </c:strRef>
          </c:tx>
          <c:marker>
            <c:symbol val="none"/>
          </c:marker>
          <c:cat>
            <c:numRef>
              <c:f>Sales!$B$12:$X$12</c:f>
              <c:numCache>
                <c:formatCode>General</c:formatCode>
                <c:ptCount val="23"/>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numCache>
            </c:numRef>
          </c:cat>
          <c:val>
            <c:numRef>
              <c:f>Sales!$B$19:$X$19</c:f>
              <c:numCache>
                <c:formatCode>0.0</c:formatCode>
                <c:ptCount val="23"/>
                <c:pt idx="0">
                  <c:v>1</c:v>
                </c:pt>
                <c:pt idx="1">
                  <c:v>1.1308767842124112</c:v>
                </c:pt>
                <c:pt idx="2">
                  <c:v>1.0843152286327109</c:v>
                </c:pt>
                <c:pt idx="3">
                  <c:v>1.2285411611314332</c:v>
                </c:pt>
                <c:pt idx="4">
                  <c:v>1.1464201063183352</c:v>
                </c:pt>
                <c:pt idx="5">
                  <c:v>1.2441891114249957</c:v>
                </c:pt>
                <c:pt idx="6">
                  <c:v>1.3354540662135461</c:v>
                </c:pt>
                <c:pt idx="7">
                  <c:v>1.2183821665278332</c:v>
                </c:pt>
                <c:pt idx="8">
                  <c:v>1.2352464195026942</c:v>
                </c:pt>
                <c:pt idx="9">
                  <c:v>1.02752123751001</c:v>
                </c:pt>
                <c:pt idx="10">
                  <c:v>1.2894770200282497</c:v>
                </c:pt>
                <c:pt idx="11">
                  <c:v>1.2553088744823924</c:v>
                </c:pt>
                <c:pt idx="12">
                  <c:v>0.64474706135638371</c:v>
                </c:pt>
                <c:pt idx="13">
                  <c:v>0.61940390102173448</c:v>
                </c:pt>
                <c:pt idx="14">
                  <c:v>0.66040104789154086</c:v>
                </c:pt>
                <c:pt idx="15">
                  <c:v>0.65915858816333261</c:v>
                </c:pt>
                <c:pt idx="16">
                  <c:v>0.6664423196874032</c:v>
                </c:pt>
                <c:pt idx="17">
                  <c:v>0.79813600859560807</c:v>
                </c:pt>
                <c:pt idx="18">
                  <c:v>0.90735978816816165</c:v>
                </c:pt>
                <c:pt idx="19">
                  <c:v>0.99818309128004534</c:v>
                </c:pt>
                <c:pt idx="20">
                  <c:v>0.91168676735117649</c:v>
                </c:pt>
                <c:pt idx="21">
                  <c:v>0.92318278946796561</c:v>
                </c:pt>
                <c:pt idx="22">
                  <c:v>0.99967303691362941</c:v>
                </c:pt>
              </c:numCache>
            </c:numRef>
          </c:val>
          <c:smooth val="1"/>
          <c:extLst xmlns:c16r2="http://schemas.microsoft.com/office/drawing/2015/06/chart">
            <c:ext xmlns:c16="http://schemas.microsoft.com/office/drawing/2014/chart" uri="{C3380CC4-5D6E-409C-BE32-E72D297353CC}">
              <c16:uniqueId val="{00000006-5178-4497-AE75-8F06A7CA860D}"/>
            </c:ext>
          </c:extLst>
        </c:ser>
        <c:dLbls>
          <c:showLegendKey val="0"/>
          <c:showVal val="0"/>
          <c:showCatName val="0"/>
          <c:showSerName val="0"/>
          <c:showPercent val="0"/>
          <c:showBubbleSize val="0"/>
        </c:dLbls>
        <c:marker val="1"/>
        <c:smooth val="0"/>
        <c:axId val="283022848"/>
        <c:axId val="283024384"/>
      </c:lineChart>
      <c:catAx>
        <c:axId val="283022848"/>
        <c:scaling>
          <c:orientation val="minMax"/>
        </c:scaling>
        <c:delete val="0"/>
        <c:axPos val="b"/>
        <c:numFmt formatCode="General" sourceLinked="1"/>
        <c:majorTickMark val="out"/>
        <c:minorTickMark val="none"/>
        <c:tickLblPos val="nextTo"/>
        <c:crossAx val="283024384"/>
        <c:crosses val="autoZero"/>
        <c:auto val="1"/>
        <c:lblAlgn val="ctr"/>
        <c:lblOffset val="100"/>
        <c:noMultiLvlLbl val="0"/>
      </c:catAx>
      <c:valAx>
        <c:axId val="283024384"/>
        <c:scaling>
          <c:orientation val="minMax"/>
        </c:scaling>
        <c:delete val="0"/>
        <c:axPos val="l"/>
        <c:majorGridlines/>
        <c:numFmt formatCode="0.0" sourceLinked="1"/>
        <c:majorTickMark val="out"/>
        <c:minorTickMark val="none"/>
        <c:tickLblPos val="nextTo"/>
        <c:crossAx val="283022848"/>
        <c:crosses val="autoZero"/>
        <c:crossBetween val="between"/>
      </c:valAx>
    </c:plotArea>
    <c:legend>
      <c:legendPos val="r"/>
      <c:layout>
        <c:manualLayout>
          <c:xMode val="edge"/>
          <c:yMode val="edge"/>
          <c:x val="0.7782111442150812"/>
          <c:y val="3.7359530836143767E-2"/>
          <c:w val="0.19952417028988592"/>
          <c:h val="0.92147879525578402"/>
        </c:manualLayout>
      </c:layout>
      <c:overlay val="0"/>
    </c:legend>
    <c:plotVisOnly val="1"/>
    <c:dispBlanksAs val="gap"/>
    <c:showDLblsOverMax val="0"/>
  </c:chart>
  <c:txPr>
    <a:bodyPr/>
    <a:lstStyle/>
    <a:p>
      <a:pPr>
        <a:defRPr sz="1200">
          <a:solidFill>
            <a:sysClr val="windowText" lastClr="000000"/>
          </a:solidFill>
          <a:latin typeface="Arial Narrow" panose="020B0606020202030204" pitchFamily="34" charset="0"/>
        </a:defRPr>
      </a:pPr>
      <a:endParaRPr lang="en-US"/>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16572143231595"/>
          <c:y val="4.6591795174864309E-2"/>
          <c:w val="0.66869437616594218"/>
          <c:h val="0.80588308911717166"/>
        </c:manualLayout>
      </c:layout>
      <c:barChart>
        <c:barDir val="col"/>
        <c:grouping val="stacked"/>
        <c:varyColors val="0"/>
        <c:ser>
          <c:idx val="0"/>
          <c:order val="0"/>
          <c:tx>
            <c:strRef>
              <c:f>Sheet2!$B$2</c:f>
              <c:strCache>
                <c:ptCount val="1"/>
                <c:pt idx="0">
                  <c:v>Proposed</c:v>
                </c:pt>
              </c:strCache>
            </c:strRef>
          </c:tx>
          <c:invertIfNegative val="0"/>
          <c:cat>
            <c:strRef>
              <c:f>Sheet2!$A$3:$A$7</c:f>
              <c:strCache>
                <c:ptCount val="5"/>
                <c:pt idx="0">
                  <c:v>Chichester City</c:v>
                </c:pt>
                <c:pt idx="1">
                  <c:v>East-West Corridor</c:v>
                </c:pt>
                <c:pt idx="2">
                  <c:v>Manhood Peninsula</c:v>
                </c:pt>
                <c:pt idx="3">
                  <c:v>Plan Area North</c:v>
                </c:pt>
                <c:pt idx="4">
                  <c:v>SDNP</c:v>
                </c:pt>
              </c:strCache>
            </c:strRef>
          </c:cat>
          <c:val>
            <c:numRef>
              <c:f>Sheet2!$B$3:$B$7</c:f>
              <c:numCache>
                <c:formatCode>0</c:formatCode>
                <c:ptCount val="5"/>
                <c:pt idx="0">
                  <c:v>70.234667999999999</c:v>
                </c:pt>
                <c:pt idx="1">
                  <c:v>0</c:v>
                </c:pt>
                <c:pt idx="2">
                  <c:v>0</c:v>
                </c:pt>
                <c:pt idx="3">
                  <c:v>0</c:v>
                </c:pt>
                <c:pt idx="4">
                  <c:v>171.777647</c:v>
                </c:pt>
              </c:numCache>
            </c:numRef>
          </c:val>
          <c:extLst xmlns:c16r2="http://schemas.microsoft.com/office/drawing/2015/06/chart">
            <c:ext xmlns:c16="http://schemas.microsoft.com/office/drawing/2014/chart" uri="{C3380CC4-5D6E-409C-BE32-E72D297353CC}">
              <c16:uniqueId val="{00000000-2192-4A1B-B7F6-80D173678B50}"/>
            </c:ext>
          </c:extLst>
        </c:ser>
        <c:ser>
          <c:idx val="1"/>
          <c:order val="1"/>
          <c:tx>
            <c:strRef>
              <c:f>Sheet2!$C$2</c:f>
              <c:strCache>
                <c:ptCount val="1"/>
                <c:pt idx="0">
                  <c:v>Existing</c:v>
                </c:pt>
              </c:strCache>
            </c:strRef>
          </c:tx>
          <c:invertIfNegative val="0"/>
          <c:cat>
            <c:strRef>
              <c:f>Sheet2!$A$3:$A$7</c:f>
              <c:strCache>
                <c:ptCount val="5"/>
                <c:pt idx="0">
                  <c:v>Chichester City</c:v>
                </c:pt>
                <c:pt idx="1">
                  <c:v>East-West Corridor</c:v>
                </c:pt>
                <c:pt idx="2">
                  <c:v>Manhood Peninsula</c:v>
                </c:pt>
                <c:pt idx="3">
                  <c:v>Plan Area North</c:v>
                </c:pt>
                <c:pt idx="4">
                  <c:v>SDNP</c:v>
                </c:pt>
              </c:strCache>
            </c:strRef>
          </c:cat>
          <c:val>
            <c:numRef>
              <c:f>Sheet2!$C$3:$C$7</c:f>
              <c:numCache>
                <c:formatCode>0</c:formatCode>
                <c:ptCount val="5"/>
                <c:pt idx="0">
                  <c:v>361.8571849999999</c:v>
                </c:pt>
                <c:pt idx="1">
                  <c:v>189.05760500000002</c:v>
                </c:pt>
                <c:pt idx="2">
                  <c:v>314.38375200000002</c:v>
                </c:pt>
                <c:pt idx="3">
                  <c:v>21.646398999999999</c:v>
                </c:pt>
                <c:pt idx="4">
                  <c:v>706.43441200000007</c:v>
                </c:pt>
              </c:numCache>
            </c:numRef>
          </c:val>
          <c:extLst xmlns:c16r2="http://schemas.microsoft.com/office/drawing/2015/06/chart">
            <c:ext xmlns:c16="http://schemas.microsoft.com/office/drawing/2014/chart" uri="{C3380CC4-5D6E-409C-BE32-E72D297353CC}">
              <c16:uniqueId val="{00000001-2192-4A1B-B7F6-80D173678B50}"/>
            </c:ext>
          </c:extLst>
        </c:ser>
        <c:ser>
          <c:idx val="2"/>
          <c:order val="2"/>
          <c:tx>
            <c:strRef>
              <c:f>Sheet2!$D$2</c:f>
              <c:strCache>
                <c:ptCount val="1"/>
                <c:pt idx="0">
                  <c:v>New Build (pre-construction)</c:v>
                </c:pt>
              </c:strCache>
            </c:strRef>
          </c:tx>
          <c:invertIfNegative val="0"/>
          <c:cat>
            <c:strRef>
              <c:f>Sheet2!$A$3:$A$7</c:f>
              <c:strCache>
                <c:ptCount val="5"/>
                <c:pt idx="0">
                  <c:v>Chichester City</c:v>
                </c:pt>
                <c:pt idx="1">
                  <c:v>East-West Corridor</c:v>
                </c:pt>
                <c:pt idx="2">
                  <c:v>Manhood Peninsula</c:v>
                </c:pt>
                <c:pt idx="3">
                  <c:v>Plan Area North</c:v>
                </c:pt>
                <c:pt idx="4">
                  <c:v>SDNP</c:v>
                </c:pt>
              </c:strCache>
            </c:strRef>
          </c:cat>
          <c:val>
            <c:numRef>
              <c:f>Sheet2!$D$3:$D$7</c:f>
              <c:numCache>
                <c:formatCode>0</c:formatCode>
                <c:ptCount val="5"/>
                <c:pt idx="0">
                  <c:v>458.47630500000002</c:v>
                </c:pt>
                <c:pt idx="1">
                  <c:v>123.468087</c:v>
                </c:pt>
                <c:pt idx="2">
                  <c:v>0</c:v>
                </c:pt>
                <c:pt idx="3">
                  <c:v>0</c:v>
                </c:pt>
                <c:pt idx="4">
                  <c:v>0</c:v>
                </c:pt>
              </c:numCache>
            </c:numRef>
          </c:val>
          <c:extLst xmlns:c16r2="http://schemas.microsoft.com/office/drawing/2015/06/chart">
            <c:ext xmlns:c16="http://schemas.microsoft.com/office/drawing/2014/chart" uri="{C3380CC4-5D6E-409C-BE32-E72D297353CC}">
              <c16:uniqueId val="{00000002-2192-4A1B-B7F6-80D173678B50}"/>
            </c:ext>
          </c:extLst>
        </c:ser>
        <c:ser>
          <c:idx val="3"/>
          <c:order val="3"/>
          <c:tx>
            <c:strRef>
              <c:f>Sheet2!$E$2</c:f>
              <c:strCache>
                <c:ptCount val="1"/>
                <c:pt idx="0">
                  <c:v>Under Construction</c:v>
                </c:pt>
              </c:strCache>
            </c:strRef>
          </c:tx>
          <c:invertIfNegative val="0"/>
          <c:cat>
            <c:strRef>
              <c:f>Sheet2!$A$3:$A$7</c:f>
              <c:strCache>
                <c:ptCount val="5"/>
                <c:pt idx="0">
                  <c:v>Chichester City</c:v>
                </c:pt>
                <c:pt idx="1">
                  <c:v>East-West Corridor</c:v>
                </c:pt>
                <c:pt idx="2">
                  <c:v>Manhood Peninsula</c:v>
                </c:pt>
                <c:pt idx="3">
                  <c:v>Plan Area North</c:v>
                </c:pt>
                <c:pt idx="4">
                  <c:v>SDNP</c:v>
                </c:pt>
              </c:strCache>
            </c:strRef>
          </c:cat>
          <c:val>
            <c:numRef>
              <c:f>Sheet2!$E$3:$E$7</c:f>
              <c:numCache>
                <c:formatCode>0</c:formatCode>
                <c:ptCount val="5"/>
                <c:pt idx="0">
                  <c:v>285.67672500000003</c:v>
                </c:pt>
                <c:pt idx="1">
                  <c:v>659.70420300000001</c:v>
                </c:pt>
                <c:pt idx="2">
                  <c:v>82.869476000000006</c:v>
                </c:pt>
                <c:pt idx="3">
                  <c:v>0</c:v>
                </c:pt>
                <c:pt idx="4">
                  <c:v>0</c:v>
                </c:pt>
              </c:numCache>
            </c:numRef>
          </c:val>
          <c:extLst xmlns:c16r2="http://schemas.microsoft.com/office/drawing/2015/06/chart">
            <c:ext xmlns:c16="http://schemas.microsoft.com/office/drawing/2014/chart" uri="{C3380CC4-5D6E-409C-BE32-E72D297353CC}">
              <c16:uniqueId val="{00000003-2192-4A1B-B7F6-80D173678B50}"/>
            </c:ext>
          </c:extLst>
        </c:ser>
        <c:ser>
          <c:idx val="4"/>
          <c:order val="4"/>
          <c:tx>
            <c:strRef>
              <c:f>Sheet2!$F$2</c:f>
              <c:strCache>
                <c:ptCount val="1"/>
                <c:pt idx="0">
                  <c:v>New Build (existing)</c:v>
                </c:pt>
              </c:strCache>
            </c:strRef>
          </c:tx>
          <c:invertIfNegative val="0"/>
          <c:cat>
            <c:strRef>
              <c:f>Sheet2!$A$3:$A$7</c:f>
              <c:strCache>
                <c:ptCount val="5"/>
                <c:pt idx="0">
                  <c:v>Chichester City</c:v>
                </c:pt>
                <c:pt idx="1">
                  <c:v>East-West Corridor</c:v>
                </c:pt>
                <c:pt idx="2">
                  <c:v>Manhood Peninsula</c:v>
                </c:pt>
                <c:pt idx="3">
                  <c:v>Plan Area North</c:v>
                </c:pt>
                <c:pt idx="4">
                  <c:v>SDNP</c:v>
                </c:pt>
              </c:strCache>
            </c:strRef>
          </c:cat>
          <c:val>
            <c:numRef>
              <c:f>Sheet2!$F$3:$F$7</c:f>
              <c:numCache>
                <c:formatCode>0</c:formatCode>
                <c:ptCount val="5"/>
                <c:pt idx="0">
                  <c:v>231.32847000000001</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4-2192-4A1B-B7F6-80D173678B50}"/>
            </c:ext>
          </c:extLst>
        </c:ser>
        <c:ser>
          <c:idx val="5"/>
          <c:order val="5"/>
          <c:tx>
            <c:strRef>
              <c:f>Sheet2!$G$2</c:f>
              <c:strCache>
                <c:ptCount val="1"/>
                <c:pt idx="0">
                  <c:v>Refurb (existing)</c:v>
                </c:pt>
              </c:strCache>
            </c:strRef>
          </c:tx>
          <c:invertIfNegative val="0"/>
          <c:cat>
            <c:strRef>
              <c:f>Sheet2!$A$3:$A$7</c:f>
              <c:strCache>
                <c:ptCount val="5"/>
                <c:pt idx="0">
                  <c:v>Chichester City</c:v>
                </c:pt>
                <c:pt idx="1">
                  <c:v>East-West Corridor</c:v>
                </c:pt>
                <c:pt idx="2">
                  <c:v>Manhood Peninsula</c:v>
                </c:pt>
                <c:pt idx="3">
                  <c:v>Plan Area North</c:v>
                </c:pt>
                <c:pt idx="4">
                  <c:v>SDNP</c:v>
                </c:pt>
              </c:strCache>
            </c:strRef>
          </c:cat>
          <c:val>
            <c:numRef>
              <c:f>Sheet2!$G$3:$G$7</c:f>
              <c:numCache>
                <c:formatCode>0</c:formatCode>
                <c:ptCount val="5"/>
                <c:pt idx="0">
                  <c:v>1133.1378909999999</c:v>
                </c:pt>
                <c:pt idx="1">
                  <c:v>147.437061</c:v>
                </c:pt>
                <c:pt idx="2">
                  <c:v>0</c:v>
                </c:pt>
                <c:pt idx="3">
                  <c:v>0</c:v>
                </c:pt>
                <c:pt idx="4">
                  <c:v>134.61644699999999</c:v>
                </c:pt>
              </c:numCache>
            </c:numRef>
          </c:val>
          <c:extLst xmlns:c16r2="http://schemas.microsoft.com/office/drawing/2015/06/chart">
            <c:ext xmlns:c16="http://schemas.microsoft.com/office/drawing/2014/chart" uri="{C3380CC4-5D6E-409C-BE32-E72D297353CC}">
              <c16:uniqueId val="{00000005-2192-4A1B-B7F6-80D173678B50}"/>
            </c:ext>
          </c:extLst>
        </c:ser>
        <c:ser>
          <c:idx val="6"/>
          <c:order val="6"/>
          <c:tx>
            <c:strRef>
              <c:f>Sheet2!$H$2</c:f>
              <c:strCache>
                <c:ptCount val="1"/>
                <c:pt idx="0">
                  <c:v>Second-hand Grade B</c:v>
                </c:pt>
              </c:strCache>
            </c:strRef>
          </c:tx>
          <c:invertIfNegative val="0"/>
          <c:cat>
            <c:strRef>
              <c:f>Sheet2!$A$3:$A$7</c:f>
              <c:strCache>
                <c:ptCount val="5"/>
                <c:pt idx="0">
                  <c:v>Chichester City</c:v>
                </c:pt>
                <c:pt idx="1">
                  <c:v>East-West Corridor</c:v>
                </c:pt>
                <c:pt idx="2">
                  <c:v>Manhood Peninsula</c:v>
                </c:pt>
                <c:pt idx="3">
                  <c:v>Plan Area North</c:v>
                </c:pt>
                <c:pt idx="4">
                  <c:v>SDNP</c:v>
                </c:pt>
              </c:strCache>
            </c:strRef>
          </c:cat>
          <c:val>
            <c:numRef>
              <c:f>Sheet2!$H$3:$H$7</c:f>
              <c:numCache>
                <c:formatCode>0</c:formatCode>
                <c:ptCount val="5"/>
                <c:pt idx="0">
                  <c:v>12098.293174999999</c:v>
                </c:pt>
                <c:pt idx="1">
                  <c:v>2707.1005170000003</c:v>
                </c:pt>
                <c:pt idx="2">
                  <c:v>0</c:v>
                </c:pt>
                <c:pt idx="3">
                  <c:v>0</c:v>
                </c:pt>
                <c:pt idx="4">
                  <c:v>1601.3690110000002</c:v>
                </c:pt>
              </c:numCache>
            </c:numRef>
          </c:val>
          <c:extLst xmlns:c16r2="http://schemas.microsoft.com/office/drawing/2015/06/chart">
            <c:ext xmlns:c16="http://schemas.microsoft.com/office/drawing/2014/chart" uri="{C3380CC4-5D6E-409C-BE32-E72D297353CC}">
              <c16:uniqueId val="{00000006-2192-4A1B-B7F6-80D173678B50}"/>
            </c:ext>
          </c:extLst>
        </c:ser>
        <c:dLbls>
          <c:showLegendKey val="0"/>
          <c:showVal val="0"/>
          <c:showCatName val="0"/>
          <c:showSerName val="0"/>
          <c:showPercent val="0"/>
          <c:showBubbleSize val="0"/>
        </c:dLbls>
        <c:gapWidth val="150"/>
        <c:overlap val="100"/>
        <c:axId val="290942976"/>
        <c:axId val="290944512"/>
      </c:barChart>
      <c:catAx>
        <c:axId val="290942976"/>
        <c:scaling>
          <c:orientation val="minMax"/>
        </c:scaling>
        <c:delete val="0"/>
        <c:axPos val="b"/>
        <c:numFmt formatCode="General" sourceLinked="0"/>
        <c:majorTickMark val="out"/>
        <c:minorTickMark val="none"/>
        <c:tickLblPos val="nextTo"/>
        <c:txPr>
          <a:bodyPr rot="0" vert="horz"/>
          <a:lstStyle/>
          <a:p>
            <a:pPr>
              <a:defRPr/>
            </a:pPr>
            <a:endParaRPr lang="en-US"/>
          </a:p>
        </c:txPr>
        <c:crossAx val="290944512"/>
        <c:crosses val="autoZero"/>
        <c:auto val="1"/>
        <c:lblAlgn val="ctr"/>
        <c:lblOffset val="100"/>
        <c:noMultiLvlLbl val="0"/>
      </c:catAx>
      <c:valAx>
        <c:axId val="290944512"/>
        <c:scaling>
          <c:orientation val="minMax"/>
        </c:scaling>
        <c:delete val="0"/>
        <c:axPos val="l"/>
        <c:majorGridlines/>
        <c:numFmt formatCode="#,##0" sourceLinked="0"/>
        <c:majorTickMark val="out"/>
        <c:minorTickMark val="none"/>
        <c:tickLblPos val="nextTo"/>
        <c:crossAx val="290942976"/>
        <c:crosses val="autoZero"/>
        <c:crossBetween val="between"/>
      </c:valAx>
    </c:plotArea>
    <c:legend>
      <c:legendPos val="r"/>
      <c:layout>
        <c:manualLayout>
          <c:xMode val="edge"/>
          <c:yMode val="edge"/>
          <c:x val="0.79128904018127921"/>
          <c:y val="3.9414110516422685E-2"/>
          <c:w val="0.1947893550343244"/>
          <c:h val="0.95925435785033397"/>
        </c:manualLayout>
      </c:layout>
      <c:overlay val="0"/>
    </c:legend>
    <c:plotVisOnly val="1"/>
    <c:dispBlanksAs val="gap"/>
    <c:showDLblsOverMax val="0"/>
  </c:chart>
  <c:txPr>
    <a:bodyPr/>
    <a:lstStyle/>
    <a:p>
      <a:pPr>
        <a:defRPr sz="1200">
          <a:latin typeface="Arial Narrow" panose="020B0606020202030204" pitchFamily="34" charset="0"/>
        </a:defRPr>
      </a:pPr>
      <a:endParaRPr lang="en-US"/>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2084598640187"/>
          <c:y val="3.4591194968553458E-2"/>
          <c:w val="0.84811122159218155"/>
          <c:h val="0.74000905059281386"/>
        </c:manualLayout>
      </c:layout>
      <c:lineChart>
        <c:grouping val="standard"/>
        <c:varyColors val="0"/>
        <c:ser>
          <c:idx val="1"/>
          <c:order val="0"/>
          <c:tx>
            <c:strRef>
              <c:f>Data!$A$3</c:f>
              <c:strCache>
                <c:ptCount val="1"/>
                <c:pt idx="0">
                  <c:v>Industrial Floorspace Chichister</c:v>
                </c:pt>
              </c:strCache>
            </c:strRef>
          </c:tx>
          <c:spPr>
            <a:ln w="28575" cap="rnd">
              <a:solidFill>
                <a:schemeClr val="accent2"/>
              </a:solidFill>
              <a:round/>
            </a:ln>
            <a:effectLst/>
          </c:spPr>
          <c:marker>
            <c:symbol val="none"/>
          </c:marker>
          <c:cat>
            <c:strRef>
              <c:f>Data!$C$1:$U$1</c:f>
              <c:strCache>
                <c:ptCount val="19"/>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strCache>
            </c:strRef>
          </c:cat>
          <c:val>
            <c:numRef>
              <c:f>Data!$C$3:$U$3</c:f>
              <c:numCache>
                <c:formatCode>#,##0</c:formatCode>
                <c:ptCount val="19"/>
                <c:pt idx="0">
                  <c:v>386</c:v>
                </c:pt>
                <c:pt idx="1">
                  <c:v>378</c:v>
                </c:pt>
                <c:pt idx="2">
                  <c:v>435</c:v>
                </c:pt>
                <c:pt idx="3">
                  <c:v>437</c:v>
                </c:pt>
                <c:pt idx="4">
                  <c:v>441</c:v>
                </c:pt>
                <c:pt idx="5">
                  <c:v>446</c:v>
                </c:pt>
                <c:pt idx="6">
                  <c:v>455</c:v>
                </c:pt>
                <c:pt idx="7">
                  <c:v>460</c:v>
                </c:pt>
                <c:pt idx="8">
                  <c:v>460</c:v>
                </c:pt>
                <c:pt idx="9">
                  <c:v>455</c:v>
                </c:pt>
                <c:pt idx="10">
                  <c:v>474</c:v>
                </c:pt>
                <c:pt idx="11">
                  <c:v>472</c:v>
                </c:pt>
                <c:pt idx="12">
                  <c:v>483</c:v>
                </c:pt>
                <c:pt idx="13">
                  <c:v>493</c:v>
                </c:pt>
                <c:pt idx="14">
                  <c:v>498</c:v>
                </c:pt>
                <c:pt idx="15">
                  <c:v>496</c:v>
                </c:pt>
                <c:pt idx="16">
                  <c:v>497</c:v>
                </c:pt>
                <c:pt idx="17">
                  <c:v>507</c:v>
                </c:pt>
                <c:pt idx="18">
                  <c:v>509</c:v>
                </c:pt>
              </c:numCache>
            </c:numRef>
          </c:val>
          <c:smooth val="0"/>
          <c:extLst xmlns:c16r2="http://schemas.microsoft.com/office/drawing/2015/06/chart">
            <c:ext xmlns:c16="http://schemas.microsoft.com/office/drawing/2014/chart" uri="{C3380CC4-5D6E-409C-BE32-E72D297353CC}">
              <c16:uniqueId val="{00000000-484F-4862-81CC-0C5007F96766}"/>
            </c:ext>
          </c:extLst>
        </c:ser>
        <c:dLbls>
          <c:showLegendKey val="0"/>
          <c:showVal val="0"/>
          <c:showCatName val="0"/>
          <c:showSerName val="0"/>
          <c:showPercent val="0"/>
          <c:showBubbleSize val="0"/>
        </c:dLbls>
        <c:marker val="1"/>
        <c:smooth val="0"/>
        <c:axId val="290961664"/>
        <c:axId val="290971648"/>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Data!$A$2</c15:sqref>
                        </c15:formulaRef>
                      </c:ext>
                    </c:extLst>
                    <c:strCache>
                      <c:ptCount val="1"/>
                      <c:pt idx="0">
                        <c:v>Office Floorspace Chichester</c:v>
                      </c:pt>
                    </c:strCache>
                  </c:strRef>
                </c:tx>
                <c:spPr>
                  <a:ln w="28575" cap="rnd">
                    <a:solidFill>
                      <a:schemeClr val="accent1"/>
                    </a:solidFill>
                    <a:round/>
                  </a:ln>
                  <a:effectLst/>
                </c:spPr>
                <c:marker>
                  <c:symbol val="none"/>
                </c:marker>
                <c:cat>
                  <c:strRef>
                    <c:extLst>
                      <c:ext uri="{02D57815-91ED-43cb-92C2-25804820EDAC}">
                        <c15:formulaRef>
                          <c15:sqref>Data!$C$1:$U$1</c15:sqref>
                        </c15:formulaRef>
                      </c:ext>
                    </c:extLst>
                    <c:strCache>
                      <c:ptCount val="19"/>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strCache>
                  </c:strRef>
                </c:cat>
                <c:val>
                  <c:numRef>
                    <c:extLst>
                      <c:ext uri="{02D57815-91ED-43cb-92C2-25804820EDAC}">
                        <c15:formulaRef>
                          <c15:sqref>Data!$C$2:$U$2</c15:sqref>
                        </c15:formulaRef>
                      </c:ext>
                    </c:extLst>
                    <c:numCache>
                      <c:formatCode>#,##0</c:formatCode>
                      <c:ptCount val="19"/>
                      <c:pt idx="0">
                        <c:v>113</c:v>
                      </c:pt>
                      <c:pt idx="1">
                        <c:v>113</c:v>
                      </c:pt>
                      <c:pt idx="2">
                        <c:v>120</c:v>
                      </c:pt>
                      <c:pt idx="3">
                        <c:v>102</c:v>
                      </c:pt>
                      <c:pt idx="4">
                        <c:v>105</c:v>
                      </c:pt>
                      <c:pt idx="5">
                        <c:v>97</c:v>
                      </c:pt>
                      <c:pt idx="6">
                        <c:v>96</c:v>
                      </c:pt>
                      <c:pt idx="7">
                        <c:v>97</c:v>
                      </c:pt>
                      <c:pt idx="8">
                        <c:v>99</c:v>
                      </c:pt>
                      <c:pt idx="9">
                        <c:v>96</c:v>
                      </c:pt>
                      <c:pt idx="10">
                        <c:v>97</c:v>
                      </c:pt>
                      <c:pt idx="11">
                        <c:v>98</c:v>
                      </c:pt>
                      <c:pt idx="12">
                        <c:v>98</c:v>
                      </c:pt>
                      <c:pt idx="13">
                        <c:v>101</c:v>
                      </c:pt>
                      <c:pt idx="14">
                        <c:v>105</c:v>
                      </c:pt>
                      <c:pt idx="15">
                        <c:v>104</c:v>
                      </c:pt>
                      <c:pt idx="16">
                        <c:v>103</c:v>
                      </c:pt>
                      <c:pt idx="17">
                        <c:v>103</c:v>
                      </c:pt>
                      <c:pt idx="18">
                        <c:v>101</c:v>
                      </c:pt>
                    </c:numCache>
                  </c:numRef>
                </c:val>
                <c:smooth val="0"/>
                <c:extLst>
                  <c:ext xmlns:c16="http://schemas.microsoft.com/office/drawing/2014/chart" uri="{C3380CC4-5D6E-409C-BE32-E72D297353CC}">
                    <c16:uniqueId val="{00000001-484F-4862-81CC-0C5007F96766}"/>
                  </c:ext>
                </c:extLst>
              </c15:ser>
            </c15:filteredLineSeries>
          </c:ext>
        </c:extLst>
      </c:lineChart>
      <c:catAx>
        <c:axId val="29096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90971648"/>
        <c:crosses val="autoZero"/>
        <c:auto val="1"/>
        <c:lblAlgn val="ctr"/>
        <c:lblOffset val="100"/>
        <c:noMultiLvlLbl val="0"/>
      </c:catAx>
      <c:valAx>
        <c:axId val="290971648"/>
        <c:scaling>
          <c:orientation val="minMax"/>
          <c:min val="30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GB"/>
                  <a:t>Floorspace sqm ('000s)</a:t>
                </a:r>
              </a:p>
            </c:rich>
          </c:tx>
          <c:overlay val="0"/>
          <c:spPr>
            <a:noFill/>
            <a:ln>
              <a:noFill/>
            </a:ln>
            <a:effectLst/>
          </c:spPr>
        </c:title>
        <c:numFmt formatCode="#,##0" sourceLinked="1"/>
        <c:majorTickMark val="none"/>
        <c:minorTickMark val="none"/>
        <c:tickLblPos val="nextTo"/>
        <c:spPr>
          <a:noFill/>
          <a:ln>
            <a:noFill/>
          </a:ln>
          <a:effectLst/>
        </c:spPr>
        <c:txPr>
          <a:bodyPr rot="-60000000" vert="horz"/>
          <a:lstStyle/>
          <a:p>
            <a:pPr>
              <a:defRPr/>
            </a:pPr>
            <a:endParaRPr lang="en-US"/>
          </a:p>
        </c:txPr>
        <c:crossAx val="2909616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6350" cap="flat" cmpd="sng" algn="ctr">
      <a:solidFill>
        <a:schemeClr val="bg2"/>
      </a:solidFill>
      <a:round/>
    </a:ln>
    <a:effectLst/>
  </c:spPr>
  <c:txPr>
    <a:bodyPr/>
    <a:lstStyle/>
    <a:p>
      <a:pPr>
        <a:defRPr sz="1100"/>
      </a:pPr>
      <a:endParaRPr lang="en-US"/>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Sheet2!$A$21</c:f>
              <c:strCache>
                <c:ptCount val="1"/>
                <c:pt idx="0">
                  <c:v>Less than 185 sqm</c:v>
                </c:pt>
              </c:strCache>
            </c:strRef>
          </c:tx>
          <c:invertIfNegative val="0"/>
          <c:cat>
            <c:numRef>
              <c:f>Sheet2!$D$20:$O$20</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Sheet2!$D$21:$O$21</c:f>
              <c:numCache>
                <c:formatCode>General</c:formatCode>
                <c:ptCount val="12"/>
                <c:pt idx="0">
                  <c:v>2</c:v>
                </c:pt>
                <c:pt idx="1">
                  <c:v>10</c:v>
                </c:pt>
                <c:pt idx="2">
                  <c:v>7</c:v>
                </c:pt>
                <c:pt idx="3">
                  <c:v>5</c:v>
                </c:pt>
                <c:pt idx="4">
                  <c:v>7</c:v>
                </c:pt>
                <c:pt idx="5">
                  <c:v>10</c:v>
                </c:pt>
                <c:pt idx="6">
                  <c:v>17</c:v>
                </c:pt>
                <c:pt idx="7">
                  <c:v>21</c:v>
                </c:pt>
                <c:pt idx="8">
                  <c:v>27</c:v>
                </c:pt>
                <c:pt idx="9">
                  <c:v>49</c:v>
                </c:pt>
                <c:pt idx="10">
                  <c:v>49</c:v>
                </c:pt>
                <c:pt idx="11">
                  <c:v>21</c:v>
                </c:pt>
              </c:numCache>
            </c:numRef>
          </c:val>
          <c:extLst xmlns:c16r2="http://schemas.microsoft.com/office/drawing/2015/06/chart">
            <c:ext xmlns:c16="http://schemas.microsoft.com/office/drawing/2014/chart" uri="{C3380CC4-5D6E-409C-BE32-E72D297353CC}">
              <c16:uniqueId val="{00000000-AA6E-41DA-A409-67F71B6B5A50}"/>
            </c:ext>
          </c:extLst>
        </c:ser>
        <c:ser>
          <c:idx val="1"/>
          <c:order val="1"/>
          <c:tx>
            <c:strRef>
              <c:f>Sheet2!$A$22</c:f>
              <c:strCache>
                <c:ptCount val="1"/>
                <c:pt idx="0">
                  <c:v>185-500 sqm</c:v>
                </c:pt>
              </c:strCache>
            </c:strRef>
          </c:tx>
          <c:invertIfNegative val="0"/>
          <c:cat>
            <c:numRef>
              <c:f>Sheet2!$D$20:$O$20</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Sheet2!$D$22:$O$22</c:f>
              <c:numCache>
                <c:formatCode>General</c:formatCode>
                <c:ptCount val="12"/>
                <c:pt idx="0">
                  <c:v>7</c:v>
                </c:pt>
                <c:pt idx="1">
                  <c:v>4</c:v>
                </c:pt>
                <c:pt idx="2">
                  <c:v>12</c:v>
                </c:pt>
                <c:pt idx="3">
                  <c:v>15</c:v>
                </c:pt>
                <c:pt idx="4">
                  <c:v>13</c:v>
                </c:pt>
                <c:pt idx="5">
                  <c:v>8</c:v>
                </c:pt>
                <c:pt idx="6">
                  <c:v>23</c:v>
                </c:pt>
                <c:pt idx="7">
                  <c:v>11</c:v>
                </c:pt>
                <c:pt idx="8">
                  <c:v>13</c:v>
                </c:pt>
                <c:pt idx="9">
                  <c:v>12</c:v>
                </c:pt>
                <c:pt idx="10">
                  <c:v>14</c:v>
                </c:pt>
                <c:pt idx="11">
                  <c:v>13</c:v>
                </c:pt>
              </c:numCache>
            </c:numRef>
          </c:val>
          <c:extLst xmlns:c16r2="http://schemas.microsoft.com/office/drawing/2015/06/chart">
            <c:ext xmlns:c16="http://schemas.microsoft.com/office/drawing/2014/chart" uri="{C3380CC4-5D6E-409C-BE32-E72D297353CC}">
              <c16:uniqueId val="{00000001-AA6E-41DA-A409-67F71B6B5A50}"/>
            </c:ext>
          </c:extLst>
        </c:ser>
        <c:ser>
          <c:idx val="2"/>
          <c:order val="2"/>
          <c:tx>
            <c:strRef>
              <c:f>Sheet2!$A$23</c:f>
              <c:strCache>
                <c:ptCount val="1"/>
                <c:pt idx="0">
                  <c:v>500-1,000 sqm</c:v>
                </c:pt>
              </c:strCache>
            </c:strRef>
          </c:tx>
          <c:invertIfNegative val="0"/>
          <c:cat>
            <c:numRef>
              <c:f>Sheet2!$D$20:$O$20</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Sheet2!$D$23:$O$23</c:f>
              <c:numCache>
                <c:formatCode>General</c:formatCode>
                <c:ptCount val="12"/>
                <c:pt idx="0">
                  <c:v>2</c:v>
                </c:pt>
                <c:pt idx="1">
                  <c:v>1</c:v>
                </c:pt>
                <c:pt idx="2">
                  <c:v>4</c:v>
                </c:pt>
                <c:pt idx="3">
                  <c:v>0</c:v>
                </c:pt>
                <c:pt idx="4">
                  <c:v>4</c:v>
                </c:pt>
                <c:pt idx="5">
                  <c:v>3</c:v>
                </c:pt>
                <c:pt idx="6">
                  <c:v>4</c:v>
                </c:pt>
                <c:pt idx="7">
                  <c:v>4</c:v>
                </c:pt>
                <c:pt idx="8">
                  <c:v>6</c:v>
                </c:pt>
                <c:pt idx="9">
                  <c:v>5</c:v>
                </c:pt>
                <c:pt idx="10">
                  <c:v>2</c:v>
                </c:pt>
                <c:pt idx="11">
                  <c:v>3</c:v>
                </c:pt>
              </c:numCache>
            </c:numRef>
          </c:val>
          <c:extLst xmlns:c16r2="http://schemas.microsoft.com/office/drawing/2015/06/chart">
            <c:ext xmlns:c16="http://schemas.microsoft.com/office/drawing/2014/chart" uri="{C3380CC4-5D6E-409C-BE32-E72D297353CC}">
              <c16:uniqueId val="{00000002-AA6E-41DA-A409-67F71B6B5A50}"/>
            </c:ext>
          </c:extLst>
        </c:ser>
        <c:ser>
          <c:idx val="3"/>
          <c:order val="3"/>
          <c:tx>
            <c:strRef>
              <c:f>Sheet2!$A$24</c:f>
              <c:strCache>
                <c:ptCount val="1"/>
                <c:pt idx="0">
                  <c:v>1,000-10,000 sqm</c:v>
                </c:pt>
              </c:strCache>
            </c:strRef>
          </c:tx>
          <c:invertIfNegative val="0"/>
          <c:cat>
            <c:numRef>
              <c:f>Sheet2!$D$20:$O$20</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Sheet2!$D$24:$O$24</c:f>
              <c:numCache>
                <c:formatCode>General</c:formatCode>
                <c:ptCount val="12"/>
                <c:pt idx="0">
                  <c:v>3</c:v>
                </c:pt>
                <c:pt idx="1">
                  <c:v>2</c:v>
                </c:pt>
                <c:pt idx="2">
                  <c:v>2</c:v>
                </c:pt>
                <c:pt idx="3">
                  <c:v>4</c:v>
                </c:pt>
                <c:pt idx="4">
                  <c:v>5</c:v>
                </c:pt>
                <c:pt idx="5">
                  <c:v>3</c:v>
                </c:pt>
                <c:pt idx="6">
                  <c:v>7</c:v>
                </c:pt>
                <c:pt idx="7">
                  <c:v>6</c:v>
                </c:pt>
                <c:pt idx="8">
                  <c:v>11</c:v>
                </c:pt>
                <c:pt idx="9">
                  <c:v>7</c:v>
                </c:pt>
                <c:pt idx="10">
                  <c:v>7</c:v>
                </c:pt>
                <c:pt idx="11">
                  <c:v>9</c:v>
                </c:pt>
              </c:numCache>
            </c:numRef>
          </c:val>
          <c:extLst xmlns:c16r2="http://schemas.microsoft.com/office/drawing/2015/06/chart">
            <c:ext xmlns:c16="http://schemas.microsoft.com/office/drawing/2014/chart" uri="{C3380CC4-5D6E-409C-BE32-E72D297353CC}">
              <c16:uniqueId val="{00000003-AA6E-41DA-A409-67F71B6B5A50}"/>
            </c:ext>
          </c:extLst>
        </c:ser>
        <c:ser>
          <c:idx val="4"/>
          <c:order val="4"/>
          <c:tx>
            <c:strRef>
              <c:f>Sheet2!$A$25</c:f>
              <c:strCache>
                <c:ptCount val="1"/>
                <c:pt idx="0">
                  <c:v>10,000+ sqm</c:v>
                </c:pt>
              </c:strCache>
            </c:strRef>
          </c:tx>
          <c:invertIfNegative val="0"/>
          <c:cat>
            <c:numRef>
              <c:f>Sheet2!$D$20:$O$20</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Sheet2!$D$25:$O$25</c:f>
              <c:numCache>
                <c:formatCode>General</c:formatCode>
                <c:ptCount val="12"/>
                <c:pt idx="0">
                  <c:v>0</c:v>
                </c:pt>
                <c:pt idx="1">
                  <c:v>0</c:v>
                </c:pt>
                <c:pt idx="2">
                  <c:v>0</c:v>
                </c:pt>
                <c:pt idx="3">
                  <c:v>0</c:v>
                </c:pt>
                <c:pt idx="4">
                  <c:v>0</c:v>
                </c:pt>
                <c:pt idx="5">
                  <c:v>0</c:v>
                </c:pt>
                <c:pt idx="6">
                  <c:v>0</c:v>
                </c:pt>
                <c:pt idx="7">
                  <c:v>0</c:v>
                </c:pt>
                <c:pt idx="8">
                  <c:v>0</c:v>
                </c:pt>
                <c:pt idx="9">
                  <c:v>0</c:v>
                </c:pt>
                <c:pt idx="10">
                  <c:v>1</c:v>
                </c:pt>
                <c:pt idx="11">
                  <c:v>0</c:v>
                </c:pt>
              </c:numCache>
            </c:numRef>
          </c:val>
          <c:extLst xmlns:c16r2="http://schemas.microsoft.com/office/drawing/2015/06/chart">
            <c:ext xmlns:c16="http://schemas.microsoft.com/office/drawing/2014/chart" uri="{C3380CC4-5D6E-409C-BE32-E72D297353CC}">
              <c16:uniqueId val="{00000004-AA6E-41DA-A409-67F71B6B5A50}"/>
            </c:ext>
          </c:extLst>
        </c:ser>
        <c:dLbls>
          <c:showLegendKey val="0"/>
          <c:showVal val="0"/>
          <c:showCatName val="0"/>
          <c:showSerName val="0"/>
          <c:showPercent val="0"/>
          <c:showBubbleSize val="0"/>
        </c:dLbls>
        <c:gapWidth val="150"/>
        <c:overlap val="100"/>
        <c:axId val="290878208"/>
        <c:axId val="290879744"/>
      </c:barChart>
      <c:catAx>
        <c:axId val="290878208"/>
        <c:scaling>
          <c:orientation val="minMax"/>
        </c:scaling>
        <c:delete val="0"/>
        <c:axPos val="b"/>
        <c:numFmt formatCode="General" sourceLinked="1"/>
        <c:majorTickMark val="out"/>
        <c:minorTickMark val="none"/>
        <c:tickLblPos val="nextTo"/>
        <c:crossAx val="290879744"/>
        <c:crosses val="autoZero"/>
        <c:auto val="1"/>
        <c:lblAlgn val="ctr"/>
        <c:lblOffset val="100"/>
        <c:noMultiLvlLbl val="0"/>
      </c:catAx>
      <c:valAx>
        <c:axId val="290879744"/>
        <c:scaling>
          <c:orientation val="minMax"/>
        </c:scaling>
        <c:delete val="0"/>
        <c:axPos val="l"/>
        <c:majorGridlines/>
        <c:numFmt formatCode="General" sourceLinked="1"/>
        <c:majorTickMark val="out"/>
        <c:minorTickMark val="none"/>
        <c:tickLblPos val="nextTo"/>
        <c:crossAx val="290878208"/>
        <c:crosses val="autoZero"/>
        <c:crossBetween val="between"/>
      </c:valAx>
    </c:plotArea>
    <c:legend>
      <c:legendPos val="r"/>
      <c:overlay val="0"/>
    </c:legend>
    <c:plotVisOnly val="1"/>
    <c:dispBlanksAs val="gap"/>
    <c:showDLblsOverMax val="0"/>
  </c:chart>
  <c:txPr>
    <a:bodyPr/>
    <a:lstStyle/>
    <a:p>
      <a:pPr>
        <a:defRPr sz="1200">
          <a:latin typeface="Arial Narrow" panose="020B0606020202030204" pitchFamily="34" charset="0"/>
        </a:defRPr>
      </a:pPr>
      <a:endParaRPr lang="en-US"/>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Sheet2!$D$3</c:f>
              <c:strCache>
                <c:ptCount val="1"/>
                <c:pt idx="0">
                  <c:v>2007</c:v>
                </c:pt>
              </c:strCache>
            </c:strRef>
          </c:tx>
          <c:invertIfNegative val="0"/>
          <c:cat>
            <c:strRef>
              <c:f>Sheet2!$A$4:$A$8</c:f>
              <c:strCache>
                <c:ptCount val="5"/>
                <c:pt idx="0">
                  <c:v>Chichester City</c:v>
                </c:pt>
                <c:pt idx="1">
                  <c:v>East-West Corridor</c:v>
                </c:pt>
                <c:pt idx="2">
                  <c:v>Manhood Peninsula</c:v>
                </c:pt>
                <c:pt idx="3">
                  <c:v>Plan Area North</c:v>
                </c:pt>
                <c:pt idx="4">
                  <c:v>SDNP</c:v>
                </c:pt>
              </c:strCache>
            </c:strRef>
          </c:cat>
          <c:val>
            <c:numRef>
              <c:f>Sheet2!$D$4:$D$8</c:f>
              <c:numCache>
                <c:formatCode>General</c:formatCode>
                <c:ptCount val="5"/>
                <c:pt idx="0">
                  <c:v>4</c:v>
                </c:pt>
                <c:pt idx="1">
                  <c:v>2</c:v>
                </c:pt>
                <c:pt idx="2">
                  <c:v>1</c:v>
                </c:pt>
                <c:pt idx="3">
                  <c:v>0</c:v>
                </c:pt>
                <c:pt idx="4">
                  <c:v>7</c:v>
                </c:pt>
              </c:numCache>
            </c:numRef>
          </c:val>
          <c:extLst xmlns:c16r2="http://schemas.microsoft.com/office/drawing/2015/06/chart">
            <c:ext xmlns:c16="http://schemas.microsoft.com/office/drawing/2014/chart" uri="{C3380CC4-5D6E-409C-BE32-E72D297353CC}">
              <c16:uniqueId val="{00000000-1CF3-4F8F-87C6-700A1005FDCD}"/>
            </c:ext>
          </c:extLst>
        </c:ser>
        <c:ser>
          <c:idx val="1"/>
          <c:order val="1"/>
          <c:tx>
            <c:strRef>
              <c:f>Sheet2!$E$3</c:f>
              <c:strCache>
                <c:ptCount val="1"/>
                <c:pt idx="0">
                  <c:v>2008</c:v>
                </c:pt>
              </c:strCache>
            </c:strRef>
          </c:tx>
          <c:invertIfNegative val="0"/>
          <c:cat>
            <c:strRef>
              <c:f>Sheet2!$A$4:$A$8</c:f>
              <c:strCache>
                <c:ptCount val="5"/>
                <c:pt idx="0">
                  <c:v>Chichester City</c:v>
                </c:pt>
                <c:pt idx="1">
                  <c:v>East-West Corridor</c:v>
                </c:pt>
                <c:pt idx="2">
                  <c:v>Manhood Peninsula</c:v>
                </c:pt>
                <c:pt idx="3">
                  <c:v>Plan Area North</c:v>
                </c:pt>
                <c:pt idx="4">
                  <c:v>SDNP</c:v>
                </c:pt>
              </c:strCache>
            </c:strRef>
          </c:cat>
          <c:val>
            <c:numRef>
              <c:f>Sheet2!$E$4:$E$8</c:f>
              <c:numCache>
                <c:formatCode>General</c:formatCode>
                <c:ptCount val="5"/>
                <c:pt idx="0">
                  <c:v>4</c:v>
                </c:pt>
                <c:pt idx="1">
                  <c:v>4</c:v>
                </c:pt>
                <c:pt idx="2">
                  <c:v>4</c:v>
                </c:pt>
                <c:pt idx="3">
                  <c:v>0</c:v>
                </c:pt>
                <c:pt idx="4">
                  <c:v>5</c:v>
                </c:pt>
              </c:numCache>
            </c:numRef>
          </c:val>
          <c:extLst xmlns:c16r2="http://schemas.microsoft.com/office/drawing/2015/06/chart">
            <c:ext xmlns:c16="http://schemas.microsoft.com/office/drawing/2014/chart" uri="{C3380CC4-5D6E-409C-BE32-E72D297353CC}">
              <c16:uniqueId val="{00000001-1CF3-4F8F-87C6-700A1005FDCD}"/>
            </c:ext>
          </c:extLst>
        </c:ser>
        <c:ser>
          <c:idx val="2"/>
          <c:order val="2"/>
          <c:tx>
            <c:strRef>
              <c:f>Sheet2!$F$3</c:f>
              <c:strCache>
                <c:ptCount val="1"/>
                <c:pt idx="0">
                  <c:v>2009</c:v>
                </c:pt>
              </c:strCache>
            </c:strRef>
          </c:tx>
          <c:invertIfNegative val="0"/>
          <c:cat>
            <c:strRef>
              <c:f>Sheet2!$A$4:$A$8</c:f>
              <c:strCache>
                <c:ptCount val="5"/>
                <c:pt idx="0">
                  <c:v>Chichester City</c:v>
                </c:pt>
                <c:pt idx="1">
                  <c:v>East-West Corridor</c:v>
                </c:pt>
                <c:pt idx="2">
                  <c:v>Manhood Peninsula</c:v>
                </c:pt>
                <c:pt idx="3">
                  <c:v>Plan Area North</c:v>
                </c:pt>
                <c:pt idx="4">
                  <c:v>SDNP</c:v>
                </c:pt>
              </c:strCache>
            </c:strRef>
          </c:cat>
          <c:val>
            <c:numRef>
              <c:f>Sheet2!$F$4:$F$8</c:f>
              <c:numCache>
                <c:formatCode>General</c:formatCode>
                <c:ptCount val="5"/>
                <c:pt idx="0">
                  <c:v>5</c:v>
                </c:pt>
                <c:pt idx="1">
                  <c:v>3</c:v>
                </c:pt>
                <c:pt idx="2">
                  <c:v>9</c:v>
                </c:pt>
                <c:pt idx="3">
                  <c:v>3</c:v>
                </c:pt>
                <c:pt idx="4">
                  <c:v>5</c:v>
                </c:pt>
              </c:numCache>
            </c:numRef>
          </c:val>
          <c:extLst xmlns:c16r2="http://schemas.microsoft.com/office/drawing/2015/06/chart">
            <c:ext xmlns:c16="http://schemas.microsoft.com/office/drawing/2014/chart" uri="{C3380CC4-5D6E-409C-BE32-E72D297353CC}">
              <c16:uniqueId val="{00000002-1CF3-4F8F-87C6-700A1005FDCD}"/>
            </c:ext>
          </c:extLst>
        </c:ser>
        <c:ser>
          <c:idx val="3"/>
          <c:order val="3"/>
          <c:tx>
            <c:strRef>
              <c:f>Sheet2!$G$3</c:f>
              <c:strCache>
                <c:ptCount val="1"/>
                <c:pt idx="0">
                  <c:v>2010</c:v>
                </c:pt>
              </c:strCache>
            </c:strRef>
          </c:tx>
          <c:invertIfNegative val="0"/>
          <c:cat>
            <c:strRef>
              <c:f>Sheet2!$A$4:$A$8</c:f>
              <c:strCache>
                <c:ptCount val="5"/>
                <c:pt idx="0">
                  <c:v>Chichester City</c:v>
                </c:pt>
                <c:pt idx="1">
                  <c:v>East-West Corridor</c:v>
                </c:pt>
                <c:pt idx="2">
                  <c:v>Manhood Peninsula</c:v>
                </c:pt>
                <c:pt idx="3">
                  <c:v>Plan Area North</c:v>
                </c:pt>
                <c:pt idx="4">
                  <c:v>SDNP</c:v>
                </c:pt>
              </c:strCache>
            </c:strRef>
          </c:cat>
          <c:val>
            <c:numRef>
              <c:f>Sheet2!$G$4:$G$8</c:f>
              <c:numCache>
                <c:formatCode>General</c:formatCode>
                <c:ptCount val="5"/>
                <c:pt idx="0">
                  <c:v>6</c:v>
                </c:pt>
                <c:pt idx="1">
                  <c:v>6</c:v>
                </c:pt>
                <c:pt idx="2">
                  <c:v>5</c:v>
                </c:pt>
                <c:pt idx="3">
                  <c:v>0</c:v>
                </c:pt>
                <c:pt idx="4">
                  <c:v>7</c:v>
                </c:pt>
              </c:numCache>
            </c:numRef>
          </c:val>
          <c:extLst xmlns:c16r2="http://schemas.microsoft.com/office/drawing/2015/06/chart">
            <c:ext xmlns:c16="http://schemas.microsoft.com/office/drawing/2014/chart" uri="{C3380CC4-5D6E-409C-BE32-E72D297353CC}">
              <c16:uniqueId val="{00000003-1CF3-4F8F-87C6-700A1005FDCD}"/>
            </c:ext>
          </c:extLst>
        </c:ser>
        <c:ser>
          <c:idx val="4"/>
          <c:order val="4"/>
          <c:tx>
            <c:strRef>
              <c:f>Sheet2!$H$3</c:f>
              <c:strCache>
                <c:ptCount val="1"/>
                <c:pt idx="0">
                  <c:v>2011</c:v>
                </c:pt>
              </c:strCache>
            </c:strRef>
          </c:tx>
          <c:invertIfNegative val="0"/>
          <c:cat>
            <c:strRef>
              <c:f>Sheet2!$A$4:$A$8</c:f>
              <c:strCache>
                <c:ptCount val="5"/>
                <c:pt idx="0">
                  <c:v>Chichester City</c:v>
                </c:pt>
                <c:pt idx="1">
                  <c:v>East-West Corridor</c:v>
                </c:pt>
                <c:pt idx="2">
                  <c:v>Manhood Peninsula</c:v>
                </c:pt>
                <c:pt idx="3">
                  <c:v>Plan Area North</c:v>
                </c:pt>
                <c:pt idx="4">
                  <c:v>SDNP</c:v>
                </c:pt>
              </c:strCache>
            </c:strRef>
          </c:cat>
          <c:val>
            <c:numRef>
              <c:f>Sheet2!$H$4:$H$8</c:f>
              <c:numCache>
                <c:formatCode>General</c:formatCode>
                <c:ptCount val="5"/>
                <c:pt idx="0">
                  <c:v>9</c:v>
                </c:pt>
                <c:pt idx="1">
                  <c:v>7</c:v>
                </c:pt>
                <c:pt idx="2">
                  <c:v>4</c:v>
                </c:pt>
                <c:pt idx="3">
                  <c:v>0</c:v>
                </c:pt>
                <c:pt idx="4">
                  <c:v>9</c:v>
                </c:pt>
              </c:numCache>
            </c:numRef>
          </c:val>
          <c:extLst xmlns:c16r2="http://schemas.microsoft.com/office/drawing/2015/06/chart">
            <c:ext xmlns:c16="http://schemas.microsoft.com/office/drawing/2014/chart" uri="{C3380CC4-5D6E-409C-BE32-E72D297353CC}">
              <c16:uniqueId val="{00000004-1CF3-4F8F-87C6-700A1005FDCD}"/>
            </c:ext>
          </c:extLst>
        </c:ser>
        <c:ser>
          <c:idx val="5"/>
          <c:order val="5"/>
          <c:tx>
            <c:strRef>
              <c:f>Sheet2!$I$3</c:f>
              <c:strCache>
                <c:ptCount val="1"/>
                <c:pt idx="0">
                  <c:v>2012</c:v>
                </c:pt>
              </c:strCache>
            </c:strRef>
          </c:tx>
          <c:invertIfNegative val="0"/>
          <c:cat>
            <c:strRef>
              <c:f>Sheet2!$A$4:$A$8</c:f>
              <c:strCache>
                <c:ptCount val="5"/>
                <c:pt idx="0">
                  <c:v>Chichester City</c:v>
                </c:pt>
                <c:pt idx="1">
                  <c:v>East-West Corridor</c:v>
                </c:pt>
                <c:pt idx="2">
                  <c:v>Manhood Peninsula</c:v>
                </c:pt>
                <c:pt idx="3">
                  <c:v>Plan Area North</c:v>
                </c:pt>
                <c:pt idx="4">
                  <c:v>SDNP</c:v>
                </c:pt>
              </c:strCache>
            </c:strRef>
          </c:cat>
          <c:val>
            <c:numRef>
              <c:f>Sheet2!$I$4:$I$8</c:f>
              <c:numCache>
                <c:formatCode>General</c:formatCode>
                <c:ptCount val="5"/>
                <c:pt idx="0">
                  <c:v>15</c:v>
                </c:pt>
                <c:pt idx="1">
                  <c:v>3</c:v>
                </c:pt>
                <c:pt idx="2">
                  <c:v>3</c:v>
                </c:pt>
                <c:pt idx="3">
                  <c:v>1</c:v>
                </c:pt>
                <c:pt idx="4">
                  <c:v>2</c:v>
                </c:pt>
              </c:numCache>
            </c:numRef>
          </c:val>
          <c:extLst xmlns:c16r2="http://schemas.microsoft.com/office/drawing/2015/06/chart">
            <c:ext xmlns:c16="http://schemas.microsoft.com/office/drawing/2014/chart" uri="{C3380CC4-5D6E-409C-BE32-E72D297353CC}">
              <c16:uniqueId val="{00000005-1CF3-4F8F-87C6-700A1005FDCD}"/>
            </c:ext>
          </c:extLst>
        </c:ser>
        <c:ser>
          <c:idx val="6"/>
          <c:order val="6"/>
          <c:tx>
            <c:strRef>
              <c:f>Sheet2!$J$3</c:f>
              <c:strCache>
                <c:ptCount val="1"/>
                <c:pt idx="0">
                  <c:v>2013</c:v>
                </c:pt>
              </c:strCache>
            </c:strRef>
          </c:tx>
          <c:invertIfNegative val="0"/>
          <c:cat>
            <c:strRef>
              <c:f>Sheet2!$A$4:$A$8</c:f>
              <c:strCache>
                <c:ptCount val="5"/>
                <c:pt idx="0">
                  <c:v>Chichester City</c:v>
                </c:pt>
                <c:pt idx="1">
                  <c:v>East-West Corridor</c:v>
                </c:pt>
                <c:pt idx="2">
                  <c:v>Manhood Peninsula</c:v>
                </c:pt>
                <c:pt idx="3">
                  <c:v>Plan Area North</c:v>
                </c:pt>
                <c:pt idx="4">
                  <c:v>SDNP</c:v>
                </c:pt>
              </c:strCache>
            </c:strRef>
          </c:cat>
          <c:val>
            <c:numRef>
              <c:f>Sheet2!$J$4:$J$8</c:f>
              <c:numCache>
                <c:formatCode>General</c:formatCode>
                <c:ptCount val="5"/>
                <c:pt idx="0">
                  <c:v>20</c:v>
                </c:pt>
                <c:pt idx="1">
                  <c:v>8</c:v>
                </c:pt>
                <c:pt idx="2">
                  <c:v>16</c:v>
                </c:pt>
                <c:pt idx="3">
                  <c:v>1</c:v>
                </c:pt>
                <c:pt idx="4">
                  <c:v>6</c:v>
                </c:pt>
              </c:numCache>
            </c:numRef>
          </c:val>
          <c:extLst xmlns:c16r2="http://schemas.microsoft.com/office/drawing/2015/06/chart">
            <c:ext xmlns:c16="http://schemas.microsoft.com/office/drawing/2014/chart" uri="{C3380CC4-5D6E-409C-BE32-E72D297353CC}">
              <c16:uniqueId val="{00000006-1CF3-4F8F-87C6-700A1005FDCD}"/>
            </c:ext>
          </c:extLst>
        </c:ser>
        <c:ser>
          <c:idx val="7"/>
          <c:order val="7"/>
          <c:tx>
            <c:strRef>
              <c:f>Sheet2!$K$3</c:f>
              <c:strCache>
                <c:ptCount val="1"/>
                <c:pt idx="0">
                  <c:v>2014</c:v>
                </c:pt>
              </c:strCache>
            </c:strRef>
          </c:tx>
          <c:invertIfNegative val="0"/>
          <c:cat>
            <c:strRef>
              <c:f>Sheet2!$A$4:$A$8</c:f>
              <c:strCache>
                <c:ptCount val="5"/>
                <c:pt idx="0">
                  <c:v>Chichester City</c:v>
                </c:pt>
                <c:pt idx="1">
                  <c:v>East-West Corridor</c:v>
                </c:pt>
                <c:pt idx="2">
                  <c:v>Manhood Peninsula</c:v>
                </c:pt>
                <c:pt idx="3">
                  <c:v>Plan Area North</c:v>
                </c:pt>
                <c:pt idx="4">
                  <c:v>SDNP</c:v>
                </c:pt>
              </c:strCache>
            </c:strRef>
          </c:cat>
          <c:val>
            <c:numRef>
              <c:f>Sheet2!$K$4:$K$8</c:f>
              <c:numCache>
                <c:formatCode>General</c:formatCode>
                <c:ptCount val="5"/>
                <c:pt idx="0">
                  <c:v>20</c:v>
                </c:pt>
                <c:pt idx="1">
                  <c:v>5</c:v>
                </c:pt>
                <c:pt idx="2">
                  <c:v>7</c:v>
                </c:pt>
                <c:pt idx="3">
                  <c:v>0</c:v>
                </c:pt>
                <c:pt idx="4">
                  <c:v>10</c:v>
                </c:pt>
              </c:numCache>
            </c:numRef>
          </c:val>
          <c:extLst xmlns:c16r2="http://schemas.microsoft.com/office/drawing/2015/06/chart">
            <c:ext xmlns:c16="http://schemas.microsoft.com/office/drawing/2014/chart" uri="{C3380CC4-5D6E-409C-BE32-E72D297353CC}">
              <c16:uniqueId val="{00000007-1CF3-4F8F-87C6-700A1005FDCD}"/>
            </c:ext>
          </c:extLst>
        </c:ser>
        <c:ser>
          <c:idx val="8"/>
          <c:order val="8"/>
          <c:tx>
            <c:strRef>
              <c:f>Sheet2!$L$3</c:f>
              <c:strCache>
                <c:ptCount val="1"/>
                <c:pt idx="0">
                  <c:v>2015</c:v>
                </c:pt>
              </c:strCache>
            </c:strRef>
          </c:tx>
          <c:invertIfNegative val="0"/>
          <c:cat>
            <c:strRef>
              <c:f>Sheet2!$A$4:$A$8</c:f>
              <c:strCache>
                <c:ptCount val="5"/>
                <c:pt idx="0">
                  <c:v>Chichester City</c:v>
                </c:pt>
                <c:pt idx="1">
                  <c:v>East-West Corridor</c:v>
                </c:pt>
                <c:pt idx="2">
                  <c:v>Manhood Peninsula</c:v>
                </c:pt>
                <c:pt idx="3">
                  <c:v>Plan Area North</c:v>
                </c:pt>
                <c:pt idx="4">
                  <c:v>SDNP</c:v>
                </c:pt>
              </c:strCache>
            </c:strRef>
          </c:cat>
          <c:val>
            <c:numRef>
              <c:f>Sheet2!$L$4:$L$8</c:f>
              <c:numCache>
                <c:formatCode>General</c:formatCode>
                <c:ptCount val="5"/>
                <c:pt idx="0">
                  <c:v>23</c:v>
                </c:pt>
                <c:pt idx="1">
                  <c:v>13</c:v>
                </c:pt>
                <c:pt idx="2">
                  <c:v>7</c:v>
                </c:pt>
                <c:pt idx="3">
                  <c:v>1</c:v>
                </c:pt>
                <c:pt idx="4">
                  <c:v>13</c:v>
                </c:pt>
              </c:numCache>
            </c:numRef>
          </c:val>
          <c:extLst xmlns:c16r2="http://schemas.microsoft.com/office/drawing/2015/06/chart">
            <c:ext xmlns:c16="http://schemas.microsoft.com/office/drawing/2014/chart" uri="{C3380CC4-5D6E-409C-BE32-E72D297353CC}">
              <c16:uniqueId val="{00000008-1CF3-4F8F-87C6-700A1005FDCD}"/>
            </c:ext>
          </c:extLst>
        </c:ser>
        <c:ser>
          <c:idx val="9"/>
          <c:order val="9"/>
          <c:tx>
            <c:strRef>
              <c:f>Sheet2!$M$3</c:f>
              <c:strCache>
                <c:ptCount val="1"/>
                <c:pt idx="0">
                  <c:v>2016</c:v>
                </c:pt>
              </c:strCache>
            </c:strRef>
          </c:tx>
          <c:invertIfNegative val="0"/>
          <c:cat>
            <c:strRef>
              <c:f>Sheet2!$A$4:$A$8</c:f>
              <c:strCache>
                <c:ptCount val="5"/>
                <c:pt idx="0">
                  <c:v>Chichester City</c:v>
                </c:pt>
                <c:pt idx="1">
                  <c:v>East-West Corridor</c:v>
                </c:pt>
                <c:pt idx="2">
                  <c:v>Manhood Peninsula</c:v>
                </c:pt>
                <c:pt idx="3">
                  <c:v>Plan Area North</c:v>
                </c:pt>
                <c:pt idx="4">
                  <c:v>SDNP</c:v>
                </c:pt>
              </c:strCache>
            </c:strRef>
          </c:cat>
          <c:val>
            <c:numRef>
              <c:f>Sheet2!$M$4:$M$8</c:f>
              <c:numCache>
                <c:formatCode>General</c:formatCode>
                <c:ptCount val="5"/>
                <c:pt idx="0">
                  <c:v>30</c:v>
                </c:pt>
                <c:pt idx="1">
                  <c:v>24</c:v>
                </c:pt>
                <c:pt idx="2">
                  <c:v>4</c:v>
                </c:pt>
                <c:pt idx="3">
                  <c:v>3</c:v>
                </c:pt>
                <c:pt idx="4">
                  <c:v>12</c:v>
                </c:pt>
              </c:numCache>
            </c:numRef>
          </c:val>
          <c:extLst xmlns:c16r2="http://schemas.microsoft.com/office/drawing/2015/06/chart">
            <c:ext xmlns:c16="http://schemas.microsoft.com/office/drawing/2014/chart" uri="{C3380CC4-5D6E-409C-BE32-E72D297353CC}">
              <c16:uniqueId val="{00000009-1CF3-4F8F-87C6-700A1005FDCD}"/>
            </c:ext>
          </c:extLst>
        </c:ser>
        <c:ser>
          <c:idx val="10"/>
          <c:order val="10"/>
          <c:tx>
            <c:strRef>
              <c:f>Sheet2!$N$3</c:f>
              <c:strCache>
                <c:ptCount val="1"/>
                <c:pt idx="0">
                  <c:v>2017</c:v>
                </c:pt>
              </c:strCache>
            </c:strRef>
          </c:tx>
          <c:invertIfNegative val="0"/>
          <c:cat>
            <c:strRef>
              <c:f>Sheet2!$A$4:$A$8</c:f>
              <c:strCache>
                <c:ptCount val="5"/>
                <c:pt idx="0">
                  <c:v>Chichester City</c:v>
                </c:pt>
                <c:pt idx="1">
                  <c:v>East-West Corridor</c:v>
                </c:pt>
                <c:pt idx="2">
                  <c:v>Manhood Peninsula</c:v>
                </c:pt>
                <c:pt idx="3">
                  <c:v>Plan Area North</c:v>
                </c:pt>
                <c:pt idx="4">
                  <c:v>SDNP</c:v>
                </c:pt>
              </c:strCache>
            </c:strRef>
          </c:cat>
          <c:val>
            <c:numRef>
              <c:f>Sheet2!$N$4:$N$8</c:f>
              <c:numCache>
                <c:formatCode>General</c:formatCode>
                <c:ptCount val="5"/>
                <c:pt idx="0">
                  <c:v>11</c:v>
                </c:pt>
                <c:pt idx="1">
                  <c:v>29</c:v>
                </c:pt>
                <c:pt idx="2">
                  <c:v>7</c:v>
                </c:pt>
                <c:pt idx="3">
                  <c:v>0</c:v>
                </c:pt>
                <c:pt idx="4">
                  <c:v>26</c:v>
                </c:pt>
              </c:numCache>
            </c:numRef>
          </c:val>
          <c:extLst xmlns:c16r2="http://schemas.microsoft.com/office/drawing/2015/06/chart">
            <c:ext xmlns:c16="http://schemas.microsoft.com/office/drawing/2014/chart" uri="{C3380CC4-5D6E-409C-BE32-E72D297353CC}">
              <c16:uniqueId val="{0000000A-1CF3-4F8F-87C6-700A1005FDCD}"/>
            </c:ext>
          </c:extLst>
        </c:ser>
        <c:ser>
          <c:idx val="11"/>
          <c:order val="11"/>
          <c:tx>
            <c:strRef>
              <c:f>Sheet2!$O$3</c:f>
              <c:strCache>
                <c:ptCount val="1"/>
                <c:pt idx="0">
                  <c:v>2018</c:v>
                </c:pt>
              </c:strCache>
            </c:strRef>
          </c:tx>
          <c:invertIfNegative val="0"/>
          <c:cat>
            <c:strRef>
              <c:f>Sheet2!$A$4:$A$8</c:f>
              <c:strCache>
                <c:ptCount val="5"/>
                <c:pt idx="0">
                  <c:v>Chichester City</c:v>
                </c:pt>
                <c:pt idx="1">
                  <c:v>East-West Corridor</c:v>
                </c:pt>
                <c:pt idx="2">
                  <c:v>Manhood Peninsula</c:v>
                </c:pt>
                <c:pt idx="3">
                  <c:v>Plan Area North</c:v>
                </c:pt>
                <c:pt idx="4">
                  <c:v>SDNP</c:v>
                </c:pt>
              </c:strCache>
            </c:strRef>
          </c:cat>
          <c:val>
            <c:numRef>
              <c:f>Sheet2!$O$4:$O$8</c:f>
              <c:numCache>
                <c:formatCode>General</c:formatCode>
                <c:ptCount val="5"/>
                <c:pt idx="0">
                  <c:v>18</c:v>
                </c:pt>
                <c:pt idx="1">
                  <c:v>8</c:v>
                </c:pt>
                <c:pt idx="2">
                  <c:v>9</c:v>
                </c:pt>
                <c:pt idx="3">
                  <c:v>2</c:v>
                </c:pt>
                <c:pt idx="4">
                  <c:v>9</c:v>
                </c:pt>
              </c:numCache>
            </c:numRef>
          </c:val>
          <c:extLst xmlns:c16r2="http://schemas.microsoft.com/office/drawing/2015/06/chart">
            <c:ext xmlns:c16="http://schemas.microsoft.com/office/drawing/2014/chart" uri="{C3380CC4-5D6E-409C-BE32-E72D297353CC}">
              <c16:uniqueId val="{0000000B-1CF3-4F8F-87C6-700A1005FDCD}"/>
            </c:ext>
          </c:extLst>
        </c:ser>
        <c:dLbls>
          <c:showLegendKey val="0"/>
          <c:showVal val="0"/>
          <c:showCatName val="0"/>
          <c:showSerName val="0"/>
          <c:showPercent val="0"/>
          <c:showBubbleSize val="0"/>
        </c:dLbls>
        <c:gapWidth val="150"/>
        <c:overlap val="100"/>
        <c:axId val="290632064"/>
        <c:axId val="290633600"/>
      </c:barChart>
      <c:catAx>
        <c:axId val="290632064"/>
        <c:scaling>
          <c:orientation val="minMax"/>
        </c:scaling>
        <c:delete val="0"/>
        <c:axPos val="b"/>
        <c:numFmt formatCode="General" sourceLinked="0"/>
        <c:majorTickMark val="out"/>
        <c:minorTickMark val="none"/>
        <c:tickLblPos val="nextTo"/>
        <c:crossAx val="290633600"/>
        <c:crosses val="autoZero"/>
        <c:auto val="1"/>
        <c:lblAlgn val="ctr"/>
        <c:lblOffset val="100"/>
        <c:noMultiLvlLbl val="0"/>
      </c:catAx>
      <c:valAx>
        <c:axId val="290633600"/>
        <c:scaling>
          <c:orientation val="minMax"/>
        </c:scaling>
        <c:delete val="0"/>
        <c:axPos val="l"/>
        <c:majorGridlines/>
        <c:numFmt formatCode="General" sourceLinked="1"/>
        <c:majorTickMark val="out"/>
        <c:minorTickMark val="none"/>
        <c:tickLblPos val="nextTo"/>
        <c:crossAx val="290632064"/>
        <c:crosses val="autoZero"/>
        <c:crossBetween val="between"/>
      </c:valAx>
    </c:plotArea>
    <c:legend>
      <c:legendPos val="r"/>
      <c:overlay val="0"/>
    </c:legend>
    <c:plotVisOnly val="1"/>
    <c:dispBlanksAs val="gap"/>
    <c:showDLblsOverMax val="0"/>
  </c:chart>
  <c:txPr>
    <a:bodyPr/>
    <a:lstStyle/>
    <a:p>
      <a:pPr>
        <a:defRPr sz="1200">
          <a:latin typeface="Arial Narrow" panose="020B0606020202030204" pitchFamily="34" charset="0"/>
        </a:defRPr>
      </a:pPr>
      <a:endParaRPr lang="en-US"/>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Sheet2!$D$12</c:f>
              <c:strCache>
                <c:ptCount val="1"/>
                <c:pt idx="0">
                  <c:v>2007</c:v>
                </c:pt>
              </c:strCache>
            </c:strRef>
          </c:tx>
          <c:invertIfNegative val="0"/>
          <c:cat>
            <c:strRef>
              <c:f>Sheet2!$A$13:$A$17</c:f>
              <c:strCache>
                <c:ptCount val="5"/>
                <c:pt idx="0">
                  <c:v>Chichester City</c:v>
                </c:pt>
                <c:pt idx="1">
                  <c:v>East-West Corridor</c:v>
                </c:pt>
                <c:pt idx="2">
                  <c:v>Manhood Peninsula</c:v>
                </c:pt>
                <c:pt idx="3">
                  <c:v>Plan Area North</c:v>
                </c:pt>
                <c:pt idx="4">
                  <c:v>SDNP</c:v>
                </c:pt>
              </c:strCache>
            </c:strRef>
          </c:cat>
          <c:val>
            <c:numRef>
              <c:f>Sheet2!$D$13:$D$17</c:f>
              <c:numCache>
                <c:formatCode>0</c:formatCode>
                <c:ptCount val="5"/>
                <c:pt idx="0">
                  <c:v>1495</c:v>
                </c:pt>
                <c:pt idx="1">
                  <c:v>2847</c:v>
                </c:pt>
                <c:pt idx="2">
                  <c:v>1619</c:v>
                </c:pt>
                <c:pt idx="3">
                  <c:v>0</c:v>
                </c:pt>
                <c:pt idx="4">
                  <c:v>2390</c:v>
                </c:pt>
              </c:numCache>
            </c:numRef>
          </c:val>
          <c:extLst xmlns:c16r2="http://schemas.microsoft.com/office/drawing/2015/06/chart">
            <c:ext xmlns:c16="http://schemas.microsoft.com/office/drawing/2014/chart" uri="{C3380CC4-5D6E-409C-BE32-E72D297353CC}">
              <c16:uniqueId val="{00000000-487C-43A4-8A71-FCAB8693DBA2}"/>
            </c:ext>
          </c:extLst>
        </c:ser>
        <c:ser>
          <c:idx val="1"/>
          <c:order val="1"/>
          <c:tx>
            <c:strRef>
              <c:f>Sheet2!$E$12</c:f>
              <c:strCache>
                <c:ptCount val="1"/>
                <c:pt idx="0">
                  <c:v>2008</c:v>
                </c:pt>
              </c:strCache>
            </c:strRef>
          </c:tx>
          <c:invertIfNegative val="0"/>
          <c:cat>
            <c:strRef>
              <c:f>Sheet2!$A$13:$A$17</c:f>
              <c:strCache>
                <c:ptCount val="5"/>
                <c:pt idx="0">
                  <c:v>Chichester City</c:v>
                </c:pt>
                <c:pt idx="1">
                  <c:v>East-West Corridor</c:v>
                </c:pt>
                <c:pt idx="2">
                  <c:v>Manhood Peninsula</c:v>
                </c:pt>
                <c:pt idx="3">
                  <c:v>Plan Area North</c:v>
                </c:pt>
                <c:pt idx="4">
                  <c:v>SDNP</c:v>
                </c:pt>
              </c:strCache>
            </c:strRef>
          </c:cat>
          <c:val>
            <c:numRef>
              <c:f>Sheet2!$E$13:$E$17</c:f>
              <c:numCache>
                <c:formatCode>0</c:formatCode>
                <c:ptCount val="5"/>
                <c:pt idx="0">
                  <c:v>653</c:v>
                </c:pt>
                <c:pt idx="1">
                  <c:v>3275</c:v>
                </c:pt>
                <c:pt idx="2">
                  <c:v>563</c:v>
                </c:pt>
                <c:pt idx="3">
                  <c:v>0</c:v>
                </c:pt>
                <c:pt idx="4">
                  <c:v>1197</c:v>
                </c:pt>
              </c:numCache>
            </c:numRef>
          </c:val>
          <c:extLst xmlns:c16r2="http://schemas.microsoft.com/office/drawing/2015/06/chart">
            <c:ext xmlns:c16="http://schemas.microsoft.com/office/drawing/2014/chart" uri="{C3380CC4-5D6E-409C-BE32-E72D297353CC}">
              <c16:uniqueId val="{00000001-487C-43A4-8A71-FCAB8693DBA2}"/>
            </c:ext>
          </c:extLst>
        </c:ser>
        <c:ser>
          <c:idx val="2"/>
          <c:order val="2"/>
          <c:tx>
            <c:strRef>
              <c:f>Sheet2!$F$12</c:f>
              <c:strCache>
                <c:ptCount val="1"/>
                <c:pt idx="0">
                  <c:v>2009</c:v>
                </c:pt>
              </c:strCache>
            </c:strRef>
          </c:tx>
          <c:invertIfNegative val="0"/>
          <c:cat>
            <c:strRef>
              <c:f>Sheet2!$A$13:$A$17</c:f>
              <c:strCache>
                <c:ptCount val="5"/>
                <c:pt idx="0">
                  <c:v>Chichester City</c:v>
                </c:pt>
                <c:pt idx="1">
                  <c:v>East-West Corridor</c:v>
                </c:pt>
                <c:pt idx="2">
                  <c:v>Manhood Peninsula</c:v>
                </c:pt>
                <c:pt idx="3">
                  <c:v>Plan Area North</c:v>
                </c:pt>
                <c:pt idx="4">
                  <c:v>SDNP</c:v>
                </c:pt>
              </c:strCache>
            </c:strRef>
          </c:cat>
          <c:val>
            <c:numRef>
              <c:f>Sheet2!$F$13:$F$17</c:f>
              <c:numCache>
                <c:formatCode>0</c:formatCode>
                <c:ptCount val="5"/>
                <c:pt idx="0">
                  <c:v>1146</c:v>
                </c:pt>
                <c:pt idx="1">
                  <c:v>1747</c:v>
                </c:pt>
                <c:pt idx="2">
                  <c:v>4728</c:v>
                </c:pt>
                <c:pt idx="3">
                  <c:v>405</c:v>
                </c:pt>
                <c:pt idx="4">
                  <c:v>1670</c:v>
                </c:pt>
              </c:numCache>
            </c:numRef>
          </c:val>
          <c:extLst xmlns:c16r2="http://schemas.microsoft.com/office/drawing/2015/06/chart">
            <c:ext xmlns:c16="http://schemas.microsoft.com/office/drawing/2014/chart" uri="{C3380CC4-5D6E-409C-BE32-E72D297353CC}">
              <c16:uniqueId val="{00000002-487C-43A4-8A71-FCAB8693DBA2}"/>
            </c:ext>
          </c:extLst>
        </c:ser>
        <c:ser>
          <c:idx val="3"/>
          <c:order val="3"/>
          <c:tx>
            <c:strRef>
              <c:f>Sheet2!$G$12</c:f>
              <c:strCache>
                <c:ptCount val="1"/>
                <c:pt idx="0">
                  <c:v>2010</c:v>
                </c:pt>
              </c:strCache>
            </c:strRef>
          </c:tx>
          <c:invertIfNegative val="0"/>
          <c:cat>
            <c:strRef>
              <c:f>Sheet2!$A$13:$A$17</c:f>
              <c:strCache>
                <c:ptCount val="5"/>
                <c:pt idx="0">
                  <c:v>Chichester City</c:v>
                </c:pt>
                <c:pt idx="1">
                  <c:v>East-West Corridor</c:v>
                </c:pt>
                <c:pt idx="2">
                  <c:v>Manhood Peninsula</c:v>
                </c:pt>
                <c:pt idx="3">
                  <c:v>Plan Area North</c:v>
                </c:pt>
                <c:pt idx="4">
                  <c:v>SDNP</c:v>
                </c:pt>
              </c:strCache>
            </c:strRef>
          </c:cat>
          <c:val>
            <c:numRef>
              <c:f>Sheet2!$G$13:$G$17</c:f>
              <c:numCache>
                <c:formatCode>0</c:formatCode>
                <c:ptCount val="5"/>
                <c:pt idx="0">
                  <c:v>1206</c:v>
                </c:pt>
                <c:pt idx="1">
                  <c:v>3604</c:v>
                </c:pt>
                <c:pt idx="2">
                  <c:v>6797</c:v>
                </c:pt>
                <c:pt idx="3">
                  <c:v>0</c:v>
                </c:pt>
                <c:pt idx="4">
                  <c:v>1936</c:v>
                </c:pt>
              </c:numCache>
            </c:numRef>
          </c:val>
          <c:extLst xmlns:c16r2="http://schemas.microsoft.com/office/drawing/2015/06/chart">
            <c:ext xmlns:c16="http://schemas.microsoft.com/office/drawing/2014/chart" uri="{C3380CC4-5D6E-409C-BE32-E72D297353CC}">
              <c16:uniqueId val="{00000003-487C-43A4-8A71-FCAB8693DBA2}"/>
            </c:ext>
          </c:extLst>
        </c:ser>
        <c:ser>
          <c:idx val="4"/>
          <c:order val="4"/>
          <c:tx>
            <c:strRef>
              <c:f>Sheet2!$H$12</c:f>
              <c:strCache>
                <c:ptCount val="1"/>
                <c:pt idx="0">
                  <c:v>2011</c:v>
                </c:pt>
              </c:strCache>
            </c:strRef>
          </c:tx>
          <c:invertIfNegative val="0"/>
          <c:cat>
            <c:strRef>
              <c:f>Sheet2!$A$13:$A$17</c:f>
              <c:strCache>
                <c:ptCount val="5"/>
                <c:pt idx="0">
                  <c:v>Chichester City</c:v>
                </c:pt>
                <c:pt idx="1">
                  <c:v>East-West Corridor</c:v>
                </c:pt>
                <c:pt idx="2">
                  <c:v>Manhood Peninsula</c:v>
                </c:pt>
                <c:pt idx="3">
                  <c:v>Plan Area North</c:v>
                </c:pt>
                <c:pt idx="4">
                  <c:v>SDNP</c:v>
                </c:pt>
              </c:strCache>
            </c:strRef>
          </c:cat>
          <c:val>
            <c:numRef>
              <c:f>Sheet2!$H$13:$H$17</c:f>
              <c:numCache>
                <c:formatCode>0</c:formatCode>
                <c:ptCount val="5"/>
                <c:pt idx="0">
                  <c:v>6118</c:v>
                </c:pt>
                <c:pt idx="1">
                  <c:v>4046</c:v>
                </c:pt>
                <c:pt idx="2">
                  <c:v>1063</c:v>
                </c:pt>
                <c:pt idx="3">
                  <c:v>0</c:v>
                </c:pt>
                <c:pt idx="4">
                  <c:v>4062</c:v>
                </c:pt>
              </c:numCache>
            </c:numRef>
          </c:val>
          <c:extLst xmlns:c16r2="http://schemas.microsoft.com/office/drawing/2015/06/chart">
            <c:ext xmlns:c16="http://schemas.microsoft.com/office/drawing/2014/chart" uri="{C3380CC4-5D6E-409C-BE32-E72D297353CC}">
              <c16:uniqueId val="{00000004-487C-43A4-8A71-FCAB8693DBA2}"/>
            </c:ext>
          </c:extLst>
        </c:ser>
        <c:ser>
          <c:idx val="5"/>
          <c:order val="5"/>
          <c:tx>
            <c:strRef>
              <c:f>Sheet2!$I$12</c:f>
              <c:strCache>
                <c:ptCount val="1"/>
                <c:pt idx="0">
                  <c:v>2012</c:v>
                </c:pt>
              </c:strCache>
            </c:strRef>
          </c:tx>
          <c:invertIfNegative val="0"/>
          <c:cat>
            <c:strRef>
              <c:f>Sheet2!$A$13:$A$17</c:f>
              <c:strCache>
                <c:ptCount val="5"/>
                <c:pt idx="0">
                  <c:v>Chichester City</c:v>
                </c:pt>
                <c:pt idx="1">
                  <c:v>East-West Corridor</c:v>
                </c:pt>
                <c:pt idx="2">
                  <c:v>Manhood Peninsula</c:v>
                </c:pt>
                <c:pt idx="3">
                  <c:v>Plan Area North</c:v>
                </c:pt>
                <c:pt idx="4">
                  <c:v>SDNP</c:v>
                </c:pt>
              </c:strCache>
            </c:strRef>
          </c:cat>
          <c:val>
            <c:numRef>
              <c:f>Sheet2!$I$13:$I$17</c:f>
              <c:numCache>
                <c:formatCode>0</c:formatCode>
                <c:ptCount val="5"/>
                <c:pt idx="0">
                  <c:v>13191</c:v>
                </c:pt>
                <c:pt idx="1">
                  <c:v>463</c:v>
                </c:pt>
                <c:pt idx="2">
                  <c:v>920</c:v>
                </c:pt>
                <c:pt idx="3">
                  <c:v>135</c:v>
                </c:pt>
                <c:pt idx="4">
                  <c:v>1028</c:v>
                </c:pt>
              </c:numCache>
            </c:numRef>
          </c:val>
          <c:extLst xmlns:c16r2="http://schemas.microsoft.com/office/drawing/2015/06/chart">
            <c:ext xmlns:c16="http://schemas.microsoft.com/office/drawing/2014/chart" uri="{C3380CC4-5D6E-409C-BE32-E72D297353CC}">
              <c16:uniqueId val="{00000005-487C-43A4-8A71-FCAB8693DBA2}"/>
            </c:ext>
          </c:extLst>
        </c:ser>
        <c:ser>
          <c:idx val="6"/>
          <c:order val="6"/>
          <c:tx>
            <c:strRef>
              <c:f>Sheet2!$J$12</c:f>
              <c:strCache>
                <c:ptCount val="1"/>
                <c:pt idx="0">
                  <c:v>2013</c:v>
                </c:pt>
              </c:strCache>
            </c:strRef>
          </c:tx>
          <c:invertIfNegative val="0"/>
          <c:cat>
            <c:strRef>
              <c:f>Sheet2!$A$13:$A$17</c:f>
              <c:strCache>
                <c:ptCount val="5"/>
                <c:pt idx="0">
                  <c:v>Chichester City</c:v>
                </c:pt>
                <c:pt idx="1">
                  <c:v>East-West Corridor</c:v>
                </c:pt>
                <c:pt idx="2">
                  <c:v>Manhood Peninsula</c:v>
                </c:pt>
                <c:pt idx="3">
                  <c:v>Plan Area North</c:v>
                </c:pt>
                <c:pt idx="4">
                  <c:v>SDNP</c:v>
                </c:pt>
              </c:strCache>
            </c:strRef>
          </c:cat>
          <c:val>
            <c:numRef>
              <c:f>Sheet2!$J$13:$J$17</c:f>
              <c:numCache>
                <c:formatCode>0</c:formatCode>
                <c:ptCount val="5"/>
                <c:pt idx="0">
                  <c:v>9606</c:v>
                </c:pt>
                <c:pt idx="1">
                  <c:v>1431</c:v>
                </c:pt>
                <c:pt idx="2">
                  <c:v>9351</c:v>
                </c:pt>
                <c:pt idx="3">
                  <c:v>1252</c:v>
                </c:pt>
                <c:pt idx="4">
                  <c:v>1950</c:v>
                </c:pt>
              </c:numCache>
            </c:numRef>
          </c:val>
          <c:extLst xmlns:c16r2="http://schemas.microsoft.com/office/drawing/2015/06/chart">
            <c:ext xmlns:c16="http://schemas.microsoft.com/office/drawing/2014/chart" uri="{C3380CC4-5D6E-409C-BE32-E72D297353CC}">
              <c16:uniqueId val="{00000006-487C-43A4-8A71-FCAB8693DBA2}"/>
            </c:ext>
          </c:extLst>
        </c:ser>
        <c:ser>
          <c:idx val="7"/>
          <c:order val="7"/>
          <c:tx>
            <c:strRef>
              <c:f>Sheet2!$K$12</c:f>
              <c:strCache>
                <c:ptCount val="1"/>
                <c:pt idx="0">
                  <c:v>2014</c:v>
                </c:pt>
              </c:strCache>
            </c:strRef>
          </c:tx>
          <c:invertIfNegative val="0"/>
          <c:cat>
            <c:strRef>
              <c:f>Sheet2!$A$13:$A$17</c:f>
              <c:strCache>
                <c:ptCount val="5"/>
                <c:pt idx="0">
                  <c:v>Chichester City</c:v>
                </c:pt>
                <c:pt idx="1">
                  <c:v>East-West Corridor</c:v>
                </c:pt>
                <c:pt idx="2">
                  <c:v>Manhood Peninsula</c:v>
                </c:pt>
                <c:pt idx="3">
                  <c:v>Plan Area North</c:v>
                </c:pt>
                <c:pt idx="4">
                  <c:v>SDNP</c:v>
                </c:pt>
              </c:strCache>
            </c:strRef>
          </c:cat>
          <c:val>
            <c:numRef>
              <c:f>Sheet2!$K$13:$K$17</c:f>
              <c:numCache>
                <c:formatCode>0</c:formatCode>
                <c:ptCount val="5"/>
                <c:pt idx="0">
                  <c:v>12875</c:v>
                </c:pt>
                <c:pt idx="1">
                  <c:v>1296</c:v>
                </c:pt>
                <c:pt idx="2">
                  <c:v>3459</c:v>
                </c:pt>
                <c:pt idx="3">
                  <c:v>0</c:v>
                </c:pt>
                <c:pt idx="4">
                  <c:v>1404</c:v>
                </c:pt>
              </c:numCache>
            </c:numRef>
          </c:val>
          <c:extLst xmlns:c16r2="http://schemas.microsoft.com/office/drawing/2015/06/chart">
            <c:ext xmlns:c16="http://schemas.microsoft.com/office/drawing/2014/chart" uri="{C3380CC4-5D6E-409C-BE32-E72D297353CC}">
              <c16:uniqueId val="{00000007-487C-43A4-8A71-FCAB8693DBA2}"/>
            </c:ext>
          </c:extLst>
        </c:ser>
        <c:ser>
          <c:idx val="8"/>
          <c:order val="8"/>
          <c:tx>
            <c:strRef>
              <c:f>Sheet2!$L$12</c:f>
              <c:strCache>
                <c:ptCount val="1"/>
                <c:pt idx="0">
                  <c:v>2015</c:v>
                </c:pt>
              </c:strCache>
            </c:strRef>
          </c:tx>
          <c:invertIfNegative val="0"/>
          <c:cat>
            <c:strRef>
              <c:f>Sheet2!$A$13:$A$17</c:f>
              <c:strCache>
                <c:ptCount val="5"/>
                <c:pt idx="0">
                  <c:v>Chichester City</c:v>
                </c:pt>
                <c:pt idx="1">
                  <c:v>East-West Corridor</c:v>
                </c:pt>
                <c:pt idx="2">
                  <c:v>Manhood Peninsula</c:v>
                </c:pt>
                <c:pt idx="3">
                  <c:v>Plan Area North</c:v>
                </c:pt>
                <c:pt idx="4">
                  <c:v>SDNP</c:v>
                </c:pt>
              </c:strCache>
            </c:strRef>
          </c:cat>
          <c:val>
            <c:numRef>
              <c:f>Sheet2!$L$13:$L$17</c:f>
              <c:numCache>
                <c:formatCode>0</c:formatCode>
                <c:ptCount val="5"/>
                <c:pt idx="0">
                  <c:v>12693</c:v>
                </c:pt>
                <c:pt idx="1">
                  <c:v>11083</c:v>
                </c:pt>
                <c:pt idx="2">
                  <c:v>9279</c:v>
                </c:pt>
                <c:pt idx="3">
                  <c:v>1319</c:v>
                </c:pt>
                <c:pt idx="4">
                  <c:v>3106</c:v>
                </c:pt>
              </c:numCache>
            </c:numRef>
          </c:val>
          <c:extLst xmlns:c16r2="http://schemas.microsoft.com/office/drawing/2015/06/chart">
            <c:ext xmlns:c16="http://schemas.microsoft.com/office/drawing/2014/chart" uri="{C3380CC4-5D6E-409C-BE32-E72D297353CC}">
              <c16:uniqueId val="{00000008-487C-43A4-8A71-FCAB8693DBA2}"/>
            </c:ext>
          </c:extLst>
        </c:ser>
        <c:ser>
          <c:idx val="9"/>
          <c:order val="9"/>
          <c:tx>
            <c:strRef>
              <c:f>Sheet2!$M$12</c:f>
              <c:strCache>
                <c:ptCount val="1"/>
                <c:pt idx="0">
                  <c:v>2016</c:v>
                </c:pt>
              </c:strCache>
            </c:strRef>
          </c:tx>
          <c:invertIfNegative val="0"/>
          <c:cat>
            <c:strRef>
              <c:f>Sheet2!$A$13:$A$17</c:f>
              <c:strCache>
                <c:ptCount val="5"/>
                <c:pt idx="0">
                  <c:v>Chichester City</c:v>
                </c:pt>
                <c:pt idx="1">
                  <c:v>East-West Corridor</c:v>
                </c:pt>
                <c:pt idx="2">
                  <c:v>Manhood Peninsula</c:v>
                </c:pt>
                <c:pt idx="3">
                  <c:v>Plan Area North</c:v>
                </c:pt>
                <c:pt idx="4">
                  <c:v>SDNP</c:v>
                </c:pt>
              </c:strCache>
            </c:strRef>
          </c:cat>
          <c:val>
            <c:numRef>
              <c:f>Sheet2!$M$13:$M$17</c:f>
              <c:numCache>
                <c:formatCode>0</c:formatCode>
                <c:ptCount val="5"/>
                <c:pt idx="0">
                  <c:v>5916</c:v>
                </c:pt>
                <c:pt idx="1">
                  <c:v>9735</c:v>
                </c:pt>
                <c:pt idx="2">
                  <c:v>3416</c:v>
                </c:pt>
                <c:pt idx="3">
                  <c:v>613</c:v>
                </c:pt>
                <c:pt idx="4">
                  <c:v>3010</c:v>
                </c:pt>
              </c:numCache>
            </c:numRef>
          </c:val>
          <c:extLst xmlns:c16r2="http://schemas.microsoft.com/office/drawing/2015/06/chart">
            <c:ext xmlns:c16="http://schemas.microsoft.com/office/drawing/2014/chart" uri="{C3380CC4-5D6E-409C-BE32-E72D297353CC}">
              <c16:uniqueId val="{00000009-487C-43A4-8A71-FCAB8693DBA2}"/>
            </c:ext>
          </c:extLst>
        </c:ser>
        <c:ser>
          <c:idx val="10"/>
          <c:order val="10"/>
          <c:tx>
            <c:strRef>
              <c:f>Sheet2!$N$12</c:f>
              <c:strCache>
                <c:ptCount val="1"/>
                <c:pt idx="0">
                  <c:v>2017</c:v>
                </c:pt>
              </c:strCache>
            </c:strRef>
          </c:tx>
          <c:invertIfNegative val="0"/>
          <c:cat>
            <c:strRef>
              <c:f>Sheet2!$A$13:$A$17</c:f>
              <c:strCache>
                <c:ptCount val="5"/>
                <c:pt idx="0">
                  <c:v>Chichester City</c:v>
                </c:pt>
                <c:pt idx="1">
                  <c:v>East-West Corridor</c:v>
                </c:pt>
                <c:pt idx="2">
                  <c:v>Manhood Peninsula</c:v>
                </c:pt>
                <c:pt idx="3">
                  <c:v>Plan Area North</c:v>
                </c:pt>
                <c:pt idx="4">
                  <c:v>SDNP</c:v>
                </c:pt>
              </c:strCache>
            </c:strRef>
          </c:cat>
          <c:val>
            <c:numRef>
              <c:f>Sheet2!$N$13:$N$17</c:f>
              <c:numCache>
                <c:formatCode>0</c:formatCode>
                <c:ptCount val="5"/>
                <c:pt idx="0">
                  <c:v>3829</c:v>
                </c:pt>
                <c:pt idx="1">
                  <c:v>12006.807663999998</c:v>
                </c:pt>
                <c:pt idx="2">
                  <c:v>12855.450800000001</c:v>
                </c:pt>
                <c:pt idx="3">
                  <c:v>0</c:v>
                </c:pt>
                <c:pt idx="4">
                  <c:v>3870.9758160000001</c:v>
                </c:pt>
              </c:numCache>
            </c:numRef>
          </c:val>
          <c:extLst xmlns:c16r2="http://schemas.microsoft.com/office/drawing/2015/06/chart">
            <c:ext xmlns:c16="http://schemas.microsoft.com/office/drawing/2014/chart" uri="{C3380CC4-5D6E-409C-BE32-E72D297353CC}">
              <c16:uniqueId val="{0000000A-487C-43A4-8A71-FCAB8693DBA2}"/>
            </c:ext>
          </c:extLst>
        </c:ser>
        <c:ser>
          <c:idx val="11"/>
          <c:order val="11"/>
          <c:tx>
            <c:strRef>
              <c:f>Sheet2!$O$12</c:f>
              <c:strCache>
                <c:ptCount val="1"/>
                <c:pt idx="0">
                  <c:v>2018</c:v>
                </c:pt>
              </c:strCache>
            </c:strRef>
          </c:tx>
          <c:invertIfNegative val="0"/>
          <c:cat>
            <c:strRef>
              <c:f>Sheet2!$A$13:$A$17</c:f>
              <c:strCache>
                <c:ptCount val="5"/>
                <c:pt idx="0">
                  <c:v>Chichester City</c:v>
                </c:pt>
                <c:pt idx="1">
                  <c:v>East-West Corridor</c:v>
                </c:pt>
                <c:pt idx="2">
                  <c:v>Manhood Peninsula</c:v>
                </c:pt>
                <c:pt idx="3">
                  <c:v>Plan Area North</c:v>
                </c:pt>
                <c:pt idx="4">
                  <c:v>SDNP</c:v>
                </c:pt>
              </c:strCache>
            </c:strRef>
          </c:cat>
          <c:val>
            <c:numRef>
              <c:f>Sheet2!$O$13:$O$17</c:f>
              <c:numCache>
                <c:formatCode>0</c:formatCode>
                <c:ptCount val="5"/>
                <c:pt idx="0">
                  <c:v>14621.688040999999</c:v>
                </c:pt>
                <c:pt idx="1">
                  <c:v>7768.9269469999999</c:v>
                </c:pt>
                <c:pt idx="2">
                  <c:v>1943.0185839999999</c:v>
                </c:pt>
                <c:pt idx="3">
                  <c:v>441</c:v>
                </c:pt>
                <c:pt idx="4">
                  <c:v>1895.4599409999998</c:v>
                </c:pt>
              </c:numCache>
            </c:numRef>
          </c:val>
          <c:extLst xmlns:c16r2="http://schemas.microsoft.com/office/drawing/2015/06/chart">
            <c:ext xmlns:c16="http://schemas.microsoft.com/office/drawing/2014/chart" uri="{C3380CC4-5D6E-409C-BE32-E72D297353CC}">
              <c16:uniqueId val="{0000000B-487C-43A4-8A71-FCAB8693DBA2}"/>
            </c:ext>
          </c:extLst>
        </c:ser>
        <c:dLbls>
          <c:showLegendKey val="0"/>
          <c:showVal val="0"/>
          <c:showCatName val="0"/>
          <c:showSerName val="0"/>
          <c:showPercent val="0"/>
          <c:showBubbleSize val="0"/>
        </c:dLbls>
        <c:gapWidth val="150"/>
        <c:overlap val="100"/>
        <c:axId val="290828288"/>
        <c:axId val="290829824"/>
      </c:barChart>
      <c:catAx>
        <c:axId val="290828288"/>
        <c:scaling>
          <c:orientation val="minMax"/>
        </c:scaling>
        <c:delete val="0"/>
        <c:axPos val="b"/>
        <c:numFmt formatCode="General" sourceLinked="0"/>
        <c:majorTickMark val="out"/>
        <c:minorTickMark val="none"/>
        <c:tickLblPos val="nextTo"/>
        <c:crossAx val="290829824"/>
        <c:crosses val="autoZero"/>
        <c:auto val="1"/>
        <c:lblAlgn val="ctr"/>
        <c:lblOffset val="100"/>
        <c:noMultiLvlLbl val="0"/>
      </c:catAx>
      <c:valAx>
        <c:axId val="290829824"/>
        <c:scaling>
          <c:orientation val="minMax"/>
        </c:scaling>
        <c:delete val="0"/>
        <c:axPos val="l"/>
        <c:majorGridlines/>
        <c:numFmt formatCode="#,##0" sourceLinked="0"/>
        <c:majorTickMark val="out"/>
        <c:minorTickMark val="none"/>
        <c:tickLblPos val="nextTo"/>
        <c:crossAx val="290828288"/>
        <c:crosses val="autoZero"/>
        <c:crossBetween val="between"/>
      </c:valAx>
    </c:plotArea>
    <c:legend>
      <c:legendPos val="r"/>
      <c:overlay val="0"/>
    </c:legend>
    <c:plotVisOnly val="1"/>
    <c:dispBlanksAs val="gap"/>
    <c:showDLblsOverMax val="0"/>
  </c:chart>
  <c:txPr>
    <a:bodyPr/>
    <a:lstStyle/>
    <a:p>
      <a:pPr>
        <a:defRPr sz="1200">
          <a:latin typeface="Arial Narrow" panose="020B0606020202030204" pitchFamily="34" charset="0"/>
        </a:defRPr>
      </a:pPr>
      <a:endParaRPr lang="en-US"/>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Sheet2!$A$32</c:f>
              <c:strCache>
                <c:ptCount val="1"/>
                <c:pt idx="0">
                  <c:v>Less than 185 sqm</c:v>
                </c:pt>
              </c:strCache>
            </c:strRef>
          </c:tx>
          <c:invertIfNegative val="0"/>
          <c:cat>
            <c:numRef>
              <c:f>Sheet2!$D$31:$O$31</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Sheet2!$D$32:$O$32</c:f>
              <c:numCache>
                <c:formatCode>General</c:formatCode>
                <c:ptCount val="12"/>
                <c:pt idx="0">
                  <c:v>284</c:v>
                </c:pt>
                <c:pt idx="1">
                  <c:v>1190</c:v>
                </c:pt>
                <c:pt idx="2">
                  <c:v>898</c:v>
                </c:pt>
                <c:pt idx="3">
                  <c:v>606</c:v>
                </c:pt>
                <c:pt idx="4">
                  <c:v>537</c:v>
                </c:pt>
                <c:pt idx="5">
                  <c:v>1184</c:v>
                </c:pt>
                <c:pt idx="6">
                  <c:v>2101</c:v>
                </c:pt>
                <c:pt idx="7">
                  <c:v>1864</c:v>
                </c:pt>
                <c:pt idx="8">
                  <c:v>2176</c:v>
                </c:pt>
                <c:pt idx="9">
                  <c:v>3837</c:v>
                </c:pt>
                <c:pt idx="10">
                  <c:v>4656.2566970000007</c:v>
                </c:pt>
                <c:pt idx="11">
                  <c:v>1962.4980869999997</c:v>
                </c:pt>
              </c:numCache>
            </c:numRef>
          </c:val>
          <c:extLst xmlns:c16r2="http://schemas.microsoft.com/office/drawing/2015/06/chart">
            <c:ext xmlns:c16="http://schemas.microsoft.com/office/drawing/2014/chart" uri="{C3380CC4-5D6E-409C-BE32-E72D297353CC}">
              <c16:uniqueId val="{00000000-E8B1-43AF-82AC-BF85BB3C6D8F}"/>
            </c:ext>
          </c:extLst>
        </c:ser>
        <c:ser>
          <c:idx val="1"/>
          <c:order val="1"/>
          <c:tx>
            <c:strRef>
              <c:f>Sheet2!$A$33</c:f>
              <c:strCache>
                <c:ptCount val="1"/>
                <c:pt idx="0">
                  <c:v>185-500 sqm</c:v>
                </c:pt>
              </c:strCache>
            </c:strRef>
          </c:tx>
          <c:invertIfNegative val="0"/>
          <c:cat>
            <c:numRef>
              <c:f>Sheet2!$D$31:$O$31</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Sheet2!$D$33:$O$33</c:f>
              <c:numCache>
                <c:formatCode>General</c:formatCode>
                <c:ptCount val="12"/>
                <c:pt idx="0">
                  <c:v>2248</c:v>
                </c:pt>
                <c:pt idx="1">
                  <c:v>1087</c:v>
                </c:pt>
                <c:pt idx="2">
                  <c:v>2913</c:v>
                </c:pt>
                <c:pt idx="3">
                  <c:v>4382</c:v>
                </c:pt>
                <c:pt idx="4">
                  <c:v>3851</c:v>
                </c:pt>
                <c:pt idx="5">
                  <c:v>2365</c:v>
                </c:pt>
                <c:pt idx="6">
                  <c:v>6844</c:v>
                </c:pt>
                <c:pt idx="7">
                  <c:v>3563</c:v>
                </c:pt>
                <c:pt idx="8">
                  <c:v>3665</c:v>
                </c:pt>
                <c:pt idx="9">
                  <c:v>3280</c:v>
                </c:pt>
                <c:pt idx="10">
                  <c:v>4084.8101450000004</c:v>
                </c:pt>
                <c:pt idx="11">
                  <c:v>3810.653965</c:v>
                </c:pt>
              </c:numCache>
            </c:numRef>
          </c:val>
          <c:extLst xmlns:c16r2="http://schemas.microsoft.com/office/drawing/2015/06/chart">
            <c:ext xmlns:c16="http://schemas.microsoft.com/office/drawing/2014/chart" uri="{C3380CC4-5D6E-409C-BE32-E72D297353CC}">
              <c16:uniqueId val="{00000001-E8B1-43AF-82AC-BF85BB3C6D8F}"/>
            </c:ext>
          </c:extLst>
        </c:ser>
        <c:ser>
          <c:idx val="2"/>
          <c:order val="2"/>
          <c:tx>
            <c:strRef>
              <c:f>Sheet2!$A$34</c:f>
              <c:strCache>
                <c:ptCount val="1"/>
                <c:pt idx="0">
                  <c:v>500-1,000 sqm</c:v>
                </c:pt>
              </c:strCache>
            </c:strRef>
          </c:tx>
          <c:invertIfNegative val="0"/>
          <c:cat>
            <c:numRef>
              <c:f>Sheet2!$D$31:$O$31</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Sheet2!$D$34:$O$34</c:f>
              <c:numCache>
                <c:formatCode>General</c:formatCode>
                <c:ptCount val="12"/>
                <c:pt idx="0">
                  <c:v>1353</c:v>
                </c:pt>
                <c:pt idx="1">
                  <c:v>564</c:v>
                </c:pt>
                <c:pt idx="2">
                  <c:v>3094</c:v>
                </c:pt>
                <c:pt idx="3">
                  <c:v>0</c:v>
                </c:pt>
                <c:pt idx="4">
                  <c:v>3097</c:v>
                </c:pt>
                <c:pt idx="5">
                  <c:v>2211</c:v>
                </c:pt>
                <c:pt idx="6">
                  <c:v>2272</c:v>
                </c:pt>
                <c:pt idx="7">
                  <c:v>2563</c:v>
                </c:pt>
                <c:pt idx="8">
                  <c:v>4195</c:v>
                </c:pt>
                <c:pt idx="9">
                  <c:v>4025</c:v>
                </c:pt>
                <c:pt idx="10">
                  <c:v>1559.616471</c:v>
                </c:pt>
                <c:pt idx="11">
                  <c:v>2271.2925439999999</c:v>
                </c:pt>
              </c:numCache>
            </c:numRef>
          </c:val>
          <c:extLst xmlns:c16r2="http://schemas.microsoft.com/office/drawing/2015/06/chart">
            <c:ext xmlns:c16="http://schemas.microsoft.com/office/drawing/2014/chart" uri="{C3380CC4-5D6E-409C-BE32-E72D297353CC}">
              <c16:uniqueId val="{00000002-E8B1-43AF-82AC-BF85BB3C6D8F}"/>
            </c:ext>
          </c:extLst>
        </c:ser>
        <c:ser>
          <c:idx val="3"/>
          <c:order val="3"/>
          <c:tx>
            <c:strRef>
              <c:f>Sheet2!$A$35</c:f>
              <c:strCache>
                <c:ptCount val="1"/>
                <c:pt idx="0">
                  <c:v>1,000-10,000 sqm</c:v>
                </c:pt>
              </c:strCache>
            </c:strRef>
          </c:tx>
          <c:invertIfNegative val="0"/>
          <c:cat>
            <c:numRef>
              <c:f>Sheet2!$D$31:$O$31</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Sheet2!$D$35:$O$35</c:f>
              <c:numCache>
                <c:formatCode>General</c:formatCode>
                <c:ptCount val="12"/>
                <c:pt idx="0">
                  <c:v>4466</c:v>
                </c:pt>
                <c:pt idx="1">
                  <c:v>2847</c:v>
                </c:pt>
                <c:pt idx="2">
                  <c:v>2791</c:v>
                </c:pt>
                <c:pt idx="3">
                  <c:v>8555</c:v>
                </c:pt>
                <c:pt idx="4">
                  <c:v>7804</c:v>
                </c:pt>
                <c:pt idx="5">
                  <c:v>9977</c:v>
                </c:pt>
                <c:pt idx="6">
                  <c:v>12373</c:v>
                </c:pt>
                <c:pt idx="7">
                  <c:v>11044</c:v>
                </c:pt>
                <c:pt idx="8">
                  <c:v>27444</c:v>
                </c:pt>
                <c:pt idx="9">
                  <c:v>11548</c:v>
                </c:pt>
                <c:pt idx="10">
                  <c:v>10656.550966999999</c:v>
                </c:pt>
                <c:pt idx="11">
                  <c:v>18625.648916999999</c:v>
                </c:pt>
              </c:numCache>
            </c:numRef>
          </c:val>
          <c:extLst xmlns:c16r2="http://schemas.microsoft.com/office/drawing/2015/06/chart">
            <c:ext xmlns:c16="http://schemas.microsoft.com/office/drawing/2014/chart" uri="{C3380CC4-5D6E-409C-BE32-E72D297353CC}">
              <c16:uniqueId val="{00000003-E8B1-43AF-82AC-BF85BB3C6D8F}"/>
            </c:ext>
          </c:extLst>
        </c:ser>
        <c:ser>
          <c:idx val="4"/>
          <c:order val="4"/>
          <c:tx>
            <c:strRef>
              <c:f>Sheet2!$A$36</c:f>
              <c:strCache>
                <c:ptCount val="1"/>
                <c:pt idx="0">
                  <c:v>10,000+ sqm</c:v>
                </c:pt>
              </c:strCache>
            </c:strRef>
          </c:tx>
          <c:invertIfNegative val="0"/>
          <c:cat>
            <c:numRef>
              <c:f>Sheet2!$D$31:$O$31</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Sheet2!$D$36:$O$36</c:f>
              <c:numCache>
                <c:formatCode>General</c:formatCode>
                <c:ptCount val="12"/>
                <c:pt idx="0">
                  <c:v>0</c:v>
                </c:pt>
                <c:pt idx="1">
                  <c:v>0</c:v>
                </c:pt>
                <c:pt idx="2">
                  <c:v>0</c:v>
                </c:pt>
                <c:pt idx="3">
                  <c:v>0</c:v>
                </c:pt>
                <c:pt idx="4">
                  <c:v>0</c:v>
                </c:pt>
                <c:pt idx="5">
                  <c:v>0</c:v>
                </c:pt>
                <c:pt idx="6">
                  <c:v>0</c:v>
                </c:pt>
                <c:pt idx="7">
                  <c:v>0</c:v>
                </c:pt>
                <c:pt idx="8">
                  <c:v>0</c:v>
                </c:pt>
                <c:pt idx="9">
                  <c:v>0</c:v>
                </c:pt>
                <c:pt idx="10">
                  <c:v>11605</c:v>
                </c:pt>
                <c:pt idx="11">
                  <c:v>0</c:v>
                </c:pt>
              </c:numCache>
            </c:numRef>
          </c:val>
          <c:extLst xmlns:c16r2="http://schemas.microsoft.com/office/drawing/2015/06/chart">
            <c:ext xmlns:c16="http://schemas.microsoft.com/office/drawing/2014/chart" uri="{C3380CC4-5D6E-409C-BE32-E72D297353CC}">
              <c16:uniqueId val="{00000004-E8B1-43AF-82AC-BF85BB3C6D8F}"/>
            </c:ext>
          </c:extLst>
        </c:ser>
        <c:dLbls>
          <c:showLegendKey val="0"/>
          <c:showVal val="0"/>
          <c:showCatName val="0"/>
          <c:showSerName val="0"/>
          <c:showPercent val="0"/>
          <c:showBubbleSize val="0"/>
        </c:dLbls>
        <c:gapWidth val="150"/>
        <c:overlap val="100"/>
        <c:axId val="291249152"/>
        <c:axId val="291255040"/>
      </c:barChart>
      <c:catAx>
        <c:axId val="291249152"/>
        <c:scaling>
          <c:orientation val="minMax"/>
        </c:scaling>
        <c:delete val="0"/>
        <c:axPos val="b"/>
        <c:numFmt formatCode="General" sourceLinked="1"/>
        <c:majorTickMark val="out"/>
        <c:minorTickMark val="none"/>
        <c:tickLblPos val="nextTo"/>
        <c:crossAx val="291255040"/>
        <c:crosses val="autoZero"/>
        <c:auto val="1"/>
        <c:lblAlgn val="ctr"/>
        <c:lblOffset val="100"/>
        <c:noMultiLvlLbl val="0"/>
      </c:catAx>
      <c:valAx>
        <c:axId val="291255040"/>
        <c:scaling>
          <c:orientation val="minMax"/>
        </c:scaling>
        <c:delete val="0"/>
        <c:axPos val="l"/>
        <c:majorGridlines/>
        <c:numFmt formatCode="#,##0" sourceLinked="0"/>
        <c:majorTickMark val="out"/>
        <c:minorTickMark val="none"/>
        <c:tickLblPos val="nextTo"/>
        <c:crossAx val="291249152"/>
        <c:crosses val="autoZero"/>
        <c:crossBetween val="between"/>
      </c:valAx>
    </c:plotArea>
    <c:legend>
      <c:legendPos val="r"/>
      <c:overlay val="0"/>
    </c:legend>
    <c:plotVisOnly val="1"/>
    <c:dispBlanksAs val="gap"/>
    <c:showDLblsOverMax val="0"/>
  </c:chart>
  <c:txPr>
    <a:bodyPr/>
    <a:lstStyle/>
    <a:p>
      <a:pPr>
        <a:defRPr sz="1200">
          <a:latin typeface="Arial Narrow" panose="020B0606020202030204" pitchFamily="34" charset="0"/>
        </a:defRPr>
      </a:pPr>
      <a:endParaRPr lang="en-US"/>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Analysis!$A$20</c:f>
              <c:strCache>
                <c:ptCount val="1"/>
                <c:pt idx="0">
                  <c:v>Less than 185 sqm</c:v>
                </c:pt>
              </c:strCache>
            </c:strRef>
          </c:tx>
          <c:invertIfNegative val="0"/>
          <c:cat>
            <c:strRef>
              <c:f>Analysis!$D$19:$H$19</c:f>
              <c:strCache>
                <c:ptCount val="5"/>
                <c:pt idx="0">
                  <c:v>Chichester City</c:v>
                </c:pt>
                <c:pt idx="1">
                  <c:v>East-West Corridor</c:v>
                </c:pt>
                <c:pt idx="2">
                  <c:v>Manhood Peninsula</c:v>
                </c:pt>
                <c:pt idx="3">
                  <c:v>Plan Area North</c:v>
                </c:pt>
                <c:pt idx="4">
                  <c:v>SDNP</c:v>
                </c:pt>
              </c:strCache>
            </c:strRef>
          </c:cat>
          <c:val>
            <c:numRef>
              <c:f>Analysis!$D$20:$H$20</c:f>
              <c:numCache>
                <c:formatCode>General</c:formatCode>
                <c:ptCount val="5"/>
                <c:pt idx="0">
                  <c:v>3</c:v>
                </c:pt>
                <c:pt idx="1">
                  <c:v>4</c:v>
                </c:pt>
                <c:pt idx="2">
                  <c:v>1</c:v>
                </c:pt>
                <c:pt idx="3">
                  <c:v>0</c:v>
                </c:pt>
                <c:pt idx="4">
                  <c:v>5</c:v>
                </c:pt>
              </c:numCache>
            </c:numRef>
          </c:val>
          <c:extLst xmlns:c16r2="http://schemas.microsoft.com/office/drawing/2015/06/chart">
            <c:ext xmlns:c16="http://schemas.microsoft.com/office/drawing/2014/chart" uri="{C3380CC4-5D6E-409C-BE32-E72D297353CC}">
              <c16:uniqueId val="{00000000-64C4-4FA5-B5B5-83B88DC4B181}"/>
            </c:ext>
          </c:extLst>
        </c:ser>
        <c:ser>
          <c:idx val="1"/>
          <c:order val="1"/>
          <c:tx>
            <c:strRef>
              <c:f>Analysis!$A$21</c:f>
              <c:strCache>
                <c:ptCount val="1"/>
                <c:pt idx="0">
                  <c:v>185-500 sqm</c:v>
                </c:pt>
              </c:strCache>
            </c:strRef>
          </c:tx>
          <c:invertIfNegative val="0"/>
          <c:cat>
            <c:strRef>
              <c:f>Analysis!$D$19:$H$19</c:f>
              <c:strCache>
                <c:ptCount val="5"/>
                <c:pt idx="0">
                  <c:v>Chichester City</c:v>
                </c:pt>
                <c:pt idx="1">
                  <c:v>East-West Corridor</c:v>
                </c:pt>
                <c:pt idx="2">
                  <c:v>Manhood Peninsula</c:v>
                </c:pt>
                <c:pt idx="3">
                  <c:v>Plan Area North</c:v>
                </c:pt>
                <c:pt idx="4">
                  <c:v>SDNP</c:v>
                </c:pt>
              </c:strCache>
            </c:strRef>
          </c:cat>
          <c:val>
            <c:numRef>
              <c:f>Analysis!$D$21:$H$21</c:f>
              <c:numCache>
                <c:formatCode>General</c:formatCode>
                <c:ptCount val="5"/>
                <c:pt idx="0">
                  <c:v>16</c:v>
                </c:pt>
                <c:pt idx="1">
                  <c:v>3</c:v>
                </c:pt>
                <c:pt idx="2">
                  <c:v>4</c:v>
                </c:pt>
                <c:pt idx="3">
                  <c:v>0</c:v>
                </c:pt>
                <c:pt idx="4">
                  <c:v>3</c:v>
                </c:pt>
              </c:numCache>
            </c:numRef>
          </c:val>
          <c:extLst xmlns:c16r2="http://schemas.microsoft.com/office/drawing/2015/06/chart">
            <c:ext xmlns:c16="http://schemas.microsoft.com/office/drawing/2014/chart" uri="{C3380CC4-5D6E-409C-BE32-E72D297353CC}">
              <c16:uniqueId val="{00000001-64C4-4FA5-B5B5-83B88DC4B181}"/>
            </c:ext>
          </c:extLst>
        </c:ser>
        <c:ser>
          <c:idx val="2"/>
          <c:order val="2"/>
          <c:tx>
            <c:strRef>
              <c:f>Analysis!$A$22</c:f>
              <c:strCache>
                <c:ptCount val="1"/>
                <c:pt idx="0">
                  <c:v>500-1,000 sqm</c:v>
                </c:pt>
              </c:strCache>
            </c:strRef>
          </c:tx>
          <c:invertIfNegative val="0"/>
          <c:cat>
            <c:strRef>
              <c:f>Analysis!$D$19:$H$19</c:f>
              <c:strCache>
                <c:ptCount val="5"/>
                <c:pt idx="0">
                  <c:v>Chichester City</c:v>
                </c:pt>
                <c:pt idx="1">
                  <c:v>East-West Corridor</c:v>
                </c:pt>
                <c:pt idx="2">
                  <c:v>Manhood Peninsula</c:v>
                </c:pt>
                <c:pt idx="3">
                  <c:v>Plan Area North</c:v>
                </c:pt>
                <c:pt idx="4">
                  <c:v>SDNP</c:v>
                </c:pt>
              </c:strCache>
            </c:strRef>
          </c:cat>
          <c:val>
            <c:numRef>
              <c:f>Analysis!$D$22:$H$22</c:f>
              <c:numCache>
                <c:formatCode>General</c:formatCode>
                <c:ptCount val="5"/>
                <c:pt idx="0">
                  <c:v>3</c:v>
                </c:pt>
                <c:pt idx="1">
                  <c:v>1</c:v>
                </c:pt>
                <c:pt idx="2">
                  <c:v>0</c:v>
                </c:pt>
                <c:pt idx="3">
                  <c:v>0</c:v>
                </c:pt>
                <c:pt idx="4">
                  <c:v>2</c:v>
                </c:pt>
              </c:numCache>
            </c:numRef>
          </c:val>
          <c:extLst xmlns:c16r2="http://schemas.microsoft.com/office/drawing/2015/06/chart">
            <c:ext xmlns:c16="http://schemas.microsoft.com/office/drawing/2014/chart" uri="{C3380CC4-5D6E-409C-BE32-E72D297353CC}">
              <c16:uniqueId val="{00000002-64C4-4FA5-B5B5-83B88DC4B181}"/>
            </c:ext>
          </c:extLst>
        </c:ser>
        <c:ser>
          <c:idx val="3"/>
          <c:order val="3"/>
          <c:tx>
            <c:strRef>
              <c:f>Analysis!$A$23</c:f>
              <c:strCache>
                <c:ptCount val="1"/>
                <c:pt idx="0">
                  <c:v>1,000-10,000 sqm</c:v>
                </c:pt>
              </c:strCache>
            </c:strRef>
          </c:tx>
          <c:invertIfNegative val="0"/>
          <c:cat>
            <c:strRef>
              <c:f>Analysis!$D$19:$H$19</c:f>
              <c:strCache>
                <c:ptCount val="5"/>
                <c:pt idx="0">
                  <c:v>Chichester City</c:v>
                </c:pt>
                <c:pt idx="1">
                  <c:v>East-West Corridor</c:v>
                </c:pt>
                <c:pt idx="2">
                  <c:v>Manhood Peninsula</c:v>
                </c:pt>
                <c:pt idx="3">
                  <c:v>Plan Area North</c:v>
                </c:pt>
                <c:pt idx="4">
                  <c:v>SDNP</c:v>
                </c:pt>
              </c:strCache>
            </c:strRef>
          </c:cat>
          <c:val>
            <c:numRef>
              <c:f>Analysis!$D$23:$H$23</c:f>
              <c:numCache>
                <c:formatCode>General</c:formatCode>
                <c:ptCount val="5"/>
                <c:pt idx="0">
                  <c:v>7</c:v>
                </c:pt>
                <c:pt idx="1">
                  <c:v>2</c:v>
                </c:pt>
                <c:pt idx="2">
                  <c:v>1</c:v>
                </c:pt>
                <c:pt idx="3">
                  <c:v>0</c:v>
                </c:pt>
                <c:pt idx="4">
                  <c:v>1</c:v>
                </c:pt>
              </c:numCache>
            </c:numRef>
          </c:val>
          <c:extLst xmlns:c16r2="http://schemas.microsoft.com/office/drawing/2015/06/chart">
            <c:ext xmlns:c16="http://schemas.microsoft.com/office/drawing/2014/chart" uri="{C3380CC4-5D6E-409C-BE32-E72D297353CC}">
              <c16:uniqueId val="{00000003-64C4-4FA5-B5B5-83B88DC4B181}"/>
            </c:ext>
          </c:extLst>
        </c:ser>
        <c:ser>
          <c:idx val="4"/>
          <c:order val="4"/>
          <c:tx>
            <c:strRef>
              <c:f>Analysis!$A$24</c:f>
              <c:strCache>
                <c:ptCount val="1"/>
                <c:pt idx="0">
                  <c:v>10,000+ sqm</c:v>
                </c:pt>
              </c:strCache>
            </c:strRef>
          </c:tx>
          <c:invertIfNegative val="0"/>
          <c:cat>
            <c:strRef>
              <c:f>Analysis!$D$19:$H$19</c:f>
              <c:strCache>
                <c:ptCount val="5"/>
                <c:pt idx="0">
                  <c:v>Chichester City</c:v>
                </c:pt>
                <c:pt idx="1">
                  <c:v>East-West Corridor</c:v>
                </c:pt>
                <c:pt idx="2">
                  <c:v>Manhood Peninsula</c:v>
                </c:pt>
                <c:pt idx="3">
                  <c:v>Plan Area North</c:v>
                </c:pt>
                <c:pt idx="4">
                  <c:v>SDNP</c:v>
                </c:pt>
              </c:strCache>
            </c:strRef>
          </c:cat>
          <c:val>
            <c:numRef>
              <c:f>Analysis!$D$24:$H$24</c:f>
              <c:numCache>
                <c:formatCode>General</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4-64C4-4FA5-B5B5-83B88DC4B181}"/>
            </c:ext>
          </c:extLst>
        </c:ser>
        <c:dLbls>
          <c:showLegendKey val="0"/>
          <c:showVal val="0"/>
          <c:showCatName val="0"/>
          <c:showSerName val="0"/>
          <c:showPercent val="0"/>
          <c:showBubbleSize val="0"/>
        </c:dLbls>
        <c:gapWidth val="150"/>
        <c:overlap val="100"/>
        <c:axId val="291293440"/>
        <c:axId val="291303424"/>
      </c:barChart>
      <c:catAx>
        <c:axId val="291293440"/>
        <c:scaling>
          <c:orientation val="minMax"/>
        </c:scaling>
        <c:delete val="0"/>
        <c:axPos val="b"/>
        <c:numFmt formatCode="General" sourceLinked="0"/>
        <c:majorTickMark val="out"/>
        <c:minorTickMark val="none"/>
        <c:tickLblPos val="nextTo"/>
        <c:crossAx val="291303424"/>
        <c:crosses val="autoZero"/>
        <c:auto val="1"/>
        <c:lblAlgn val="ctr"/>
        <c:lblOffset val="100"/>
        <c:noMultiLvlLbl val="0"/>
      </c:catAx>
      <c:valAx>
        <c:axId val="291303424"/>
        <c:scaling>
          <c:orientation val="minMax"/>
        </c:scaling>
        <c:delete val="0"/>
        <c:axPos val="l"/>
        <c:majorGridlines/>
        <c:numFmt formatCode="General" sourceLinked="1"/>
        <c:majorTickMark val="out"/>
        <c:minorTickMark val="none"/>
        <c:tickLblPos val="nextTo"/>
        <c:crossAx val="291293440"/>
        <c:crosses val="autoZero"/>
        <c:crossBetween val="between"/>
      </c:valAx>
    </c:plotArea>
    <c:legend>
      <c:legendPos val="r"/>
      <c:overlay val="0"/>
    </c:legend>
    <c:plotVisOnly val="1"/>
    <c:dispBlanksAs val="gap"/>
    <c:showDLblsOverMax val="0"/>
  </c:chart>
  <c:txPr>
    <a:bodyPr/>
    <a:lstStyle/>
    <a:p>
      <a:pPr>
        <a:defRPr sz="1200">
          <a:latin typeface="Arial Narrow" panose="020B0606020202030204" pitchFamily="34" charset="0"/>
        </a:defRPr>
      </a:pPr>
      <a:endParaRPr lang="en-US"/>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Analysis!$A$12</c:f>
              <c:strCache>
                <c:ptCount val="1"/>
                <c:pt idx="0">
                  <c:v>Less than 185 sqm</c:v>
                </c:pt>
              </c:strCache>
            </c:strRef>
          </c:tx>
          <c:invertIfNegative val="0"/>
          <c:cat>
            <c:strRef>
              <c:f>Analysis!$D$11:$H$11</c:f>
              <c:strCache>
                <c:ptCount val="5"/>
                <c:pt idx="0">
                  <c:v>Chichester City</c:v>
                </c:pt>
                <c:pt idx="1">
                  <c:v>East-West Corridor</c:v>
                </c:pt>
                <c:pt idx="2">
                  <c:v>Manhood Peninsula</c:v>
                </c:pt>
                <c:pt idx="3">
                  <c:v>Plan Area North</c:v>
                </c:pt>
                <c:pt idx="4">
                  <c:v>SDNP</c:v>
                </c:pt>
              </c:strCache>
            </c:strRef>
          </c:cat>
          <c:val>
            <c:numRef>
              <c:f>Analysis!$D$12:$H$12</c:f>
              <c:numCache>
                <c:formatCode>0</c:formatCode>
                <c:ptCount val="5"/>
                <c:pt idx="0">
                  <c:v>355.075266</c:v>
                </c:pt>
                <c:pt idx="1">
                  <c:v>329.80565000000001</c:v>
                </c:pt>
                <c:pt idx="2">
                  <c:v>67.168869000000001</c:v>
                </c:pt>
                <c:pt idx="3">
                  <c:v>0</c:v>
                </c:pt>
                <c:pt idx="4">
                  <c:v>358.97719200000006</c:v>
                </c:pt>
              </c:numCache>
            </c:numRef>
          </c:val>
          <c:extLst xmlns:c16r2="http://schemas.microsoft.com/office/drawing/2015/06/chart">
            <c:ext xmlns:c16="http://schemas.microsoft.com/office/drawing/2014/chart" uri="{C3380CC4-5D6E-409C-BE32-E72D297353CC}">
              <c16:uniqueId val="{00000000-EB20-450D-812C-A0D5708F85BB}"/>
            </c:ext>
          </c:extLst>
        </c:ser>
        <c:ser>
          <c:idx val="1"/>
          <c:order val="1"/>
          <c:tx>
            <c:strRef>
              <c:f>Analysis!$A$13</c:f>
              <c:strCache>
                <c:ptCount val="1"/>
                <c:pt idx="0">
                  <c:v>185-500 sqm</c:v>
                </c:pt>
              </c:strCache>
            </c:strRef>
          </c:tx>
          <c:invertIfNegative val="0"/>
          <c:cat>
            <c:strRef>
              <c:f>Analysis!$D$11:$H$11</c:f>
              <c:strCache>
                <c:ptCount val="5"/>
                <c:pt idx="0">
                  <c:v>Chichester City</c:v>
                </c:pt>
                <c:pt idx="1">
                  <c:v>East-West Corridor</c:v>
                </c:pt>
                <c:pt idx="2">
                  <c:v>Manhood Peninsula</c:v>
                </c:pt>
                <c:pt idx="3">
                  <c:v>Plan Area North</c:v>
                </c:pt>
                <c:pt idx="4">
                  <c:v>SDNP</c:v>
                </c:pt>
              </c:strCache>
            </c:strRef>
          </c:cat>
          <c:val>
            <c:numRef>
              <c:f>Analysis!$D$13:$H$13</c:f>
              <c:numCache>
                <c:formatCode>0</c:formatCode>
                <c:ptCount val="5"/>
                <c:pt idx="0">
                  <c:v>5340.3431489999994</c:v>
                </c:pt>
                <c:pt idx="1">
                  <c:v>1087.8941300000001</c:v>
                </c:pt>
                <c:pt idx="2">
                  <c:v>1635.1857029999996</c:v>
                </c:pt>
                <c:pt idx="3">
                  <c:v>0</c:v>
                </c:pt>
                <c:pt idx="4">
                  <c:v>1192.317102</c:v>
                </c:pt>
              </c:numCache>
            </c:numRef>
          </c:val>
          <c:extLst xmlns:c16r2="http://schemas.microsoft.com/office/drawing/2015/06/chart">
            <c:ext xmlns:c16="http://schemas.microsoft.com/office/drawing/2014/chart" uri="{C3380CC4-5D6E-409C-BE32-E72D297353CC}">
              <c16:uniqueId val="{00000001-EB20-450D-812C-A0D5708F85BB}"/>
            </c:ext>
          </c:extLst>
        </c:ser>
        <c:ser>
          <c:idx val="2"/>
          <c:order val="2"/>
          <c:tx>
            <c:strRef>
              <c:f>Analysis!$A$14</c:f>
              <c:strCache>
                <c:ptCount val="1"/>
                <c:pt idx="0">
                  <c:v>500-1,000 sqm</c:v>
                </c:pt>
              </c:strCache>
            </c:strRef>
          </c:tx>
          <c:invertIfNegative val="0"/>
          <c:cat>
            <c:strRef>
              <c:f>Analysis!$D$11:$H$11</c:f>
              <c:strCache>
                <c:ptCount val="5"/>
                <c:pt idx="0">
                  <c:v>Chichester City</c:v>
                </c:pt>
                <c:pt idx="1">
                  <c:v>East-West Corridor</c:v>
                </c:pt>
                <c:pt idx="2">
                  <c:v>Manhood Peninsula</c:v>
                </c:pt>
                <c:pt idx="3">
                  <c:v>Plan Area North</c:v>
                </c:pt>
                <c:pt idx="4">
                  <c:v>SDNP</c:v>
                </c:pt>
              </c:strCache>
            </c:strRef>
          </c:cat>
          <c:val>
            <c:numRef>
              <c:f>Analysis!$D$14:$H$14</c:f>
              <c:numCache>
                <c:formatCode>0</c:formatCode>
                <c:ptCount val="5"/>
                <c:pt idx="0">
                  <c:v>1976.139713</c:v>
                </c:pt>
                <c:pt idx="1">
                  <c:v>578.04246599999999</c:v>
                </c:pt>
                <c:pt idx="2">
                  <c:v>0</c:v>
                </c:pt>
                <c:pt idx="3">
                  <c:v>0</c:v>
                </c:pt>
                <c:pt idx="4">
                  <c:v>1180.518421</c:v>
                </c:pt>
              </c:numCache>
            </c:numRef>
          </c:val>
          <c:extLst xmlns:c16r2="http://schemas.microsoft.com/office/drawing/2015/06/chart">
            <c:ext xmlns:c16="http://schemas.microsoft.com/office/drawing/2014/chart" uri="{C3380CC4-5D6E-409C-BE32-E72D297353CC}">
              <c16:uniqueId val="{00000002-EB20-450D-812C-A0D5708F85BB}"/>
            </c:ext>
          </c:extLst>
        </c:ser>
        <c:ser>
          <c:idx val="3"/>
          <c:order val="3"/>
          <c:tx>
            <c:strRef>
              <c:f>Analysis!$A$15</c:f>
              <c:strCache>
                <c:ptCount val="1"/>
                <c:pt idx="0">
                  <c:v>1,000-10,000 sqm</c:v>
                </c:pt>
              </c:strCache>
            </c:strRef>
          </c:tx>
          <c:invertIfNegative val="0"/>
          <c:cat>
            <c:strRef>
              <c:f>Analysis!$D$11:$H$11</c:f>
              <c:strCache>
                <c:ptCount val="5"/>
                <c:pt idx="0">
                  <c:v>Chichester City</c:v>
                </c:pt>
                <c:pt idx="1">
                  <c:v>East-West Corridor</c:v>
                </c:pt>
                <c:pt idx="2">
                  <c:v>Manhood Peninsula</c:v>
                </c:pt>
                <c:pt idx="3">
                  <c:v>Plan Area North</c:v>
                </c:pt>
                <c:pt idx="4">
                  <c:v>SDNP</c:v>
                </c:pt>
              </c:strCache>
            </c:strRef>
          </c:cat>
          <c:val>
            <c:numRef>
              <c:f>Analysis!$D$15:$H$15</c:f>
              <c:numCache>
                <c:formatCode>0</c:formatCode>
                <c:ptCount val="5"/>
                <c:pt idx="0">
                  <c:v>9529.2465159999992</c:v>
                </c:pt>
                <c:pt idx="1">
                  <c:v>2143.2722100000001</c:v>
                </c:pt>
                <c:pt idx="2">
                  <c:v>3716.12</c:v>
                </c:pt>
                <c:pt idx="3">
                  <c:v>0</c:v>
                </c:pt>
                <c:pt idx="4">
                  <c:v>3205.1534999999999</c:v>
                </c:pt>
              </c:numCache>
            </c:numRef>
          </c:val>
          <c:extLst xmlns:c16r2="http://schemas.microsoft.com/office/drawing/2015/06/chart">
            <c:ext xmlns:c16="http://schemas.microsoft.com/office/drawing/2014/chart" uri="{C3380CC4-5D6E-409C-BE32-E72D297353CC}">
              <c16:uniqueId val="{00000003-EB20-450D-812C-A0D5708F85BB}"/>
            </c:ext>
          </c:extLst>
        </c:ser>
        <c:ser>
          <c:idx val="4"/>
          <c:order val="4"/>
          <c:tx>
            <c:strRef>
              <c:f>Analysis!$A$16</c:f>
              <c:strCache>
                <c:ptCount val="1"/>
                <c:pt idx="0">
                  <c:v>10,000+ sqm</c:v>
                </c:pt>
              </c:strCache>
            </c:strRef>
          </c:tx>
          <c:invertIfNegative val="0"/>
          <c:cat>
            <c:strRef>
              <c:f>Analysis!$D$11:$H$11</c:f>
              <c:strCache>
                <c:ptCount val="5"/>
                <c:pt idx="0">
                  <c:v>Chichester City</c:v>
                </c:pt>
                <c:pt idx="1">
                  <c:v>East-West Corridor</c:v>
                </c:pt>
                <c:pt idx="2">
                  <c:v>Manhood Peninsula</c:v>
                </c:pt>
                <c:pt idx="3">
                  <c:v>Plan Area North</c:v>
                </c:pt>
                <c:pt idx="4">
                  <c:v>SDNP</c:v>
                </c:pt>
              </c:strCache>
            </c:strRef>
          </c:cat>
          <c:val>
            <c:numRef>
              <c:f>Analysis!$D$16:$H$16</c:f>
              <c:numCache>
                <c:formatCode>0</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4-EB20-450D-812C-A0D5708F85BB}"/>
            </c:ext>
          </c:extLst>
        </c:ser>
        <c:dLbls>
          <c:showLegendKey val="0"/>
          <c:showVal val="0"/>
          <c:showCatName val="0"/>
          <c:showSerName val="0"/>
          <c:showPercent val="0"/>
          <c:showBubbleSize val="0"/>
        </c:dLbls>
        <c:gapWidth val="150"/>
        <c:overlap val="100"/>
        <c:axId val="290993664"/>
        <c:axId val="290995200"/>
      </c:barChart>
      <c:catAx>
        <c:axId val="290993664"/>
        <c:scaling>
          <c:orientation val="minMax"/>
        </c:scaling>
        <c:delete val="0"/>
        <c:axPos val="b"/>
        <c:numFmt formatCode="General" sourceLinked="0"/>
        <c:majorTickMark val="out"/>
        <c:minorTickMark val="none"/>
        <c:tickLblPos val="nextTo"/>
        <c:crossAx val="290995200"/>
        <c:crosses val="autoZero"/>
        <c:auto val="1"/>
        <c:lblAlgn val="ctr"/>
        <c:lblOffset val="100"/>
        <c:noMultiLvlLbl val="0"/>
      </c:catAx>
      <c:valAx>
        <c:axId val="290995200"/>
        <c:scaling>
          <c:orientation val="minMax"/>
        </c:scaling>
        <c:delete val="0"/>
        <c:axPos val="l"/>
        <c:majorGridlines/>
        <c:numFmt formatCode="#,##0" sourceLinked="0"/>
        <c:majorTickMark val="out"/>
        <c:minorTickMark val="none"/>
        <c:tickLblPos val="nextTo"/>
        <c:crossAx val="290993664"/>
        <c:crosses val="autoZero"/>
        <c:crossBetween val="between"/>
      </c:valAx>
    </c:plotArea>
    <c:legend>
      <c:legendPos val="r"/>
      <c:overlay val="0"/>
    </c:legend>
    <c:plotVisOnly val="1"/>
    <c:dispBlanksAs val="gap"/>
    <c:showDLblsOverMax val="0"/>
  </c:chart>
  <c:txPr>
    <a:bodyPr/>
    <a:lstStyle/>
    <a:p>
      <a:pPr>
        <a:defRPr sz="1200">
          <a:latin typeface="Arial Narrow" panose="020B0606020202030204" pitchFamily="34" charset="0"/>
        </a:defRPr>
      </a:pPr>
      <a:endParaRPr lang="en-US"/>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Analysis!$B$2</c:f>
              <c:strCache>
                <c:ptCount val="1"/>
                <c:pt idx="0">
                  <c:v>Design &amp; Build</c:v>
                </c:pt>
              </c:strCache>
            </c:strRef>
          </c:tx>
          <c:invertIfNegative val="0"/>
          <c:cat>
            <c:strRef>
              <c:f>Analysis!$A$3:$A$7</c:f>
              <c:strCache>
                <c:ptCount val="5"/>
                <c:pt idx="0">
                  <c:v>Chichester City</c:v>
                </c:pt>
                <c:pt idx="1">
                  <c:v>East-West Corridor</c:v>
                </c:pt>
                <c:pt idx="2">
                  <c:v>Manhood Peninsula</c:v>
                </c:pt>
                <c:pt idx="3">
                  <c:v>Plan Area North</c:v>
                </c:pt>
                <c:pt idx="4">
                  <c:v>SDNP</c:v>
                </c:pt>
              </c:strCache>
            </c:strRef>
          </c:cat>
          <c:val>
            <c:numRef>
              <c:f>Analysis!$B$3:$B$7</c:f>
              <c:numCache>
                <c:formatCode>0</c:formatCode>
                <c:ptCount val="5"/>
                <c:pt idx="0">
                  <c:v>0</c:v>
                </c:pt>
                <c:pt idx="1">
                  <c:v>1114.836</c:v>
                </c:pt>
                <c:pt idx="2">
                  <c:v>0</c:v>
                </c:pt>
                <c:pt idx="3">
                  <c:v>0</c:v>
                </c:pt>
                <c:pt idx="4">
                  <c:v>0</c:v>
                </c:pt>
              </c:numCache>
            </c:numRef>
          </c:val>
          <c:extLst xmlns:c16r2="http://schemas.microsoft.com/office/drawing/2015/06/chart">
            <c:ext xmlns:c16="http://schemas.microsoft.com/office/drawing/2014/chart" uri="{C3380CC4-5D6E-409C-BE32-E72D297353CC}">
              <c16:uniqueId val="{00000000-EAEB-4AF9-A674-6E60065ADA39}"/>
            </c:ext>
          </c:extLst>
        </c:ser>
        <c:ser>
          <c:idx val="1"/>
          <c:order val="1"/>
          <c:tx>
            <c:strRef>
              <c:f>Analysis!$C$2</c:f>
              <c:strCache>
                <c:ptCount val="1"/>
                <c:pt idx="0">
                  <c:v>Existing</c:v>
                </c:pt>
              </c:strCache>
            </c:strRef>
          </c:tx>
          <c:invertIfNegative val="0"/>
          <c:cat>
            <c:strRef>
              <c:f>Analysis!$A$3:$A$7</c:f>
              <c:strCache>
                <c:ptCount val="5"/>
                <c:pt idx="0">
                  <c:v>Chichester City</c:v>
                </c:pt>
                <c:pt idx="1">
                  <c:v>East-West Corridor</c:v>
                </c:pt>
                <c:pt idx="2">
                  <c:v>Manhood Peninsula</c:v>
                </c:pt>
                <c:pt idx="3">
                  <c:v>Plan Area North</c:v>
                </c:pt>
                <c:pt idx="4">
                  <c:v>SDNP</c:v>
                </c:pt>
              </c:strCache>
            </c:strRef>
          </c:cat>
          <c:val>
            <c:numRef>
              <c:f>Analysis!$C$3:$C$7</c:f>
              <c:numCache>
                <c:formatCode>0</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1-EAEB-4AF9-A674-6E60065ADA39}"/>
            </c:ext>
          </c:extLst>
        </c:ser>
        <c:ser>
          <c:idx val="2"/>
          <c:order val="2"/>
          <c:tx>
            <c:strRef>
              <c:f>Analysis!$D$2</c:f>
              <c:strCache>
                <c:ptCount val="1"/>
                <c:pt idx="0">
                  <c:v>New Build (pre-construction)</c:v>
                </c:pt>
              </c:strCache>
            </c:strRef>
          </c:tx>
          <c:invertIfNegative val="0"/>
          <c:cat>
            <c:strRef>
              <c:f>Analysis!$A$3:$A$7</c:f>
              <c:strCache>
                <c:ptCount val="5"/>
                <c:pt idx="0">
                  <c:v>Chichester City</c:v>
                </c:pt>
                <c:pt idx="1">
                  <c:v>East-West Corridor</c:v>
                </c:pt>
                <c:pt idx="2">
                  <c:v>Manhood Peninsula</c:v>
                </c:pt>
                <c:pt idx="3">
                  <c:v>Plan Area North</c:v>
                </c:pt>
                <c:pt idx="4">
                  <c:v>SDNP</c:v>
                </c:pt>
              </c:strCache>
            </c:strRef>
          </c:cat>
          <c:val>
            <c:numRef>
              <c:f>Analysis!$D$3:$D$7</c:f>
              <c:numCache>
                <c:formatCode>0</c:formatCode>
                <c:ptCount val="5"/>
                <c:pt idx="0">
                  <c:v>0</c:v>
                </c:pt>
                <c:pt idx="1">
                  <c:v>1303.0574780000002</c:v>
                </c:pt>
                <c:pt idx="2">
                  <c:v>0</c:v>
                </c:pt>
                <c:pt idx="3">
                  <c:v>0</c:v>
                </c:pt>
                <c:pt idx="4">
                  <c:v>0</c:v>
                </c:pt>
              </c:numCache>
            </c:numRef>
          </c:val>
          <c:extLst xmlns:c16r2="http://schemas.microsoft.com/office/drawing/2015/06/chart">
            <c:ext xmlns:c16="http://schemas.microsoft.com/office/drawing/2014/chart" uri="{C3380CC4-5D6E-409C-BE32-E72D297353CC}">
              <c16:uniqueId val="{00000002-EAEB-4AF9-A674-6E60065ADA39}"/>
            </c:ext>
          </c:extLst>
        </c:ser>
        <c:ser>
          <c:idx val="3"/>
          <c:order val="3"/>
          <c:tx>
            <c:strRef>
              <c:f>Analysis!$E$2</c:f>
              <c:strCache>
                <c:ptCount val="1"/>
                <c:pt idx="0">
                  <c:v>New Build (under construction)</c:v>
                </c:pt>
              </c:strCache>
            </c:strRef>
          </c:tx>
          <c:invertIfNegative val="0"/>
          <c:cat>
            <c:strRef>
              <c:f>Analysis!$A$3:$A$7</c:f>
              <c:strCache>
                <c:ptCount val="5"/>
                <c:pt idx="0">
                  <c:v>Chichester City</c:v>
                </c:pt>
                <c:pt idx="1">
                  <c:v>East-West Corridor</c:v>
                </c:pt>
                <c:pt idx="2">
                  <c:v>Manhood Peninsula</c:v>
                </c:pt>
                <c:pt idx="3">
                  <c:v>Plan Area North</c:v>
                </c:pt>
                <c:pt idx="4">
                  <c:v>SDNP</c:v>
                </c:pt>
              </c:strCache>
            </c:strRef>
          </c:cat>
          <c:val>
            <c:numRef>
              <c:f>Analysis!$E$3:$E$7</c:f>
              <c:numCache>
                <c:formatCode>0</c:formatCode>
                <c:ptCount val="5"/>
                <c:pt idx="0">
                  <c:v>2844.8756660000004</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3-EAEB-4AF9-A674-6E60065ADA39}"/>
            </c:ext>
          </c:extLst>
        </c:ser>
        <c:ser>
          <c:idx val="4"/>
          <c:order val="4"/>
          <c:tx>
            <c:strRef>
              <c:f>Analysis!$F$2</c:f>
              <c:strCache>
                <c:ptCount val="1"/>
                <c:pt idx="0">
                  <c:v>Refurb (existing)</c:v>
                </c:pt>
              </c:strCache>
            </c:strRef>
          </c:tx>
          <c:invertIfNegative val="0"/>
          <c:cat>
            <c:strRef>
              <c:f>Analysis!$A$3:$A$7</c:f>
              <c:strCache>
                <c:ptCount val="5"/>
                <c:pt idx="0">
                  <c:v>Chichester City</c:v>
                </c:pt>
                <c:pt idx="1">
                  <c:v>East-West Corridor</c:v>
                </c:pt>
                <c:pt idx="2">
                  <c:v>Manhood Peninsula</c:v>
                </c:pt>
                <c:pt idx="3">
                  <c:v>Plan Area North</c:v>
                </c:pt>
                <c:pt idx="4">
                  <c:v>SDNP</c:v>
                </c:pt>
              </c:strCache>
            </c:strRef>
          </c:cat>
          <c:val>
            <c:numRef>
              <c:f>Analysis!$F$3:$F$7</c:f>
              <c:numCache>
                <c:formatCode>0</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4-EAEB-4AF9-A674-6E60065ADA39}"/>
            </c:ext>
          </c:extLst>
        </c:ser>
        <c:ser>
          <c:idx val="5"/>
          <c:order val="5"/>
          <c:tx>
            <c:strRef>
              <c:f>Analysis!$G$2</c:f>
              <c:strCache>
                <c:ptCount val="1"/>
                <c:pt idx="0">
                  <c:v>Refurb (pre-construction)</c:v>
                </c:pt>
              </c:strCache>
            </c:strRef>
          </c:tx>
          <c:invertIfNegative val="0"/>
          <c:cat>
            <c:strRef>
              <c:f>Analysis!$A$3:$A$7</c:f>
              <c:strCache>
                <c:ptCount val="5"/>
                <c:pt idx="0">
                  <c:v>Chichester City</c:v>
                </c:pt>
                <c:pt idx="1">
                  <c:v>East-West Corridor</c:v>
                </c:pt>
                <c:pt idx="2">
                  <c:v>Manhood Peninsula</c:v>
                </c:pt>
                <c:pt idx="3">
                  <c:v>Plan Area North</c:v>
                </c:pt>
                <c:pt idx="4">
                  <c:v>SDNP</c:v>
                </c:pt>
              </c:strCache>
            </c:strRef>
          </c:cat>
          <c:val>
            <c:numRef>
              <c:f>Analysis!$G$3:$G$7</c:f>
              <c:numCache>
                <c:formatCode>0</c:formatCode>
                <c:ptCount val="5"/>
                <c:pt idx="0">
                  <c:v>603.12627599999996</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5-EAEB-4AF9-A674-6E60065ADA39}"/>
            </c:ext>
          </c:extLst>
        </c:ser>
        <c:ser>
          <c:idx val="6"/>
          <c:order val="6"/>
          <c:tx>
            <c:strRef>
              <c:f>Analysis!$H$2</c:f>
              <c:strCache>
                <c:ptCount val="1"/>
                <c:pt idx="0">
                  <c:v>Second-hand Grade B</c:v>
                </c:pt>
              </c:strCache>
            </c:strRef>
          </c:tx>
          <c:invertIfNegative val="0"/>
          <c:cat>
            <c:strRef>
              <c:f>Analysis!$A$3:$A$7</c:f>
              <c:strCache>
                <c:ptCount val="5"/>
                <c:pt idx="0">
                  <c:v>Chichester City</c:v>
                </c:pt>
                <c:pt idx="1">
                  <c:v>East-West Corridor</c:v>
                </c:pt>
                <c:pt idx="2">
                  <c:v>Manhood Peninsula</c:v>
                </c:pt>
                <c:pt idx="3">
                  <c:v>Plan Area North</c:v>
                </c:pt>
                <c:pt idx="4">
                  <c:v>SDNP</c:v>
                </c:pt>
              </c:strCache>
            </c:strRef>
          </c:cat>
          <c:val>
            <c:numRef>
              <c:f>Analysis!$H$3:$H$7</c:f>
              <c:numCache>
                <c:formatCode>0</c:formatCode>
                <c:ptCount val="5"/>
                <c:pt idx="0">
                  <c:v>13752.802701999997</c:v>
                </c:pt>
                <c:pt idx="1">
                  <c:v>1721.1209779999999</c:v>
                </c:pt>
                <c:pt idx="2">
                  <c:v>5418.4745720000001</c:v>
                </c:pt>
                <c:pt idx="3">
                  <c:v>0</c:v>
                </c:pt>
                <c:pt idx="4">
                  <c:v>5936.9662149999995</c:v>
                </c:pt>
              </c:numCache>
            </c:numRef>
          </c:val>
          <c:extLst xmlns:c16r2="http://schemas.microsoft.com/office/drawing/2015/06/chart">
            <c:ext xmlns:c16="http://schemas.microsoft.com/office/drawing/2014/chart" uri="{C3380CC4-5D6E-409C-BE32-E72D297353CC}">
              <c16:uniqueId val="{00000006-EAEB-4AF9-A674-6E60065ADA39}"/>
            </c:ext>
          </c:extLst>
        </c:ser>
        <c:dLbls>
          <c:showLegendKey val="0"/>
          <c:showVal val="0"/>
          <c:showCatName val="0"/>
          <c:showSerName val="0"/>
          <c:showPercent val="0"/>
          <c:showBubbleSize val="0"/>
        </c:dLbls>
        <c:gapWidth val="150"/>
        <c:overlap val="100"/>
        <c:axId val="291048448"/>
        <c:axId val="291066624"/>
      </c:barChart>
      <c:catAx>
        <c:axId val="291048448"/>
        <c:scaling>
          <c:orientation val="minMax"/>
        </c:scaling>
        <c:delete val="0"/>
        <c:axPos val="b"/>
        <c:numFmt formatCode="General" sourceLinked="0"/>
        <c:majorTickMark val="out"/>
        <c:minorTickMark val="none"/>
        <c:tickLblPos val="nextTo"/>
        <c:crossAx val="291066624"/>
        <c:crosses val="autoZero"/>
        <c:auto val="1"/>
        <c:lblAlgn val="ctr"/>
        <c:lblOffset val="100"/>
        <c:noMultiLvlLbl val="0"/>
      </c:catAx>
      <c:valAx>
        <c:axId val="291066624"/>
        <c:scaling>
          <c:orientation val="minMax"/>
        </c:scaling>
        <c:delete val="0"/>
        <c:axPos val="l"/>
        <c:majorGridlines/>
        <c:numFmt formatCode="#,##0" sourceLinked="0"/>
        <c:majorTickMark val="out"/>
        <c:minorTickMark val="none"/>
        <c:tickLblPos val="nextTo"/>
        <c:crossAx val="291048448"/>
        <c:crosses val="autoZero"/>
        <c:crossBetween val="between"/>
      </c:valAx>
    </c:plotArea>
    <c:legend>
      <c:legendPos val="r"/>
      <c:overlay val="0"/>
    </c:legend>
    <c:plotVisOnly val="1"/>
    <c:dispBlanksAs val="gap"/>
    <c:showDLblsOverMax val="0"/>
  </c:chart>
  <c:txPr>
    <a:bodyPr/>
    <a:lstStyle/>
    <a:p>
      <a:pPr>
        <a:defRPr sz="1200">
          <a:latin typeface="Arial Narrow" panose="020B0606020202030204" pitchFamily="34" charset="0"/>
        </a:defRPr>
      </a:pPr>
      <a:endParaRPr lang="en-US"/>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Analysis!$D$27</c:f>
              <c:strCache>
                <c:ptCount val="1"/>
                <c:pt idx="0">
                  <c:v>Design &amp; Build</c:v>
                </c:pt>
              </c:strCache>
            </c:strRef>
          </c:tx>
          <c:invertIfNegative val="0"/>
          <c:cat>
            <c:strRef>
              <c:f>Analysis!$A$28:$A$32</c:f>
              <c:strCache>
                <c:ptCount val="5"/>
                <c:pt idx="0">
                  <c:v>Less than 185 sqm</c:v>
                </c:pt>
                <c:pt idx="1">
                  <c:v>185-500 sqm</c:v>
                </c:pt>
                <c:pt idx="2">
                  <c:v>500-1,000 sqm</c:v>
                </c:pt>
                <c:pt idx="3">
                  <c:v>1,000-10,000 sqm</c:v>
                </c:pt>
                <c:pt idx="4">
                  <c:v>10,000+ sqm</c:v>
                </c:pt>
              </c:strCache>
            </c:strRef>
          </c:cat>
          <c:val>
            <c:numRef>
              <c:f>Analysis!$D$28:$D$32</c:f>
              <c:numCache>
                <c:formatCode>0</c:formatCode>
                <c:ptCount val="5"/>
                <c:pt idx="0">
                  <c:v>0</c:v>
                </c:pt>
                <c:pt idx="1">
                  <c:v>0</c:v>
                </c:pt>
                <c:pt idx="2">
                  <c:v>0</c:v>
                </c:pt>
                <c:pt idx="3">
                  <c:v>1114.836</c:v>
                </c:pt>
                <c:pt idx="4" formatCode="General">
                  <c:v>0</c:v>
                </c:pt>
              </c:numCache>
            </c:numRef>
          </c:val>
          <c:extLst xmlns:c16r2="http://schemas.microsoft.com/office/drawing/2015/06/chart">
            <c:ext xmlns:c16="http://schemas.microsoft.com/office/drawing/2014/chart" uri="{C3380CC4-5D6E-409C-BE32-E72D297353CC}">
              <c16:uniqueId val="{00000000-6A79-4B65-BD6C-0BC66C7295F0}"/>
            </c:ext>
          </c:extLst>
        </c:ser>
        <c:ser>
          <c:idx val="1"/>
          <c:order val="1"/>
          <c:tx>
            <c:strRef>
              <c:f>Analysis!$E$27</c:f>
              <c:strCache>
                <c:ptCount val="1"/>
                <c:pt idx="0">
                  <c:v>Existing</c:v>
                </c:pt>
              </c:strCache>
            </c:strRef>
          </c:tx>
          <c:invertIfNegative val="0"/>
          <c:cat>
            <c:strRef>
              <c:f>Analysis!$A$28:$A$32</c:f>
              <c:strCache>
                <c:ptCount val="5"/>
                <c:pt idx="0">
                  <c:v>Less than 185 sqm</c:v>
                </c:pt>
                <c:pt idx="1">
                  <c:v>185-500 sqm</c:v>
                </c:pt>
                <c:pt idx="2">
                  <c:v>500-1,000 sqm</c:v>
                </c:pt>
                <c:pt idx="3">
                  <c:v>1,000-10,000 sqm</c:v>
                </c:pt>
                <c:pt idx="4">
                  <c:v>10,000+ sqm</c:v>
                </c:pt>
              </c:strCache>
            </c:strRef>
          </c:cat>
          <c:val>
            <c:numRef>
              <c:f>Analysis!$E$28:$E$32</c:f>
              <c:numCache>
                <c:formatCode>0</c:formatCode>
                <c:ptCount val="5"/>
                <c:pt idx="0">
                  <c:v>0</c:v>
                </c:pt>
                <c:pt idx="1">
                  <c:v>0</c:v>
                </c:pt>
                <c:pt idx="2">
                  <c:v>0</c:v>
                </c:pt>
                <c:pt idx="3">
                  <c:v>0</c:v>
                </c:pt>
                <c:pt idx="4" formatCode="General">
                  <c:v>0</c:v>
                </c:pt>
              </c:numCache>
            </c:numRef>
          </c:val>
          <c:extLst xmlns:c16r2="http://schemas.microsoft.com/office/drawing/2015/06/chart">
            <c:ext xmlns:c16="http://schemas.microsoft.com/office/drawing/2014/chart" uri="{C3380CC4-5D6E-409C-BE32-E72D297353CC}">
              <c16:uniqueId val="{00000001-6A79-4B65-BD6C-0BC66C7295F0}"/>
            </c:ext>
          </c:extLst>
        </c:ser>
        <c:ser>
          <c:idx val="2"/>
          <c:order val="2"/>
          <c:tx>
            <c:strRef>
              <c:f>Analysis!$F$27</c:f>
              <c:strCache>
                <c:ptCount val="1"/>
                <c:pt idx="0">
                  <c:v>New Build (pre-construction)</c:v>
                </c:pt>
              </c:strCache>
            </c:strRef>
          </c:tx>
          <c:invertIfNegative val="0"/>
          <c:cat>
            <c:strRef>
              <c:f>Analysis!$A$28:$A$32</c:f>
              <c:strCache>
                <c:ptCount val="5"/>
                <c:pt idx="0">
                  <c:v>Less than 185 sqm</c:v>
                </c:pt>
                <c:pt idx="1">
                  <c:v>185-500 sqm</c:v>
                </c:pt>
                <c:pt idx="2">
                  <c:v>500-1,000 sqm</c:v>
                </c:pt>
                <c:pt idx="3">
                  <c:v>1,000-10,000 sqm</c:v>
                </c:pt>
                <c:pt idx="4">
                  <c:v>10,000+ sqm</c:v>
                </c:pt>
              </c:strCache>
            </c:strRef>
          </c:cat>
          <c:val>
            <c:numRef>
              <c:f>Analysis!$F$28:$F$32</c:f>
              <c:numCache>
                <c:formatCode>0</c:formatCode>
                <c:ptCount val="5"/>
                <c:pt idx="0">
                  <c:v>87.700432000000006</c:v>
                </c:pt>
                <c:pt idx="1">
                  <c:v>186.92083600000001</c:v>
                </c:pt>
                <c:pt idx="2">
                  <c:v>0</c:v>
                </c:pt>
                <c:pt idx="3">
                  <c:v>1028.4362100000001</c:v>
                </c:pt>
                <c:pt idx="4" formatCode="General">
                  <c:v>0</c:v>
                </c:pt>
              </c:numCache>
            </c:numRef>
          </c:val>
          <c:extLst xmlns:c16r2="http://schemas.microsoft.com/office/drawing/2015/06/chart">
            <c:ext xmlns:c16="http://schemas.microsoft.com/office/drawing/2014/chart" uri="{C3380CC4-5D6E-409C-BE32-E72D297353CC}">
              <c16:uniqueId val="{00000002-6A79-4B65-BD6C-0BC66C7295F0}"/>
            </c:ext>
          </c:extLst>
        </c:ser>
        <c:ser>
          <c:idx val="3"/>
          <c:order val="3"/>
          <c:tx>
            <c:strRef>
              <c:f>Analysis!$G$27</c:f>
              <c:strCache>
                <c:ptCount val="1"/>
                <c:pt idx="0">
                  <c:v>New Build (under construction)</c:v>
                </c:pt>
              </c:strCache>
            </c:strRef>
          </c:tx>
          <c:invertIfNegative val="0"/>
          <c:cat>
            <c:strRef>
              <c:f>Analysis!$A$28:$A$32</c:f>
              <c:strCache>
                <c:ptCount val="5"/>
                <c:pt idx="0">
                  <c:v>Less than 185 sqm</c:v>
                </c:pt>
                <c:pt idx="1">
                  <c:v>185-500 sqm</c:v>
                </c:pt>
                <c:pt idx="2">
                  <c:v>500-1,000 sqm</c:v>
                </c:pt>
                <c:pt idx="3">
                  <c:v>1,000-10,000 sqm</c:v>
                </c:pt>
                <c:pt idx="4">
                  <c:v>10,000+ sqm</c:v>
                </c:pt>
              </c:strCache>
            </c:strRef>
          </c:cat>
          <c:val>
            <c:numRef>
              <c:f>Analysis!$G$28:$G$32</c:f>
              <c:numCache>
                <c:formatCode>0</c:formatCode>
                <c:ptCount val="5"/>
                <c:pt idx="0">
                  <c:v>0</c:v>
                </c:pt>
                <c:pt idx="1">
                  <c:v>2844.8756660000004</c:v>
                </c:pt>
                <c:pt idx="2">
                  <c:v>0</c:v>
                </c:pt>
                <c:pt idx="3">
                  <c:v>0</c:v>
                </c:pt>
                <c:pt idx="4" formatCode="General">
                  <c:v>0</c:v>
                </c:pt>
              </c:numCache>
            </c:numRef>
          </c:val>
          <c:extLst xmlns:c16r2="http://schemas.microsoft.com/office/drawing/2015/06/chart">
            <c:ext xmlns:c16="http://schemas.microsoft.com/office/drawing/2014/chart" uri="{C3380CC4-5D6E-409C-BE32-E72D297353CC}">
              <c16:uniqueId val="{00000003-6A79-4B65-BD6C-0BC66C7295F0}"/>
            </c:ext>
          </c:extLst>
        </c:ser>
        <c:ser>
          <c:idx val="4"/>
          <c:order val="4"/>
          <c:tx>
            <c:strRef>
              <c:f>Analysis!$H$27</c:f>
              <c:strCache>
                <c:ptCount val="1"/>
                <c:pt idx="0">
                  <c:v>Refurb (existing)</c:v>
                </c:pt>
              </c:strCache>
            </c:strRef>
          </c:tx>
          <c:invertIfNegative val="0"/>
          <c:cat>
            <c:strRef>
              <c:f>Analysis!$A$28:$A$32</c:f>
              <c:strCache>
                <c:ptCount val="5"/>
                <c:pt idx="0">
                  <c:v>Less than 185 sqm</c:v>
                </c:pt>
                <c:pt idx="1">
                  <c:v>185-500 sqm</c:v>
                </c:pt>
                <c:pt idx="2">
                  <c:v>500-1,000 sqm</c:v>
                </c:pt>
                <c:pt idx="3">
                  <c:v>1,000-10,000 sqm</c:v>
                </c:pt>
                <c:pt idx="4">
                  <c:v>10,000+ sqm</c:v>
                </c:pt>
              </c:strCache>
            </c:strRef>
          </c:cat>
          <c:val>
            <c:numRef>
              <c:f>Analysis!$H$28:$H$32</c:f>
              <c:numCache>
                <c:formatCode>0</c:formatCode>
                <c:ptCount val="5"/>
                <c:pt idx="0">
                  <c:v>0</c:v>
                </c:pt>
                <c:pt idx="1">
                  <c:v>0</c:v>
                </c:pt>
                <c:pt idx="2">
                  <c:v>0</c:v>
                </c:pt>
                <c:pt idx="3">
                  <c:v>0</c:v>
                </c:pt>
                <c:pt idx="4" formatCode="General">
                  <c:v>0</c:v>
                </c:pt>
              </c:numCache>
            </c:numRef>
          </c:val>
          <c:extLst xmlns:c16r2="http://schemas.microsoft.com/office/drawing/2015/06/chart">
            <c:ext xmlns:c16="http://schemas.microsoft.com/office/drawing/2014/chart" uri="{C3380CC4-5D6E-409C-BE32-E72D297353CC}">
              <c16:uniqueId val="{00000004-6A79-4B65-BD6C-0BC66C7295F0}"/>
            </c:ext>
          </c:extLst>
        </c:ser>
        <c:ser>
          <c:idx val="5"/>
          <c:order val="5"/>
          <c:tx>
            <c:strRef>
              <c:f>Analysis!$I$27</c:f>
              <c:strCache>
                <c:ptCount val="1"/>
                <c:pt idx="0">
                  <c:v>Refurb (pre-construction)</c:v>
                </c:pt>
              </c:strCache>
            </c:strRef>
          </c:tx>
          <c:invertIfNegative val="0"/>
          <c:cat>
            <c:strRef>
              <c:f>Analysis!$A$28:$A$32</c:f>
              <c:strCache>
                <c:ptCount val="5"/>
                <c:pt idx="0">
                  <c:v>Less than 185 sqm</c:v>
                </c:pt>
                <c:pt idx="1">
                  <c:v>185-500 sqm</c:v>
                </c:pt>
                <c:pt idx="2">
                  <c:v>500-1,000 sqm</c:v>
                </c:pt>
                <c:pt idx="3">
                  <c:v>1,000-10,000 sqm</c:v>
                </c:pt>
                <c:pt idx="4">
                  <c:v>10,000+ sqm</c:v>
                </c:pt>
              </c:strCache>
            </c:strRef>
          </c:cat>
          <c:val>
            <c:numRef>
              <c:f>Analysis!$I$28:$I$32</c:f>
              <c:numCache>
                <c:formatCode>0</c:formatCode>
                <c:ptCount val="5"/>
                <c:pt idx="0">
                  <c:v>0</c:v>
                </c:pt>
                <c:pt idx="1">
                  <c:v>0</c:v>
                </c:pt>
                <c:pt idx="2">
                  <c:v>603.12627599999996</c:v>
                </c:pt>
                <c:pt idx="3">
                  <c:v>0</c:v>
                </c:pt>
                <c:pt idx="4" formatCode="General">
                  <c:v>0</c:v>
                </c:pt>
              </c:numCache>
            </c:numRef>
          </c:val>
          <c:extLst xmlns:c16r2="http://schemas.microsoft.com/office/drawing/2015/06/chart">
            <c:ext xmlns:c16="http://schemas.microsoft.com/office/drawing/2014/chart" uri="{C3380CC4-5D6E-409C-BE32-E72D297353CC}">
              <c16:uniqueId val="{00000005-6A79-4B65-BD6C-0BC66C7295F0}"/>
            </c:ext>
          </c:extLst>
        </c:ser>
        <c:ser>
          <c:idx val="6"/>
          <c:order val="6"/>
          <c:tx>
            <c:strRef>
              <c:f>Analysis!$J$27</c:f>
              <c:strCache>
                <c:ptCount val="1"/>
                <c:pt idx="0">
                  <c:v>Second-hand Grade B</c:v>
                </c:pt>
              </c:strCache>
            </c:strRef>
          </c:tx>
          <c:invertIfNegative val="0"/>
          <c:cat>
            <c:strRef>
              <c:f>Analysis!$A$28:$A$32</c:f>
              <c:strCache>
                <c:ptCount val="5"/>
                <c:pt idx="0">
                  <c:v>Less than 185 sqm</c:v>
                </c:pt>
                <c:pt idx="1">
                  <c:v>185-500 sqm</c:v>
                </c:pt>
                <c:pt idx="2">
                  <c:v>500-1,000 sqm</c:v>
                </c:pt>
                <c:pt idx="3">
                  <c:v>1,000-10,000 sqm</c:v>
                </c:pt>
                <c:pt idx="4">
                  <c:v>10,000+ sqm</c:v>
                </c:pt>
              </c:strCache>
            </c:strRef>
          </c:cat>
          <c:val>
            <c:numRef>
              <c:f>Analysis!$J$28:$J$32</c:f>
              <c:numCache>
                <c:formatCode>0</c:formatCode>
                <c:ptCount val="5"/>
                <c:pt idx="0">
                  <c:v>1023.326545</c:v>
                </c:pt>
                <c:pt idx="1">
                  <c:v>6223.9435820000008</c:v>
                </c:pt>
                <c:pt idx="2">
                  <c:v>3131.5743239999997</c:v>
                </c:pt>
                <c:pt idx="3">
                  <c:v>16450.520015999999</c:v>
                </c:pt>
                <c:pt idx="4">
                  <c:v>0</c:v>
                </c:pt>
              </c:numCache>
            </c:numRef>
          </c:val>
          <c:extLst xmlns:c16r2="http://schemas.microsoft.com/office/drawing/2015/06/chart">
            <c:ext xmlns:c16="http://schemas.microsoft.com/office/drawing/2014/chart" uri="{C3380CC4-5D6E-409C-BE32-E72D297353CC}">
              <c16:uniqueId val="{00000006-6A79-4B65-BD6C-0BC66C7295F0}"/>
            </c:ext>
          </c:extLst>
        </c:ser>
        <c:dLbls>
          <c:showLegendKey val="0"/>
          <c:showVal val="0"/>
          <c:showCatName val="0"/>
          <c:showSerName val="0"/>
          <c:showPercent val="0"/>
          <c:showBubbleSize val="0"/>
        </c:dLbls>
        <c:gapWidth val="150"/>
        <c:overlap val="100"/>
        <c:axId val="291181696"/>
        <c:axId val="291183232"/>
      </c:barChart>
      <c:catAx>
        <c:axId val="291181696"/>
        <c:scaling>
          <c:orientation val="minMax"/>
        </c:scaling>
        <c:delete val="0"/>
        <c:axPos val="b"/>
        <c:numFmt formatCode="General" sourceLinked="0"/>
        <c:majorTickMark val="out"/>
        <c:minorTickMark val="none"/>
        <c:tickLblPos val="nextTo"/>
        <c:crossAx val="291183232"/>
        <c:crosses val="autoZero"/>
        <c:auto val="1"/>
        <c:lblAlgn val="ctr"/>
        <c:lblOffset val="100"/>
        <c:noMultiLvlLbl val="0"/>
      </c:catAx>
      <c:valAx>
        <c:axId val="291183232"/>
        <c:scaling>
          <c:orientation val="minMax"/>
        </c:scaling>
        <c:delete val="0"/>
        <c:axPos val="l"/>
        <c:majorGridlines/>
        <c:numFmt formatCode="#,##0" sourceLinked="0"/>
        <c:majorTickMark val="out"/>
        <c:minorTickMark val="none"/>
        <c:tickLblPos val="nextTo"/>
        <c:crossAx val="291181696"/>
        <c:crosses val="autoZero"/>
        <c:crossBetween val="between"/>
      </c:valAx>
    </c:plotArea>
    <c:legend>
      <c:legendPos val="r"/>
      <c:overlay val="0"/>
    </c:legend>
    <c:plotVisOnly val="1"/>
    <c:dispBlanksAs val="gap"/>
    <c:showDLblsOverMax val="0"/>
  </c:chart>
  <c:txPr>
    <a:bodyPr/>
    <a:lstStyle/>
    <a:p>
      <a:pPr>
        <a:defRPr sz="1200">
          <a:latin typeface="Arial Narrow" panose="020B060602020203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'Rents trend and by type'!$A$2</c:f>
              <c:strCache>
                <c:ptCount val="1"/>
                <c:pt idx="0">
                  <c:v>Chichester District</c:v>
                </c:pt>
              </c:strCache>
            </c:strRef>
          </c:tx>
          <c:invertIfNegative val="0"/>
          <c:cat>
            <c:strRef>
              <c:f>'Rents trend and by type'!$B$1:$G$1</c:f>
              <c:strCache>
                <c:ptCount val="6"/>
                <c:pt idx="0">
                  <c:v>1 Bed</c:v>
                </c:pt>
                <c:pt idx="1">
                  <c:v>2 Bed</c:v>
                </c:pt>
                <c:pt idx="2">
                  <c:v>3 Bed</c:v>
                </c:pt>
                <c:pt idx="3">
                  <c:v>4 Bed</c:v>
                </c:pt>
                <c:pt idx="4">
                  <c:v>Room</c:v>
                </c:pt>
                <c:pt idx="5">
                  <c:v>Studio</c:v>
                </c:pt>
              </c:strCache>
            </c:strRef>
          </c:cat>
          <c:val>
            <c:numRef>
              <c:f>'Rents trend and by type'!$B$2:$G$2</c:f>
              <c:numCache>
                <c:formatCode>_-"£"* #,##0_-;\-"£"* #,##0_-;_-"£"* "-"??_-;_-@_-</c:formatCode>
                <c:ptCount val="6"/>
                <c:pt idx="0">
                  <c:v>695</c:v>
                </c:pt>
                <c:pt idx="1">
                  <c:v>875</c:v>
                </c:pt>
                <c:pt idx="2">
                  <c:v>1098</c:v>
                </c:pt>
                <c:pt idx="3">
                  <c:v>1520</c:v>
                </c:pt>
                <c:pt idx="4">
                  <c:v>425</c:v>
                </c:pt>
                <c:pt idx="5">
                  <c:v>575</c:v>
                </c:pt>
              </c:numCache>
            </c:numRef>
          </c:val>
          <c:extLst xmlns:c16r2="http://schemas.microsoft.com/office/drawing/2015/06/chart">
            <c:ext xmlns:c16="http://schemas.microsoft.com/office/drawing/2014/chart" uri="{C3380CC4-5D6E-409C-BE32-E72D297353CC}">
              <c16:uniqueId val="{00000000-AF74-49E7-96B9-EF27433C87BB}"/>
            </c:ext>
          </c:extLst>
        </c:ser>
        <c:ser>
          <c:idx val="1"/>
          <c:order val="1"/>
          <c:tx>
            <c:strRef>
              <c:f>'Rents trend and by type'!$A$3</c:f>
              <c:strCache>
                <c:ptCount val="1"/>
                <c:pt idx="0">
                  <c:v>Arun</c:v>
                </c:pt>
              </c:strCache>
            </c:strRef>
          </c:tx>
          <c:invertIfNegative val="0"/>
          <c:cat>
            <c:strRef>
              <c:f>'Rents trend and by type'!$B$1:$G$1</c:f>
              <c:strCache>
                <c:ptCount val="6"/>
                <c:pt idx="0">
                  <c:v>1 Bed</c:v>
                </c:pt>
                <c:pt idx="1">
                  <c:v>2 Bed</c:v>
                </c:pt>
                <c:pt idx="2">
                  <c:v>3 Bed</c:v>
                </c:pt>
                <c:pt idx="3">
                  <c:v>4 Bed</c:v>
                </c:pt>
                <c:pt idx="4">
                  <c:v>Room</c:v>
                </c:pt>
                <c:pt idx="5">
                  <c:v>Studio</c:v>
                </c:pt>
              </c:strCache>
            </c:strRef>
          </c:cat>
          <c:val>
            <c:numRef>
              <c:f>'Rents trend and by type'!$B$3:$G$3</c:f>
              <c:numCache>
                <c:formatCode>_-"£"* #,##0_-;\-"£"* #,##0_-;_-"£"* "-"??_-;_-@_-</c:formatCode>
                <c:ptCount val="6"/>
                <c:pt idx="0">
                  <c:v>595</c:v>
                </c:pt>
                <c:pt idx="1">
                  <c:v>800</c:v>
                </c:pt>
                <c:pt idx="2">
                  <c:v>950</c:v>
                </c:pt>
                <c:pt idx="3">
                  <c:v>1400</c:v>
                </c:pt>
                <c:pt idx="4">
                  <c:v>390</c:v>
                </c:pt>
                <c:pt idx="5">
                  <c:v>475</c:v>
                </c:pt>
              </c:numCache>
            </c:numRef>
          </c:val>
          <c:extLst xmlns:c16r2="http://schemas.microsoft.com/office/drawing/2015/06/chart">
            <c:ext xmlns:c16="http://schemas.microsoft.com/office/drawing/2014/chart" uri="{C3380CC4-5D6E-409C-BE32-E72D297353CC}">
              <c16:uniqueId val="{00000001-AF74-49E7-96B9-EF27433C87BB}"/>
            </c:ext>
          </c:extLst>
        </c:ser>
        <c:ser>
          <c:idx val="2"/>
          <c:order val="2"/>
          <c:tx>
            <c:strRef>
              <c:f>'Rents trend and by type'!$A$4</c:f>
              <c:strCache>
                <c:ptCount val="1"/>
                <c:pt idx="0">
                  <c:v>Cotswold</c:v>
                </c:pt>
              </c:strCache>
            </c:strRef>
          </c:tx>
          <c:invertIfNegative val="0"/>
          <c:cat>
            <c:strRef>
              <c:f>'Rents trend and by type'!$B$1:$G$1</c:f>
              <c:strCache>
                <c:ptCount val="6"/>
                <c:pt idx="0">
                  <c:v>1 Bed</c:v>
                </c:pt>
                <c:pt idx="1">
                  <c:v>2 Bed</c:v>
                </c:pt>
                <c:pt idx="2">
                  <c:v>3 Bed</c:v>
                </c:pt>
                <c:pt idx="3">
                  <c:v>4 Bed</c:v>
                </c:pt>
                <c:pt idx="4">
                  <c:v>Room</c:v>
                </c:pt>
                <c:pt idx="5">
                  <c:v>Studio</c:v>
                </c:pt>
              </c:strCache>
            </c:strRef>
          </c:cat>
          <c:val>
            <c:numRef>
              <c:f>'Rents trend and by type'!$B$4:$G$4</c:f>
              <c:numCache>
                <c:formatCode>_-"£"* #,##0_-;\-"£"* #,##0_-;_-"£"* "-"??_-;_-@_-</c:formatCode>
                <c:ptCount val="6"/>
                <c:pt idx="0">
                  <c:v>615</c:v>
                </c:pt>
                <c:pt idx="1">
                  <c:v>775</c:v>
                </c:pt>
                <c:pt idx="2">
                  <c:v>925</c:v>
                </c:pt>
                <c:pt idx="3">
                  <c:v>1625</c:v>
                </c:pt>
                <c:pt idx="4">
                  <c:v>400</c:v>
                </c:pt>
                <c:pt idx="5">
                  <c:v>400</c:v>
                </c:pt>
              </c:numCache>
            </c:numRef>
          </c:val>
          <c:extLst xmlns:c16r2="http://schemas.microsoft.com/office/drawing/2015/06/chart">
            <c:ext xmlns:c16="http://schemas.microsoft.com/office/drawing/2014/chart" uri="{C3380CC4-5D6E-409C-BE32-E72D297353CC}">
              <c16:uniqueId val="{00000002-AF74-49E7-96B9-EF27433C87BB}"/>
            </c:ext>
          </c:extLst>
        </c:ser>
        <c:ser>
          <c:idx val="3"/>
          <c:order val="3"/>
          <c:tx>
            <c:strRef>
              <c:f>'Rents trend and by type'!$A$5</c:f>
              <c:strCache>
                <c:ptCount val="1"/>
                <c:pt idx="0">
                  <c:v>West Dorset</c:v>
                </c:pt>
              </c:strCache>
            </c:strRef>
          </c:tx>
          <c:invertIfNegative val="0"/>
          <c:cat>
            <c:strRef>
              <c:f>'Rents trend and by type'!$B$1:$G$1</c:f>
              <c:strCache>
                <c:ptCount val="6"/>
                <c:pt idx="0">
                  <c:v>1 Bed</c:v>
                </c:pt>
                <c:pt idx="1">
                  <c:v>2 Bed</c:v>
                </c:pt>
                <c:pt idx="2">
                  <c:v>3 Bed</c:v>
                </c:pt>
                <c:pt idx="3">
                  <c:v>4 Bed</c:v>
                </c:pt>
                <c:pt idx="4">
                  <c:v>Room</c:v>
                </c:pt>
                <c:pt idx="5">
                  <c:v>Studio</c:v>
                </c:pt>
              </c:strCache>
            </c:strRef>
          </c:cat>
          <c:val>
            <c:numRef>
              <c:f>'Rents trend and by type'!$B$5:$G$5</c:f>
              <c:numCache>
                <c:formatCode>_-"£"* #,##0_-;\-"£"* #,##0_-;_-"£"* "-"??_-;_-@_-</c:formatCode>
                <c:ptCount val="6"/>
                <c:pt idx="0">
                  <c:v>575</c:v>
                </c:pt>
                <c:pt idx="1">
                  <c:v>715</c:v>
                </c:pt>
                <c:pt idx="2">
                  <c:v>850</c:v>
                </c:pt>
                <c:pt idx="3">
                  <c:v>1250</c:v>
                </c:pt>
                <c:pt idx="4">
                  <c:v>325</c:v>
                </c:pt>
                <c:pt idx="5">
                  <c:v>495</c:v>
                </c:pt>
              </c:numCache>
            </c:numRef>
          </c:val>
          <c:extLst xmlns:c16r2="http://schemas.microsoft.com/office/drawing/2015/06/chart">
            <c:ext xmlns:c16="http://schemas.microsoft.com/office/drawing/2014/chart" uri="{C3380CC4-5D6E-409C-BE32-E72D297353CC}">
              <c16:uniqueId val="{00000003-AF74-49E7-96B9-EF27433C87BB}"/>
            </c:ext>
          </c:extLst>
        </c:ser>
        <c:ser>
          <c:idx val="4"/>
          <c:order val="4"/>
          <c:tx>
            <c:strRef>
              <c:f>'Rents trend and by type'!$A$15</c:f>
              <c:strCache>
                <c:ptCount val="1"/>
                <c:pt idx="0">
                  <c:v>Chichester and Bognor HMA</c:v>
                </c:pt>
              </c:strCache>
            </c:strRef>
          </c:tx>
          <c:invertIfNegative val="0"/>
          <c:val>
            <c:numRef>
              <c:f>'Rents trend and by type'!$B$15:$G$15</c:f>
              <c:numCache>
                <c:formatCode>_-"£"* #,##0_-;\-"£"* #,##0_-;_-"£"* "-"??_-;_-@_-</c:formatCode>
                <c:ptCount val="6"/>
                <c:pt idx="0">
                  <c:v>645</c:v>
                </c:pt>
                <c:pt idx="1">
                  <c:v>837.5</c:v>
                </c:pt>
                <c:pt idx="2">
                  <c:v>1024</c:v>
                </c:pt>
                <c:pt idx="3">
                  <c:v>1460</c:v>
                </c:pt>
                <c:pt idx="4">
                  <c:v>407.5</c:v>
                </c:pt>
                <c:pt idx="5">
                  <c:v>525</c:v>
                </c:pt>
              </c:numCache>
            </c:numRef>
          </c:val>
          <c:extLst xmlns:c16r2="http://schemas.microsoft.com/office/drawing/2015/06/chart">
            <c:ext xmlns:c16="http://schemas.microsoft.com/office/drawing/2014/chart" uri="{C3380CC4-5D6E-409C-BE32-E72D297353CC}">
              <c16:uniqueId val="{00000004-AF74-49E7-96B9-EF27433C87BB}"/>
            </c:ext>
          </c:extLst>
        </c:ser>
        <c:ser>
          <c:idx val="10"/>
          <c:order val="5"/>
          <c:tx>
            <c:strRef>
              <c:f>'Rents trend and by type'!$A$12</c:f>
              <c:strCache>
                <c:ptCount val="1"/>
                <c:pt idx="0">
                  <c:v>West Sussex</c:v>
                </c:pt>
              </c:strCache>
            </c:strRef>
          </c:tx>
          <c:invertIfNegative val="0"/>
          <c:cat>
            <c:strRef>
              <c:f>'Rents trend and by type'!$B$1:$G$1</c:f>
              <c:strCache>
                <c:ptCount val="6"/>
                <c:pt idx="0">
                  <c:v>1 Bed</c:v>
                </c:pt>
                <c:pt idx="1">
                  <c:v>2 Bed</c:v>
                </c:pt>
                <c:pt idx="2">
                  <c:v>3 Bed</c:v>
                </c:pt>
                <c:pt idx="3">
                  <c:v>4 Bed</c:v>
                </c:pt>
                <c:pt idx="4">
                  <c:v>Room</c:v>
                </c:pt>
                <c:pt idx="5">
                  <c:v>Studio</c:v>
                </c:pt>
              </c:strCache>
            </c:strRef>
          </c:cat>
          <c:val>
            <c:numRef>
              <c:f>'Rents trend and by type'!$B$12:$G$12</c:f>
              <c:numCache>
                <c:formatCode>_-"£"* #,##0_-;\-"£"* #,##0_-;_-"£"* "-"??_-;_-@_-</c:formatCode>
                <c:ptCount val="6"/>
                <c:pt idx="0">
                  <c:v>695</c:v>
                </c:pt>
                <c:pt idx="1">
                  <c:v>895</c:v>
                </c:pt>
                <c:pt idx="2">
                  <c:v>1130</c:v>
                </c:pt>
                <c:pt idx="3">
                  <c:v>1575</c:v>
                </c:pt>
                <c:pt idx="4">
                  <c:v>440</c:v>
                </c:pt>
                <c:pt idx="5">
                  <c:v>538</c:v>
                </c:pt>
              </c:numCache>
            </c:numRef>
          </c:val>
          <c:extLst xmlns:c16r2="http://schemas.microsoft.com/office/drawing/2015/06/chart">
            <c:ext xmlns:c16="http://schemas.microsoft.com/office/drawing/2014/chart" uri="{C3380CC4-5D6E-409C-BE32-E72D297353CC}">
              <c16:uniqueId val="{00000005-AF74-49E7-96B9-EF27433C87BB}"/>
            </c:ext>
          </c:extLst>
        </c:ser>
        <c:ser>
          <c:idx val="11"/>
          <c:order val="6"/>
          <c:tx>
            <c:strRef>
              <c:f>'Rents trend and by type'!$A$13</c:f>
              <c:strCache>
                <c:ptCount val="1"/>
                <c:pt idx="0">
                  <c:v>South East</c:v>
                </c:pt>
              </c:strCache>
            </c:strRef>
          </c:tx>
          <c:invertIfNegative val="0"/>
          <c:cat>
            <c:strRef>
              <c:f>'Rents trend and by type'!$B$1:$G$1</c:f>
              <c:strCache>
                <c:ptCount val="6"/>
                <c:pt idx="0">
                  <c:v>1 Bed</c:v>
                </c:pt>
                <c:pt idx="1">
                  <c:v>2 Bed</c:v>
                </c:pt>
                <c:pt idx="2">
                  <c:v>3 Bed</c:v>
                </c:pt>
                <c:pt idx="3">
                  <c:v>4 Bed</c:v>
                </c:pt>
                <c:pt idx="4">
                  <c:v>Room</c:v>
                </c:pt>
                <c:pt idx="5">
                  <c:v>Studio</c:v>
                </c:pt>
              </c:strCache>
            </c:strRef>
          </c:cat>
          <c:val>
            <c:numRef>
              <c:f>'Rents trend and by type'!$B$13:$G$13</c:f>
              <c:numCache>
                <c:formatCode>_-"£"* #,##0_-;\-"£"* #,##0_-;_-"£"* "-"??_-;_-@_-</c:formatCode>
                <c:ptCount val="6"/>
                <c:pt idx="0">
                  <c:v>700</c:v>
                </c:pt>
                <c:pt idx="1">
                  <c:v>875</c:v>
                </c:pt>
                <c:pt idx="2">
                  <c:v>1095</c:v>
                </c:pt>
                <c:pt idx="3">
                  <c:v>1695</c:v>
                </c:pt>
                <c:pt idx="4">
                  <c:v>415</c:v>
                </c:pt>
                <c:pt idx="5">
                  <c:v>550</c:v>
                </c:pt>
              </c:numCache>
            </c:numRef>
          </c:val>
          <c:extLst xmlns:c16r2="http://schemas.microsoft.com/office/drawing/2015/06/chart">
            <c:ext xmlns:c16="http://schemas.microsoft.com/office/drawing/2014/chart" uri="{C3380CC4-5D6E-409C-BE32-E72D297353CC}">
              <c16:uniqueId val="{00000006-AF74-49E7-96B9-EF27433C87BB}"/>
            </c:ext>
          </c:extLst>
        </c:ser>
        <c:ser>
          <c:idx val="12"/>
          <c:order val="7"/>
          <c:tx>
            <c:strRef>
              <c:f>'Rents trend and by type'!$A$14</c:f>
              <c:strCache>
                <c:ptCount val="1"/>
                <c:pt idx="0">
                  <c:v>England </c:v>
                </c:pt>
              </c:strCache>
            </c:strRef>
          </c:tx>
          <c:invertIfNegative val="0"/>
          <c:cat>
            <c:strRef>
              <c:f>'Rents trend and by type'!$B$1:$G$1</c:f>
              <c:strCache>
                <c:ptCount val="6"/>
                <c:pt idx="0">
                  <c:v>1 Bed</c:v>
                </c:pt>
                <c:pt idx="1">
                  <c:v>2 Bed</c:v>
                </c:pt>
                <c:pt idx="2">
                  <c:v>3 Bed</c:v>
                </c:pt>
                <c:pt idx="3">
                  <c:v>4 Bed</c:v>
                </c:pt>
                <c:pt idx="4">
                  <c:v>Room</c:v>
                </c:pt>
                <c:pt idx="5">
                  <c:v>Studio</c:v>
                </c:pt>
              </c:strCache>
            </c:strRef>
          </c:cat>
          <c:val>
            <c:numRef>
              <c:f>'Rents trend and by type'!$B$14:$G$14</c:f>
              <c:numCache>
                <c:formatCode>_-"£"* #,##0_-;\-"£"* #,##0_-;_-"£"* "-"??_-;_-@_-</c:formatCode>
                <c:ptCount val="6"/>
                <c:pt idx="0">
                  <c:v>600</c:v>
                </c:pt>
                <c:pt idx="1">
                  <c:v>650</c:v>
                </c:pt>
                <c:pt idx="2">
                  <c:v>750</c:v>
                </c:pt>
                <c:pt idx="3">
                  <c:v>1320</c:v>
                </c:pt>
                <c:pt idx="4">
                  <c:v>390</c:v>
                </c:pt>
                <c:pt idx="5">
                  <c:v>575</c:v>
                </c:pt>
              </c:numCache>
            </c:numRef>
          </c:val>
          <c:extLst xmlns:c16r2="http://schemas.microsoft.com/office/drawing/2015/06/chart">
            <c:ext xmlns:c16="http://schemas.microsoft.com/office/drawing/2014/chart" uri="{C3380CC4-5D6E-409C-BE32-E72D297353CC}">
              <c16:uniqueId val="{00000007-AF74-49E7-96B9-EF27433C87BB}"/>
            </c:ext>
          </c:extLst>
        </c:ser>
        <c:dLbls>
          <c:showLegendKey val="0"/>
          <c:showVal val="0"/>
          <c:showCatName val="0"/>
          <c:showSerName val="0"/>
          <c:showPercent val="0"/>
          <c:showBubbleSize val="0"/>
        </c:dLbls>
        <c:gapWidth val="150"/>
        <c:axId val="283080960"/>
        <c:axId val="283082752"/>
      </c:barChart>
      <c:catAx>
        <c:axId val="283080960"/>
        <c:scaling>
          <c:orientation val="minMax"/>
        </c:scaling>
        <c:delete val="0"/>
        <c:axPos val="b"/>
        <c:numFmt formatCode="General" sourceLinked="0"/>
        <c:majorTickMark val="out"/>
        <c:minorTickMark val="none"/>
        <c:tickLblPos val="nextTo"/>
        <c:crossAx val="283082752"/>
        <c:crosses val="autoZero"/>
        <c:auto val="1"/>
        <c:lblAlgn val="ctr"/>
        <c:lblOffset val="100"/>
        <c:noMultiLvlLbl val="0"/>
      </c:catAx>
      <c:valAx>
        <c:axId val="283082752"/>
        <c:scaling>
          <c:orientation val="minMax"/>
        </c:scaling>
        <c:delete val="0"/>
        <c:axPos val="l"/>
        <c:majorGridlines/>
        <c:numFmt formatCode="_-&quot;£&quot;* #,##0_-;\-&quot;£&quot;* #,##0_-;_-&quot;£&quot;* &quot;-&quot;??_-;_-@_-" sourceLinked="1"/>
        <c:majorTickMark val="out"/>
        <c:minorTickMark val="none"/>
        <c:tickLblPos val="nextTo"/>
        <c:crossAx val="283080960"/>
        <c:crosses val="autoZero"/>
        <c:crossBetween val="between"/>
      </c:valAx>
    </c:plotArea>
    <c:legend>
      <c:legendPos val="r"/>
      <c:layout>
        <c:manualLayout>
          <c:xMode val="edge"/>
          <c:yMode val="edge"/>
          <c:x val="0.70621018030819416"/>
          <c:y val="5.2736944910509537E-2"/>
          <c:w val="0.29378981969180584"/>
          <c:h val="0.85817899523122987"/>
        </c:manualLayout>
      </c:layout>
      <c:overlay val="0"/>
    </c:legend>
    <c:plotVisOnly val="1"/>
    <c:dispBlanksAs val="gap"/>
    <c:showDLblsOverMax val="0"/>
  </c:chart>
  <c:txPr>
    <a:bodyPr/>
    <a:lstStyle/>
    <a:p>
      <a:pPr>
        <a:defRPr sz="1200">
          <a:latin typeface="Arial Narrow" panose="020B0606020202030204" pitchFamily="34" charset="0"/>
        </a:defRPr>
      </a:pPr>
      <a:endParaRPr lang="en-US"/>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'FTE Jobs Growth Summary'!$L$6:$L$20</c:f>
              <c:strCache>
                <c:ptCount val="15"/>
                <c:pt idx="0">
                  <c:v>Agriculture and Mining</c:v>
                </c:pt>
                <c:pt idx="1">
                  <c:v>Manufacturing</c:v>
                </c:pt>
                <c:pt idx="2">
                  <c:v>Utilities</c:v>
                </c:pt>
                <c:pt idx="3">
                  <c:v>Construction</c:v>
                </c:pt>
                <c:pt idx="4">
                  <c:v>Wholesale and Retail Trade</c:v>
                </c:pt>
                <c:pt idx="5">
                  <c:v>Transport, Warehouse and Postal</c:v>
                </c:pt>
                <c:pt idx="6">
                  <c:v>Accommodation and Food Sevices</c:v>
                </c:pt>
                <c:pt idx="7">
                  <c:v>Media and IT</c:v>
                </c:pt>
                <c:pt idx="8">
                  <c:v>Professional and Scientific Services</c:v>
                </c:pt>
                <c:pt idx="9">
                  <c:v>Business Support Services</c:v>
                </c:pt>
                <c:pt idx="10">
                  <c:v>Public Administration and Defence</c:v>
                </c:pt>
                <c:pt idx="11">
                  <c:v>Education</c:v>
                </c:pt>
                <c:pt idx="12">
                  <c:v>Health</c:v>
                </c:pt>
                <c:pt idx="13">
                  <c:v>Creative and Recreation</c:v>
                </c:pt>
                <c:pt idx="14">
                  <c:v>Other</c:v>
                </c:pt>
              </c:strCache>
            </c:strRef>
          </c:cat>
          <c:val>
            <c:numRef>
              <c:f>'FTE Jobs Growth Summary'!$O$6:$O$20</c:f>
              <c:numCache>
                <c:formatCode>_-* #,##0_-;\-* #,##0_-;_-* "-"??_-;_-@_-</c:formatCode>
                <c:ptCount val="15"/>
                <c:pt idx="0">
                  <c:v>-241.1750909833396</c:v>
                </c:pt>
                <c:pt idx="1">
                  <c:v>-1364.2721928368874</c:v>
                </c:pt>
                <c:pt idx="2">
                  <c:v>-51.190081982390097</c:v>
                </c:pt>
                <c:pt idx="3">
                  <c:v>532.90303136315958</c:v>
                </c:pt>
                <c:pt idx="4">
                  <c:v>223.52280680438537</c:v>
                </c:pt>
                <c:pt idx="5">
                  <c:v>-5.9634506156003244</c:v>
                </c:pt>
                <c:pt idx="6">
                  <c:v>307.18799239974078</c:v>
                </c:pt>
                <c:pt idx="7">
                  <c:v>111.95278966340645</c:v>
                </c:pt>
                <c:pt idx="8">
                  <c:v>947.62722623586183</c:v>
                </c:pt>
                <c:pt idx="9">
                  <c:v>645.10780965455001</c:v>
                </c:pt>
                <c:pt idx="10">
                  <c:v>-206.28169817980205</c:v>
                </c:pt>
                <c:pt idx="11">
                  <c:v>176.45906073331852</c:v>
                </c:pt>
                <c:pt idx="12">
                  <c:v>932.78894670941042</c:v>
                </c:pt>
                <c:pt idx="13">
                  <c:v>535.39142538405588</c:v>
                </c:pt>
                <c:pt idx="14">
                  <c:v>121.04829122770741</c:v>
                </c:pt>
              </c:numCache>
            </c:numRef>
          </c:val>
          <c:extLst xmlns:c16r2="http://schemas.microsoft.com/office/drawing/2015/06/chart">
            <c:ext xmlns:c16="http://schemas.microsoft.com/office/drawing/2014/chart" uri="{C3380CC4-5D6E-409C-BE32-E72D297353CC}">
              <c16:uniqueId val="{00000000-0605-40B3-A42A-75EB8B6E0AE9}"/>
            </c:ext>
          </c:extLst>
        </c:ser>
        <c:dLbls>
          <c:showLegendKey val="0"/>
          <c:showVal val="0"/>
          <c:showCatName val="0"/>
          <c:showSerName val="0"/>
          <c:showPercent val="0"/>
          <c:showBubbleSize val="0"/>
        </c:dLbls>
        <c:gapWidth val="150"/>
        <c:axId val="291196288"/>
        <c:axId val="291210368"/>
      </c:barChart>
      <c:catAx>
        <c:axId val="291196288"/>
        <c:scaling>
          <c:orientation val="maxMin"/>
        </c:scaling>
        <c:delete val="0"/>
        <c:axPos val="l"/>
        <c:numFmt formatCode="General" sourceLinked="0"/>
        <c:majorTickMark val="out"/>
        <c:minorTickMark val="none"/>
        <c:tickLblPos val="low"/>
        <c:crossAx val="291210368"/>
        <c:crosses val="autoZero"/>
        <c:auto val="1"/>
        <c:lblAlgn val="ctr"/>
        <c:lblOffset val="100"/>
        <c:noMultiLvlLbl val="0"/>
      </c:catAx>
      <c:valAx>
        <c:axId val="291210368"/>
        <c:scaling>
          <c:orientation val="minMax"/>
          <c:min val="-1000"/>
        </c:scaling>
        <c:delete val="0"/>
        <c:axPos val="t"/>
        <c:majorGridlines/>
        <c:title>
          <c:tx>
            <c:rich>
              <a:bodyPr/>
              <a:lstStyle/>
              <a:p>
                <a:pPr>
                  <a:defRPr/>
                </a:pPr>
                <a:r>
                  <a:rPr lang="en-GB"/>
                  <a:t>FTE Jobs</a:t>
                </a:r>
              </a:p>
            </c:rich>
          </c:tx>
          <c:overlay val="0"/>
        </c:title>
        <c:numFmt formatCode="_-* #,##0_-;\-* #,##0_-;_-* &quot;-&quot;??_-;_-@_-" sourceLinked="1"/>
        <c:majorTickMark val="out"/>
        <c:minorTickMark val="none"/>
        <c:tickLblPos val="nextTo"/>
        <c:crossAx val="291196288"/>
        <c:crosses val="autoZero"/>
        <c:crossBetween val="between"/>
      </c:valAx>
    </c:plotArea>
    <c:plotVisOnly val="1"/>
    <c:dispBlanksAs val="gap"/>
    <c:showDLblsOverMax val="0"/>
  </c:chart>
  <c:txPr>
    <a:bodyPr/>
    <a:lstStyle/>
    <a:p>
      <a:pPr>
        <a:defRPr sz="1200"/>
      </a:pPr>
      <a:endParaRPr lang="en-US"/>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'FTE Jobs Growth Summary'!$M$4</c:f>
              <c:strCache>
                <c:ptCount val="1"/>
                <c:pt idx="0">
                  <c:v>2019-2036</c:v>
                </c:pt>
              </c:strCache>
            </c:strRef>
          </c:tx>
          <c:spPr>
            <a:solidFill>
              <a:schemeClr val="accent1"/>
            </a:solidFill>
            <a:ln>
              <a:noFill/>
            </a:ln>
            <a:effectLst/>
          </c:spPr>
          <c:invertIfNegative val="0"/>
          <c:cat>
            <c:strRef>
              <c:f>'FTE Jobs Growth Summary'!$L$6:$L$20</c:f>
              <c:strCache>
                <c:ptCount val="15"/>
                <c:pt idx="0">
                  <c:v>Agriculture and Mining</c:v>
                </c:pt>
                <c:pt idx="1">
                  <c:v>Manufacturing</c:v>
                </c:pt>
                <c:pt idx="2">
                  <c:v>Utilities</c:v>
                </c:pt>
                <c:pt idx="3">
                  <c:v>Construction</c:v>
                </c:pt>
                <c:pt idx="4">
                  <c:v>Wholesale and Retail Trade</c:v>
                </c:pt>
                <c:pt idx="5">
                  <c:v>Transport, Warehouse and Postal</c:v>
                </c:pt>
                <c:pt idx="6">
                  <c:v>Accommodation and Food Sevices</c:v>
                </c:pt>
                <c:pt idx="7">
                  <c:v>Media and IT</c:v>
                </c:pt>
                <c:pt idx="8">
                  <c:v>Professional and Scientific Services</c:v>
                </c:pt>
                <c:pt idx="9">
                  <c:v>Business Support Services</c:v>
                </c:pt>
                <c:pt idx="10">
                  <c:v>Public Administration and Defence</c:v>
                </c:pt>
                <c:pt idx="11">
                  <c:v>Education</c:v>
                </c:pt>
                <c:pt idx="12">
                  <c:v>Health</c:v>
                </c:pt>
                <c:pt idx="13">
                  <c:v>Creative and Recreation</c:v>
                </c:pt>
                <c:pt idx="14">
                  <c:v>Other</c:v>
                </c:pt>
              </c:strCache>
            </c:strRef>
          </c:cat>
          <c:val>
            <c:numRef>
              <c:f>'FTE Jobs Growth Summary'!$M$6:$M$20</c:f>
              <c:numCache>
                <c:formatCode>0.000</c:formatCode>
                <c:ptCount val="15"/>
                <c:pt idx="0">
                  <c:v>-3.1074663108538091E-2</c:v>
                </c:pt>
                <c:pt idx="1">
                  <c:v>-9.2500868605746411E-2</c:v>
                </c:pt>
                <c:pt idx="2">
                  <c:v>-5.1190081982390098E-2</c:v>
                </c:pt>
                <c:pt idx="3">
                  <c:v>0.5493511156216061</c:v>
                </c:pt>
                <c:pt idx="4">
                  <c:v>0.81009642929911663</c:v>
                </c:pt>
                <c:pt idx="5">
                  <c:v>7.9176283597223104E-2</c:v>
                </c:pt>
                <c:pt idx="6">
                  <c:v>1.6986289897341211</c:v>
                </c:pt>
                <c:pt idx="7">
                  <c:v>0.4404960605537947</c:v>
                </c:pt>
                <c:pt idx="8">
                  <c:v>1.1787559702155121</c:v>
                </c:pt>
                <c:pt idx="9">
                  <c:v>0.71318529984186496</c:v>
                </c:pt>
                <c:pt idx="10">
                  <c:v>-0.20628169817980205</c:v>
                </c:pt>
                <c:pt idx="11">
                  <c:v>0.79036571301898184</c:v>
                </c:pt>
                <c:pt idx="12">
                  <c:v>0.93278894670941037</c:v>
                </c:pt>
                <c:pt idx="13">
                  <c:v>0.53539142538405593</c:v>
                </c:pt>
                <c:pt idx="14">
                  <c:v>0.12104829122770741</c:v>
                </c:pt>
              </c:numCache>
            </c:numRef>
          </c:val>
          <c:extLst xmlns:c16r2="http://schemas.microsoft.com/office/drawing/2015/06/chart">
            <c:ext xmlns:c16="http://schemas.microsoft.com/office/drawing/2014/chart" uri="{C3380CC4-5D6E-409C-BE32-E72D297353CC}">
              <c16:uniqueId val="{00000000-B2F0-4EC9-9282-18BBD2ABBE24}"/>
            </c:ext>
          </c:extLst>
        </c:ser>
        <c:dLbls>
          <c:showLegendKey val="0"/>
          <c:showVal val="0"/>
          <c:showCatName val="0"/>
          <c:showSerName val="0"/>
          <c:showPercent val="0"/>
          <c:showBubbleSize val="0"/>
        </c:dLbls>
        <c:gapWidth val="182"/>
        <c:axId val="291227520"/>
        <c:axId val="291229056"/>
      </c:barChart>
      <c:catAx>
        <c:axId val="291227520"/>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a:pPr>
            <a:endParaRPr lang="en-US"/>
          </a:p>
        </c:txPr>
        <c:crossAx val="291229056"/>
        <c:crosses val="autoZero"/>
        <c:auto val="1"/>
        <c:lblAlgn val="ctr"/>
        <c:lblOffset val="100"/>
        <c:noMultiLvlLbl val="0"/>
      </c:catAx>
      <c:valAx>
        <c:axId val="291229056"/>
        <c:scaling>
          <c:orientation val="minMax"/>
        </c:scaling>
        <c:delete val="0"/>
        <c:axPos val="t"/>
        <c:majorGridlines>
          <c:spPr>
            <a:ln w="9525" cap="flat" cmpd="sng" algn="ctr">
              <a:solidFill>
                <a:schemeClr val="tx1">
                  <a:lumMod val="65000"/>
                  <a:lumOff val="35000"/>
                </a:schemeClr>
              </a:solidFill>
              <a:round/>
            </a:ln>
            <a:effectLst/>
          </c:spPr>
        </c:majorGridlines>
        <c:title>
          <c:tx>
            <c:rich>
              <a:bodyPr rot="0" vert="horz"/>
              <a:lstStyle/>
              <a:p>
                <a:pPr>
                  <a:defRPr/>
                </a:pPr>
                <a:r>
                  <a:rPr lang="en-GB"/>
                  <a:t>Jobs (000's)</a:t>
                </a:r>
              </a:p>
            </c:rich>
          </c:tx>
          <c:overlay val="0"/>
          <c:spPr>
            <a:noFill/>
            <a:ln>
              <a:noFill/>
            </a:ln>
            <a:effectLst/>
          </c:spPr>
        </c:title>
        <c:numFmt formatCode="0.000" sourceLinked="1"/>
        <c:majorTickMark val="none"/>
        <c:minorTickMark val="none"/>
        <c:tickLblPos val="nextTo"/>
        <c:spPr>
          <a:noFill/>
          <a:ln>
            <a:noFill/>
          </a:ln>
          <a:effectLst/>
        </c:spPr>
        <c:txPr>
          <a:bodyPr rot="-60000000" vert="horz"/>
          <a:lstStyle/>
          <a:p>
            <a:pPr>
              <a:defRPr/>
            </a:pPr>
            <a:endParaRPr lang="en-US"/>
          </a:p>
        </c:txPr>
        <c:crossAx val="2912275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1200"/>
      </a:pPr>
      <a:endParaRPr lang="en-US"/>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38797115762676E-2"/>
          <c:y val="3.3891767114796537E-2"/>
          <c:w val="0.88101385333324644"/>
          <c:h val="0.84571603939402384"/>
        </c:manualLayout>
      </c:layout>
      <c:barChart>
        <c:barDir val="col"/>
        <c:grouping val="stacked"/>
        <c:varyColors val="0"/>
        <c:ser>
          <c:idx val="0"/>
          <c:order val="0"/>
          <c:tx>
            <c:strRef>
              <c:f>Analysis!$L$25</c:f>
              <c:strCache>
                <c:ptCount val="1"/>
                <c:pt idx="0">
                  <c:v>B1: Mixed uses</c:v>
                </c:pt>
              </c:strCache>
            </c:strRef>
          </c:tx>
          <c:spPr>
            <a:solidFill>
              <a:schemeClr val="accent1"/>
            </a:solidFill>
            <a:ln>
              <a:noFill/>
            </a:ln>
            <a:effectLst/>
          </c:spPr>
          <c:invertIfNegative val="0"/>
          <c:cat>
            <c:numRef>
              <c:f>Analysis!$K$26:$K$43</c:f>
              <c:numCache>
                <c:formatCode>General</c:formatCode>
                <c:ptCount val="18"/>
                <c:pt idx="0">
                  <c:v>2001</c:v>
                </c:pt>
                <c:pt idx="1">
                  <c:v>2002</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numCache>
            </c:numRef>
          </c:cat>
          <c:val>
            <c:numRef>
              <c:f>Analysis!$L$26:$L$43</c:f>
              <c:numCache>
                <c:formatCode>General</c:formatCode>
                <c:ptCount val="18"/>
                <c:pt idx="0">
                  <c:v>1347</c:v>
                </c:pt>
                <c:pt idx="1">
                  <c:v>1185</c:v>
                </c:pt>
                <c:pt idx="2">
                  <c:v>3251</c:v>
                </c:pt>
                <c:pt idx="3">
                  <c:v>3134</c:v>
                </c:pt>
                <c:pt idx="4">
                  <c:v>2458</c:v>
                </c:pt>
                <c:pt idx="5">
                  <c:v>6433</c:v>
                </c:pt>
                <c:pt idx="7">
                  <c:v>4775</c:v>
                </c:pt>
                <c:pt idx="10">
                  <c:v>65</c:v>
                </c:pt>
                <c:pt idx="11">
                  <c:v>67</c:v>
                </c:pt>
                <c:pt idx="12">
                  <c:v>4660</c:v>
                </c:pt>
                <c:pt idx="14">
                  <c:v>1206</c:v>
                </c:pt>
                <c:pt idx="15">
                  <c:v>7469</c:v>
                </c:pt>
                <c:pt idx="17">
                  <c:v>9967</c:v>
                </c:pt>
              </c:numCache>
            </c:numRef>
          </c:val>
          <c:extLst xmlns:c16r2="http://schemas.microsoft.com/office/drawing/2015/06/chart">
            <c:ext xmlns:c16="http://schemas.microsoft.com/office/drawing/2014/chart" uri="{C3380CC4-5D6E-409C-BE32-E72D297353CC}">
              <c16:uniqueId val="{00000000-940C-4163-80D6-C6DA3A0C7525}"/>
            </c:ext>
          </c:extLst>
        </c:ser>
        <c:ser>
          <c:idx val="1"/>
          <c:order val="1"/>
          <c:tx>
            <c:strRef>
              <c:f>Analysis!$M$25</c:f>
              <c:strCache>
                <c:ptCount val="1"/>
                <c:pt idx="0">
                  <c:v>B1a: Offices</c:v>
                </c:pt>
              </c:strCache>
            </c:strRef>
          </c:tx>
          <c:spPr>
            <a:solidFill>
              <a:schemeClr val="accent2"/>
            </a:solidFill>
            <a:ln>
              <a:noFill/>
            </a:ln>
            <a:effectLst/>
          </c:spPr>
          <c:invertIfNegative val="0"/>
          <c:cat>
            <c:numRef>
              <c:f>Analysis!$K$26:$K$43</c:f>
              <c:numCache>
                <c:formatCode>General</c:formatCode>
                <c:ptCount val="18"/>
                <c:pt idx="0">
                  <c:v>2001</c:v>
                </c:pt>
                <c:pt idx="1">
                  <c:v>2002</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numCache>
            </c:numRef>
          </c:cat>
          <c:val>
            <c:numRef>
              <c:f>Analysis!$M$26:$M$43</c:f>
              <c:numCache>
                <c:formatCode>General</c:formatCode>
                <c:ptCount val="18"/>
                <c:pt idx="0">
                  <c:v>1777</c:v>
                </c:pt>
                <c:pt idx="1">
                  <c:v>3582</c:v>
                </c:pt>
                <c:pt idx="2">
                  <c:v>3560</c:v>
                </c:pt>
                <c:pt idx="3">
                  <c:v>875</c:v>
                </c:pt>
                <c:pt idx="4">
                  <c:v>1451</c:v>
                </c:pt>
                <c:pt idx="5">
                  <c:v>9119</c:v>
                </c:pt>
                <c:pt idx="6">
                  <c:v>4479</c:v>
                </c:pt>
                <c:pt idx="7">
                  <c:v>1510</c:v>
                </c:pt>
                <c:pt idx="8">
                  <c:v>539</c:v>
                </c:pt>
                <c:pt idx="9">
                  <c:v>522</c:v>
                </c:pt>
                <c:pt idx="10">
                  <c:v>153</c:v>
                </c:pt>
                <c:pt idx="11">
                  <c:v>231</c:v>
                </c:pt>
                <c:pt idx="12">
                  <c:v>655.8</c:v>
                </c:pt>
                <c:pt idx="13">
                  <c:v>70</c:v>
                </c:pt>
                <c:pt idx="14">
                  <c:v>614.56999999999994</c:v>
                </c:pt>
                <c:pt idx="15">
                  <c:v>52</c:v>
                </c:pt>
                <c:pt idx="16">
                  <c:v>6120.3</c:v>
                </c:pt>
                <c:pt idx="17">
                  <c:v>2704.3</c:v>
                </c:pt>
              </c:numCache>
            </c:numRef>
          </c:val>
          <c:extLst xmlns:c16r2="http://schemas.microsoft.com/office/drawing/2015/06/chart">
            <c:ext xmlns:c16="http://schemas.microsoft.com/office/drawing/2014/chart" uri="{C3380CC4-5D6E-409C-BE32-E72D297353CC}">
              <c16:uniqueId val="{00000001-940C-4163-80D6-C6DA3A0C7525}"/>
            </c:ext>
          </c:extLst>
        </c:ser>
        <c:ser>
          <c:idx val="2"/>
          <c:order val="2"/>
          <c:tx>
            <c:strRef>
              <c:f>Analysis!$N$25</c:f>
              <c:strCache>
                <c:ptCount val="1"/>
                <c:pt idx="0">
                  <c:v>B1b: Research &amp; Development</c:v>
                </c:pt>
              </c:strCache>
            </c:strRef>
          </c:tx>
          <c:spPr>
            <a:solidFill>
              <a:schemeClr val="accent3"/>
            </a:solidFill>
            <a:ln>
              <a:noFill/>
            </a:ln>
            <a:effectLst/>
          </c:spPr>
          <c:invertIfNegative val="0"/>
          <c:cat>
            <c:numRef>
              <c:f>Analysis!$K$26:$K$43</c:f>
              <c:numCache>
                <c:formatCode>General</c:formatCode>
                <c:ptCount val="18"/>
                <c:pt idx="0">
                  <c:v>2001</c:v>
                </c:pt>
                <c:pt idx="1">
                  <c:v>2002</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numCache>
            </c:numRef>
          </c:cat>
          <c:val>
            <c:numRef>
              <c:f>Analysis!$N$26:$N$43</c:f>
              <c:numCache>
                <c:formatCode>General</c:formatCode>
                <c:ptCount val="18"/>
                <c:pt idx="5">
                  <c:v>218</c:v>
                </c:pt>
                <c:pt idx="11">
                  <c:v>150</c:v>
                </c:pt>
              </c:numCache>
            </c:numRef>
          </c:val>
          <c:extLst xmlns:c16r2="http://schemas.microsoft.com/office/drawing/2015/06/chart">
            <c:ext xmlns:c16="http://schemas.microsoft.com/office/drawing/2014/chart" uri="{C3380CC4-5D6E-409C-BE32-E72D297353CC}">
              <c16:uniqueId val="{00000002-940C-4163-80D6-C6DA3A0C7525}"/>
            </c:ext>
          </c:extLst>
        </c:ser>
        <c:ser>
          <c:idx val="3"/>
          <c:order val="3"/>
          <c:tx>
            <c:strRef>
              <c:f>Analysis!$O$25</c:f>
              <c:strCache>
                <c:ptCount val="1"/>
                <c:pt idx="0">
                  <c:v>B1c: Light Industry</c:v>
                </c:pt>
              </c:strCache>
            </c:strRef>
          </c:tx>
          <c:spPr>
            <a:solidFill>
              <a:schemeClr val="accent4"/>
            </a:solidFill>
            <a:ln>
              <a:noFill/>
            </a:ln>
            <a:effectLst/>
          </c:spPr>
          <c:invertIfNegative val="0"/>
          <c:cat>
            <c:numRef>
              <c:f>Analysis!$K$26:$K$43</c:f>
              <c:numCache>
                <c:formatCode>General</c:formatCode>
                <c:ptCount val="18"/>
                <c:pt idx="0">
                  <c:v>2001</c:v>
                </c:pt>
                <c:pt idx="1">
                  <c:v>2002</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numCache>
            </c:numRef>
          </c:cat>
          <c:val>
            <c:numRef>
              <c:f>Analysis!$O$26:$O$43</c:f>
              <c:numCache>
                <c:formatCode>General</c:formatCode>
                <c:ptCount val="18"/>
                <c:pt idx="0">
                  <c:v>2934</c:v>
                </c:pt>
                <c:pt idx="1">
                  <c:v>6485</c:v>
                </c:pt>
                <c:pt idx="2">
                  <c:v>5532</c:v>
                </c:pt>
                <c:pt idx="3">
                  <c:v>5599</c:v>
                </c:pt>
                <c:pt idx="4">
                  <c:v>2905</c:v>
                </c:pt>
                <c:pt idx="5">
                  <c:v>4277</c:v>
                </c:pt>
                <c:pt idx="6">
                  <c:v>410</c:v>
                </c:pt>
                <c:pt idx="7">
                  <c:v>2073</c:v>
                </c:pt>
                <c:pt idx="8">
                  <c:v>1565</c:v>
                </c:pt>
                <c:pt idx="9">
                  <c:v>156</c:v>
                </c:pt>
                <c:pt idx="10">
                  <c:v>332</c:v>
                </c:pt>
                <c:pt idx="12">
                  <c:v>843</c:v>
                </c:pt>
                <c:pt idx="13">
                  <c:v>856</c:v>
                </c:pt>
                <c:pt idx="14">
                  <c:v>4239</c:v>
                </c:pt>
                <c:pt idx="15">
                  <c:v>285</c:v>
                </c:pt>
                <c:pt idx="16">
                  <c:v>63</c:v>
                </c:pt>
                <c:pt idx="17">
                  <c:v>4351</c:v>
                </c:pt>
              </c:numCache>
            </c:numRef>
          </c:val>
          <c:extLst xmlns:c16r2="http://schemas.microsoft.com/office/drawing/2015/06/chart">
            <c:ext xmlns:c16="http://schemas.microsoft.com/office/drawing/2014/chart" uri="{C3380CC4-5D6E-409C-BE32-E72D297353CC}">
              <c16:uniqueId val="{00000003-940C-4163-80D6-C6DA3A0C7525}"/>
            </c:ext>
          </c:extLst>
        </c:ser>
        <c:ser>
          <c:idx val="4"/>
          <c:order val="4"/>
          <c:tx>
            <c:strRef>
              <c:f>Analysis!$P$25</c:f>
              <c:strCache>
                <c:ptCount val="1"/>
                <c:pt idx="0">
                  <c:v>B2: General Industry</c:v>
                </c:pt>
              </c:strCache>
            </c:strRef>
          </c:tx>
          <c:spPr>
            <a:solidFill>
              <a:schemeClr val="accent5"/>
            </a:solidFill>
            <a:ln>
              <a:noFill/>
            </a:ln>
            <a:effectLst/>
          </c:spPr>
          <c:invertIfNegative val="0"/>
          <c:cat>
            <c:numRef>
              <c:f>Analysis!$K$26:$K$43</c:f>
              <c:numCache>
                <c:formatCode>General</c:formatCode>
                <c:ptCount val="18"/>
                <c:pt idx="0">
                  <c:v>2001</c:v>
                </c:pt>
                <c:pt idx="1">
                  <c:v>2002</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numCache>
            </c:numRef>
          </c:cat>
          <c:val>
            <c:numRef>
              <c:f>Analysis!$P$26:$P$43</c:f>
              <c:numCache>
                <c:formatCode>General</c:formatCode>
                <c:ptCount val="18"/>
                <c:pt idx="0">
                  <c:v>1880</c:v>
                </c:pt>
                <c:pt idx="1">
                  <c:v>4687</c:v>
                </c:pt>
                <c:pt idx="2">
                  <c:v>64075</c:v>
                </c:pt>
                <c:pt idx="3">
                  <c:v>4290</c:v>
                </c:pt>
                <c:pt idx="4">
                  <c:v>661</c:v>
                </c:pt>
                <c:pt idx="5">
                  <c:v>2643</c:v>
                </c:pt>
                <c:pt idx="6">
                  <c:v>11809</c:v>
                </c:pt>
                <c:pt idx="7">
                  <c:v>1070</c:v>
                </c:pt>
                <c:pt idx="8">
                  <c:v>260</c:v>
                </c:pt>
                <c:pt idx="9">
                  <c:v>52</c:v>
                </c:pt>
                <c:pt idx="10">
                  <c:v>908</c:v>
                </c:pt>
                <c:pt idx="11">
                  <c:v>3866</c:v>
                </c:pt>
                <c:pt idx="12">
                  <c:v>371</c:v>
                </c:pt>
                <c:pt idx="13">
                  <c:v>182</c:v>
                </c:pt>
                <c:pt idx="14">
                  <c:v>515</c:v>
                </c:pt>
                <c:pt idx="15">
                  <c:v>120</c:v>
                </c:pt>
                <c:pt idx="16">
                  <c:v>1276</c:v>
                </c:pt>
                <c:pt idx="17">
                  <c:v>2137</c:v>
                </c:pt>
              </c:numCache>
            </c:numRef>
          </c:val>
          <c:extLst xmlns:c16r2="http://schemas.microsoft.com/office/drawing/2015/06/chart">
            <c:ext xmlns:c16="http://schemas.microsoft.com/office/drawing/2014/chart" uri="{C3380CC4-5D6E-409C-BE32-E72D297353CC}">
              <c16:uniqueId val="{00000004-940C-4163-80D6-C6DA3A0C7525}"/>
            </c:ext>
          </c:extLst>
        </c:ser>
        <c:ser>
          <c:idx val="5"/>
          <c:order val="5"/>
          <c:tx>
            <c:strRef>
              <c:f>Analysis!$Q$25</c:f>
              <c:strCache>
                <c:ptCount val="1"/>
                <c:pt idx="0">
                  <c:v>B8: Storage &amp; Distribution</c:v>
                </c:pt>
              </c:strCache>
            </c:strRef>
          </c:tx>
          <c:spPr>
            <a:solidFill>
              <a:schemeClr val="accent6"/>
            </a:solidFill>
            <a:ln>
              <a:noFill/>
            </a:ln>
            <a:effectLst/>
          </c:spPr>
          <c:invertIfNegative val="0"/>
          <c:cat>
            <c:numRef>
              <c:f>Analysis!$K$26:$K$43</c:f>
              <c:numCache>
                <c:formatCode>General</c:formatCode>
                <c:ptCount val="18"/>
                <c:pt idx="0">
                  <c:v>2001</c:v>
                </c:pt>
                <c:pt idx="1">
                  <c:v>2002</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numCache>
            </c:numRef>
          </c:cat>
          <c:val>
            <c:numRef>
              <c:f>Analysis!$Q$26:$Q$43</c:f>
              <c:numCache>
                <c:formatCode>General</c:formatCode>
                <c:ptCount val="18"/>
                <c:pt idx="0">
                  <c:v>3814</c:v>
                </c:pt>
                <c:pt idx="1">
                  <c:v>5278</c:v>
                </c:pt>
                <c:pt idx="2">
                  <c:v>9199</c:v>
                </c:pt>
                <c:pt idx="3">
                  <c:v>7016</c:v>
                </c:pt>
                <c:pt idx="4">
                  <c:v>4083</c:v>
                </c:pt>
                <c:pt idx="5">
                  <c:v>9370</c:v>
                </c:pt>
                <c:pt idx="6">
                  <c:v>2115</c:v>
                </c:pt>
                <c:pt idx="7">
                  <c:v>4905</c:v>
                </c:pt>
                <c:pt idx="8">
                  <c:v>2235</c:v>
                </c:pt>
                <c:pt idx="9">
                  <c:v>2863</c:v>
                </c:pt>
                <c:pt idx="10">
                  <c:v>1386</c:v>
                </c:pt>
                <c:pt idx="11">
                  <c:v>1160</c:v>
                </c:pt>
                <c:pt idx="12">
                  <c:v>1880</c:v>
                </c:pt>
                <c:pt idx="13">
                  <c:v>4332.6000000000004</c:v>
                </c:pt>
                <c:pt idx="14">
                  <c:v>6278</c:v>
                </c:pt>
                <c:pt idx="15">
                  <c:v>1683.5</c:v>
                </c:pt>
                <c:pt idx="16">
                  <c:v>21777</c:v>
                </c:pt>
                <c:pt idx="17">
                  <c:v>1700</c:v>
                </c:pt>
              </c:numCache>
            </c:numRef>
          </c:val>
          <c:extLst xmlns:c16r2="http://schemas.microsoft.com/office/drawing/2015/06/chart">
            <c:ext xmlns:c16="http://schemas.microsoft.com/office/drawing/2014/chart" uri="{C3380CC4-5D6E-409C-BE32-E72D297353CC}">
              <c16:uniqueId val="{00000005-940C-4163-80D6-C6DA3A0C7525}"/>
            </c:ext>
          </c:extLst>
        </c:ser>
        <c:ser>
          <c:idx val="6"/>
          <c:order val="6"/>
          <c:tx>
            <c:v>Other</c:v>
          </c:tx>
          <c:spPr>
            <a:solidFill>
              <a:schemeClr val="accent1">
                <a:lumMod val="60000"/>
              </a:schemeClr>
            </a:solidFill>
            <a:ln>
              <a:noFill/>
            </a:ln>
            <a:effectLst/>
          </c:spPr>
          <c:invertIfNegative val="0"/>
          <c:cat>
            <c:numRef>
              <c:f>Analysis!$K$26:$K$43</c:f>
              <c:numCache>
                <c:formatCode>General</c:formatCode>
                <c:ptCount val="18"/>
                <c:pt idx="0">
                  <c:v>2001</c:v>
                </c:pt>
                <c:pt idx="1">
                  <c:v>2002</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numCache>
            </c:numRef>
          </c:cat>
          <c:val>
            <c:numRef>
              <c:f>Analysis!$R$26:$R$43</c:f>
              <c:numCache>
                <c:formatCode>General</c:formatCode>
                <c:ptCount val="18"/>
                <c:pt idx="17">
                  <c:v>217.5</c:v>
                </c:pt>
              </c:numCache>
            </c:numRef>
          </c:val>
          <c:extLst xmlns:c16r2="http://schemas.microsoft.com/office/drawing/2015/06/chart">
            <c:ext xmlns:c16="http://schemas.microsoft.com/office/drawing/2014/chart" uri="{C3380CC4-5D6E-409C-BE32-E72D297353CC}">
              <c16:uniqueId val="{00000006-940C-4163-80D6-C6DA3A0C7525}"/>
            </c:ext>
          </c:extLst>
        </c:ser>
        <c:dLbls>
          <c:showLegendKey val="0"/>
          <c:showVal val="0"/>
          <c:showCatName val="0"/>
          <c:showSerName val="0"/>
          <c:showPercent val="0"/>
          <c:showBubbleSize val="0"/>
        </c:dLbls>
        <c:gapWidth val="150"/>
        <c:overlap val="100"/>
        <c:axId val="290045312"/>
        <c:axId val="290055296"/>
      </c:barChart>
      <c:catAx>
        <c:axId val="2900453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sz="1000">
                <a:latin typeface="+mn-lt"/>
              </a:defRPr>
            </a:pPr>
            <a:endParaRPr lang="en-US"/>
          </a:p>
        </c:txPr>
        <c:crossAx val="290055296"/>
        <c:crosses val="autoZero"/>
        <c:auto val="1"/>
        <c:lblAlgn val="ctr"/>
        <c:lblOffset val="100"/>
        <c:noMultiLvlLbl val="0"/>
      </c:catAx>
      <c:valAx>
        <c:axId val="290055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en-US"/>
          </a:p>
        </c:txPr>
        <c:crossAx val="290045312"/>
        <c:crosses val="autoZero"/>
        <c:crossBetween val="between"/>
      </c:valAx>
      <c:spPr>
        <a:noFill/>
        <a:ln>
          <a:noFill/>
        </a:ln>
        <a:effectLst/>
      </c:spPr>
    </c:plotArea>
    <c:legend>
      <c:legendPos val="tr"/>
      <c:layout>
        <c:manualLayout>
          <c:xMode val="edge"/>
          <c:yMode val="edge"/>
          <c:x val="0.64096973601485363"/>
          <c:y val="5.5060197704340536E-2"/>
          <c:w val="0.3242853417074294"/>
          <c:h val="0.43474495573626554"/>
        </c:manualLayout>
      </c:layout>
      <c:overlay val="0"/>
      <c:spPr>
        <a:no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1200">
          <a:solidFill>
            <a:sysClr val="windowText" lastClr="000000"/>
          </a:solidFill>
          <a:latin typeface="Arial Narrow" panose="020B0606020202030204" pitchFamily="34" charset="0"/>
        </a:defRPr>
      </a:pPr>
      <a:endParaRPr lang="en-US"/>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94035904942002"/>
          <c:y val="4.8511576626240352E-2"/>
          <c:w val="0.81424320772657832"/>
          <c:h val="0.68737987134188161"/>
        </c:manualLayout>
      </c:layout>
      <c:lineChart>
        <c:grouping val="standard"/>
        <c:varyColors val="0"/>
        <c:ser>
          <c:idx val="1"/>
          <c:order val="0"/>
          <c:tx>
            <c:strRef>
              <c:f>'[Greenhouse Trends.xlsx]Employment and GVA'!$A$2</c:f>
              <c:strCache>
                <c:ptCount val="1"/>
                <c:pt idx="0">
                  <c:v>Planned Growth Employment</c:v>
                </c:pt>
              </c:strCache>
            </c:strRef>
          </c:tx>
          <c:marker>
            <c:symbol val="none"/>
          </c:marker>
          <c:cat>
            <c:numRef>
              <c:f>'[Greenhouse Trends.xlsx]Employment and GVA'!$C$1:$AR$1</c:f>
              <c:numCache>
                <c:formatCode>General</c:formatCode>
                <c:ptCount val="42"/>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pt idx="28">
                  <c:v>2023</c:v>
                </c:pt>
                <c:pt idx="29">
                  <c:v>2024</c:v>
                </c:pt>
                <c:pt idx="30">
                  <c:v>2025</c:v>
                </c:pt>
                <c:pt idx="31">
                  <c:v>2026</c:v>
                </c:pt>
                <c:pt idx="32">
                  <c:v>2027</c:v>
                </c:pt>
                <c:pt idx="33">
                  <c:v>2028</c:v>
                </c:pt>
                <c:pt idx="34">
                  <c:v>2029</c:v>
                </c:pt>
                <c:pt idx="35">
                  <c:v>2030</c:v>
                </c:pt>
                <c:pt idx="36">
                  <c:v>2031</c:v>
                </c:pt>
                <c:pt idx="37">
                  <c:v>2032</c:v>
                </c:pt>
                <c:pt idx="38">
                  <c:v>2033</c:v>
                </c:pt>
                <c:pt idx="39">
                  <c:v>2034</c:v>
                </c:pt>
                <c:pt idx="40">
                  <c:v>2035</c:v>
                </c:pt>
                <c:pt idx="41">
                  <c:v>2036</c:v>
                </c:pt>
              </c:numCache>
            </c:numRef>
          </c:cat>
          <c:val>
            <c:numRef>
              <c:f>'[Greenhouse Trends.xlsx]Employment and GVA'!$B$2:$AR$2</c:f>
              <c:numCache>
                <c:formatCode>General</c:formatCode>
                <c:ptCount val="43"/>
                <c:pt idx="21" formatCode="0.0">
                  <c:v>2.1766722993124938</c:v>
                </c:pt>
                <c:pt idx="22" formatCode="0.0">
                  <c:v>2.1036656622850942</c:v>
                </c:pt>
                <c:pt idx="23" formatCode="0.0">
                  <c:v>2.1036656622850942</c:v>
                </c:pt>
                <c:pt idx="24" formatCode="0.0">
                  <c:v>2.1036656622850942</c:v>
                </c:pt>
                <c:pt idx="25" formatCode="0.0">
                  <c:v>2.1036656622850942</c:v>
                </c:pt>
                <c:pt idx="26" formatCode="0.0">
                  <c:v>2.1036656622850942</c:v>
                </c:pt>
                <c:pt idx="27" formatCode="0.0">
                  <c:v>2.1036656622850942</c:v>
                </c:pt>
                <c:pt idx="28" formatCode="0.0">
                  <c:v>2.1036656622850942</c:v>
                </c:pt>
                <c:pt idx="29" formatCode="0.0">
                  <c:v>2.1036656622850942</c:v>
                </c:pt>
                <c:pt idx="30" formatCode="0.0">
                  <c:v>2.1036656622850942</c:v>
                </c:pt>
                <c:pt idx="31" formatCode="0.0">
                  <c:v>2.1036656622850942</c:v>
                </c:pt>
                <c:pt idx="32" formatCode="0.0">
                  <c:v>2.1036656622850942</c:v>
                </c:pt>
                <c:pt idx="33" formatCode="0.0">
                  <c:v>2.1036656622850942</c:v>
                </c:pt>
                <c:pt idx="34" formatCode="0.0">
                  <c:v>2.1036656622850942</c:v>
                </c:pt>
                <c:pt idx="35" formatCode="0.0">
                  <c:v>2.1036656622850942</c:v>
                </c:pt>
                <c:pt idx="36" formatCode="0.0">
                  <c:v>2.1036656622850942</c:v>
                </c:pt>
                <c:pt idx="37" formatCode="0.0">
                  <c:v>2.1036656622850942</c:v>
                </c:pt>
                <c:pt idx="38" formatCode="0.0">
                  <c:v>2.1036656622850942</c:v>
                </c:pt>
                <c:pt idx="39" formatCode="0.0">
                  <c:v>2.1036656622850942</c:v>
                </c:pt>
                <c:pt idx="40" formatCode="0.0">
                  <c:v>2.1036656622850942</c:v>
                </c:pt>
                <c:pt idx="41" formatCode="0.0">
                  <c:v>2.1036656622850942</c:v>
                </c:pt>
                <c:pt idx="42" formatCode="0.0">
                  <c:v>2.1036656622850942</c:v>
                </c:pt>
              </c:numCache>
            </c:numRef>
          </c:val>
          <c:smooth val="0"/>
          <c:extLst xmlns:c16r2="http://schemas.microsoft.com/office/drawing/2015/06/chart">
            <c:ext xmlns:c16="http://schemas.microsoft.com/office/drawing/2014/chart" uri="{C3380CC4-5D6E-409C-BE32-E72D297353CC}">
              <c16:uniqueId val="{00000000-53CD-46CD-B96B-9206E587F176}"/>
            </c:ext>
          </c:extLst>
        </c:ser>
        <c:ser>
          <c:idx val="2"/>
          <c:order val="1"/>
          <c:tx>
            <c:strRef>
              <c:f>'[Greenhouse Trends.xlsx]Employment and GVA'!$A$3</c:f>
              <c:strCache>
                <c:ptCount val="1"/>
                <c:pt idx="0">
                  <c:v>Baseline Employment</c:v>
                </c:pt>
              </c:strCache>
            </c:strRef>
          </c:tx>
          <c:marker>
            <c:symbol val="none"/>
          </c:marker>
          <c:cat>
            <c:numRef>
              <c:f>'[Greenhouse Trends.xlsx]Employment and GVA'!$C$1:$AR$1</c:f>
              <c:numCache>
                <c:formatCode>General</c:formatCode>
                <c:ptCount val="42"/>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pt idx="28">
                  <c:v>2023</c:v>
                </c:pt>
                <c:pt idx="29">
                  <c:v>2024</c:v>
                </c:pt>
                <c:pt idx="30">
                  <c:v>2025</c:v>
                </c:pt>
                <c:pt idx="31">
                  <c:v>2026</c:v>
                </c:pt>
                <c:pt idx="32">
                  <c:v>2027</c:v>
                </c:pt>
                <c:pt idx="33">
                  <c:v>2028</c:v>
                </c:pt>
                <c:pt idx="34">
                  <c:v>2029</c:v>
                </c:pt>
                <c:pt idx="35">
                  <c:v>2030</c:v>
                </c:pt>
                <c:pt idx="36">
                  <c:v>2031</c:v>
                </c:pt>
                <c:pt idx="37">
                  <c:v>2032</c:v>
                </c:pt>
                <c:pt idx="38">
                  <c:v>2033</c:v>
                </c:pt>
                <c:pt idx="39">
                  <c:v>2034</c:v>
                </c:pt>
                <c:pt idx="40">
                  <c:v>2035</c:v>
                </c:pt>
                <c:pt idx="41">
                  <c:v>2036</c:v>
                </c:pt>
              </c:numCache>
            </c:numRef>
          </c:cat>
          <c:val>
            <c:numRef>
              <c:f>'[Greenhouse Trends.xlsx]Employment and GVA'!$B$3:$AR$3</c:f>
              <c:numCache>
                <c:formatCode>General</c:formatCode>
                <c:ptCount val="43"/>
                <c:pt idx="21" formatCode="0.0">
                  <c:v>2.1766722993124938</c:v>
                </c:pt>
                <c:pt idx="22" formatCode="0.0">
                  <c:v>2.1036656622850942</c:v>
                </c:pt>
                <c:pt idx="23" formatCode="0.0">
                  <c:v>2.1568199109655439</c:v>
                </c:pt>
                <c:pt idx="24" formatCode="0.0">
                  <c:v>2.1302744815784331</c:v>
                </c:pt>
                <c:pt idx="25" formatCode="0.0">
                  <c:v>2.1031917858724665</c:v>
                </c:pt>
                <c:pt idx="26" formatCode="0.0">
                  <c:v>2.0777312231593541</c:v>
                </c:pt>
                <c:pt idx="27" formatCode="0.0">
                  <c:v>2.0587681554236608</c:v>
                </c:pt>
                <c:pt idx="28" formatCode="0.0">
                  <c:v>2.0435088916723996</c:v>
                </c:pt>
                <c:pt idx="29" formatCode="0.0">
                  <c:v>2.0254014486899798</c:v>
                </c:pt>
                <c:pt idx="30" formatCode="0.0">
                  <c:v>2.0026777516895873</c:v>
                </c:pt>
                <c:pt idx="31" formatCode="0.0">
                  <c:v>1.9760530967370769</c:v>
                </c:pt>
                <c:pt idx="32" formatCode="0.0">
                  <c:v>1.9484222499488852</c:v>
                </c:pt>
                <c:pt idx="33" formatCode="0.0">
                  <c:v>1.9210432672509219</c:v>
                </c:pt>
                <c:pt idx="34" formatCode="0.0">
                  <c:v>1.8939275649022198</c:v>
                </c:pt>
                <c:pt idx="35" formatCode="0.0">
                  <c:v>1.8671564623563353</c:v>
                </c:pt>
                <c:pt idx="36" formatCode="0.0">
                  <c:v>1.8406803357659447</c:v>
                </c:pt>
                <c:pt idx="37" formatCode="0.0">
                  <c:v>1.8137967254066318</c:v>
                </c:pt>
                <c:pt idx="38" formatCode="0.0">
                  <c:v>1.7868790962675125</c:v>
                </c:pt>
                <c:pt idx="39" formatCode="0.0">
                  <c:v>1.760251286959283</c:v>
                </c:pt>
                <c:pt idx="40" formatCode="0.0">
                  <c:v>1.733923895995362</c:v>
                </c:pt>
                <c:pt idx="41" formatCode="0.0">
                  <c:v>1.7078950773697334</c:v>
                </c:pt>
                <c:pt idx="42" formatCode="0.00">
                  <c:v>1.6821681387676497</c:v>
                </c:pt>
              </c:numCache>
            </c:numRef>
          </c:val>
          <c:smooth val="0"/>
          <c:extLst xmlns:c16r2="http://schemas.microsoft.com/office/drawing/2015/06/chart">
            <c:ext xmlns:c16="http://schemas.microsoft.com/office/drawing/2014/chart" uri="{C3380CC4-5D6E-409C-BE32-E72D297353CC}">
              <c16:uniqueId val="{00000001-53CD-46CD-B96B-9206E587F176}"/>
            </c:ext>
          </c:extLst>
        </c:ser>
        <c:ser>
          <c:idx val="4"/>
          <c:order val="3"/>
          <c:tx>
            <c:strRef>
              <c:f>'[Greenhouse Trends.xlsx]Employment and GVA'!$A$5</c:f>
              <c:strCache>
                <c:ptCount val="1"/>
                <c:pt idx="0">
                  <c:v>Historic Employment</c:v>
                </c:pt>
              </c:strCache>
            </c:strRef>
          </c:tx>
          <c:marker>
            <c:symbol val="none"/>
          </c:marker>
          <c:trendline>
            <c:spPr>
              <a:ln w="25400">
                <a:solidFill>
                  <a:schemeClr val="accent5"/>
                </a:solidFill>
                <a:prstDash val="sysDash"/>
              </a:ln>
            </c:spPr>
            <c:trendlineType val="linear"/>
            <c:dispRSqr val="0"/>
            <c:dispEq val="0"/>
          </c:trendline>
          <c:cat>
            <c:numRef>
              <c:f>'[Greenhouse Trends.xlsx]Employment and GVA'!$C$1:$AR$1</c:f>
              <c:numCache>
                <c:formatCode>General</c:formatCode>
                <c:ptCount val="42"/>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pt idx="28">
                  <c:v>2023</c:v>
                </c:pt>
                <c:pt idx="29">
                  <c:v>2024</c:v>
                </c:pt>
                <c:pt idx="30">
                  <c:v>2025</c:v>
                </c:pt>
                <c:pt idx="31">
                  <c:v>2026</c:v>
                </c:pt>
                <c:pt idx="32">
                  <c:v>2027</c:v>
                </c:pt>
                <c:pt idx="33">
                  <c:v>2028</c:v>
                </c:pt>
                <c:pt idx="34">
                  <c:v>2029</c:v>
                </c:pt>
                <c:pt idx="35">
                  <c:v>2030</c:v>
                </c:pt>
                <c:pt idx="36">
                  <c:v>2031</c:v>
                </c:pt>
                <c:pt idx="37">
                  <c:v>2032</c:v>
                </c:pt>
                <c:pt idx="38">
                  <c:v>2033</c:v>
                </c:pt>
                <c:pt idx="39">
                  <c:v>2034</c:v>
                </c:pt>
                <c:pt idx="40">
                  <c:v>2035</c:v>
                </c:pt>
                <c:pt idx="41">
                  <c:v>2036</c:v>
                </c:pt>
              </c:numCache>
            </c:numRef>
          </c:cat>
          <c:val>
            <c:numRef>
              <c:f>'[Greenhouse Trends.xlsx]Employment and GVA'!$B$5:$AR$5</c:f>
              <c:numCache>
                <c:formatCode>0.0</c:formatCode>
                <c:ptCount val="43"/>
                <c:pt idx="1">
                  <c:v>2.1216403545066091</c:v>
                </c:pt>
                <c:pt idx="2">
                  <c:v>2.1245833597659112</c:v>
                </c:pt>
                <c:pt idx="3">
                  <c:v>2.2876781077856121</c:v>
                </c:pt>
                <c:pt idx="4">
                  <c:v>2.9719009138472323</c:v>
                </c:pt>
                <c:pt idx="5">
                  <c:v>2.5421647193623942</c:v>
                </c:pt>
                <c:pt idx="6">
                  <c:v>2.5766969815440959</c:v>
                </c:pt>
                <c:pt idx="7">
                  <c:v>2.5357559342983444</c:v>
                </c:pt>
                <c:pt idx="8">
                  <c:v>2.5918491316885088</c:v>
                </c:pt>
                <c:pt idx="9">
                  <c:v>2.3885365587307539</c:v>
                </c:pt>
                <c:pt idx="10">
                  <c:v>2.5205413290952174</c:v>
                </c:pt>
                <c:pt idx="11">
                  <c:v>2.8051408428741009</c:v>
                </c:pt>
                <c:pt idx="12">
                  <c:v>2.274213010916541</c:v>
                </c:pt>
                <c:pt idx="13">
                  <c:v>2.1859161937886018</c:v>
                </c:pt>
                <c:pt idx="14">
                  <c:v>2.0069838877535462</c:v>
                </c:pt>
                <c:pt idx="15">
                  <c:v>2.0671308344572474</c:v>
                </c:pt>
                <c:pt idx="16">
                  <c:v>2.0645260385165871</c:v>
                </c:pt>
                <c:pt idx="17">
                  <c:v>2.0098379271509166</c:v>
                </c:pt>
                <c:pt idx="18">
                  <c:v>2.1696347046505151</c:v>
                </c:pt>
                <c:pt idx="19">
                  <c:v>1.8532384228202476</c:v>
                </c:pt>
                <c:pt idx="20">
                  <c:v>2.0953159205570384</c:v>
                </c:pt>
                <c:pt idx="21">
                  <c:v>2.2000000000000002</c:v>
                </c:pt>
              </c:numCache>
            </c:numRef>
          </c:val>
          <c:smooth val="0"/>
          <c:extLst xmlns:c16r2="http://schemas.microsoft.com/office/drawing/2015/06/chart">
            <c:ext xmlns:c16="http://schemas.microsoft.com/office/drawing/2014/chart" uri="{C3380CC4-5D6E-409C-BE32-E72D297353CC}">
              <c16:uniqueId val="{00000003-53CD-46CD-B96B-9206E587F176}"/>
            </c:ext>
          </c:extLst>
        </c:ser>
        <c:dLbls>
          <c:showLegendKey val="0"/>
          <c:showVal val="0"/>
          <c:showCatName val="0"/>
          <c:showSerName val="0"/>
          <c:showPercent val="0"/>
          <c:showBubbleSize val="0"/>
        </c:dLbls>
        <c:marker val="1"/>
        <c:smooth val="0"/>
        <c:axId val="290187136"/>
        <c:axId val="290188672"/>
      </c:lineChart>
      <c:lineChart>
        <c:grouping val="standard"/>
        <c:varyColors val="0"/>
        <c:ser>
          <c:idx val="3"/>
          <c:order val="2"/>
          <c:tx>
            <c:strRef>
              <c:f>'[Greenhouse Trends.xlsx]Employment and GVA'!$A$4</c:f>
              <c:strCache>
                <c:ptCount val="1"/>
                <c:pt idx="0">
                  <c:v>Baseline GVA</c:v>
                </c:pt>
              </c:strCache>
            </c:strRef>
          </c:tx>
          <c:marker>
            <c:symbol val="none"/>
          </c:marker>
          <c:val>
            <c:numRef>
              <c:f>'[Greenhouse Trends.xlsx]Employment and GVA'!$B$4:$AR$4</c:f>
              <c:numCache>
                <c:formatCode>0.00</c:formatCode>
                <c:ptCount val="43"/>
                <c:pt idx="1">
                  <c:v>27.791330026584298</c:v>
                </c:pt>
                <c:pt idx="2">
                  <c:v>26.905939195557266</c:v>
                </c:pt>
                <c:pt idx="3">
                  <c:v>29.905061608830291</c:v>
                </c:pt>
                <c:pt idx="4">
                  <c:v>39.693775788566725</c:v>
                </c:pt>
                <c:pt idx="5">
                  <c:v>38.877157687779039</c:v>
                </c:pt>
                <c:pt idx="6">
                  <c:v>39.474466117300665</c:v>
                </c:pt>
                <c:pt idx="7">
                  <c:v>44.698421159028612</c:v>
                </c:pt>
                <c:pt idx="8">
                  <c:v>59.49727314768117</c:v>
                </c:pt>
                <c:pt idx="9">
                  <c:v>45.835561861877395</c:v>
                </c:pt>
                <c:pt idx="10">
                  <c:v>38.829033674983137</c:v>
                </c:pt>
                <c:pt idx="11">
                  <c:v>44.296187507519683</c:v>
                </c:pt>
                <c:pt idx="12">
                  <c:v>51.344987821402043</c:v>
                </c:pt>
                <c:pt idx="13">
                  <c:v>52.853574696571876</c:v>
                </c:pt>
                <c:pt idx="14">
                  <c:v>59.887888038608779</c:v>
                </c:pt>
                <c:pt idx="15">
                  <c:v>39.679124077307939</c:v>
                </c:pt>
                <c:pt idx="16">
                  <c:v>48.270096270423821</c:v>
                </c:pt>
                <c:pt idx="17">
                  <c:v>56.803339287507782</c:v>
                </c:pt>
                <c:pt idx="18">
                  <c:v>62.25404753649223</c:v>
                </c:pt>
                <c:pt idx="19">
                  <c:v>57.814702860852435</c:v>
                </c:pt>
                <c:pt idx="20">
                  <c:v>63.219259426895675</c:v>
                </c:pt>
                <c:pt idx="21">
                  <c:v>61.544006179869314</c:v>
                </c:pt>
                <c:pt idx="22">
                  <c:v>55.938583969095497</c:v>
                </c:pt>
                <c:pt idx="23">
                  <c:v>55.606372880805203</c:v>
                </c:pt>
                <c:pt idx="24">
                  <c:v>55.385599772989146</c:v>
                </c:pt>
                <c:pt idx="25">
                  <c:v>55.263567939008631</c:v>
                </c:pt>
                <c:pt idx="26">
                  <c:v>55.269275937767958</c:v>
                </c:pt>
                <c:pt idx="27">
                  <c:v>55.464132905227515</c:v>
                </c:pt>
                <c:pt idx="28">
                  <c:v>55.754544236114732</c:v>
                </c:pt>
                <c:pt idx="29">
                  <c:v>55.927254421218642</c:v>
                </c:pt>
                <c:pt idx="30">
                  <c:v>55.966667254902212</c:v>
                </c:pt>
                <c:pt idx="31">
                  <c:v>55.925455116282876</c:v>
                </c:pt>
                <c:pt idx="32">
                  <c:v>55.860452447415113</c:v>
                </c:pt>
                <c:pt idx="33">
                  <c:v>55.837624429672303</c:v>
                </c:pt>
                <c:pt idx="34">
                  <c:v>55.853525542567716</c:v>
                </c:pt>
                <c:pt idx="35">
                  <c:v>55.882767100615332</c:v>
                </c:pt>
                <c:pt idx="36">
                  <c:v>55.913764675882533</c:v>
                </c:pt>
                <c:pt idx="37">
                  <c:v>55.822808327595475</c:v>
                </c:pt>
                <c:pt idx="38">
                  <c:v>55.63569089594521</c:v>
                </c:pt>
                <c:pt idx="39">
                  <c:v>55.423134487416469</c:v>
                </c:pt>
                <c:pt idx="40">
                  <c:v>55.185671683991302</c:v>
                </c:pt>
                <c:pt idx="41">
                  <c:v>54.924144283586145</c:v>
                </c:pt>
                <c:pt idx="42">
                  <c:v>54.639318755946015</c:v>
                </c:pt>
              </c:numCache>
            </c:numRef>
          </c:val>
          <c:smooth val="0"/>
          <c:extLst xmlns:c16r2="http://schemas.microsoft.com/office/drawing/2015/06/chart">
            <c:ext xmlns:c16="http://schemas.microsoft.com/office/drawing/2014/chart" uri="{C3380CC4-5D6E-409C-BE32-E72D297353CC}">
              <c16:uniqueId val="{00000004-53CD-46CD-B96B-9206E587F176}"/>
            </c:ext>
          </c:extLst>
        </c:ser>
        <c:dLbls>
          <c:showLegendKey val="0"/>
          <c:showVal val="0"/>
          <c:showCatName val="0"/>
          <c:showSerName val="0"/>
          <c:showPercent val="0"/>
          <c:showBubbleSize val="0"/>
        </c:dLbls>
        <c:marker val="1"/>
        <c:smooth val="0"/>
        <c:axId val="291908992"/>
        <c:axId val="291907072"/>
      </c:lineChart>
      <c:catAx>
        <c:axId val="290187136"/>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290188672"/>
        <c:crosses val="autoZero"/>
        <c:auto val="1"/>
        <c:lblAlgn val="ctr"/>
        <c:lblOffset val="100"/>
        <c:noMultiLvlLbl val="0"/>
      </c:catAx>
      <c:valAx>
        <c:axId val="290188672"/>
        <c:scaling>
          <c:orientation val="minMax"/>
        </c:scaling>
        <c:delete val="0"/>
        <c:axPos val="l"/>
        <c:majorGridlines/>
        <c:title>
          <c:tx>
            <c:rich>
              <a:bodyPr/>
              <a:lstStyle/>
              <a:p>
                <a:pPr>
                  <a:defRPr/>
                </a:pPr>
                <a:r>
                  <a:rPr lang="en-GB"/>
                  <a:t>Employment ('000s)</a:t>
                </a:r>
              </a:p>
            </c:rich>
          </c:tx>
          <c:overlay val="0"/>
        </c:title>
        <c:numFmt formatCode="General" sourceLinked="1"/>
        <c:majorTickMark val="out"/>
        <c:minorTickMark val="none"/>
        <c:tickLblPos val="nextTo"/>
        <c:crossAx val="290187136"/>
        <c:crosses val="autoZero"/>
        <c:crossBetween val="between"/>
      </c:valAx>
      <c:valAx>
        <c:axId val="291907072"/>
        <c:scaling>
          <c:orientation val="minMax"/>
        </c:scaling>
        <c:delete val="0"/>
        <c:axPos val="r"/>
        <c:title>
          <c:tx>
            <c:rich>
              <a:bodyPr/>
              <a:lstStyle/>
              <a:p>
                <a:pPr>
                  <a:defRPr/>
                </a:pPr>
                <a:r>
                  <a:rPr lang="en-GB"/>
                  <a:t>GVA (£Millions)</a:t>
                </a:r>
              </a:p>
            </c:rich>
          </c:tx>
          <c:overlay val="0"/>
        </c:title>
        <c:numFmt formatCode="0" sourceLinked="0"/>
        <c:majorTickMark val="out"/>
        <c:minorTickMark val="none"/>
        <c:tickLblPos val="nextTo"/>
        <c:crossAx val="291908992"/>
        <c:crosses val="max"/>
        <c:crossBetween val="between"/>
      </c:valAx>
      <c:catAx>
        <c:axId val="291908992"/>
        <c:scaling>
          <c:orientation val="minMax"/>
        </c:scaling>
        <c:delete val="1"/>
        <c:axPos val="b"/>
        <c:majorTickMark val="out"/>
        <c:minorTickMark val="none"/>
        <c:tickLblPos val="nextTo"/>
        <c:crossAx val="291907072"/>
        <c:crosses val="autoZero"/>
        <c:auto val="1"/>
        <c:lblAlgn val="ctr"/>
        <c:lblOffset val="100"/>
        <c:noMultiLvlLbl val="0"/>
      </c:catAx>
    </c:plotArea>
    <c:legend>
      <c:legendPos val="r"/>
      <c:layout>
        <c:manualLayout>
          <c:xMode val="edge"/>
          <c:yMode val="edge"/>
          <c:x val="0.1312754409769335"/>
          <c:y val="0.86150240040281623"/>
          <c:w val="0.80992763455450023"/>
          <c:h val="0.13697314847771921"/>
        </c:manualLayout>
      </c:layout>
      <c:overlay val="0"/>
    </c:legend>
    <c:plotVisOnly val="1"/>
    <c:dispBlanksAs val="gap"/>
    <c:showDLblsOverMax val="0"/>
  </c:chart>
  <c:txPr>
    <a:bodyPr/>
    <a:lstStyle/>
    <a:p>
      <a:pPr>
        <a:defRPr sz="1200">
          <a:latin typeface="Arial Narrow" panose="020B0606020202030204" pitchFamily="34" charset="0"/>
        </a:defRPr>
      </a:pPr>
      <a:endParaRPr lang="en-US"/>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53319751745397"/>
          <c:y val="9.9981605049007063E-2"/>
          <c:w val="0.89946680248254596"/>
          <c:h val="0.71151670440616055"/>
        </c:manualLayout>
      </c:layout>
      <c:barChart>
        <c:barDir val="col"/>
        <c:grouping val="clustered"/>
        <c:varyColors val="0"/>
        <c:ser>
          <c:idx val="0"/>
          <c:order val="0"/>
          <c:tx>
            <c:strRef>
              <c:f>'Anal Jul 2020'!$AB$37</c:f>
              <c:strCache>
                <c:ptCount val="1"/>
                <c:pt idx="0">
                  <c:v>Glasshouse HDA</c:v>
                </c:pt>
              </c:strCache>
            </c:strRef>
          </c:tx>
          <c:spPr>
            <a:solidFill>
              <a:schemeClr val="accent1"/>
            </a:solidFill>
            <a:ln>
              <a:noFill/>
            </a:ln>
            <a:effectLst/>
          </c:spPr>
          <c:invertIfNegative val="0"/>
          <c:cat>
            <c:numRef>
              <c:f>'Anal Jul 2020'!$AA$38:$AA$65</c:f>
              <c:numCache>
                <c:formatCode>General</c:formatCode>
                <c:ptCount val="28"/>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numCache>
            </c:numRef>
          </c:cat>
          <c:val>
            <c:numRef>
              <c:f>'Anal Jul 2020'!$AB$38:$AB$65</c:f>
              <c:numCache>
                <c:formatCode>General</c:formatCode>
                <c:ptCount val="28"/>
                <c:pt idx="0">
                  <c:v>0</c:v>
                </c:pt>
                <c:pt idx="1">
                  <c:v>0</c:v>
                </c:pt>
                <c:pt idx="2">
                  <c:v>3.48</c:v>
                </c:pt>
                <c:pt idx="3">
                  <c:v>2.12</c:v>
                </c:pt>
                <c:pt idx="4">
                  <c:v>5.2</c:v>
                </c:pt>
                <c:pt idx="5">
                  <c:v>3.4495</c:v>
                </c:pt>
                <c:pt idx="6">
                  <c:v>0.69500000000000006</c:v>
                </c:pt>
                <c:pt idx="7">
                  <c:v>1.2000000000000002</c:v>
                </c:pt>
                <c:pt idx="8">
                  <c:v>0.92800000000000005</c:v>
                </c:pt>
                <c:pt idx="9">
                  <c:v>1.792</c:v>
                </c:pt>
                <c:pt idx="10">
                  <c:v>4.9020000000000001</c:v>
                </c:pt>
                <c:pt idx="11">
                  <c:v>1.1577</c:v>
                </c:pt>
                <c:pt idx="12">
                  <c:v>0.57999999999999996</c:v>
                </c:pt>
                <c:pt idx="13">
                  <c:v>0</c:v>
                </c:pt>
                <c:pt idx="14">
                  <c:v>0</c:v>
                </c:pt>
                <c:pt idx="15">
                  <c:v>0</c:v>
                </c:pt>
                <c:pt idx="16">
                  <c:v>8.8849999999999998</c:v>
                </c:pt>
                <c:pt idx="17">
                  <c:v>0</c:v>
                </c:pt>
                <c:pt idx="18">
                  <c:v>2.3980000000000001</c:v>
                </c:pt>
                <c:pt idx="19">
                  <c:v>1.2709999999999999</c:v>
                </c:pt>
                <c:pt idx="20">
                  <c:v>2.7879999999999999E-2</c:v>
                </c:pt>
                <c:pt idx="21">
                  <c:v>10.78</c:v>
                </c:pt>
                <c:pt idx="22">
                  <c:v>0</c:v>
                </c:pt>
                <c:pt idx="23">
                  <c:v>0.87</c:v>
                </c:pt>
                <c:pt idx="24">
                  <c:v>0</c:v>
                </c:pt>
                <c:pt idx="25">
                  <c:v>0.03</c:v>
                </c:pt>
                <c:pt idx="26">
                  <c:v>0</c:v>
                </c:pt>
                <c:pt idx="27">
                  <c:v>0</c:v>
                </c:pt>
              </c:numCache>
            </c:numRef>
          </c:val>
          <c:extLst xmlns:c16r2="http://schemas.microsoft.com/office/drawing/2015/06/chart">
            <c:ext xmlns:c16="http://schemas.microsoft.com/office/drawing/2014/chart" uri="{C3380CC4-5D6E-409C-BE32-E72D297353CC}">
              <c16:uniqueId val="{00000000-B7E2-4BF4-9AF5-08B75CF53F47}"/>
            </c:ext>
          </c:extLst>
        </c:ser>
        <c:ser>
          <c:idx val="1"/>
          <c:order val="1"/>
          <c:tx>
            <c:strRef>
              <c:f>'Anal Jul 2020'!$AC$37</c:f>
              <c:strCache>
                <c:ptCount val="1"/>
                <c:pt idx="0">
                  <c:v>Non-Glasshouse HDA</c:v>
                </c:pt>
              </c:strCache>
            </c:strRef>
          </c:tx>
          <c:spPr>
            <a:solidFill>
              <a:schemeClr val="accent2"/>
            </a:solidFill>
            <a:ln>
              <a:noFill/>
            </a:ln>
            <a:effectLst/>
          </c:spPr>
          <c:invertIfNegative val="0"/>
          <c:cat>
            <c:numRef>
              <c:f>'Anal Jul 2020'!$AA$38:$AA$65</c:f>
              <c:numCache>
                <c:formatCode>General</c:formatCode>
                <c:ptCount val="28"/>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numCache>
            </c:numRef>
          </c:cat>
          <c:val>
            <c:numRef>
              <c:f>'Anal Jul 2020'!$AC$38:$AC$65</c:f>
              <c:numCache>
                <c:formatCode>General</c:formatCode>
                <c:ptCount val="28"/>
                <c:pt idx="0">
                  <c:v>0.77</c:v>
                </c:pt>
                <c:pt idx="1">
                  <c:v>9.4500000000000001E-2</c:v>
                </c:pt>
                <c:pt idx="2">
                  <c:v>0.17600000000000002</c:v>
                </c:pt>
                <c:pt idx="3">
                  <c:v>0.96729999999999994</c:v>
                </c:pt>
                <c:pt idx="4">
                  <c:v>0.122</c:v>
                </c:pt>
                <c:pt idx="5">
                  <c:v>0.97099999999999997</c:v>
                </c:pt>
                <c:pt idx="6">
                  <c:v>3.3000000000000002E-2</c:v>
                </c:pt>
                <c:pt idx="7">
                  <c:v>2.16</c:v>
                </c:pt>
                <c:pt idx="8">
                  <c:v>0.36599999999999999</c:v>
                </c:pt>
                <c:pt idx="9">
                  <c:v>0.78279999999999994</c:v>
                </c:pt>
                <c:pt idx="10">
                  <c:v>8.6499999999999994E-2</c:v>
                </c:pt>
                <c:pt idx="11">
                  <c:v>9.5000000000000001E-2</c:v>
                </c:pt>
                <c:pt idx="12">
                  <c:v>0</c:v>
                </c:pt>
                <c:pt idx="13">
                  <c:v>0.04</c:v>
                </c:pt>
                <c:pt idx="14">
                  <c:v>1.1300000000000001</c:v>
                </c:pt>
                <c:pt idx="15">
                  <c:v>0.11600000000000001</c:v>
                </c:pt>
                <c:pt idx="16">
                  <c:v>2.8000000000000001E-2</c:v>
                </c:pt>
                <c:pt idx="17">
                  <c:v>3.6150000000000002</c:v>
                </c:pt>
                <c:pt idx="18">
                  <c:v>0.4</c:v>
                </c:pt>
                <c:pt idx="19">
                  <c:v>0.64300000000000002</c:v>
                </c:pt>
                <c:pt idx="20">
                  <c:v>0.56499999999999995</c:v>
                </c:pt>
                <c:pt idx="21">
                  <c:v>1.2350000000000001</c:v>
                </c:pt>
                <c:pt idx="22">
                  <c:v>3.2640000000000002</c:v>
                </c:pt>
                <c:pt idx="23">
                  <c:v>9.900500000000001</c:v>
                </c:pt>
                <c:pt idx="24">
                  <c:v>0.02</c:v>
                </c:pt>
                <c:pt idx="25">
                  <c:v>0.86499999999999999</c:v>
                </c:pt>
                <c:pt idx="26">
                  <c:v>0</c:v>
                </c:pt>
                <c:pt idx="27">
                  <c:v>0</c:v>
                </c:pt>
              </c:numCache>
            </c:numRef>
          </c:val>
          <c:extLst xmlns:c16r2="http://schemas.microsoft.com/office/drawing/2015/06/chart">
            <c:ext xmlns:c16="http://schemas.microsoft.com/office/drawing/2014/chart" uri="{C3380CC4-5D6E-409C-BE32-E72D297353CC}">
              <c16:uniqueId val="{00000001-B7E2-4BF4-9AF5-08B75CF53F47}"/>
            </c:ext>
          </c:extLst>
        </c:ser>
        <c:ser>
          <c:idx val="2"/>
          <c:order val="2"/>
          <c:tx>
            <c:strRef>
              <c:f>'Anal Jul 2020'!$AD$37</c:f>
              <c:strCache>
                <c:ptCount val="1"/>
                <c:pt idx="0">
                  <c:v>Non-HDA</c:v>
                </c:pt>
              </c:strCache>
            </c:strRef>
          </c:tx>
          <c:spPr>
            <a:solidFill>
              <a:schemeClr val="accent3"/>
            </a:solidFill>
            <a:ln>
              <a:noFill/>
            </a:ln>
            <a:effectLst/>
          </c:spPr>
          <c:invertIfNegative val="0"/>
          <c:cat>
            <c:numRef>
              <c:f>'Anal Jul 2020'!$AA$38:$AA$65</c:f>
              <c:numCache>
                <c:formatCode>General</c:formatCode>
                <c:ptCount val="28"/>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numCache>
            </c:numRef>
          </c:cat>
          <c:val>
            <c:numRef>
              <c:f>'Anal Jul 2020'!$AD$38:$AD$65</c:f>
              <c:numCache>
                <c:formatCode>General</c:formatCode>
                <c:ptCount val="28"/>
                <c:pt idx="0">
                  <c:v>8.43E-2</c:v>
                </c:pt>
                <c:pt idx="1">
                  <c:v>2.2469999999999999</c:v>
                </c:pt>
                <c:pt idx="2">
                  <c:v>2.415</c:v>
                </c:pt>
                <c:pt idx="3">
                  <c:v>7.6707000000000001</c:v>
                </c:pt>
                <c:pt idx="4">
                  <c:v>4.3380000000000001</c:v>
                </c:pt>
                <c:pt idx="5">
                  <c:v>6.6020000000000012</c:v>
                </c:pt>
                <c:pt idx="6">
                  <c:v>1.3089999999999999</c:v>
                </c:pt>
                <c:pt idx="7">
                  <c:v>1.732</c:v>
                </c:pt>
                <c:pt idx="8">
                  <c:v>6.1350000000000007</c:v>
                </c:pt>
                <c:pt idx="9">
                  <c:v>2.2917999999999998</c:v>
                </c:pt>
                <c:pt idx="10">
                  <c:v>1.2252000000000001</c:v>
                </c:pt>
                <c:pt idx="11">
                  <c:v>0.97</c:v>
                </c:pt>
                <c:pt idx="12">
                  <c:v>0.91470000000000007</c:v>
                </c:pt>
                <c:pt idx="13">
                  <c:v>12.045999999999999</c:v>
                </c:pt>
                <c:pt idx="14">
                  <c:v>15.097</c:v>
                </c:pt>
                <c:pt idx="15">
                  <c:v>15.906000000000001</c:v>
                </c:pt>
                <c:pt idx="16">
                  <c:v>18.214099999999998</c:v>
                </c:pt>
                <c:pt idx="17">
                  <c:v>12.629</c:v>
                </c:pt>
                <c:pt idx="18">
                  <c:v>14.103999999999999</c:v>
                </c:pt>
                <c:pt idx="19">
                  <c:v>17.96</c:v>
                </c:pt>
                <c:pt idx="20">
                  <c:v>0.5092000000000001</c:v>
                </c:pt>
                <c:pt idx="21">
                  <c:v>1.2549999999999999</c:v>
                </c:pt>
                <c:pt idx="22">
                  <c:v>3.2324000000000002</c:v>
                </c:pt>
                <c:pt idx="23">
                  <c:v>10.115600000000001</c:v>
                </c:pt>
                <c:pt idx="24">
                  <c:v>10.91</c:v>
                </c:pt>
                <c:pt idx="25">
                  <c:v>0.01</c:v>
                </c:pt>
                <c:pt idx="26">
                  <c:v>11.795</c:v>
                </c:pt>
                <c:pt idx="27">
                  <c:v>0.03</c:v>
                </c:pt>
              </c:numCache>
            </c:numRef>
          </c:val>
          <c:extLst xmlns:c16r2="http://schemas.microsoft.com/office/drawing/2015/06/chart">
            <c:ext xmlns:c16="http://schemas.microsoft.com/office/drawing/2014/chart" uri="{C3380CC4-5D6E-409C-BE32-E72D297353CC}">
              <c16:uniqueId val="{00000002-B7E2-4BF4-9AF5-08B75CF53F47}"/>
            </c:ext>
          </c:extLst>
        </c:ser>
        <c:dLbls>
          <c:showLegendKey val="0"/>
          <c:showVal val="0"/>
          <c:showCatName val="0"/>
          <c:showSerName val="0"/>
          <c:showPercent val="0"/>
          <c:showBubbleSize val="0"/>
        </c:dLbls>
        <c:gapWidth val="219"/>
        <c:overlap val="-27"/>
        <c:axId val="291932800"/>
        <c:axId val="291939072"/>
      </c:barChart>
      <c:catAx>
        <c:axId val="29193280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91939072"/>
        <c:crosses val="autoZero"/>
        <c:auto val="1"/>
        <c:lblAlgn val="ctr"/>
        <c:lblOffset val="100"/>
        <c:noMultiLvlLbl val="0"/>
      </c:catAx>
      <c:valAx>
        <c:axId val="291939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Net Floorspace (reported in Ha)</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91932800"/>
        <c:crosses val="autoZero"/>
        <c:crossBetween val="between"/>
      </c:valAx>
      <c:spPr>
        <a:noFill/>
        <a:ln w="25400">
          <a:noFill/>
        </a:ln>
        <a:effectLst/>
      </c:spPr>
    </c:plotArea>
    <c:legend>
      <c:legendPos val="b"/>
      <c:layout>
        <c:manualLayout>
          <c:xMode val="edge"/>
          <c:yMode val="edge"/>
          <c:x val="8.7049925857149948E-2"/>
          <c:y val="1.8887219415952169E-2"/>
          <c:w val="0.88910807728885066"/>
          <c:h val="7.8125546806649182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959561533777077E-2"/>
          <c:y val="4.8511576626240352E-2"/>
          <c:w val="0.62765556612072071"/>
          <c:h val="0.78990042451970244"/>
        </c:manualLayout>
      </c:layout>
      <c:lineChart>
        <c:grouping val="standard"/>
        <c:varyColors val="0"/>
        <c:ser>
          <c:idx val="0"/>
          <c:order val="0"/>
          <c:tx>
            <c:strRef>
              <c:f>'[Market Signals New 270919. LC EDIT.xlsx]Rents trend and by type'!$A$31</c:f>
              <c:strCache>
                <c:ptCount val="1"/>
                <c:pt idx="0">
                  <c:v>Chichester District</c:v>
                </c:pt>
              </c:strCache>
            </c:strRef>
          </c:tx>
          <c:spPr>
            <a:ln w="28575" cap="rnd">
              <a:solidFill>
                <a:schemeClr val="accent1"/>
              </a:solidFill>
              <a:round/>
            </a:ln>
            <a:effectLst/>
          </c:spPr>
          <c:marker>
            <c:symbol val="none"/>
          </c:marker>
          <c:cat>
            <c:numRef>
              <c:f>'[Market Signals New 270919. LC EDIT.xlsx]Rents trend and by type'!$B$30:$P$30</c:f>
              <c:numCache>
                <c:formatCode>mmm\-yy</c:formatCode>
                <c:ptCount val="15"/>
                <c:pt idx="0">
                  <c:v>40787</c:v>
                </c:pt>
                <c:pt idx="1">
                  <c:v>40969</c:v>
                </c:pt>
                <c:pt idx="2">
                  <c:v>41153</c:v>
                </c:pt>
                <c:pt idx="3">
                  <c:v>41334</c:v>
                </c:pt>
                <c:pt idx="4">
                  <c:v>41518</c:v>
                </c:pt>
                <c:pt idx="5">
                  <c:v>41699</c:v>
                </c:pt>
                <c:pt idx="6">
                  <c:v>41883</c:v>
                </c:pt>
                <c:pt idx="7">
                  <c:v>42064</c:v>
                </c:pt>
                <c:pt idx="8">
                  <c:v>42248</c:v>
                </c:pt>
                <c:pt idx="9">
                  <c:v>42430</c:v>
                </c:pt>
                <c:pt idx="10">
                  <c:v>42614</c:v>
                </c:pt>
                <c:pt idx="11">
                  <c:v>42795</c:v>
                </c:pt>
                <c:pt idx="12">
                  <c:v>42979</c:v>
                </c:pt>
                <c:pt idx="13">
                  <c:v>43160</c:v>
                </c:pt>
                <c:pt idx="14">
                  <c:v>43344</c:v>
                </c:pt>
              </c:numCache>
            </c:numRef>
          </c:cat>
          <c:val>
            <c:numRef>
              <c:f>'[Market Signals New 270919. LC EDIT.xlsx]Rents trend and by type'!$B$31:$P$31</c:f>
              <c:numCache>
                <c:formatCode>0.00</c:formatCode>
                <c:ptCount val="15"/>
                <c:pt idx="0">
                  <c:v>1</c:v>
                </c:pt>
                <c:pt idx="1">
                  <c:v>1.0333333333333334</c:v>
                </c:pt>
                <c:pt idx="2">
                  <c:v>1.0106666666666666</c:v>
                </c:pt>
                <c:pt idx="3">
                  <c:v>1.0333333333333334</c:v>
                </c:pt>
                <c:pt idx="4">
                  <c:v>1.0666666666666667</c:v>
                </c:pt>
                <c:pt idx="5">
                  <c:v>1.0666666666666667</c:v>
                </c:pt>
                <c:pt idx="6">
                  <c:v>1.1000000000000001</c:v>
                </c:pt>
                <c:pt idx="7">
                  <c:v>1.1333333333333333</c:v>
                </c:pt>
                <c:pt idx="8">
                  <c:v>1.1333333333333333</c:v>
                </c:pt>
                <c:pt idx="9">
                  <c:v>1.1666666666666667</c:v>
                </c:pt>
                <c:pt idx="10">
                  <c:v>1.1933333333333334</c:v>
                </c:pt>
                <c:pt idx="11">
                  <c:v>1.1666666666666667</c:v>
                </c:pt>
                <c:pt idx="12">
                  <c:v>1.1666666666666667</c:v>
                </c:pt>
                <c:pt idx="13">
                  <c:v>1.1666666666666667</c:v>
                </c:pt>
                <c:pt idx="14">
                  <c:v>1.1346666666666667</c:v>
                </c:pt>
              </c:numCache>
            </c:numRef>
          </c:val>
          <c:smooth val="0"/>
          <c:extLst xmlns:c16r2="http://schemas.microsoft.com/office/drawing/2015/06/chart">
            <c:ext xmlns:c16="http://schemas.microsoft.com/office/drawing/2014/chart" uri="{C3380CC4-5D6E-409C-BE32-E72D297353CC}">
              <c16:uniqueId val="{00000000-1980-4733-B724-5AEC6CC835E5}"/>
            </c:ext>
          </c:extLst>
        </c:ser>
        <c:ser>
          <c:idx val="1"/>
          <c:order val="1"/>
          <c:tx>
            <c:strRef>
              <c:f>'[Market Signals New 270919. LC EDIT.xlsx]Rents trend and by type'!$A$32</c:f>
              <c:strCache>
                <c:ptCount val="1"/>
                <c:pt idx="0">
                  <c:v>Arun</c:v>
                </c:pt>
              </c:strCache>
            </c:strRef>
          </c:tx>
          <c:spPr>
            <a:ln w="28575" cap="rnd">
              <a:solidFill>
                <a:schemeClr val="accent2"/>
              </a:solidFill>
              <a:round/>
            </a:ln>
            <a:effectLst/>
          </c:spPr>
          <c:marker>
            <c:symbol val="none"/>
          </c:marker>
          <c:cat>
            <c:numRef>
              <c:f>'[Market Signals New 270919. LC EDIT.xlsx]Rents trend and by type'!$B$30:$P$30</c:f>
              <c:numCache>
                <c:formatCode>mmm\-yy</c:formatCode>
                <c:ptCount val="15"/>
                <c:pt idx="0">
                  <c:v>40787</c:v>
                </c:pt>
                <c:pt idx="1">
                  <c:v>40969</c:v>
                </c:pt>
                <c:pt idx="2">
                  <c:v>41153</c:v>
                </c:pt>
                <c:pt idx="3">
                  <c:v>41334</c:v>
                </c:pt>
                <c:pt idx="4">
                  <c:v>41518</c:v>
                </c:pt>
                <c:pt idx="5">
                  <c:v>41699</c:v>
                </c:pt>
                <c:pt idx="6">
                  <c:v>41883</c:v>
                </c:pt>
                <c:pt idx="7">
                  <c:v>42064</c:v>
                </c:pt>
                <c:pt idx="8">
                  <c:v>42248</c:v>
                </c:pt>
                <c:pt idx="9">
                  <c:v>42430</c:v>
                </c:pt>
                <c:pt idx="10">
                  <c:v>42614</c:v>
                </c:pt>
                <c:pt idx="11">
                  <c:v>42795</c:v>
                </c:pt>
                <c:pt idx="12">
                  <c:v>42979</c:v>
                </c:pt>
                <c:pt idx="13">
                  <c:v>43160</c:v>
                </c:pt>
                <c:pt idx="14">
                  <c:v>43344</c:v>
                </c:pt>
              </c:numCache>
            </c:numRef>
          </c:cat>
          <c:val>
            <c:numRef>
              <c:f>'[Market Signals New 270919. LC EDIT.xlsx]Rents trend and by type'!$B$32:$P$32</c:f>
              <c:numCache>
                <c:formatCode>0.00</c:formatCode>
                <c:ptCount val="15"/>
                <c:pt idx="0">
                  <c:v>1</c:v>
                </c:pt>
                <c:pt idx="1">
                  <c:v>1.0384615384615385</c:v>
                </c:pt>
                <c:pt idx="2">
                  <c:v>1.0384615384615385</c:v>
                </c:pt>
                <c:pt idx="3">
                  <c:v>1</c:v>
                </c:pt>
                <c:pt idx="4">
                  <c:v>1.0384615384615385</c:v>
                </c:pt>
                <c:pt idx="5">
                  <c:v>1.0769230769230769</c:v>
                </c:pt>
                <c:pt idx="6">
                  <c:v>1.0692307692307692</c:v>
                </c:pt>
                <c:pt idx="7">
                  <c:v>1.0692307692307692</c:v>
                </c:pt>
                <c:pt idx="8">
                  <c:v>1.1153846153846154</c:v>
                </c:pt>
                <c:pt idx="9">
                  <c:v>1.1153846153846154</c:v>
                </c:pt>
                <c:pt idx="10">
                  <c:v>1.1538461538461537</c:v>
                </c:pt>
                <c:pt idx="11">
                  <c:v>1.1461538461538461</c:v>
                </c:pt>
                <c:pt idx="12">
                  <c:v>1.1538461538461537</c:v>
                </c:pt>
                <c:pt idx="13">
                  <c:v>1.2230769230769232</c:v>
                </c:pt>
                <c:pt idx="14">
                  <c:v>1.1923076923076923</c:v>
                </c:pt>
              </c:numCache>
            </c:numRef>
          </c:val>
          <c:smooth val="0"/>
          <c:extLst xmlns:c16r2="http://schemas.microsoft.com/office/drawing/2015/06/chart">
            <c:ext xmlns:c16="http://schemas.microsoft.com/office/drawing/2014/chart" uri="{C3380CC4-5D6E-409C-BE32-E72D297353CC}">
              <c16:uniqueId val="{00000001-1980-4733-B724-5AEC6CC835E5}"/>
            </c:ext>
          </c:extLst>
        </c:ser>
        <c:ser>
          <c:idx val="2"/>
          <c:order val="2"/>
          <c:tx>
            <c:strRef>
              <c:f>'[Market Signals New 270919. LC EDIT.xlsx]Rents trend and by type'!$A$33</c:f>
              <c:strCache>
                <c:ptCount val="1"/>
                <c:pt idx="0">
                  <c:v>Cotswold</c:v>
                </c:pt>
              </c:strCache>
            </c:strRef>
          </c:tx>
          <c:spPr>
            <a:ln w="28575" cap="rnd">
              <a:solidFill>
                <a:schemeClr val="accent3"/>
              </a:solidFill>
              <a:round/>
            </a:ln>
            <a:effectLst/>
          </c:spPr>
          <c:marker>
            <c:symbol val="none"/>
          </c:marker>
          <c:cat>
            <c:numRef>
              <c:f>'[Market Signals New 270919. LC EDIT.xlsx]Rents trend and by type'!$B$30:$P$30</c:f>
              <c:numCache>
                <c:formatCode>mmm\-yy</c:formatCode>
                <c:ptCount val="15"/>
                <c:pt idx="0">
                  <c:v>40787</c:v>
                </c:pt>
                <c:pt idx="1">
                  <c:v>40969</c:v>
                </c:pt>
                <c:pt idx="2">
                  <c:v>41153</c:v>
                </c:pt>
                <c:pt idx="3">
                  <c:v>41334</c:v>
                </c:pt>
                <c:pt idx="4">
                  <c:v>41518</c:v>
                </c:pt>
                <c:pt idx="5">
                  <c:v>41699</c:v>
                </c:pt>
                <c:pt idx="6">
                  <c:v>41883</c:v>
                </c:pt>
                <c:pt idx="7">
                  <c:v>42064</c:v>
                </c:pt>
                <c:pt idx="8">
                  <c:v>42248</c:v>
                </c:pt>
                <c:pt idx="9">
                  <c:v>42430</c:v>
                </c:pt>
                <c:pt idx="10">
                  <c:v>42614</c:v>
                </c:pt>
                <c:pt idx="11">
                  <c:v>42795</c:v>
                </c:pt>
                <c:pt idx="12">
                  <c:v>42979</c:v>
                </c:pt>
                <c:pt idx="13">
                  <c:v>43160</c:v>
                </c:pt>
                <c:pt idx="14">
                  <c:v>43344</c:v>
                </c:pt>
              </c:numCache>
            </c:numRef>
          </c:cat>
          <c:val>
            <c:numRef>
              <c:f>'[Market Signals New 270919. LC EDIT.xlsx]Rents trend and by type'!$B$33:$P$33</c:f>
              <c:numCache>
                <c:formatCode>0.00</c:formatCode>
                <c:ptCount val="15"/>
                <c:pt idx="0">
                  <c:v>1</c:v>
                </c:pt>
                <c:pt idx="1">
                  <c:v>1.0285714285714285</c:v>
                </c:pt>
                <c:pt idx="2">
                  <c:v>1.0357142857142858</c:v>
                </c:pt>
                <c:pt idx="3">
                  <c:v>1.0714285714285714</c:v>
                </c:pt>
                <c:pt idx="4">
                  <c:v>1.0714285714285714</c:v>
                </c:pt>
                <c:pt idx="5">
                  <c:v>1.1071428571428572</c:v>
                </c:pt>
                <c:pt idx="6">
                  <c:v>1.1285714285714286</c:v>
                </c:pt>
                <c:pt idx="7">
                  <c:v>1.1357142857142857</c:v>
                </c:pt>
                <c:pt idx="8">
                  <c:v>1.1728571428571428</c:v>
                </c:pt>
                <c:pt idx="9">
                  <c:v>1.2142857142857142</c:v>
                </c:pt>
                <c:pt idx="10">
                  <c:v>1.2071428571428571</c:v>
                </c:pt>
                <c:pt idx="11">
                  <c:v>1.1785714285714286</c:v>
                </c:pt>
                <c:pt idx="12">
                  <c:v>1.1785714285714286</c:v>
                </c:pt>
                <c:pt idx="13">
                  <c:v>1.2114285714285715</c:v>
                </c:pt>
                <c:pt idx="14">
                  <c:v>1.1785714285714286</c:v>
                </c:pt>
              </c:numCache>
            </c:numRef>
          </c:val>
          <c:smooth val="0"/>
          <c:extLst xmlns:c16r2="http://schemas.microsoft.com/office/drawing/2015/06/chart">
            <c:ext xmlns:c16="http://schemas.microsoft.com/office/drawing/2014/chart" uri="{C3380CC4-5D6E-409C-BE32-E72D297353CC}">
              <c16:uniqueId val="{00000002-1980-4733-B724-5AEC6CC835E5}"/>
            </c:ext>
          </c:extLst>
        </c:ser>
        <c:ser>
          <c:idx val="3"/>
          <c:order val="3"/>
          <c:tx>
            <c:strRef>
              <c:f>'[Market Signals New 270919. LC EDIT.xlsx]Rents trend and by type'!$A$34</c:f>
              <c:strCache>
                <c:ptCount val="1"/>
                <c:pt idx="0">
                  <c:v>West Dorset</c:v>
                </c:pt>
              </c:strCache>
            </c:strRef>
          </c:tx>
          <c:spPr>
            <a:ln w="28575" cap="rnd">
              <a:solidFill>
                <a:schemeClr val="accent4"/>
              </a:solidFill>
              <a:round/>
            </a:ln>
            <a:effectLst/>
          </c:spPr>
          <c:marker>
            <c:symbol val="none"/>
          </c:marker>
          <c:cat>
            <c:numRef>
              <c:f>'[Market Signals New 270919. LC EDIT.xlsx]Rents trend and by type'!$B$30:$P$30</c:f>
              <c:numCache>
                <c:formatCode>mmm\-yy</c:formatCode>
                <c:ptCount val="15"/>
                <c:pt idx="0">
                  <c:v>40787</c:v>
                </c:pt>
                <c:pt idx="1">
                  <c:v>40969</c:v>
                </c:pt>
                <c:pt idx="2">
                  <c:v>41153</c:v>
                </c:pt>
                <c:pt idx="3">
                  <c:v>41334</c:v>
                </c:pt>
                <c:pt idx="4">
                  <c:v>41518</c:v>
                </c:pt>
                <c:pt idx="5">
                  <c:v>41699</c:v>
                </c:pt>
                <c:pt idx="6">
                  <c:v>41883</c:v>
                </c:pt>
                <c:pt idx="7">
                  <c:v>42064</c:v>
                </c:pt>
                <c:pt idx="8">
                  <c:v>42248</c:v>
                </c:pt>
                <c:pt idx="9">
                  <c:v>42430</c:v>
                </c:pt>
                <c:pt idx="10">
                  <c:v>42614</c:v>
                </c:pt>
                <c:pt idx="11">
                  <c:v>42795</c:v>
                </c:pt>
                <c:pt idx="12">
                  <c:v>42979</c:v>
                </c:pt>
                <c:pt idx="13">
                  <c:v>43160</c:v>
                </c:pt>
                <c:pt idx="14">
                  <c:v>43344</c:v>
                </c:pt>
              </c:numCache>
            </c:numRef>
          </c:cat>
          <c:val>
            <c:numRef>
              <c:f>'[Market Signals New 270919. LC EDIT.xlsx]Rents trend and by type'!$B$34:$P$34</c:f>
              <c:numCache>
                <c:formatCode>0.00</c:formatCode>
                <c:ptCount val="15"/>
                <c:pt idx="0">
                  <c:v>1</c:v>
                </c:pt>
                <c:pt idx="1">
                  <c:v>1</c:v>
                </c:pt>
                <c:pt idx="2">
                  <c:v>1</c:v>
                </c:pt>
                <c:pt idx="3">
                  <c:v>1</c:v>
                </c:pt>
                <c:pt idx="4">
                  <c:v>1.0384615384615385</c:v>
                </c:pt>
                <c:pt idx="5">
                  <c:v>1.0384615384615385</c:v>
                </c:pt>
                <c:pt idx="6">
                  <c:v>1.0384615384615385</c:v>
                </c:pt>
                <c:pt idx="7">
                  <c:v>1.0692307692307692</c:v>
                </c:pt>
                <c:pt idx="8">
                  <c:v>1.0692307692307692</c:v>
                </c:pt>
                <c:pt idx="9">
                  <c:v>1.0769230769230769</c:v>
                </c:pt>
                <c:pt idx="10">
                  <c:v>1.0923076923076922</c:v>
                </c:pt>
                <c:pt idx="11">
                  <c:v>1.1153846153846154</c:v>
                </c:pt>
                <c:pt idx="12">
                  <c:v>1.1461538461538461</c:v>
                </c:pt>
                <c:pt idx="13">
                  <c:v>1.1538461538461537</c:v>
                </c:pt>
                <c:pt idx="14">
                  <c:v>1.1538461538461537</c:v>
                </c:pt>
              </c:numCache>
            </c:numRef>
          </c:val>
          <c:smooth val="0"/>
          <c:extLst xmlns:c16r2="http://schemas.microsoft.com/office/drawing/2015/06/chart">
            <c:ext xmlns:c16="http://schemas.microsoft.com/office/drawing/2014/chart" uri="{C3380CC4-5D6E-409C-BE32-E72D297353CC}">
              <c16:uniqueId val="{00000003-1980-4733-B724-5AEC6CC835E5}"/>
            </c:ext>
          </c:extLst>
        </c:ser>
        <c:ser>
          <c:idx val="4"/>
          <c:order val="4"/>
          <c:tx>
            <c:strRef>
              <c:f>'[Market Signals New 270919. LC EDIT.xlsx]Rents trend and by type'!$A$35</c:f>
              <c:strCache>
                <c:ptCount val="1"/>
                <c:pt idx="0">
                  <c:v>Chichester and Bognor HMA</c:v>
                </c:pt>
              </c:strCache>
            </c:strRef>
          </c:tx>
          <c:spPr>
            <a:ln w="28575" cap="rnd">
              <a:solidFill>
                <a:schemeClr val="accent5"/>
              </a:solidFill>
              <a:round/>
            </a:ln>
            <a:effectLst/>
          </c:spPr>
          <c:marker>
            <c:symbol val="none"/>
          </c:marker>
          <c:cat>
            <c:numRef>
              <c:f>'[Market Signals New 270919. LC EDIT.xlsx]Rents trend and by type'!$B$30:$P$30</c:f>
              <c:numCache>
                <c:formatCode>mmm\-yy</c:formatCode>
                <c:ptCount val="15"/>
                <c:pt idx="0">
                  <c:v>40787</c:v>
                </c:pt>
                <c:pt idx="1">
                  <c:v>40969</c:v>
                </c:pt>
                <c:pt idx="2">
                  <c:v>41153</c:v>
                </c:pt>
                <c:pt idx="3">
                  <c:v>41334</c:v>
                </c:pt>
                <c:pt idx="4">
                  <c:v>41518</c:v>
                </c:pt>
                <c:pt idx="5">
                  <c:v>41699</c:v>
                </c:pt>
                <c:pt idx="6">
                  <c:v>41883</c:v>
                </c:pt>
                <c:pt idx="7">
                  <c:v>42064</c:v>
                </c:pt>
                <c:pt idx="8">
                  <c:v>42248</c:v>
                </c:pt>
                <c:pt idx="9">
                  <c:v>42430</c:v>
                </c:pt>
                <c:pt idx="10">
                  <c:v>42614</c:v>
                </c:pt>
                <c:pt idx="11">
                  <c:v>42795</c:v>
                </c:pt>
                <c:pt idx="12">
                  <c:v>42979</c:v>
                </c:pt>
                <c:pt idx="13">
                  <c:v>43160</c:v>
                </c:pt>
                <c:pt idx="14">
                  <c:v>43344</c:v>
                </c:pt>
              </c:numCache>
            </c:numRef>
          </c:cat>
          <c:val>
            <c:numRef>
              <c:f>'[Market Signals New 270919. LC EDIT.xlsx]Rents trend and by type'!$B$35:$P$35</c:f>
              <c:numCache>
                <c:formatCode>0.00</c:formatCode>
                <c:ptCount val="15"/>
                <c:pt idx="0">
                  <c:v>1</c:v>
                </c:pt>
                <c:pt idx="1">
                  <c:v>1.0357142857142858</c:v>
                </c:pt>
                <c:pt idx="2">
                  <c:v>1.0235714285714286</c:v>
                </c:pt>
                <c:pt idx="3">
                  <c:v>1.0178571428571428</c:v>
                </c:pt>
                <c:pt idx="4">
                  <c:v>1.0535714285714286</c:v>
                </c:pt>
                <c:pt idx="5">
                  <c:v>1.0714285714285714</c:v>
                </c:pt>
                <c:pt idx="6">
                  <c:v>1.0857142857142856</c:v>
                </c:pt>
                <c:pt idx="7">
                  <c:v>1.1035714285714286</c:v>
                </c:pt>
                <c:pt idx="8">
                  <c:v>1.125</c:v>
                </c:pt>
                <c:pt idx="9">
                  <c:v>1.1428571428571428</c:v>
                </c:pt>
                <c:pt idx="10">
                  <c:v>1.175</c:v>
                </c:pt>
                <c:pt idx="11">
                  <c:v>1.1571428571428573</c:v>
                </c:pt>
                <c:pt idx="12">
                  <c:v>1.1607142857142858</c:v>
                </c:pt>
                <c:pt idx="13">
                  <c:v>1.1928571428571428</c:v>
                </c:pt>
                <c:pt idx="14">
                  <c:v>1.1614285714285715</c:v>
                </c:pt>
              </c:numCache>
            </c:numRef>
          </c:val>
          <c:smooth val="0"/>
          <c:extLst xmlns:c16r2="http://schemas.microsoft.com/office/drawing/2015/06/chart">
            <c:ext xmlns:c16="http://schemas.microsoft.com/office/drawing/2014/chart" uri="{C3380CC4-5D6E-409C-BE32-E72D297353CC}">
              <c16:uniqueId val="{00000004-1980-4733-B724-5AEC6CC835E5}"/>
            </c:ext>
          </c:extLst>
        </c:ser>
        <c:ser>
          <c:idx val="5"/>
          <c:order val="5"/>
          <c:tx>
            <c:strRef>
              <c:f>'[Market Signals New 270919. LC EDIT.xlsx]Rents trend and by type'!$A$36</c:f>
              <c:strCache>
                <c:ptCount val="1"/>
                <c:pt idx="0">
                  <c:v>West Sussex</c:v>
                </c:pt>
              </c:strCache>
            </c:strRef>
          </c:tx>
          <c:spPr>
            <a:ln w="28575" cap="rnd">
              <a:solidFill>
                <a:schemeClr val="accent6"/>
              </a:solidFill>
              <a:round/>
            </a:ln>
            <a:effectLst/>
          </c:spPr>
          <c:marker>
            <c:symbol val="none"/>
          </c:marker>
          <c:cat>
            <c:numRef>
              <c:f>'[Market Signals New 270919. LC EDIT.xlsx]Rents trend and by type'!$B$30:$P$30</c:f>
              <c:numCache>
                <c:formatCode>mmm\-yy</c:formatCode>
                <c:ptCount val="15"/>
                <c:pt idx="0">
                  <c:v>40787</c:v>
                </c:pt>
                <c:pt idx="1">
                  <c:v>40969</c:v>
                </c:pt>
                <c:pt idx="2">
                  <c:v>41153</c:v>
                </c:pt>
                <c:pt idx="3">
                  <c:v>41334</c:v>
                </c:pt>
                <c:pt idx="4">
                  <c:v>41518</c:v>
                </c:pt>
                <c:pt idx="5">
                  <c:v>41699</c:v>
                </c:pt>
                <c:pt idx="6">
                  <c:v>41883</c:v>
                </c:pt>
                <c:pt idx="7">
                  <c:v>42064</c:v>
                </c:pt>
                <c:pt idx="8">
                  <c:v>42248</c:v>
                </c:pt>
                <c:pt idx="9">
                  <c:v>42430</c:v>
                </c:pt>
                <c:pt idx="10">
                  <c:v>42614</c:v>
                </c:pt>
                <c:pt idx="11">
                  <c:v>42795</c:v>
                </c:pt>
                <c:pt idx="12">
                  <c:v>42979</c:v>
                </c:pt>
                <c:pt idx="13">
                  <c:v>43160</c:v>
                </c:pt>
                <c:pt idx="14">
                  <c:v>43344</c:v>
                </c:pt>
              </c:numCache>
            </c:numRef>
          </c:cat>
          <c:val>
            <c:numRef>
              <c:f>'[Market Signals New 270919. LC EDIT.xlsx]Rents trend and by type'!$B$36:$P$36</c:f>
              <c:numCache>
                <c:formatCode>0.00</c:formatCode>
                <c:ptCount val="15"/>
                <c:pt idx="0">
                  <c:v>1</c:v>
                </c:pt>
                <c:pt idx="1">
                  <c:v>1</c:v>
                </c:pt>
                <c:pt idx="2">
                  <c:v>0.97931034482758617</c:v>
                </c:pt>
                <c:pt idx="3">
                  <c:v>1</c:v>
                </c:pt>
                <c:pt idx="4">
                  <c:v>1.0344827586206897</c:v>
                </c:pt>
                <c:pt idx="5">
                  <c:v>1.0344827586206897</c:v>
                </c:pt>
                <c:pt idx="6">
                  <c:v>1.0689655172413792</c:v>
                </c:pt>
                <c:pt idx="7">
                  <c:v>1.096551724137931</c:v>
                </c:pt>
                <c:pt idx="8">
                  <c:v>1.103448275862069</c:v>
                </c:pt>
                <c:pt idx="9">
                  <c:v>1.1724137931034482</c:v>
                </c:pt>
                <c:pt idx="10">
                  <c:v>1.1724137931034482</c:v>
                </c:pt>
                <c:pt idx="11">
                  <c:v>1.1724137931034482</c:v>
                </c:pt>
                <c:pt idx="12">
                  <c:v>1.2068965517241379</c:v>
                </c:pt>
                <c:pt idx="13">
                  <c:v>1.2068965517241379</c:v>
                </c:pt>
                <c:pt idx="14">
                  <c:v>1.2068965517241379</c:v>
                </c:pt>
              </c:numCache>
            </c:numRef>
          </c:val>
          <c:smooth val="0"/>
          <c:extLst xmlns:c16r2="http://schemas.microsoft.com/office/drawing/2015/06/chart">
            <c:ext xmlns:c16="http://schemas.microsoft.com/office/drawing/2014/chart" uri="{C3380CC4-5D6E-409C-BE32-E72D297353CC}">
              <c16:uniqueId val="{00000005-1980-4733-B724-5AEC6CC835E5}"/>
            </c:ext>
          </c:extLst>
        </c:ser>
        <c:ser>
          <c:idx val="6"/>
          <c:order val="6"/>
          <c:tx>
            <c:strRef>
              <c:f>'[Market Signals New 270919. LC EDIT.xlsx]Rents trend and by type'!$A$37</c:f>
              <c:strCache>
                <c:ptCount val="1"/>
                <c:pt idx="0">
                  <c:v>South East</c:v>
                </c:pt>
              </c:strCache>
            </c:strRef>
          </c:tx>
          <c:spPr>
            <a:ln w="28575" cap="rnd">
              <a:solidFill>
                <a:schemeClr val="accent1">
                  <a:lumMod val="60000"/>
                </a:schemeClr>
              </a:solidFill>
              <a:round/>
            </a:ln>
            <a:effectLst/>
          </c:spPr>
          <c:marker>
            <c:symbol val="none"/>
          </c:marker>
          <c:cat>
            <c:numRef>
              <c:f>'[Market Signals New 270919. LC EDIT.xlsx]Rents trend and by type'!$B$30:$P$30</c:f>
              <c:numCache>
                <c:formatCode>mmm\-yy</c:formatCode>
                <c:ptCount val="15"/>
                <c:pt idx="0">
                  <c:v>40787</c:v>
                </c:pt>
                <c:pt idx="1">
                  <c:v>40969</c:v>
                </c:pt>
                <c:pt idx="2">
                  <c:v>41153</c:v>
                </c:pt>
                <c:pt idx="3">
                  <c:v>41334</c:v>
                </c:pt>
                <c:pt idx="4">
                  <c:v>41518</c:v>
                </c:pt>
                <c:pt idx="5">
                  <c:v>41699</c:v>
                </c:pt>
                <c:pt idx="6">
                  <c:v>41883</c:v>
                </c:pt>
                <c:pt idx="7">
                  <c:v>42064</c:v>
                </c:pt>
                <c:pt idx="8">
                  <c:v>42248</c:v>
                </c:pt>
                <c:pt idx="9">
                  <c:v>42430</c:v>
                </c:pt>
                <c:pt idx="10">
                  <c:v>42614</c:v>
                </c:pt>
                <c:pt idx="11">
                  <c:v>42795</c:v>
                </c:pt>
                <c:pt idx="12">
                  <c:v>42979</c:v>
                </c:pt>
                <c:pt idx="13">
                  <c:v>43160</c:v>
                </c:pt>
                <c:pt idx="14">
                  <c:v>43344</c:v>
                </c:pt>
              </c:numCache>
            </c:numRef>
          </c:cat>
          <c:val>
            <c:numRef>
              <c:f>'[Market Signals New 270919. LC EDIT.xlsx]Rents trend and by type'!$B$37:$P$37</c:f>
              <c:numCache>
                <c:formatCode>0.00</c:formatCode>
                <c:ptCount val="15"/>
                <c:pt idx="0">
                  <c:v>1</c:v>
                </c:pt>
                <c:pt idx="1">
                  <c:v>1.0357142857142858</c:v>
                </c:pt>
                <c:pt idx="2">
                  <c:v>1.0357142857142858</c:v>
                </c:pt>
                <c:pt idx="3">
                  <c:v>1.0714285714285714</c:v>
                </c:pt>
                <c:pt idx="4">
                  <c:v>1.0714285714285714</c:v>
                </c:pt>
                <c:pt idx="5">
                  <c:v>1.0714285714285714</c:v>
                </c:pt>
                <c:pt idx="6">
                  <c:v>1.0857142857142856</c:v>
                </c:pt>
                <c:pt idx="7">
                  <c:v>1.1128571428571428</c:v>
                </c:pt>
                <c:pt idx="8">
                  <c:v>1.1428571428571428</c:v>
                </c:pt>
                <c:pt idx="9">
                  <c:v>1.2071428571428571</c:v>
                </c:pt>
                <c:pt idx="10">
                  <c:v>1.2142857142857142</c:v>
                </c:pt>
                <c:pt idx="11">
                  <c:v>1.25</c:v>
                </c:pt>
                <c:pt idx="12">
                  <c:v>1.25</c:v>
                </c:pt>
                <c:pt idx="13">
                  <c:v>1.25</c:v>
                </c:pt>
                <c:pt idx="14">
                  <c:v>1.25</c:v>
                </c:pt>
              </c:numCache>
            </c:numRef>
          </c:val>
          <c:smooth val="0"/>
          <c:extLst xmlns:c16r2="http://schemas.microsoft.com/office/drawing/2015/06/chart">
            <c:ext xmlns:c16="http://schemas.microsoft.com/office/drawing/2014/chart" uri="{C3380CC4-5D6E-409C-BE32-E72D297353CC}">
              <c16:uniqueId val="{00000006-1980-4733-B724-5AEC6CC835E5}"/>
            </c:ext>
          </c:extLst>
        </c:ser>
        <c:ser>
          <c:idx val="7"/>
          <c:order val="7"/>
          <c:tx>
            <c:strRef>
              <c:f>'[Market Signals New 270919. LC EDIT.xlsx]Rents trend and by type'!$A$38</c:f>
              <c:strCache>
                <c:ptCount val="1"/>
                <c:pt idx="0">
                  <c:v>England </c:v>
                </c:pt>
              </c:strCache>
            </c:strRef>
          </c:tx>
          <c:spPr>
            <a:ln w="28575" cap="rnd">
              <a:solidFill>
                <a:schemeClr val="accent2">
                  <a:lumMod val="60000"/>
                </a:schemeClr>
              </a:solidFill>
              <a:round/>
            </a:ln>
            <a:effectLst/>
          </c:spPr>
          <c:marker>
            <c:symbol val="none"/>
          </c:marker>
          <c:cat>
            <c:numRef>
              <c:f>'[Market Signals New 270919. LC EDIT.xlsx]Rents trend and by type'!$B$30:$P$30</c:f>
              <c:numCache>
                <c:formatCode>mmm\-yy</c:formatCode>
                <c:ptCount val="15"/>
                <c:pt idx="0">
                  <c:v>40787</c:v>
                </c:pt>
                <c:pt idx="1">
                  <c:v>40969</c:v>
                </c:pt>
                <c:pt idx="2">
                  <c:v>41153</c:v>
                </c:pt>
                <c:pt idx="3">
                  <c:v>41334</c:v>
                </c:pt>
                <c:pt idx="4">
                  <c:v>41518</c:v>
                </c:pt>
                <c:pt idx="5">
                  <c:v>41699</c:v>
                </c:pt>
                <c:pt idx="6">
                  <c:v>41883</c:v>
                </c:pt>
                <c:pt idx="7">
                  <c:v>42064</c:v>
                </c:pt>
                <c:pt idx="8">
                  <c:v>42248</c:v>
                </c:pt>
                <c:pt idx="9">
                  <c:v>42430</c:v>
                </c:pt>
                <c:pt idx="10">
                  <c:v>42614</c:v>
                </c:pt>
                <c:pt idx="11">
                  <c:v>42795</c:v>
                </c:pt>
                <c:pt idx="12">
                  <c:v>42979</c:v>
                </c:pt>
                <c:pt idx="13">
                  <c:v>43160</c:v>
                </c:pt>
                <c:pt idx="14">
                  <c:v>43344</c:v>
                </c:pt>
              </c:numCache>
            </c:numRef>
          </c:cat>
          <c:val>
            <c:numRef>
              <c:f>'[Market Signals New 270919. LC EDIT.xlsx]Rents trend and by type'!$B$38:$P$38</c:f>
              <c:numCache>
                <c:formatCode>0.00</c:formatCode>
                <c:ptCount val="15"/>
                <c:pt idx="0">
                  <c:v>1</c:v>
                </c:pt>
                <c:pt idx="1">
                  <c:v>1.0000173916068105</c:v>
                </c:pt>
                <c:pt idx="2">
                  <c:v>1.0000173916068105</c:v>
                </c:pt>
                <c:pt idx="3">
                  <c:v>1.0174089984173638</c:v>
                </c:pt>
                <c:pt idx="4">
                  <c:v>1.0348006052279171</c:v>
                </c:pt>
                <c:pt idx="5">
                  <c:v>1.0348006052279171</c:v>
                </c:pt>
                <c:pt idx="6">
                  <c:v>1.0348006052279171</c:v>
                </c:pt>
                <c:pt idx="7">
                  <c:v>1.0434964086331937</c:v>
                </c:pt>
                <c:pt idx="8">
                  <c:v>1.0869754256595767</c:v>
                </c:pt>
                <c:pt idx="9">
                  <c:v>1.1304544426859597</c:v>
                </c:pt>
                <c:pt idx="10">
                  <c:v>1.1304544426859597</c:v>
                </c:pt>
                <c:pt idx="11">
                  <c:v>1.1739334597123428</c:v>
                </c:pt>
                <c:pt idx="12">
                  <c:v>1.1739334597123428</c:v>
                </c:pt>
                <c:pt idx="13">
                  <c:v>1.1739334597123428</c:v>
                </c:pt>
                <c:pt idx="14">
                  <c:v>1.2000208699281727</c:v>
                </c:pt>
              </c:numCache>
            </c:numRef>
          </c:val>
          <c:smooth val="0"/>
          <c:extLst xmlns:c16r2="http://schemas.microsoft.com/office/drawing/2015/06/chart">
            <c:ext xmlns:c16="http://schemas.microsoft.com/office/drawing/2014/chart" uri="{C3380CC4-5D6E-409C-BE32-E72D297353CC}">
              <c16:uniqueId val="{00000007-1980-4733-B724-5AEC6CC835E5}"/>
            </c:ext>
          </c:extLst>
        </c:ser>
        <c:dLbls>
          <c:showLegendKey val="0"/>
          <c:showVal val="0"/>
          <c:showCatName val="0"/>
          <c:showSerName val="0"/>
          <c:showPercent val="0"/>
          <c:showBubbleSize val="0"/>
        </c:dLbls>
        <c:marker val="1"/>
        <c:smooth val="0"/>
        <c:axId val="283480448"/>
        <c:axId val="283481984"/>
      </c:lineChart>
      <c:dateAx>
        <c:axId val="28348044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83481984"/>
        <c:crosses val="autoZero"/>
        <c:auto val="1"/>
        <c:lblOffset val="100"/>
        <c:baseTimeUnit val="months"/>
      </c:dateAx>
      <c:valAx>
        <c:axId val="283481984"/>
        <c:scaling>
          <c:orientation val="minMax"/>
          <c:min val="0.95000000000000007"/>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vert="horz"/>
          <a:lstStyle/>
          <a:p>
            <a:pPr>
              <a:defRPr/>
            </a:pPr>
            <a:endParaRPr lang="en-US"/>
          </a:p>
        </c:txPr>
        <c:crossAx val="283480448"/>
        <c:crosses val="autoZero"/>
        <c:crossBetween val="between"/>
      </c:valAx>
      <c:spPr>
        <a:noFill/>
        <a:ln>
          <a:noFill/>
        </a:ln>
        <a:effectLst/>
      </c:spPr>
    </c:plotArea>
    <c:legend>
      <c:legendPos val="r"/>
      <c:layout>
        <c:manualLayout>
          <c:xMode val="edge"/>
          <c:yMode val="edge"/>
          <c:x val="0.70546248713483395"/>
          <c:y val="0.22776552333561245"/>
          <c:w val="0.28055143039277491"/>
          <c:h val="0.54446861733493046"/>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1200">
          <a:solidFill>
            <a:sysClr val="windowText" lastClr="000000"/>
          </a:solidFill>
          <a:latin typeface="Arial Narrow" panose="020B060602020203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5078757963938359E-2"/>
          <c:y val="4.8511576626240352E-2"/>
          <c:w val="0.70776610861227141"/>
          <c:h val="0.81527402790196979"/>
        </c:manualLayout>
      </c:layout>
      <c:lineChart>
        <c:grouping val="standard"/>
        <c:varyColors val="0"/>
        <c:ser>
          <c:idx val="1"/>
          <c:order val="0"/>
          <c:tx>
            <c:strRef>
              <c:f>' Affordability Ratio'!$A$2</c:f>
              <c:strCache>
                <c:ptCount val="1"/>
                <c:pt idx="0">
                  <c:v>Chichester</c:v>
                </c:pt>
              </c:strCache>
            </c:strRef>
          </c:tx>
          <c:spPr>
            <a:ln w="38100"/>
          </c:spPr>
          <c:marker>
            <c:symbol val="none"/>
          </c:marker>
          <c:cat>
            <c:numRef>
              <c:f>' Affordability Ratio'!$B$1:$R$1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 Affordability Ratio'!$B$2:$R$2</c:f>
              <c:numCache>
                <c:formatCode>#,##0.00</c:formatCode>
                <c:ptCount val="17"/>
                <c:pt idx="0">
                  <c:v>7.9</c:v>
                </c:pt>
                <c:pt idx="1">
                  <c:v>9.7899999999999991</c:v>
                </c:pt>
                <c:pt idx="2">
                  <c:v>11.62</c:v>
                </c:pt>
                <c:pt idx="3">
                  <c:v>10.81</c:v>
                </c:pt>
                <c:pt idx="4">
                  <c:v>11.83</c:v>
                </c:pt>
                <c:pt idx="5">
                  <c:v>11.8</c:v>
                </c:pt>
                <c:pt idx="6">
                  <c:v>12.56</c:v>
                </c:pt>
                <c:pt idx="7">
                  <c:v>10.18</c:v>
                </c:pt>
                <c:pt idx="8">
                  <c:v>11.2</c:v>
                </c:pt>
                <c:pt idx="9">
                  <c:v>11.22</c:v>
                </c:pt>
                <c:pt idx="10">
                  <c:v>11.16</c:v>
                </c:pt>
                <c:pt idx="11">
                  <c:v>11.45</c:v>
                </c:pt>
                <c:pt idx="12">
                  <c:v>11.72</c:v>
                </c:pt>
                <c:pt idx="13">
                  <c:v>12.48</c:v>
                </c:pt>
                <c:pt idx="14">
                  <c:v>11.5</c:v>
                </c:pt>
                <c:pt idx="15">
                  <c:v>13.02</c:v>
                </c:pt>
                <c:pt idx="16">
                  <c:v>13.59</c:v>
                </c:pt>
              </c:numCache>
            </c:numRef>
          </c:val>
          <c:smooth val="1"/>
          <c:extLst xmlns:c16r2="http://schemas.microsoft.com/office/drawing/2015/06/chart">
            <c:ext xmlns:c16="http://schemas.microsoft.com/office/drawing/2014/chart" uri="{C3380CC4-5D6E-409C-BE32-E72D297353CC}">
              <c16:uniqueId val="{00000000-5294-4BE0-85B1-FA37DEC4D24B}"/>
            </c:ext>
          </c:extLst>
        </c:ser>
        <c:ser>
          <c:idx val="2"/>
          <c:order val="1"/>
          <c:tx>
            <c:strRef>
              <c:f>' Affordability Ratio'!$A$3</c:f>
              <c:strCache>
                <c:ptCount val="1"/>
                <c:pt idx="0">
                  <c:v>Arun</c:v>
                </c:pt>
              </c:strCache>
            </c:strRef>
          </c:tx>
          <c:marker>
            <c:symbol val="none"/>
          </c:marker>
          <c:cat>
            <c:numRef>
              <c:f>' Affordability Ratio'!$B$1:$R$1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 Affordability Ratio'!$B$3:$R$3</c:f>
              <c:numCache>
                <c:formatCode>#,##0.00</c:formatCode>
                <c:ptCount val="17"/>
                <c:pt idx="0">
                  <c:v>6.76</c:v>
                </c:pt>
                <c:pt idx="1">
                  <c:v>7.74</c:v>
                </c:pt>
                <c:pt idx="2">
                  <c:v>8.35</c:v>
                </c:pt>
                <c:pt idx="3">
                  <c:v>8.89</c:v>
                </c:pt>
                <c:pt idx="4">
                  <c:v>9</c:v>
                </c:pt>
                <c:pt idx="5">
                  <c:v>9.76</c:v>
                </c:pt>
                <c:pt idx="6">
                  <c:v>9.31</c:v>
                </c:pt>
                <c:pt idx="7">
                  <c:v>8.41</c:v>
                </c:pt>
                <c:pt idx="8">
                  <c:v>8.89</c:v>
                </c:pt>
                <c:pt idx="9">
                  <c:v>9.16</c:v>
                </c:pt>
                <c:pt idx="10">
                  <c:v>9.3000000000000007</c:v>
                </c:pt>
                <c:pt idx="11">
                  <c:v>9.6</c:v>
                </c:pt>
                <c:pt idx="12">
                  <c:v>10.17</c:v>
                </c:pt>
                <c:pt idx="13">
                  <c:v>10.09</c:v>
                </c:pt>
                <c:pt idx="14">
                  <c:v>10.87</c:v>
                </c:pt>
                <c:pt idx="15">
                  <c:v>11.49</c:v>
                </c:pt>
                <c:pt idx="16">
                  <c:v>11.4</c:v>
                </c:pt>
              </c:numCache>
            </c:numRef>
          </c:val>
          <c:smooth val="1"/>
          <c:extLst xmlns:c16r2="http://schemas.microsoft.com/office/drawing/2015/06/chart">
            <c:ext xmlns:c16="http://schemas.microsoft.com/office/drawing/2014/chart" uri="{C3380CC4-5D6E-409C-BE32-E72D297353CC}">
              <c16:uniqueId val="{00000001-5294-4BE0-85B1-FA37DEC4D24B}"/>
            </c:ext>
          </c:extLst>
        </c:ser>
        <c:ser>
          <c:idx val="3"/>
          <c:order val="2"/>
          <c:tx>
            <c:strRef>
              <c:f>' Affordability Ratio'!$A$4</c:f>
              <c:strCache>
                <c:ptCount val="1"/>
                <c:pt idx="0">
                  <c:v>Cotswold</c:v>
                </c:pt>
              </c:strCache>
            </c:strRef>
          </c:tx>
          <c:marker>
            <c:symbol val="none"/>
          </c:marker>
          <c:cat>
            <c:numRef>
              <c:f>' Affordability Ratio'!$B$1:$R$1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 Affordability Ratio'!$B$4:$R$4</c:f>
              <c:numCache>
                <c:formatCode>#,##0.00</c:formatCode>
                <c:ptCount val="17"/>
                <c:pt idx="0">
                  <c:v>8.0500000000000007</c:v>
                </c:pt>
                <c:pt idx="1">
                  <c:v>9.39</c:v>
                </c:pt>
                <c:pt idx="2">
                  <c:v>10.039999999999999</c:v>
                </c:pt>
                <c:pt idx="3">
                  <c:v>10.07</c:v>
                </c:pt>
                <c:pt idx="4">
                  <c:v>9.56</c:v>
                </c:pt>
                <c:pt idx="5">
                  <c:v>10.14</c:v>
                </c:pt>
                <c:pt idx="6">
                  <c:v>11.08</c:v>
                </c:pt>
                <c:pt idx="7">
                  <c:v>10.89</c:v>
                </c:pt>
                <c:pt idx="8">
                  <c:v>11.25</c:v>
                </c:pt>
                <c:pt idx="9">
                  <c:v>11.33</c:v>
                </c:pt>
                <c:pt idx="10">
                  <c:v>10.9</c:v>
                </c:pt>
                <c:pt idx="11">
                  <c:v>11.27</c:v>
                </c:pt>
                <c:pt idx="12">
                  <c:v>11.06</c:v>
                </c:pt>
                <c:pt idx="13">
                  <c:v>11.35</c:v>
                </c:pt>
                <c:pt idx="14">
                  <c:v>12.55</c:v>
                </c:pt>
                <c:pt idx="15">
                  <c:v>12.22</c:v>
                </c:pt>
                <c:pt idx="16">
                  <c:v>11.77</c:v>
                </c:pt>
              </c:numCache>
            </c:numRef>
          </c:val>
          <c:smooth val="1"/>
          <c:extLst xmlns:c16r2="http://schemas.microsoft.com/office/drawing/2015/06/chart">
            <c:ext xmlns:c16="http://schemas.microsoft.com/office/drawing/2014/chart" uri="{C3380CC4-5D6E-409C-BE32-E72D297353CC}">
              <c16:uniqueId val="{00000002-5294-4BE0-85B1-FA37DEC4D24B}"/>
            </c:ext>
          </c:extLst>
        </c:ser>
        <c:ser>
          <c:idx val="4"/>
          <c:order val="3"/>
          <c:tx>
            <c:strRef>
              <c:f>' Affordability Ratio'!$A$5</c:f>
              <c:strCache>
                <c:ptCount val="1"/>
                <c:pt idx="0">
                  <c:v>West Dorset</c:v>
                </c:pt>
              </c:strCache>
            </c:strRef>
          </c:tx>
          <c:marker>
            <c:symbol val="none"/>
          </c:marker>
          <c:cat>
            <c:numRef>
              <c:f>' Affordability Ratio'!$B$1:$R$1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 Affordability Ratio'!$B$5:$R$5</c:f>
              <c:numCache>
                <c:formatCode>#,##0.00</c:formatCode>
                <c:ptCount val="17"/>
                <c:pt idx="0">
                  <c:v>7.13</c:v>
                </c:pt>
                <c:pt idx="1">
                  <c:v>8.85</c:v>
                </c:pt>
                <c:pt idx="2">
                  <c:v>9.26</c:v>
                </c:pt>
                <c:pt idx="3">
                  <c:v>9.9600000000000009</c:v>
                </c:pt>
                <c:pt idx="4">
                  <c:v>9.6199999999999992</c:v>
                </c:pt>
                <c:pt idx="5">
                  <c:v>10.24</c:v>
                </c:pt>
                <c:pt idx="6">
                  <c:v>10.220000000000001</c:v>
                </c:pt>
                <c:pt idx="7">
                  <c:v>9.01</c:v>
                </c:pt>
                <c:pt idx="8">
                  <c:v>8.93</c:v>
                </c:pt>
                <c:pt idx="9">
                  <c:v>8.34</c:v>
                </c:pt>
                <c:pt idx="10">
                  <c:v>8.51</c:v>
                </c:pt>
                <c:pt idx="11">
                  <c:v>9.57</c:v>
                </c:pt>
                <c:pt idx="12">
                  <c:v>9.65</c:v>
                </c:pt>
                <c:pt idx="13">
                  <c:v>9.23</c:v>
                </c:pt>
                <c:pt idx="14">
                  <c:v>10.16</c:v>
                </c:pt>
                <c:pt idx="15">
                  <c:v>10.029999999999999</c:v>
                </c:pt>
                <c:pt idx="16">
                  <c:v>10.49</c:v>
                </c:pt>
              </c:numCache>
            </c:numRef>
          </c:val>
          <c:smooth val="1"/>
          <c:extLst xmlns:c16r2="http://schemas.microsoft.com/office/drawing/2015/06/chart">
            <c:ext xmlns:c16="http://schemas.microsoft.com/office/drawing/2014/chart" uri="{C3380CC4-5D6E-409C-BE32-E72D297353CC}">
              <c16:uniqueId val="{00000003-5294-4BE0-85B1-FA37DEC4D24B}"/>
            </c:ext>
          </c:extLst>
        </c:ser>
        <c:ser>
          <c:idx val="5"/>
          <c:order val="4"/>
          <c:tx>
            <c:strRef>
              <c:f>' Affordability Ratio'!$A$6</c:f>
              <c:strCache>
                <c:ptCount val="1"/>
                <c:pt idx="0">
                  <c:v>Chichester and Bognor HMA</c:v>
                </c:pt>
              </c:strCache>
            </c:strRef>
          </c:tx>
          <c:marker>
            <c:symbol val="none"/>
          </c:marker>
          <c:cat>
            <c:numRef>
              <c:f>' Affordability Ratio'!$B$1:$R$1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 Affordability Ratio'!$B$6:$R$6</c:f>
              <c:numCache>
                <c:formatCode>0.00</c:formatCode>
                <c:ptCount val="17"/>
                <c:pt idx="0">
                  <c:v>7.33</c:v>
                </c:pt>
                <c:pt idx="1">
                  <c:v>8.7650000000000006</c:v>
                </c:pt>
                <c:pt idx="2">
                  <c:v>9.9849999999999994</c:v>
                </c:pt>
                <c:pt idx="3">
                  <c:v>9.8500000000000014</c:v>
                </c:pt>
                <c:pt idx="4">
                  <c:v>10.414999999999999</c:v>
                </c:pt>
                <c:pt idx="5">
                  <c:v>10.780000000000001</c:v>
                </c:pt>
                <c:pt idx="6">
                  <c:v>10.935</c:v>
                </c:pt>
                <c:pt idx="7">
                  <c:v>9.2949999999999999</c:v>
                </c:pt>
                <c:pt idx="8">
                  <c:v>10.045</c:v>
                </c:pt>
                <c:pt idx="9">
                  <c:v>10.190000000000001</c:v>
                </c:pt>
                <c:pt idx="10">
                  <c:v>10.23</c:v>
                </c:pt>
                <c:pt idx="11">
                  <c:v>10.524999999999999</c:v>
                </c:pt>
                <c:pt idx="12">
                  <c:v>10.945</c:v>
                </c:pt>
                <c:pt idx="13">
                  <c:v>11.285</c:v>
                </c:pt>
                <c:pt idx="14">
                  <c:v>11.184999999999999</c:v>
                </c:pt>
                <c:pt idx="15">
                  <c:v>12.254999999999999</c:v>
                </c:pt>
                <c:pt idx="16">
                  <c:v>12.495000000000001</c:v>
                </c:pt>
              </c:numCache>
            </c:numRef>
          </c:val>
          <c:smooth val="1"/>
          <c:extLst xmlns:c16r2="http://schemas.microsoft.com/office/drawing/2015/06/chart">
            <c:ext xmlns:c16="http://schemas.microsoft.com/office/drawing/2014/chart" uri="{C3380CC4-5D6E-409C-BE32-E72D297353CC}">
              <c16:uniqueId val="{00000004-5294-4BE0-85B1-FA37DEC4D24B}"/>
            </c:ext>
          </c:extLst>
        </c:ser>
        <c:ser>
          <c:idx val="11"/>
          <c:order val="5"/>
          <c:tx>
            <c:strRef>
              <c:f>' Affordability Ratio'!$A$7</c:f>
              <c:strCache>
                <c:ptCount val="1"/>
                <c:pt idx="0">
                  <c:v>West Sussex</c:v>
                </c:pt>
              </c:strCache>
            </c:strRef>
          </c:tx>
          <c:marker>
            <c:symbol val="none"/>
          </c:marker>
          <c:cat>
            <c:numRef>
              <c:f>' Affordability Ratio'!$B$1:$R$1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 Affordability Ratio'!$B$7:$R$7</c:f>
              <c:numCache>
                <c:formatCode>0.00</c:formatCode>
                <c:ptCount val="17"/>
                <c:pt idx="0">
                  <c:v>6.82</c:v>
                </c:pt>
                <c:pt idx="1">
                  <c:v>7.83</c:v>
                </c:pt>
                <c:pt idx="2">
                  <c:v>8.68</c:v>
                </c:pt>
                <c:pt idx="3">
                  <c:v>8.9700000000000006</c:v>
                </c:pt>
                <c:pt idx="4">
                  <c:v>9.17</c:v>
                </c:pt>
                <c:pt idx="5">
                  <c:v>9.44</c:v>
                </c:pt>
                <c:pt idx="6">
                  <c:v>9.4700000000000006</c:v>
                </c:pt>
                <c:pt idx="7">
                  <c:v>8.43</c:v>
                </c:pt>
                <c:pt idx="8">
                  <c:v>9.08</c:v>
                </c:pt>
                <c:pt idx="9">
                  <c:v>8.93</c:v>
                </c:pt>
                <c:pt idx="10">
                  <c:v>8.8800000000000008</c:v>
                </c:pt>
                <c:pt idx="11">
                  <c:v>9.11</c:v>
                </c:pt>
                <c:pt idx="12">
                  <c:v>9.58</c:v>
                </c:pt>
                <c:pt idx="13">
                  <c:v>10.67</c:v>
                </c:pt>
                <c:pt idx="14">
                  <c:v>11.08</c:v>
                </c:pt>
                <c:pt idx="15">
                  <c:v>12.22</c:v>
                </c:pt>
                <c:pt idx="16">
                  <c:v>11.59</c:v>
                </c:pt>
              </c:numCache>
            </c:numRef>
          </c:val>
          <c:smooth val="1"/>
          <c:extLst xmlns:c16r2="http://schemas.microsoft.com/office/drawing/2015/06/chart">
            <c:ext xmlns:c16="http://schemas.microsoft.com/office/drawing/2014/chart" uri="{C3380CC4-5D6E-409C-BE32-E72D297353CC}">
              <c16:uniqueId val="{00000005-5294-4BE0-85B1-FA37DEC4D24B}"/>
            </c:ext>
          </c:extLst>
        </c:ser>
        <c:ser>
          <c:idx val="12"/>
          <c:order val="6"/>
          <c:tx>
            <c:strRef>
              <c:f>' Affordability Ratio'!$A$8</c:f>
              <c:strCache>
                <c:ptCount val="1"/>
                <c:pt idx="0">
                  <c:v>South East</c:v>
                </c:pt>
              </c:strCache>
            </c:strRef>
          </c:tx>
          <c:spPr>
            <a:ln>
              <a:prstDash val="lgDashDotDot"/>
            </a:ln>
          </c:spPr>
          <c:marker>
            <c:symbol val="none"/>
          </c:marker>
          <c:cat>
            <c:numRef>
              <c:f>' Affordability Ratio'!$B$1:$R$1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 Affordability Ratio'!$B$8:$R$8</c:f>
              <c:numCache>
                <c:formatCode>0.00</c:formatCode>
                <c:ptCount val="17"/>
                <c:pt idx="0">
                  <c:v>6.24</c:v>
                </c:pt>
                <c:pt idx="1">
                  <c:v>7.3</c:v>
                </c:pt>
                <c:pt idx="2">
                  <c:v>7.91</c:v>
                </c:pt>
                <c:pt idx="3">
                  <c:v>8.18</c:v>
                </c:pt>
                <c:pt idx="4">
                  <c:v>8.42</c:v>
                </c:pt>
                <c:pt idx="5">
                  <c:v>8.66</c:v>
                </c:pt>
                <c:pt idx="6">
                  <c:v>8.48</c:v>
                </c:pt>
                <c:pt idx="7">
                  <c:v>7.5</c:v>
                </c:pt>
                <c:pt idx="8">
                  <c:v>8.23</c:v>
                </c:pt>
                <c:pt idx="9">
                  <c:v>8.16</c:v>
                </c:pt>
                <c:pt idx="10">
                  <c:v>8</c:v>
                </c:pt>
                <c:pt idx="11">
                  <c:v>8.1999999999999993</c:v>
                </c:pt>
                <c:pt idx="12">
                  <c:v>8.6</c:v>
                </c:pt>
                <c:pt idx="13">
                  <c:v>9.0500000000000007</c:v>
                </c:pt>
                <c:pt idx="14">
                  <c:v>9.82</c:v>
                </c:pt>
                <c:pt idx="15">
                  <c:v>10.3</c:v>
                </c:pt>
                <c:pt idx="16">
                  <c:v>10.51</c:v>
                </c:pt>
              </c:numCache>
            </c:numRef>
          </c:val>
          <c:smooth val="1"/>
          <c:extLst xmlns:c16r2="http://schemas.microsoft.com/office/drawing/2015/06/chart">
            <c:ext xmlns:c16="http://schemas.microsoft.com/office/drawing/2014/chart" uri="{C3380CC4-5D6E-409C-BE32-E72D297353CC}">
              <c16:uniqueId val="{00000006-5294-4BE0-85B1-FA37DEC4D24B}"/>
            </c:ext>
          </c:extLst>
        </c:ser>
        <c:ser>
          <c:idx val="13"/>
          <c:order val="7"/>
          <c:tx>
            <c:strRef>
              <c:f>' Affordability Ratio'!$A$9</c:f>
              <c:strCache>
                <c:ptCount val="1"/>
                <c:pt idx="0">
                  <c:v>England and Wales</c:v>
                </c:pt>
              </c:strCache>
            </c:strRef>
          </c:tx>
          <c:spPr>
            <a:ln>
              <a:prstDash val="dashDot"/>
            </a:ln>
          </c:spPr>
          <c:marker>
            <c:symbol val="none"/>
          </c:marker>
          <c:cat>
            <c:numRef>
              <c:f>' Affordability Ratio'!$B$1:$R$1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 Affordability Ratio'!$B$9:$R$9</c:f>
              <c:numCache>
                <c:formatCode>0.00</c:formatCode>
                <c:ptCount val="17"/>
                <c:pt idx="0">
                  <c:v>4.41</c:v>
                </c:pt>
                <c:pt idx="1">
                  <c:v>5.17</c:v>
                </c:pt>
                <c:pt idx="2">
                  <c:v>6.16</c:v>
                </c:pt>
                <c:pt idx="3">
                  <c:v>6.7</c:v>
                </c:pt>
                <c:pt idx="4">
                  <c:v>7.15</c:v>
                </c:pt>
                <c:pt idx="5">
                  <c:v>7.26</c:v>
                </c:pt>
                <c:pt idx="6">
                  <c:v>6.96</c:v>
                </c:pt>
                <c:pt idx="7">
                  <c:v>6.41</c:v>
                </c:pt>
                <c:pt idx="8">
                  <c:v>6.76</c:v>
                </c:pt>
                <c:pt idx="9">
                  <c:v>6.64</c:v>
                </c:pt>
                <c:pt idx="10">
                  <c:v>6.61</c:v>
                </c:pt>
                <c:pt idx="11">
                  <c:v>6.51</c:v>
                </c:pt>
                <c:pt idx="12">
                  <c:v>6.73</c:v>
                </c:pt>
                <c:pt idx="13">
                  <c:v>6.94</c:v>
                </c:pt>
                <c:pt idx="14">
                  <c:v>7.05</c:v>
                </c:pt>
                <c:pt idx="15">
                  <c:v>7.15</c:v>
                </c:pt>
                <c:pt idx="16">
                  <c:v>7.17</c:v>
                </c:pt>
              </c:numCache>
            </c:numRef>
          </c:val>
          <c:smooth val="1"/>
          <c:extLst xmlns:c16r2="http://schemas.microsoft.com/office/drawing/2015/06/chart">
            <c:ext xmlns:c16="http://schemas.microsoft.com/office/drawing/2014/chart" uri="{C3380CC4-5D6E-409C-BE32-E72D297353CC}">
              <c16:uniqueId val="{00000007-5294-4BE0-85B1-FA37DEC4D24B}"/>
            </c:ext>
          </c:extLst>
        </c:ser>
        <c:dLbls>
          <c:showLegendKey val="0"/>
          <c:showVal val="0"/>
          <c:showCatName val="0"/>
          <c:showSerName val="0"/>
          <c:showPercent val="0"/>
          <c:showBubbleSize val="0"/>
        </c:dLbls>
        <c:marker val="1"/>
        <c:smooth val="0"/>
        <c:axId val="283200128"/>
        <c:axId val="283201920"/>
      </c:lineChart>
      <c:catAx>
        <c:axId val="283200128"/>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283201920"/>
        <c:crosses val="autoZero"/>
        <c:auto val="1"/>
        <c:lblAlgn val="ctr"/>
        <c:lblOffset val="100"/>
        <c:noMultiLvlLbl val="0"/>
      </c:catAx>
      <c:valAx>
        <c:axId val="283201920"/>
        <c:scaling>
          <c:orientation val="minMax"/>
          <c:min val="2"/>
        </c:scaling>
        <c:delete val="0"/>
        <c:axPos val="l"/>
        <c:majorGridlines/>
        <c:numFmt formatCode="#,##0" sourceLinked="0"/>
        <c:majorTickMark val="out"/>
        <c:minorTickMark val="none"/>
        <c:tickLblPos val="nextTo"/>
        <c:crossAx val="283200128"/>
        <c:crosses val="autoZero"/>
        <c:crossBetween val="between"/>
      </c:valAx>
    </c:plotArea>
    <c:legend>
      <c:legendPos val="r"/>
      <c:layout>
        <c:manualLayout>
          <c:xMode val="edge"/>
          <c:yMode val="edge"/>
          <c:x val="0.76359327200789184"/>
          <c:y val="4.6486987616714118E-2"/>
          <c:w val="0.22828199731478613"/>
          <c:h val="0.95351297168255977"/>
        </c:manualLayout>
      </c:layout>
      <c:overlay val="0"/>
    </c:legend>
    <c:plotVisOnly val="1"/>
    <c:dispBlanksAs val="gap"/>
    <c:showDLblsOverMax val="0"/>
  </c:chart>
  <c:txPr>
    <a:bodyPr/>
    <a:lstStyle/>
    <a:p>
      <a:pPr>
        <a:defRPr sz="1000">
          <a:latin typeface="Arial Narrow" panose="020B060602020203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889047959914098E-2"/>
          <c:y val="5.5658627087198514E-2"/>
          <c:w val="0.62993817597766355"/>
          <c:h val="0.80078813200298016"/>
        </c:manualLayout>
      </c:layout>
      <c:lineChart>
        <c:grouping val="standard"/>
        <c:varyColors val="0"/>
        <c:ser>
          <c:idx val="0"/>
          <c:order val="0"/>
          <c:tx>
            <c:strRef>
              <c:f>'Workplace based'!$A$3</c:f>
              <c:strCache>
                <c:ptCount val="1"/>
                <c:pt idx="0">
                  <c:v>Chichester</c:v>
                </c:pt>
              </c:strCache>
            </c:strRef>
          </c:tx>
          <c:spPr>
            <a:ln w="28575" cap="rnd">
              <a:solidFill>
                <a:schemeClr val="accent1"/>
              </a:solidFill>
              <a:round/>
            </a:ln>
            <a:effectLst/>
          </c:spPr>
          <c:marker>
            <c:symbol val="none"/>
          </c:marker>
          <c:cat>
            <c:numRef>
              <c:f>'Workplace based'!$B$2:$W$2</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'Workplace based'!$B$3:$W$3</c:f>
              <c:numCache>
                <c:formatCode>0.00</c:formatCode>
                <c:ptCount val="17"/>
                <c:pt idx="0">
                  <c:v>8.09</c:v>
                </c:pt>
                <c:pt idx="1">
                  <c:v>9.7200000000000006</c:v>
                </c:pt>
                <c:pt idx="2">
                  <c:v>11</c:v>
                </c:pt>
                <c:pt idx="3">
                  <c:v>11.88</c:v>
                </c:pt>
                <c:pt idx="4">
                  <c:v>10.66</c:v>
                </c:pt>
                <c:pt idx="5">
                  <c:v>12.86</c:v>
                </c:pt>
                <c:pt idx="6">
                  <c:v>11.66</c:v>
                </c:pt>
                <c:pt idx="7">
                  <c:v>10.18</c:v>
                </c:pt>
                <c:pt idx="8">
                  <c:v>10.62</c:v>
                </c:pt>
                <c:pt idx="9">
                  <c:v>11.05</c:v>
                </c:pt>
                <c:pt idx="10">
                  <c:v>10.49</c:v>
                </c:pt>
                <c:pt idx="11">
                  <c:v>11.11</c:v>
                </c:pt>
                <c:pt idx="12">
                  <c:v>11.51</c:v>
                </c:pt>
                <c:pt idx="13">
                  <c:v>12.36</c:v>
                </c:pt>
                <c:pt idx="14">
                  <c:v>12.1</c:v>
                </c:pt>
                <c:pt idx="15">
                  <c:v>13.5</c:v>
                </c:pt>
                <c:pt idx="16">
                  <c:v>13.1</c:v>
                </c:pt>
              </c:numCache>
            </c:numRef>
          </c:val>
          <c:smooth val="1"/>
          <c:extLst xmlns:c16r2="http://schemas.microsoft.com/office/drawing/2015/06/chart">
            <c:ext xmlns:c16="http://schemas.microsoft.com/office/drawing/2014/chart" uri="{C3380CC4-5D6E-409C-BE32-E72D297353CC}">
              <c16:uniqueId val="{00000000-F99F-497C-A125-EB5A71AB2951}"/>
            </c:ext>
          </c:extLst>
        </c:ser>
        <c:ser>
          <c:idx val="1"/>
          <c:order val="1"/>
          <c:tx>
            <c:strRef>
              <c:f>'Workplace based'!$A$4</c:f>
              <c:strCache>
                <c:ptCount val="1"/>
                <c:pt idx="0">
                  <c:v>Arun</c:v>
                </c:pt>
              </c:strCache>
            </c:strRef>
          </c:tx>
          <c:spPr>
            <a:ln w="28575" cap="rnd">
              <a:solidFill>
                <a:schemeClr val="accent2"/>
              </a:solidFill>
              <a:round/>
            </a:ln>
            <a:effectLst/>
          </c:spPr>
          <c:marker>
            <c:symbol val="none"/>
          </c:marker>
          <c:cat>
            <c:numRef>
              <c:f>'Workplace based'!$B$2:$W$2</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'Workplace based'!$B$4:$W$4</c:f>
              <c:numCache>
                <c:formatCode>0.00</c:formatCode>
                <c:ptCount val="17"/>
                <c:pt idx="0">
                  <c:v>7.67</c:v>
                </c:pt>
                <c:pt idx="1">
                  <c:v>8.9700000000000006</c:v>
                </c:pt>
                <c:pt idx="2">
                  <c:v>9.66</c:v>
                </c:pt>
                <c:pt idx="3">
                  <c:v>9.8800000000000008</c:v>
                </c:pt>
                <c:pt idx="4">
                  <c:v>10.63</c:v>
                </c:pt>
                <c:pt idx="5">
                  <c:v>10.27</c:v>
                </c:pt>
                <c:pt idx="6">
                  <c:v>9.74</c:v>
                </c:pt>
                <c:pt idx="7">
                  <c:v>8.3800000000000008</c:v>
                </c:pt>
                <c:pt idx="8">
                  <c:v>9.6300000000000008</c:v>
                </c:pt>
                <c:pt idx="9">
                  <c:v>9.9700000000000006</c:v>
                </c:pt>
                <c:pt idx="10">
                  <c:v>9.44</c:v>
                </c:pt>
                <c:pt idx="11">
                  <c:v>9.61</c:v>
                </c:pt>
                <c:pt idx="12">
                  <c:v>11.03</c:v>
                </c:pt>
                <c:pt idx="13">
                  <c:v>11.08</c:v>
                </c:pt>
                <c:pt idx="14">
                  <c:v>12.06</c:v>
                </c:pt>
                <c:pt idx="15">
                  <c:v>12.26</c:v>
                </c:pt>
                <c:pt idx="16">
                  <c:v>12.13</c:v>
                </c:pt>
              </c:numCache>
            </c:numRef>
          </c:val>
          <c:smooth val="1"/>
          <c:extLst xmlns:c16r2="http://schemas.microsoft.com/office/drawing/2015/06/chart">
            <c:ext xmlns:c16="http://schemas.microsoft.com/office/drawing/2014/chart" uri="{C3380CC4-5D6E-409C-BE32-E72D297353CC}">
              <c16:uniqueId val="{00000001-F99F-497C-A125-EB5A71AB2951}"/>
            </c:ext>
          </c:extLst>
        </c:ser>
        <c:ser>
          <c:idx val="2"/>
          <c:order val="2"/>
          <c:tx>
            <c:strRef>
              <c:f>'Workplace based'!$A$5</c:f>
              <c:strCache>
                <c:ptCount val="1"/>
                <c:pt idx="0">
                  <c:v>Cotswold</c:v>
                </c:pt>
              </c:strCache>
            </c:strRef>
          </c:tx>
          <c:spPr>
            <a:ln w="28575" cap="rnd">
              <a:solidFill>
                <a:schemeClr val="accent3"/>
              </a:solidFill>
              <a:round/>
            </a:ln>
            <a:effectLst/>
          </c:spPr>
          <c:marker>
            <c:symbol val="none"/>
          </c:marker>
          <c:cat>
            <c:numRef>
              <c:f>'Workplace based'!$B$2:$W$2</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'Workplace based'!$B$5:$W$5</c:f>
              <c:numCache>
                <c:formatCode>0.00</c:formatCode>
                <c:ptCount val="17"/>
                <c:pt idx="0">
                  <c:v>8.76</c:v>
                </c:pt>
                <c:pt idx="1">
                  <c:v>10.36</c:v>
                </c:pt>
                <c:pt idx="2">
                  <c:v>10.72</c:v>
                </c:pt>
                <c:pt idx="3">
                  <c:v>11.74</c:v>
                </c:pt>
                <c:pt idx="4">
                  <c:v>11.83</c:v>
                </c:pt>
                <c:pt idx="5">
                  <c:v>11.14</c:v>
                </c:pt>
                <c:pt idx="6">
                  <c:v>12.33</c:v>
                </c:pt>
                <c:pt idx="7">
                  <c:v>11.66</c:v>
                </c:pt>
                <c:pt idx="8">
                  <c:v>13.51</c:v>
                </c:pt>
                <c:pt idx="9">
                  <c:v>12.53</c:v>
                </c:pt>
                <c:pt idx="10">
                  <c:v>11.37</c:v>
                </c:pt>
                <c:pt idx="11">
                  <c:v>12.06</c:v>
                </c:pt>
                <c:pt idx="12">
                  <c:v>12.48</c:v>
                </c:pt>
                <c:pt idx="13">
                  <c:v>12.1</c:v>
                </c:pt>
                <c:pt idx="14">
                  <c:v>13.2</c:v>
                </c:pt>
                <c:pt idx="15">
                  <c:v>14</c:v>
                </c:pt>
                <c:pt idx="16">
                  <c:v>13.63</c:v>
                </c:pt>
              </c:numCache>
            </c:numRef>
          </c:val>
          <c:smooth val="1"/>
          <c:extLst xmlns:c16r2="http://schemas.microsoft.com/office/drawing/2015/06/chart">
            <c:ext xmlns:c16="http://schemas.microsoft.com/office/drawing/2014/chart" uri="{C3380CC4-5D6E-409C-BE32-E72D297353CC}">
              <c16:uniqueId val="{00000002-F99F-497C-A125-EB5A71AB2951}"/>
            </c:ext>
          </c:extLst>
        </c:ser>
        <c:ser>
          <c:idx val="3"/>
          <c:order val="3"/>
          <c:tx>
            <c:strRef>
              <c:f>'Workplace based'!$A$6</c:f>
              <c:strCache>
                <c:ptCount val="1"/>
                <c:pt idx="0">
                  <c:v>West Dorset</c:v>
                </c:pt>
              </c:strCache>
            </c:strRef>
          </c:tx>
          <c:spPr>
            <a:ln w="28575" cap="rnd">
              <a:solidFill>
                <a:schemeClr val="accent4"/>
              </a:solidFill>
              <a:round/>
            </a:ln>
            <a:effectLst/>
          </c:spPr>
          <c:marker>
            <c:symbol val="none"/>
          </c:marker>
          <c:cat>
            <c:numRef>
              <c:f>'Workplace based'!$B$2:$W$2</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'Workplace based'!$B$6:$W$6</c:f>
              <c:numCache>
                <c:formatCode>0.00</c:formatCode>
                <c:ptCount val="17"/>
                <c:pt idx="0">
                  <c:v>8.2899999999999991</c:v>
                </c:pt>
                <c:pt idx="1">
                  <c:v>9.34</c:v>
                </c:pt>
                <c:pt idx="2">
                  <c:v>10.07</c:v>
                </c:pt>
                <c:pt idx="3">
                  <c:v>10.41</c:v>
                </c:pt>
                <c:pt idx="4">
                  <c:v>9.85</c:v>
                </c:pt>
                <c:pt idx="5">
                  <c:v>10.88</c:v>
                </c:pt>
                <c:pt idx="6">
                  <c:v>10.07</c:v>
                </c:pt>
                <c:pt idx="7">
                  <c:v>9.3000000000000007</c:v>
                </c:pt>
                <c:pt idx="8">
                  <c:v>9.9700000000000006</c:v>
                </c:pt>
                <c:pt idx="9">
                  <c:v>9.49</c:v>
                </c:pt>
                <c:pt idx="10">
                  <c:v>9.4</c:v>
                </c:pt>
                <c:pt idx="11">
                  <c:v>9.07</c:v>
                </c:pt>
                <c:pt idx="12">
                  <c:v>9.5500000000000007</c:v>
                </c:pt>
                <c:pt idx="13">
                  <c:v>10.06</c:v>
                </c:pt>
                <c:pt idx="14">
                  <c:v>10.96</c:v>
                </c:pt>
                <c:pt idx="15">
                  <c:v>11.31</c:v>
                </c:pt>
                <c:pt idx="16">
                  <c:v>11.03</c:v>
                </c:pt>
              </c:numCache>
            </c:numRef>
          </c:val>
          <c:smooth val="0"/>
          <c:extLst xmlns:c16r2="http://schemas.microsoft.com/office/drawing/2015/06/chart">
            <c:ext xmlns:c16="http://schemas.microsoft.com/office/drawing/2014/chart" uri="{C3380CC4-5D6E-409C-BE32-E72D297353CC}">
              <c16:uniqueId val="{00000003-F99F-497C-A125-EB5A71AB2951}"/>
            </c:ext>
          </c:extLst>
        </c:ser>
        <c:ser>
          <c:idx val="4"/>
          <c:order val="4"/>
          <c:tx>
            <c:strRef>
              <c:f>'Workplace based'!$A$7</c:f>
              <c:strCache>
                <c:ptCount val="1"/>
                <c:pt idx="0">
                  <c:v>Chichester and Bognor HMA</c:v>
                </c:pt>
              </c:strCache>
            </c:strRef>
          </c:tx>
          <c:spPr>
            <a:ln w="28575" cap="rnd">
              <a:solidFill>
                <a:schemeClr val="accent5"/>
              </a:solidFill>
              <a:round/>
            </a:ln>
            <a:effectLst/>
          </c:spPr>
          <c:marker>
            <c:symbol val="none"/>
          </c:marker>
          <c:cat>
            <c:numRef>
              <c:f>'Workplace based'!$B$2:$W$2</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'Workplace based'!$B$7:$W$7</c:f>
              <c:numCache>
                <c:formatCode>0.00</c:formatCode>
                <c:ptCount val="17"/>
                <c:pt idx="0">
                  <c:v>7.88</c:v>
                </c:pt>
                <c:pt idx="1">
                  <c:v>9.3450000000000006</c:v>
                </c:pt>
                <c:pt idx="2">
                  <c:v>10.33</c:v>
                </c:pt>
                <c:pt idx="3">
                  <c:v>10.88</c:v>
                </c:pt>
                <c:pt idx="4">
                  <c:v>10.645</c:v>
                </c:pt>
                <c:pt idx="5">
                  <c:v>11.565</c:v>
                </c:pt>
                <c:pt idx="6">
                  <c:v>10.7</c:v>
                </c:pt>
                <c:pt idx="7">
                  <c:v>9.2800000000000011</c:v>
                </c:pt>
                <c:pt idx="8">
                  <c:v>10.125</c:v>
                </c:pt>
                <c:pt idx="9">
                  <c:v>10.510000000000002</c:v>
                </c:pt>
                <c:pt idx="10">
                  <c:v>9.9649999999999999</c:v>
                </c:pt>
                <c:pt idx="11">
                  <c:v>10.36</c:v>
                </c:pt>
                <c:pt idx="12">
                  <c:v>11.27</c:v>
                </c:pt>
                <c:pt idx="13">
                  <c:v>11.719999999999999</c:v>
                </c:pt>
                <c:pt idx="14">
                  <c:v>12.08</c:v>
                </c:pt>
                <c:pt idx="15">
                  <c:v>12.879999999999999</c:v>
                </c:pt>
                <c:pt idx="16">
                  <c:v>12.615</c:v>
                </c:pt>
              </c:numCache>
            </c:numRef>
          </c:val>
          <c:smooth val="1"/>
          <c:extLst xmlns:c16r2="http://schemas.microsoft.com/office/drawing/2015/06/chart">
            <c:ext xmlns:c16="http://schemas.microsoft.com/office/drawing/2014/chart" uri="{C3380CC4-5D6E-409C-BE32-E72D297353CC}">
              <c16:uniqueId val="{00000004-F99F-497C-A125-EB5A71AB2951}"/>
            </c:ext>
          </c:extLst>
        </c:ser>
        <c:ser>
          <c:idx val="5"/>
          <c:order val="5"/>
          <c:tx>
            <c:strRef>
              <c:f>'Workplace based'!$A$8</c:f>
              <c:strCache>
                <c:ptCount val="1"/>
                <c:pt idx="0">
                  <c:v>West Sussex</c:v>
                </c:pt>
              </c:strCache>
            </c:strRef>
          </c:tx>
          <c:spPr>
            <a:ln w="28575" cap="rnd">
              <a:solidFill>
                <a:schemeClr val="accent6"/>
              </a:solidFill>
              <a:round/>
            </a:ln>
            <a:effectLst/>
          </c:spPr>
          <c:marker>
            <c:symbol val="none"/>
          </c:marker>
          <c:cat>
            <c:numRef>
              <c:f>'Workplace based'!$B$2:$W$2</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'Workplace based'!$B$8:$W$8</c:f>
              <c:numCache>
                <c:formatCode>#,##0.00</c:formatCode>
                <c:ptCount val="17"/>
                <c:pt idx="0">
                  <c:v>6.7</c:v>
                </c:pt>
                <c:pt idx="1">
                  <c:v>7.76</c:v>
                </c:pt>
                <c:pt idx="2">
                  <c:v>8.25</c:v>
                </c:pt>
                <c:pt idx="3">
                  <c:v>8.6</c:v>
                </c:pt>
                <c:pt idx="4">
                  <c:v>8.69</c:v>
                </c:pt>
                <c:pt idx="5">
                  <c:v>9.42</c:v>
                </c:pt>
                <c:pt idx="6">
                  <c:v>9.1300000000000008</c:v>
                </c:pt>
                <c:pt idx="7">
                  <c:v>7.96</c:v>
                </c:pt>
                <c:pt idx="8">
                  <c:v>8.9600000000000009</c:v>
                </c:pt>
                <c:pt idx="9">
                  <c:v>8.74</c:v>
                </c:pt>
                <c:pt idx="10">
                  <c:v>8.76</c:v>
                </c:pt>
                <c:pt idx="11">
                  <c:v>8.9</c:v>
                </c:pt>
                <c:pt idx="12">
                  <c:v>9.6</c:v>
                </c:pt>
                <c:pt idx="13">
                  <c:v>10.23</c:v>
                </c:pt>
                <c:pt idx="14">
                  <c:v>10.8</c:v>
                </c:pt>
                <c:pt idx="15">
                  <c:v>11.43</c:v>
                </c:pt>
                <c:pt idx="16">
                  <c:v>11.38</c:v>
                </c:pt>
              </c:numCache>
            </c:numRef>
          </c:val>
          <c:smooth val="1"/>
          <c:extLst xmlns:c16r2="http://schemas.microsoft.com/office/drawing/2015/06/chart">
            <c:ext xmlns:c16="http://schemas.microsoft.com/office/drawing/2014/chart" uri="{C3380CC4-5D6E-409C-BE32-E72D297353CC}">
              <c16:uniqueId val="{00000005-F99F-497C-A125-EB5A71AB2951}"/>
            </c:ext>
          </c:extLst>
        </c:ser>
        <c:ser>
          <c:idx val="6"/>
          <c:order val="6"/>
          <c:tx>
            <c:strRef>
              <c:f>'Workplace based'!$A$9</c:f>
              <c:strCache>
                <c:ptCount val="1"/>
                <c:pt idx="0">
                  <c:v>South East</c:v>
                </c:pt>
              </c:strCache>
            </c:strRef>
          </c:tx>
          <c:spPr>
            <a:ln w="28575" cap="rnd">
              <a:solidFill>
                <a:schemeClr val="accent1">
                  <a:lumMod val="60000"/>
                </a:schemeClr>
              </a:solidFill>
              <a:round/>
            </a:ln>
            <a:effectLst/>
          </c:spPr>
          <c:marker>
            <c:symbol val="none"/>
          </c:marker>
          <c:cat>
            <c:numRef>
              <c:f>'Workplace based'!$B$2:$W$2</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'Workplace based'!$B$9:$W$9</c:f>
              <c:numCache>
                <c:formatCode>0.00</c:formatCode>
                <c:ptCount val="17"/>
                <c:pt idx="0">
                  <c:v>6.38</c:v>
                </c:pt>
                <c:pt idx="1">
                  <c:v>7.22</c:v>
                </c:pt>
                <c:pt idx="2">
                  <c:v>7.62</c:v>
                </c:pt>
                <c:pt idx="3">
                  <c:v>7.84</c:v>
                </c:pt>
                <c:pt idx="4">
                  <c:v>8.02</c:v>
                </c:pt>
                <c:pt idx="5">
                  <c:v>8.4</c:v>
                </c:pt>
                <c:pt idx="6">
                  <c:v>8.2200000000000006</c:v>
                </c:pt>
                <c:pt idx="7">
                  <c:v>7.28</c:v>
                </c:pt>
                <c:pt idx="8">
                  <c:v>8.11</c:v>
                </c:pt>
                <c:pt idx="9">
                  <c:v>8.0500000000000007</c:v>
                </c:pt>
                <c:pt idx="10">
                  <c:v>7.99</c:v>
                </c:pt>
                <c:pt idx="11">
                  <c:v>8.26</c:v>
                </c:pt>
                <c:pt idx="12">
                  <c:v>8.56</c:v>
                </c:pt>
                <c:pt idx="13">
                  <c:v>9.1300000000000008</c:v>
                </c:pt>
                <c:pt idx="14">
                  <c:v>9.76</c:v>
                </c:pt>
                <c:pt idx="15">
                  <c:v>10.25</c:v>
                </c:pt>
                <c:pt idx="16">
                  <c:v>10.38</c:v>
                </c:pt>
              </c:numCache>
            </c:numRef>
          </c:val>
          <c:smooth val="1"/>
          <c:extLst xmlns:c16r2="http://schemas.microsoft.com/office/drawing/2015/06/chart">
            <c:ext xmlns:c16="http://schemas.microsoft.com/office/drawing/2014/chart" uri="{C3380CC4-5D6E-409C-BE32-E72D297353CC}">
              <c16:uniqueId val="{00000006-F99F-497C-A125-EB5A71AB2951}"/>
            </c:ext>
          </c:extLst>
        </c:ser>
        <c:ser>
          <c:idx val="7"/>
          <c:order val="7"/>
          <c:tx>
            <c:strRef>
              <c:f>'Workplace based'!$A$10</c:f>
              <c:strCache>
                <c:ptCount val="1"/>
                <c:pt idx="0">
                  <c:v>England and Wales</c:v>
                </c:pt>
              </c:strCache>
            </c:strRef>
          </c:tx>
          <c:spPr>
            <a:ln w="28575" cap="rnd">
              <a:solidFill>
                <a:schemeClr val="accent2">
                  <a:lumMod val="60000"/>
                </a:schemeClr>
              </a:solidFill>
              <a:round/>
            </a:ln>
            <a:effectLst/>
          </c:spPr>
          <c:marker>
            <c:symbol val="none"/>
          </c:marker>
          <c:cat>
            <c:numRef>
              <c:f>'Workplace based'!$B$2:$W$2</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'Workplace based'!$B$10:$W$10</c:f>
              <c:numCache>
                <c:formatCode>0.00</c:formatCode>
                <c:ptCount val="17"/>
                <c:pt idx="0">
                  <c:v>5.0599999999999996</c:v>
                </c:pt>
                <c:pt idx="1">
                  <c:v>5.85</c:v>
                </c:pt>
                <c:pt idx="2">
                  <c:v>6.53</c:v>
                </c:pt>
                <c:pt idx="3">
                  <c:v>6.74</c:v>
                </c:pt>
                <c:pt idx="4">
                  <c:v>6.96</c:v>
                </c:pt>
                <c:pt idx="5">
                  <c:v>7.17</c:v>
                </c:pt>
                <c:pt idx="6">
                  <c:v>6.9</c:v>
                </c:pt>
                <c:pt idx="7">
                  <c:v>6.35</c:v>
                </c:pt>
                <c:pt idx="8">
                  <c:v>6.84</c:v>
                </c:pt>
                <c:pt idx="9">
                  <c:v>6.73</c:v>
                </c:pt>
                <c:pt idx="10">
                  <c:v>6.76</c:v>
                </c:pt>
                <c:pt idx="11">
                  <c:v>6.74</c:v>
                </c:pt>
                <c:pt idx="12">
                  <c:v>6.95</c:v>
                </c:pt>
                <c:pt idx="13">
                  <c:v>7.37</c:v>
                </c:pt>
                <c:pt idx="14">
                  <c:v>7.59</c:v>
                </c:pt>
                <c:pt idx="15">
                  <c:v>7.77</c:v>
                </c:pt>
                <c:pt idx="16">
                  <c:v>7.83</c:v>
                </c:pt>
              </c:numCache>
            </c:numRef>
          </c:val>
          <c:smooth val="1"/>
          <c:extLst xmlns:c16r2="http://schemas.microsoft.com/office/drawing/2015/06/chart">
            <c:ext xmlns:c16="http://schemas.microsoft.com/office/drawing/2014/chart" uri="{C3380CC4-5D6E-409C-BE32-E72D297353CC}">
              <c16:uniqueId val="{00000007-F99F-497C-A125-EB5A71AB2951}"/>
            </c:ext>
          </c:extLst>
        </c:ser>
        <c:dLbls>
          <c:showLegendKey val="0"/>
          <c:showVal val="0"/>
          <c:showCatName val="0"/>
          <c:showSerName val="0"/>
          <c:showPercent val="0"/>
          <c:showBubbleSize val="0"/>
        </c:dLbls>
        <c:marker val="1"/>
        <c:smooth val="0"/>
        <c:axId val="283268224"/>
        <c:axId val="283269760"/>
      </c:lineChart>
      <c:catAx>
        <c:axId val="2832682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a:lstStyle/>
          <a:p>
            <a:pPr>
              <a:defRPr/>
            </a:pPr>
            <a:endParaRPr lang="en-US"/>
          </a:p>
        </c:txPr>
        <c:crossAx val="283269760"/>
        <c:crosses val="autoZero"/>
        <c:auto val="1"/>
        <c:lblAlgn val="ctr"/>
        <c:lblOffset val="100"/>
        <c:noMultiLvlLbl val="0"/>
      </c:catAx>
      <c:valAx>
        <c:axId val="283269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vert="horz"/>
          <a:lstStyle/>
          <a:p>
            <a:pPr>
              <a:defRPr/>
            </a:pPr>
            <a:endParaRPr lang="en-US"/>
          </a:p>
        </c:txPr>
        <c:crossAx val="283268224"/>
        <c:crosses val="autoZero"/>
        <c:crossBetween val="between"/>
      </c:valAx>
      <c:spPr>
        <a:noFill/>
        <a:ln>
          <a:noFill/>
        </a:ln>
        <a:effectLst/>
      </c:spPr>
    </c:plotArea>
    <c:legend>
      <c:legendPos val="r"/>
      <c:layout>
        <c:manualLayout>
          <c:xMode val="edge"/>
          <c:yMode val="edge"/>
          <c:x val="0.7084450688575733"/>
          <c:y val="0.21619633819201486"/>
          <c:w val="0.27798641011121916"/>
          <c:h val="0.56760697636058999"/>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1200">
          <a:solidFill>
            <a:sysClr val="windowText" lastClr="000000"/>
          </a:solidFill>
          <a:latin typeface="Arial Narrow" panose="020B0606020202030204" pitchFamily="34" charset="0"/>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8AB597-83F7-451E-AF09-303306414D07}" type="doc">
      <dgm:prSet loTypeId="urn:microsoft.com/office/officeart/2005/8/layout/process4" loCatId="process" qsTypeId="urn:microsoft.com/office/officeart/2005/8/quickstyle/simple2" qsCatId="simple" csTypeId="urn:microsoft.com/office/officeart/2005/8/colors/colorful1#1" csCatId="colorful" phldr="1"/>
      <dgm:spPr/>
      <dgm:t>
        <a:bodyPr/>
        <a:lstStyle/>
        <a:p>
          <a:endParaRPr lang="en-GB"/>
        </a:p>
      </dgm:t>
    </dgm:pt>
    <dgm:pt modelId="{3D9435A0-D990-4BCD-889B-81B9EB5B7DE5}">
      <dgm:prSet phldrT="[Text]" custT="1"/>
      <dgm:spPr>
        <a:xfrm rot="10800000">
          <a:off x="0" y="1529"/>
          <a:ext cx="5488304" cy="693388"/>
        </a:xfrm>
        <a:solidFill>
          <a:srgbClr val="F79646">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ctr"/>
          <a:r>
            <a:rPr lang="en-GB" sz="1100">
              <a:solidFill>
                <a:sysClr val="window" lastClr="FFFFFF"/>
              </a:solidFill>
              <a:latin typeface="Arial" panose="020B0604020202020204" pitchFamily="34" charset="0"/>
              <a:ea typeface="+mn-ea"/>
              <a:cs typeface="Arial" panose="020B0604020202020204" pitchFamily="34" charset="0"/>
            </a:rPr>
            <a:t>Establish how households of different ages occupy homes (by tenure)</a:t>
          </a:r>
        </a:p>
      </dgm:t>
    </dgm:pt>
    <dgm:pt modelId="{11F795FC-8523-40AF-92DE-81AA3EC51C9D}" type="parTrans" cxnId="{7A49FF38-7683-4BEA-978F-1541E369BD7F}">
      <dgm:prSet/>
      <dgm:spPr/>
      <dgm:t>
        <a:bodyPr/>
        <a:lstStyle/>
        <a:p>
          <a:pPr algn="ctr"/>
          <a:endParaRPr lang="en-GB"/>
        </a:p>
      </dgm:t>
    </dgm:pt>
    <dgm:pt modelId="{2F072BC7-07DD-43D1-85A0-3970917B8CF8}" type="sibTrans" cxnId="{7A49FF38-7683-4BEA-978F-1541E369BD7F}">
      <dgm:prSet/>
      <dgm:spPr/>
      <dgm:t>
        <a:bodyPr/>
        <a:lstStyle/>
        <a:p>
          <a:pPr algn="ctr"/>
          <a:endParaRPr lang="en-GB"/>
        </a:p>
      </dgm:t>
    </dgm:pt>
    <dgm:pt modelId="{FF7F5D59-BD22-4E0C-96B9-79894C040265}">
      <dgm:prSet phldrT="[Text]" custT="1"/>
      <dgm:spPr>
        <a:xfrm rot="10800000">
          <a:off x="0" y="688155"/>
          <a:ext cx="5488304" cy="693388"/>
        </a:xfrm>
        <a:solidFill>
          <a:srgbClr val="4BACC6">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ctr"/>
          <a:r>
            <a:rPr lang="en-GB" sz="1100">
              <a:solidFill>
                <a:sysClr val="window" lastClr="FFFFFF"/>
              </a:solidFill>
              <a:latin typeface="Arial" panose="020B0604020202020204" pitchFamily="34" charset="0"/>
              <a:ea typeface="+mn-ea"/>
              <a:cs typeface="Arial" panose="020B0604020202020204" pitchFamily="34" charset="0"/>
            </a:rPr>
            <a:t>Project how the profile of households of different ages will change in future</a:t>
          </a:r>
        </a:p>
      </dgm:t>
    </dgm:pt>
    <dgm:pt modelId="{F4F473BD-2531-421D-A5BE-0382A3775850}" type="parTrans" cxnId="{A5DC615F-C144-4EC2-9FFE-293030B548A7}">
      <dgm:prSet/>
      <dgm:spPr/>
      <dgm:t>
        <a:bodyPr/>
        <a:lstStyle/>
        <a:p>
          <a:pPr algn="ctr"/>
          <a:endParaRPr lang="en-GB"/>
        </a:p>
      </dgm:t>
    </dgm:pt>
    <dgm:pt modelId="{4D288B7B-CB35-41BE-A3EE-53CC0C768D41}" type="sibTrans" cxnId="{A5DC615F-C144-4EC2-9FFE-293030B548A7}">
      <dgm:prSet/>
      <dgm:spPr/>
      <dgm:t>
        <a:bodyPr/>
        <a:lstStyle/>
        <a:p>
          <a:pPr algn="ctr"/>
          <a:endParaRPr lang="en-GB"/>
        </a:p>
      </dgm:t>
    </dgm:pt>
    <dgm:pt modelId="{C329AD83-6786-43DC-9C9D-3CD3D8625D4B}">
      <dgm:prSet phldrT="[Text]" custT="1"/>
      <dgm:spPr>
        <a:xfrm rot="10800000">
          <a:off x="0" y="1374781"/>
          <a:ext cx="5488304" cy="693388"/>
        </a:xfr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ctr"/>
          <a:r>
            <a:rPr lang="en-GB" sz="1100">
              <a:solidFill>
                <a:sysClr val="window" lastClr="FFFFFF"/>
              </a:solidFill>
              <a:latin typeface="Arial" panose="020B0604020202020204" pitchFamily="34" charset="0"/>
              <a:ea typeface="+mn-ea"/>
              <a:cs typeface="Arial" panose="020B0604020202020204" pitchFamily="34" charset="0"/>
            </a:rPr>
            <a:t>Draw together housing needs, viability and funding issues to consider affordable housing delivery</a:t>
          </a:r>
        </a:p>
      </dgm:t>
    </dgm:pt>
    <dgm:pt modelId="{A2DEA789-76E5-41D7-AB04-003BBB24DAD1}" type="parTrans" cxnId="{DF36C40C-500D-4BC5-97C8-9AF55AFC62B0}">
      <dgm:prSet/>
      <dgm:spPr/>
      <dgm:t>
        <a:bodyPr/>
        <a:lstStyle/>
        <a:p>
          <a:pPr algn="ctr"/>
          <a:endParaRPr lang="en-GB"/>
        </a:p>
      </dgm:t>
    </dgm:pt>
    <dgm:pt modelId="{EF3B2825-E9A3-4123-B1DF-DDC2F9E0DCE6}" type="sibTrans" cxnId="{DF36C40C-500D-4BC5-97C8-9AF55AFC62B0}">
      <dgm:prSet/>
      <dgm:spPr/>
      <dgm:t>
        <a:bodyPr/>
        <a:lstStyle/>
        <a:p>
          <a:pPr algn="ctr"/>
          <a:endParaRPr lang="en-GB"/>
        </a:p>
      </dgm:t>
    </dgm:pt>
    <dgm:pt modelId="{DDFDEF83-0511-47B2-B876-1360BD11CC45}">
      <dgm:prSet custT="1"/>
      <dgm:spPr>
        <a:xfrm rot="10800000">
          <a:off x="0" y="2061406"/>
          <a:ext cx="5488304" cy="693388"/>
        </a:xfrm>
        <a:solidFill>
          <a:srgbClr val="9BBB59">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ctr"/>
          <a:r>
            <a:rPr lang="en-GB" sz="1100">
              <a:solidFill>
                <a:sysClr val="window" lastClr="FFFFFF"/>
              </a:solidFill>
              <a:latin typeface="Arial" panose="020B0604020202020204" pitchFamily="34" charset="0"/>
              <a:ea typeface="+mn-ea"/>
              <a:cs typeface="Arial" panose="020B0604020202020204" pitchFamily="34" charset="0"/>
            </a:rPr>
            <a:t>Model future requirements for market and affordable housing by size and compare to existing profile of homes</a:t>
          </a:r>
        </a:p>
      </dgm:t>
    </dgm:pt>
    <dgm:pt modelId="{11017BE9-5EF0-4CAF-AB66-E85354655976}" type="parTrans" cxnId="{B0F54E5A-33E6-41C0-B229-ED90223A7785}">
      <dgm:prSet/>
      <dgm:spPr/>
      <dgm:t>
        <a:bodyPr/>
        <a:lstStyle/>
        <a:p>
          <a:pPr algn="ctr"/>
          <a:endParaRPr lang="en-GB"/>
        </a:p>
      </dgm:t>
    </dgm:pt>
    <dgm:pt modelId="{706C4178-8E1A-4825-9473-424B06EFAE6C}" type="sibTrans" cxnId="{B0F54E5A-33E6-41C0-B229-ED90223A7785}">
      <dgm:prSet/>
      <dgm:spPr/>
      <dgm:t>
        <a:bodyPr/>
        <a:lstStyle/>
        <a:p>
          <a:pPr algn="ctr"/>
          <a:endParaRPr lang="en-GB"/>
        </a:p>
      </dgm:t>
    </dgm:pt>
    <dgm:pt modelId="{6E1C2C70-3EEB-41E2-B4D0-9BEE2A58E630}">
      <dgm:prSet custT="1"/>
      <dgm:spPr>
        <a:xfrm>
          <a:off x="0" y="2748032"/>
          <a:ext cx="5488304" cy="450837"/>
        </a:xfrm>
        <a:solidFill>
          <a:srgbClr val="C0504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ctr"/>
          <a:r>
            <a:rPr lang="en-GB" sz="1100">
              <a:solidFill>
                <a:sysClr val="window" lastClr="FFFFFF"/>
              </a:solidFill>
              <a:latin typeface="Arial" panose="020B0604020202020204" pitchFamily="34" charset="0"/>
              <a:ea typeface="+mn-ea"/>
              <a:cs typeface="Arial" panose="020B0604020202020204" pitchFamily="34" charset="0"/>
            </a:rPr>
            <a:t>Output recommendations for housing requirements by tenure and size of housing</a:t>
          </a:r>
        </a:p>
      </dgm:t>
    </dgm:pt>
    <dgm:pt modelId="{ED356D23-5F79-4D4E-87FD-A0D7F0DA4E5A}" type="parTrans" cxnId="{05BD959F-7C62-4DDA-BDBC-0D7AC3C4C4B2}">
      <dgm:prSet/>
      <dgm:spPr/>
      <dgm:t>
        <a:bodyPr/>
        <a:lstStyle/>
        <a:p>
          <a:pPr algn="ctr"/>
          <a:endParaRPr lang="en-GB"/>
        </a:p>
      </dgm:t>
    </dgm:pt>
    <dgm:pt modelId="{66EA5FF1-3C0F-47B2-A243-C44AD8AE2A56}" type="sibTrans" cxnId="{05BD959F-7C62-4DDA-BDBC-0D7AC3C4C4B2}">
      <dgm:prSet/>
      <dgm:spPr/>
      <dgm:t>
        <a:bodyPr/>
        <a:lstStyle/>
        <a:p>
          <a:pPr algn="ctr"/>
          <a:endParaRPr lang="en-GB"/>
        </a:p>
      </dgm:t>
    </dgm:pt>
    <dgm:pt modelId="{FC9732B1-95B4-4475-9987-8F5D6A75B03D}" type="pres">
      <dgm:prSet presAssocID="{CD8AB597-83F7-451E-AF09-303306414D07}" presName="Name0" presStyleCnt="0">
        <dgm:presLayoutVars>
          <dgm:dir/>
          <dgm:animLvl val="lvl"/>
          <dgm:resizeHandles val="exact"/>
        </dgm:presLayoutVars>
      </dgm:prSet>
      <dgm:spPr/>
      <dgm:t>
        <a:bodyPr/>
        <a:lstStyle/>
        <a:p>
          <a:endParaRPr lang="en-GB"/>
        </a:p>
      </dgm:t>
    </dgm:pt>
    <dgm:pt modelId="{C883820B-7E9A-4B38-8F66-6939E41D01C8}" type="pres">
      <dgm:prSet presAssocID="{6E1C2C70-3EEB-41E2-B4D0-9BEE2A58E630}" presName="boxAndChildren" presStyleCnt="0"/>
      <dgm:spPr/>
    </dgm:pt>
    <dgm:pt modelId="{80693109-47A6-4390-9ACF-12687B89DEA3}" type="pres">
      <dgm:prSet presAssocID="{6E1C2C70-3EEB-41E2-B4D0-9BEE2A58E630}" presName="parentTextBox" presStyleLbl="node1" presStyleIdx="0" presStyleCnt="5"/>
      <dgm:spPr>
        <a:prstGeom prst="rect">
          <a:avLst/>
        </a:prstGeom>
      </dgm:spPr>
      <dgm:t>
        <a:bodyPr/>
        <a:lstStyle/>
        <a:p>
          <a:endParaRPr lang="en-GB"/>
        </a:p>
      </dgm:t>
    </dgm:pt>
    <dgm:pt modelId="{CC0E29DE-44D1-487E-801C-9073C06B4214}" type="pres">
      <dgm:prSet presAssocID="{706C4178-8E1A-4825-9473-424B06EFAE6C}" presName="sp" presStyleCnt="0"/>
      <dgm:spPr/>
    </dgm:pt>
    <dgm:pt modelId="{A25EEA45-87FC-46EB-A98C-8DFEAC552D58}" type="pres">
      <dgm:prSet presAssocID="{DDFDEF83-0511-47B2-B876-1360BD11CC45}" presName="arrowAndChildren" presStyleCnt="0"/>
      <dgm:spPr/>
    </dgm:pt>
    <dgm:pt modelId="{87D2E2C5-27B8-420F-B13B-6631C1FBA9A2}" type="pres">
      <dgm:prSet presAssocID="{DDFDEF83-0511-47B2-B876-1360BD11CC45}" presName="parentTextArrow" presStyleLbl="node1" presStyleIdx="1" presStyleCnt="5"/>
      <dgm:spPr>
        <a:prstGeom prst="upArrowCallout">
          <a:avLst/>
        </a:prstGeom>
      </dgm:spPr>
      <dgm:t>
        <a:bodyPr/>
        <a:lstStyle/>
        <a:p>
          <a:endParaRPr lang="en-GB"/>
        </a:p>
      </dgm:t>
    </dgm:pt>
    <dgm:pt modelId="{3F5EECBB-B8DC-47F9-AF00-8B975C8E91B5}" type="pres">
      <dgm:prSet presAssocID="{EF3B2825-E9A3-4123-B1DF-DDC2F9E0DCE6}" presName="sp" presStyleCnt="0"/>
      <dgm:spPr/>
    </dgm:pt>
    <dgm:pt modelId="{8B3A52A2-A4CA-428A-8D31-A656B78AF0F7}" type="pres">
      <dgm:prSet presAssocID="{C329AD83-6786-43DC-9C9D-3CD3D8625D4B}" presName="arrowAndChildren" presStyleCnt="0"/>
      <dgm:spPr/>
    </dgm:pt>
    <dgm:pt modelId="{98C5F53D-438D-43FA-A023-04491584F617}" type="pres">
      <dgm:prSet presAssocID="{C329AD83-6786-43DC-9C9D-3CD3D8625D4B}" presName="parentTextArrow" presStyleLbl="node1" presStyleIdx="2" presStyleCnt="5"/>
      <dgm:spPr>
        <a:prstGeom prst="upArrowCallout">
          <a:avLst/>
        </a:prstGeom>
      </dgm:spPr>
      <dgm:t>
        <a:bodyPr/>
        <a:lstStyle/>
        <a:p>
          <a:endParaRPr lang="en-GB"/>
        </a:p>
      </dgm:t>
    </dgm:pt>
    <dgm:pt modelId="{2388D10C-CC33-47C2-9F28-B3419289F876}" type="pres">
      <dgm:prSet presAssocID="{4D288B7B-CB35-41BE-A3EE-53CC0C768D41}" presName="sp" presStyleCnt="0"/>
      <dgm:spPr/>
    </dgm:pt>
    <dgm:pt modelId="{E579D5BA-0D77-4435-83DE-6FEC61E8FDCC}" type="pres">
      <dgm:prSet presAssocID="{FF7F5D59-BD22-4E0C-96B9-79894C040265}" presName="arrowAndChildren" presStyleCnt="0"/>
      <dgm:spPr/>
    </dgm:pt>
    <dgm:pt modelId="{87243CAC-AE8A-4C64-BA2E-4CBAAB305A5B}" type="pres">
      <dgm:prSet presAssocID="{FF7F5D59-BD22-4E0C-96B9-79894C040265}" presName="parentTextArrow" presStyleLbl="node1" presStyleIdx="3" presStyleCnt="5"/>
      <dgm:spPr>
        <a:prstGeom prst="upArrowCallout">
          <a:avLst/>
        </a:prstGeom>
      </dgm:spPr>
      <dgm:t>
        <a:bodyPr/>
        <a:lstStyle/>
        <a:p>
          <a:endParaRPr lang="en-GB"/>
        </a:p>
      </dgm:t>
    </dgm:pt>
    <dgm:pt modelId="{713C0192-BD42-4D39-B2F2-E23F1B962D85}" type="pres">
      <dgm:prSet presAssocID="{2F072BC7-07DD-43D1-85A0-3970917B8CF8}" presName="sp" presStyleCnt="0"/>
      <dgm:spPr/>
    </dgm:pt>
    <dgm:pt modelId="{88BDF9DB-D234-4B3B-8839-1CFAF293949B}" type="pres">
      <dgm:prSet presAssocID="{3D9435A0-D990-4BCD-889B-81B9EB5B7DE5}" presName="arrowAndChildren" presStyleCnt="0"/>
      <dgm:spPr/>
    </dgm:pt>
    <dgm:pt modelId="{25389B43-26BA-4BB1-BF64-412321C3F7A9}" type="pres">
      <dgm:prSet presAssocID="{3D9435A0-D990-4BCD-889B-81B9EB5B7DE5}" presName="parentTextArrow" presStyleLbl="node1" presStyleIdx="4" presStyleCnt="5"/>
      <dgm:spPr>
        <a:prstGeom prst="upArrowCallout">
          <a:avLst/>
        </a:prstGeom>
      </dgm:spPr>
      <dgm:t>
        <a:bodyPr/>
        <a:lstStyle/>
        <a:p>
          <a:endParaRPr lang="en-GB"/>
        </a:p>
      </dgm:t>
    </dgm:pt>
  </dgm:ptLst>
  <dgm:cxnLst>
    <dgm:cxn modelId="{484DB29C-CE7B-4896-95C3-D0A83480530B}" type="presOf" srcId="{DDFDEF83-0511-47B2-B876-1360BD11CC45}" destId="{87D2E2C5-27B8-420F-B13B-6631C1FBA9A2}" srcOrd="0" destOrd="0" presId="urn:microsoft.com/office/officeart/2005/8/layout/process4"/>
    <dgm:cxn modelId="{600CC22D-2A12-4066-89C0-7A9FB0133A6A}" type="presOf" srcId="{C329AD83-6786-43DC-9C9D-3CD3D8625D4B}" destId="{98C5F53D-438D-43FA-A023-04491584F617}" srcOrd="0" destOrd="0" presId="urn:microsoft.com/office/officeart/2005/8/layout/process4"/>
    <dgm:cxn modelId="{4C174440-6817-4B5F-B25D-F1173E56C860}" type="presOf" srcId="{3D9435A0-D990-4BCD-889B-81B9EB5B7DE5}" destId="{25389B43-26BA-4BB1-BF64-412321C3F7A9}" srcOrd="0" destOrd="0" presId="urn:microsoft.com/office/officeart/2005/8/layout/process4"/>
    <dgm:cxn modelId="{05BD959F-7C62-4DDA-BDBC-0D7AC3C4C4B2}" srcId="{CD8AB597-83F7-451E-AF09-303306414D07}" destId="{6E1C2C70-3EEB-41E2-B4D0-9BEE2A58E630}" srcOrd="4" destOrd="0" parTransId="{ED356D23-5F79-4D4E-87FD-A0D7F0DA4E5A}" sibTransId="{66EA5FF1-3C0F-47B2-A243-C44AD8AE2A56}"/>
    <dgm:cxn modelId="{A5DC615F-C144-4EC2-9FFE-293030B548A7}" srcId="{CD8AB597-83F7-451E-AF09-303306414D07}" destId="{FF7F5D59-BD22-4E0C-96B9-79894C040265}" srcOrd="1" destOrd="0" parTransId="{F4F473BD-2531-421D-A5BE-0382A3775850}" sibTransId="{4D288B7B-CB35-41BE-A3EE-53CC0C768D41}"/>
    <dgm:cxn modelId="{B0F54E5A-33E6-41C0-B229-ED90223A7785}" srcId="{CD8AB597-83F7-451E-AF09-303306414D07}" destId="{DDFDEF83-0511-47B2-B876-1360BD11CC45}" srcOrd="3" destOrd="0" parTransId="{11017BE9-5EF0-4CAF-AB66-E85354655976}" sibTransId="{706C4178-8E1A-4825-9473-424B06EFAE6C}"/>
    <dgm:cxn modelId="{7A49FF38-7683-4BEA-978F-1541E369BD7F}" srcId="{CD8AB597-83F7-451E-AF09-303306414D07}" destId="{3D9435A0-D990-4BCD-889B-81B9EB5B7DE5}" srcOrd="0" destOrd="0" parTransId="{11F795FC-8523-40AF-92DE-81AA3EC51C9D}" sibTransId="{2F072BC7-07DD-43D1-85A0-3970917B8CF8}"/>
    <dgm:cxn modelId="{DD26E7D5-CA34-474B-98A7-506294130F56}" type="presOf" srcId="{FF7F5D59-BD22-4E0C-96B9-79894C040265}" destId="{87243CAC-AE8A-4C64-BA2E-4CBAAB305A5B}" srcOrd="0" destOrd="0" presId="urn:microsoft.com/office/officeart/2005/8/layout/process4"/>
    <dgm:cxn modelId="{DF36C40C-500D-4BC5-97C8-9AF55AFC62B0}" srcId="{CD8AB597-83F7-451E-AF09-303306414D07}" destId="{C329AD83-6786-43DC-9C9D-3CD3D8625D4B}" srcOrd="2" destOrd="0" parTransId="{A2DEA789-76E5-41D7-AB04-003BBB24DAD1}" sibTransId="{EF3B2825-E9A3-4123-B1DF-DDC2F9E0DCE6}"/>
    <dgm:cxn modelId="{54D974C4-9DD2-4BAD-98CC-DB2BA1EBA0C3}" type="presOf" srcId="{CD8AB597-83F7-451E-AF09-303306414D07}" destId="{FC9732B1-95B4-4475-9987-8F5D6A75B03D}" srcOrd="0" destOrd="0" presId="urn:microsoft.com/office/officeart/2005/8/layout/process4"/>
    <dgm:cxn modelId="{8E201A41-F10A-4E0A-8128-5B53FF4887DB}" type="presOf" srcId="{6E1C2C70-3EEB-41E2-B4D0-9BEE2A58E630}" destId="{80693109-47A6-4390-9ACF-12687B89DEA3}" srcOrd="0" destOrd="0" presId="urn:microsoft.com/office/officeart/2005/8/layout/process4"/>
    <dgm:cxn modelId="{31B524E6-78A7-4319-B7CA-AB158395D9CE}" type="presParOf" srcId="{FC9732B1-95B4-4475-9987-8F5D6A75B03D}" destId="{C883820B-7E9A-4B38-8F66-6939E41D01C8}" srcOrd="0" destOrd="0" presId="urn:microsoft.com/office/officeart/2005/8/layout/process4"/>
    <dgm:cxn modelId="{50A1B376-1D50-41A2-AAD1-A3566AC6B4A3}" type="presParOf" srcId="{C883820B-7E9A-4B38-8F66-6939E41D01C8}" destId="{80693109-47A6-4390-9ACF-12687B89DEA3}" srcOrd="0" destOrd="0" presId="urn:microsoft.com/office/officeart/2005/8/layout/process4"/>
    <dgm:cxn modelId="{A6C64F14-F73B-4255-A8C2-3EA9DF13128F}" type="presParOf" srcId="{FC9732B1-95B4-4475-9987-8F5D6A75B03D}" destId="{CC0E29DE-44D1-487E-801C-9073C06B4214}" srcOrd="1" destOrd="0" presId="urn:microsoft.com/office/officeart/2005/8/layout/process4"/>
    <dgm:cxn modelId="{70BFBBBD-0072-445D-B7A2-3B8D2C2C1265}" type="presParOf" srcId="{FC9732B1-95B4-4475-9987-8F5D6A75B03D}" destId="{A25EEA45-87FC-46EB-A98C-8DFEAC552D58}" srcOrd="2" destOrd="0" presId="urn:microsoft.com/office/officeart/2005/8/layout/process4"/>
    <dgm:cxn modelId="{7BDE1AF4-E38D-4C03-9D74-E58D2FF135B1}" type="presParOf" srcId="{A25EEA45-87FC-46EB-A98C-8DFEAC552D58}" destId="{87D2E2C5-27B8-420F-B13B-6631C1FBA9A2}" srcOrd="0" destOrd="0" presId="urn:microsoft.com/office/officeart/2005/8/layout/process4"/>
    <dgm:cxn modelId="{2680B9F2-0A37-489A-8D2F-EF5BF30ECABF}" type="presParOf" srcId="{FC9732B1-95B4-4475-9987-8F5D6A75B03D}" destId="{3F5EECBB-B8DC-47F9-AF00-8B975C8E91B5}" srcOrd="3" destOrd="0" presId="urn:microsoft.com/office/officeart/2005/8/layout/process4"/>
    <dgm:cxn modelId="{C01F938E-52E1-4BE0-BB70-1EAFD01BC57F}" type="presParOf" srcId="{FC9732B1-95B4-4475-9987-8F5D6A75B03D}" destId="{8B3A52A2-A4CA-428A-8D31-A656B78AF0F7}" srcOrd="4" destOrd="0" presId="urn:microsoft.com/office/officeart/2005/8/layout/process4"/>
    <dgm:cxn modelId="{6B6E1CE4-AFDE-45CF-B70F-8A670DC327BD}" type="presParOf" srcId="{8B3A52A2-A4CA-428A-8D31-A656B78AF0F7}" destId="{98C5F53D-438D-43FA-A023-04491584F617}" srcOrd="0" destOrd="0" presId="urn:microsoft.com/office/officeart/2005/8/layout/process4"/>
    <dgm:cxn modelId="{830D3AED-255A-40EB-A700-393B71126C65}" type="presParOf" srcId="{FC9732B1-95B4-4475-9987-8F5D6A75B03D}" destId="{2388D10C-CC33-47C2-9F28-B3419289F876}" srcOrd="5" destOrd="0" presId="urn:microsoft.com/office/officeart/2005/8/layout/process4"/>
    <dgm:cxn modelId="{6AC65854-1C52-4626-A6EC-9EF9ED01D8A9}" type="presParOf" srcId="{FC9732B1-95B4-4475-9987-8F5D6A75B03D}" destId="{E579D5BA-0D77-4435-83DE-6FEC61E8FDCC}" srcOrd="6" destOrd="0" presId="urn:microsoft.com/office/officeart/2005/8/layout/process4"/>
    <dgm:cxn modelId="{F1552822-E649-4F8F-965E-906DAF0C6C4D}" type="presParOf" srcId="{E579D5BA-0D77-4435-83DE-6FEC61E8FDCC}" destId="{87243CAC-AE8A-4C64-BA2E-4CBAAB305A5B}" srcOrd="0" destOrd="0" presId="urn:microsoft.com/office/officeart/2005/8/layout/process4"/>
    <dgm:cxn modelId="{F6FF6D4A-DEC1-4656-8077-9A811A1F1652}" type="presParOf" srcId="{FC9732B1-95B4-4475-9987-8F5D6A75B03D}" destId="{713C0192-BD42-4D39-B2F2-E23F1B962D85}" srcOrd="7" destOrd="0" presId="urn:microsoft.com/office/officeart/2005/8/layout/process4"/>
    <dgm:cxn modelId="{AE899258-8FE1-4159-85F4-E35914F9497B}" type="presParOf" srcId="{FC9732B1-95B4-4475-9987-8F5D6A75B03D}" destId="{88BDF9DB-D234-4B3B-8839-1CFAF293949B}" srcOrd="8" destOrd="0" presId="urn:microsoft.com/office/officeart/2005/8/layout/process4"/>
    <dgm:cxn modelId="{86F2AEB6-41D7-4685-B2C7-CD71D4017F36}" type="presParOf" srcId="{88BDF9DB-D234-4B3B-8839-1CFAF293949B}" destId="{25389B43-26BA-4BB1-BF64-412321C3F7A9}" srcOrd="0" destOrd="0" presId="urn:microsoft.com/office/officeart/2005/8/layout/process4"/>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693109-47A6-4390-9ACF-12687B89DEA3}">
      <dsp:nvSpPr>
        <dsp:cNvPr id="0" name=""/>
        <dsp:cNvSpPr/>
      </dsp:nvSpPr>
      <dsp:spPr>
        <a:xfrm>
          <a:off x="0" y="2224597"/>
          <a:ext cx="4687186" cy="364963"/>
        </a:xfrm>
        <a:prstGeom prst="rect">
          <a:avLst/>
        </a:prstGeom>
        <a:solidFill>
          <a:srgbClr val="C0504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Arial" panose="020B0604020202020204" pitchFamily="34" charset="0"/>
              <a:ea typeface="+mn-ea"/>
              <a:cs typeface="Arial" panose="020B0604020202020204" pitchFamily="34" charset="0"/>
            </a:rPr>
            <a:t>Output recommendations for housing requirements by tenure and size of housing</a:t>
          </a:r>
        </a:p>
      </dsp:txBody>
      <dsp:txXfrm>
        <a:off x="0" y="2224597"/>
        <a:ext cx="4687186" cy="364963"/>
      </dsp:txXfrm>
    </dsp:sp>
    <dsp:sp modelId="{87D2E2C5-27B8-420F-B13B-6631C1FBA9A2}">
      <dsp:nvSpPr>
        <dsp:cNvPr id="0" name=""/>
        <dsp:cNvSpPr/>
      </dsp:nvSpPr>
      <dsp:spPr>
        <a:xfrm rot="10800000">
          <a:off x="0" y="1668757"/>
          <a:ext cx="4687186" cy="561314"/>
        </a:xfrm>
        <a:prstGeom prst="upArrowCallout">
          <a:avLst/>
        </a:prstGeom>
        <a:solidFill>
          <a:srgbClr val="9BBB59">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Arial" panose="020B0604020202020204" pitchFamily="34" charset="0"/>
              <a:ea typeface="+mn-ea"/>
              <a:cs typeface="Arial" panose="020B0604020202020204" pitchFamily="34" charset="0"/>
            </a:rPr>
            <a:t>Model future requirements for market and affordable housing by size and compare to existing profile of homes</a:t>
          </a:r>
        </a:p>
      </dsp:txBody>
      <dsp:txXfrm rot="10800000">
        <a:off x="0" y="1668757"/>
        <a:ext cx="4687186" cy="364725"/>
      </dsp:txXfrm>
    </dsp:sp>
    <dsp:sp modelId="{98C5F53D-438D-43FA-A023-04491584F617}">
      <dsp:nvSpPr>
        <dsp:cNvPr id="0" name=""/>
        <dsp:cNvSpPr/>
      </dsp:nvSpPr>
      <dsp:spPr>
        <a:xfrm rot="10800000">
          <a:off x="0" y="1112918"/>
          <a:ext cx="4687186" cy="561314"/>
        </a:xfrm>
        <a:prstGeom prst="upArrowCallout">
          <a:avLst/>
        </a:prstGeo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Arial" panose="020B0604020202020204" pitchFamily="34" charset="0"/>
              <a:ea typeface="+mn-ea"/>
              <a:cs typeface="Arial" panose="020B0604020202020204" pitchFamily="34" charset="0"/>
            </a:rPr>
            <a:t>Draw together housing needs, viability and funding issues to consider affordable housing delivery</a:t>
          </a:r>
        </a:p>
      </dsp:txBody>
      <dsp:txXfrm rot="10800000">
        <a:off x="0" y="1112918"/>
        <a:ext cx="4687186" cy="364725"/>
      </dsp:txXfrm>
    </dsp:sp>
    <dsp:sp modelId="{87243CAC-AE8A-4C64-BA2E-4CBAAB305A5B}">
      <dsp:nvSpPr>
        <dsp:cNvPr id="0" name=""/>
        <dsp:cNvSpPr/>
      </dsp:nvSpPr>
      <dsp:spPr>
        <a:xfrm rot="10800000">
          <a:off x="0" y="557078"/>
          <a:ext cx="4687186" cy="561314"/>
        </a:xfrm>
        <a:prstGeom prst="upArrowCallout">
          <a:avLst/>
        </a:prstGeom>
        <a:solidFill>
          <a:srgbClr val="4BACC6">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Arial" panose="020B0604020202020204" pitchFamily="34" charset="0"/>
              <a:ea typeface="+mn-ea"/>
              <a:cs typeface="Arial" panose="020B0604020202020204" pitchFamily="34" charset="0"/>
            </a:rPr>
            <a:t>Project how the profile of households of different ages will change in future</a:t>
          </a:r>
        </a:p>
      </dsp:txBody>
      <dsp:txXfrm rot="10800000">
        <a:off x="0" y="557078"/>
        <a:ext cx="4687186" cy="364725"/>
      </dsp:txXfrm>
    </dsp:sp>
    <dsp:sp modelId="{25389B43-26BA-4BB1-BF64-412321C3F7A9}">
      <dsp:nvSpPr>
        <dsp:cNvPr id="0" name=""/>
        <dsp:cNvSpPr/>
      </dsp:nvSpPr>
      <dsp:spPr>
        <a:xfrm rot="10800000">
          <a:off x="0" y="1238"/>
          <a:ext cx="4687186" cy="561314"/>
        </a:xfrm>
        <a:prstGeom prst="upArrowCallout">
          <a:avLst/>
        </a:prstGeom>
        <a:solidFill>
          <a:srgbClr val="F79646">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Arial" panose="020B0604020202020204" pitchFamily="34" charset="0"/>
              <a:ea typeface="+mn-ea"/>
              <a:cs typeface="Arial" panose="020B0604020202020204" pitchFamily="34" charset="0"/>
            </a:rPr>
            <a:t>Establish how households of different ages occupy homes (by tenure)</a:t>
          </a:r>
        </a:p>
      </dsp:txBody>
      <dsp:txXfrm rot="10800000">
        <a:off x="0" y="1238"/>
        <a:ext cx="4687186" cy="36472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GLHearn_Word">
      <a:dk1>
        <a:srgbClr val="000000"/>
      </a:dk1>
      <a:lt1>
        <a:srgbClr val="FFFFFF"/>
      </a:lt1>
      <a:dk2>
        <a:srgbClr val="B2B2B2"/>
      </a:dk2>
      <a:lt2>
        <a:srgbClr val="7F7F7F"/>
      </a:lt2>
      <a:accent1>
        <a:srgbClr val="D2711C"/>
      </a:accent1>
      <a:accent2>
        <a:srgbClr val="0093D5"/>
      </a:accent2>
      <a:accent3>
        <a:srgbClr val="71257F"/>
      </a:accent3>
      <a:accent4>
        <a:srgbClr val="C3003B"/>
      </a:accent4>
      <a:accent5>
        <a:srgbClr val="525557"/>
      </a:accent5>
      <a:accent6>
        <a:srgbClr val="C8421B"/>
      </a:accent6>
      <a:hlink>
        <a:srgbClr val="4CAAE4"/>
      </a:hlink>
      <a:folHlink>
        <a:srgbClr val="DF9B1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1C5D65-7E7B-40B5-94E5-92CD8540A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209</Pages>
  <Words>48352</Words>
  <Characters>275610</Characters>
  <Application>Microsoft Office Word</Application>
  <DocSecurity>0</DocSecurity>
  <Lines>2296</Lines>
  <Paragraphs>646</Paragraphs>
  <ScaleCrop>false</ScaleCrop>
  <HeadingPairs>
    <vt:vector size="2" baseType="variant">
      <vt:variant>
        <vt:lpstr>Title</vt:lpstr>
      </vt:variant>
      <vt:variant>
        <vt:i4>1</vt:i4>
      </vt:variant>
    </vt:vector>
  </HeadingPairs>
  <TitlesOfParts>
    <vt:vector size="1" baseType="lpstr">
      <vt:lpstr>General Report Template</vt:lpstr>
    </vt:vector>
  </TitlesOfParts>
  <Company>GL Hearn</Company>
  <LinksUpToDate>false</LinksUpToDate>
  <CharactersWithSpaces>323316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Report Template</dc:title>
  <dc:creator>Paul McColgan</dc:creator>
  <cp:lastModifiedBy>Gillian Stevens</cp:lastModifiedBy>
  <cp:revision>3</cp:revision>
  <cp:lastPrinted>2020-10-07T13:12:00Z</cp:lastPrinted>
  <dcterms:created xsi:type="dcterms:W3CDTF">2020-11-03T08:06:00Z</dcterms:created>
  <dcterms:modified xsi:type="dcterms:W3CDTF">2020-11-03T08:35:00Z</dcterms:modified>
  <cp:category>Business, Featured Templates;TEMPLATES</cp:category>
  <cp:version>V3</cp:version>
</cp:coreProperties>
</file>