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2D3AA0">
      <w:pPr>
        <w:pStyle w:val="Heading1"/>
        <w:spacing w:before="66"/>
        <w:rPr>
          <w:sz w:val="48"/>
          <w:szCs w:val="48"/>
        </w:rPr>
      </w:pPr>
      <w:r>
        <w:rPr>
          <w:sz w:val="48"/>
          <w:szCs w:val="48"/>
        </w:rPr>
        <w:t>Plaistow and Ifold</w:t>
      </w:r>
      <w:bookmarkStart w:id="0" w:name="_GoBack"/>
      <w:bookmarkEnd w:id="0"/>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295838" w:rsidP="00607F86">
            <w:pPr>
              <w:pStyle w:val="TableParagraph"/>
              <w:spacing w:line="274" w:lineRule="exact"/>
              <w:jc w:val="right"/>
              <w:rPr>
                <w:sz w:val="24"/>
              </w:rPr>
            </w:pPr>
            <w:r>
              <w:rPr>
                <w:sz w:val="24"/>
              </w:rPr>
              <w:t>4875.00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684"/>
        <w:gridCol w:w="696"/>
        <w:gridCol w:w="2959"/>
        <w:gridCol w:w="1195"/>
        <w:gridCol w:w="1500"/>
        <w:gridCol w:w="1780"/>
        <w:gridCol w:w="1425"/>
      </w:tblGrid>
      <w:tr w:rsidR="00D4540C" w:rsidRPr="006B7C0E" w:rsidTr="00295838">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rsidP="00C02150">
            <w:pPr>
              <w:jc w:val="center"/>
              <w:rPr>
                <w:b/>
              </w:rPr>
            </w:pPr>
            <w:r w:rsidRPr="006B7C0E">
              <w:rPr>
                <w:b/>
              </w:rPr>
              <w:t>A or B **</w:t>
            </w:r>
          </w:p>
        </w:tc>
        <w:tc>
          <w:tcPr>
            <w:tcW w:w="705" w:type="dxa"/>
            <w:shd w:val="clear" w:color="auto" w:fill="EEECE1" w:themeFill="background2"/>
          </w:tcPr>
          <w:p w:rsidR="003429A6" w:rsidRPr="006B7C0E" w:rsidRDefault="003429A6" w:rsidP="00C02150">
            <w:pPr>
              <w:jc w:val="center"/>
              <w:rPr>
                <w:b/>
              </w:rPr>
            </w:pPr>
            <w:r w:rsidRPr="006B7C0E">
              <w:rPr>
                <w:b/>
              </w:rPr>
              <w:t>IBP no.</w:t>
            </w:r>
          </w:p>
        </w:tc>
        <w:tc>
          <w:tcPr>
            <w:tcW w:w="3072" w:type="dxa"/>
            <w:shd w:val="clear" w:color="auto" w:fill="EEECE1" w:themeFill="background2"/>
          </w:tcPr>
          <w:p w:rsidR="003429A6" w:rsidRPr="006B7C0E" w:rsidRDefault="003429A6" w:rsidP="00C02150">
            <w:pPr>
              <w:jc w:val="center"/>
              <w:rPr>
                <w:b/>
              </w:rPr>
            </w:pPr>
            <w:r w:rsidRPr="006B7C0E">
              <w:rPr>
                <w:b/>
              </w:rPr>
              <w:t>Brief summary of project</w:t>
            </w:r>
          </w:p>
        </w:tc>
        <w:tc>
          <w:tcPr>
            <w:tcW w:w="991"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500"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26"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43"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295838" w:rsidRPr="006B7C0E" w:rsidTr="00295838">
        <w:trPr>
          <w:trHeight w:val="454"/>
        </w:trPr>
        <w:tc>
          <w:tcPr>
            <w:tcW w:w="960" w:type="dxa"/>
          </w:tcPr>
          <w:p w:rsidR="00295838" w:rsidRPr="006B7C0E" w:rsidRDefault="00295838">
            <w:r w:rsidRPr="006B7C0E">
              <w:t>1.</w:t>
            </w:r>
          </w:p>
        </w:tc>
        <w:tc>
          <w:tcPr>
            <w:tcW w:w="702" w:type="dxa"/>
          </w:tcPr>
          <w:p w:rsidR="00295838" w:rsidRPr="006B7C0E" w:rsidRDefault="00295838">
            <w:r>
              <w:t>A</w:t>
            </w:r>
          </w:p>
        </w:tc>
        <w:tc>
          <w:tcPr>
            <w:tcW w:w="705" w:type="dxa"/>
          </w:tcPr>
          <w:p w:rsidR="00295838" w:rsidRPr="006B7C0E" w:rsidRDefault="00295838">
            <w:r>
              <w:t>N/A</w:t>
            </w:r>
          </w:p>
        </w:tc>
        <w:tc>
          <w:tcPr>
            <w:tcW w:w="3072" w:type="dxa"/>
            <w:vAlign w:val="center"/>
          </w:tcPr>
          <w:p w:rsidR="00295838" w:rsidRPr="00295838" w:rsidRDefault="00295838">
            <w:r w:rsidRPr="00295838">
              <w:rPr>
                <w:rStyle w:val="fontstyle01"/>
                <w:rFonts w:ascii="Arial" w:hAnsi="Arial"/>
              </w:rPr>
              <w:t>Essential maintenance to</w:t>
            </w:r>
            <w:r w:rsidRPr="00295838">
              <w:rPr>
                <w:color w:val="000000"/>
              </w:rPr>
              <w:br/>
            </w:r>
            <w:r w:rsidRPr="00295838">
              <w:rPr>
                <w:rStyle w:val="fontstyle01"/>
                <w:rFonts w:ascii="Arial" w:hAnsi="Arial"/>
              </w:rPr>
              <w:t>some of the play equipment</w:t>
            </w:r>
            <w:r w:rsidRPr="00295838">
              <w:rPr>
                <w:color w:val="000000"/>
              </w:rPr>
              <w:br/>
            </w:r>
            <w:r w:rsidRPr="00295838">
              <w:rPr>
                <w:rStyle w:val="fontstyle01"/>
                <w:rFonts w:ascii="Arial" w:hAnsi="Arial"/>
              </w:rPr>
              <w:t>in the only Play Park in the</w:t>
            </w:r>
            <w:r w:rsidRPr="00295838">
              <w:rPr>
                <w:color w:val="000000"/>
              </w:rPr>
              <w:br/>
            </w:r>
            <w:r w:rsidRPr="00295838">
              <w:rPr>
                <w:rStyle w:val="fontstyle01"/>
                <w:rFonts w:ascii="Arial" w:hAnsi="Arial"/>
              </w:rPr>
              <w:t>Parish further to a ROSPA</w:t>
            </w:r>
            <w:r w:rsidRPr="00295838">
              <w:rPr>
                <w:color w:val="000000"/>
              </w:rPr>
              <w:br/>
            </w:r>
            <w:r w:rsidRPr="00295838">
              <w:rPr>
                <w:rStyle w:val="fontstyle01"/>
                <w:rFonts w:ascii="Arial" w:hAnsi="Arial"/>
              </w:rPr>
              <w:lastRenderedPageBreak/>
              <w:t>Safety inspection in June</w:t>
            </w:r>
            <w:r w:rsidRPr="00295838">
              <w:rPr>
                <w:color w:val="000000"/>
              </w:rPr>
              <w:br/>
            </w:r>
            <w:r w:rsidRPr="00295838">
              <w:rPr>
                <w:rStyle w:val="fontstyle01"/>
                <w:rFonts w:ascii="Arial" w:hAnsi="Arial"/>
              </w:rPr>
              <w:t>2019. Also fencing repair to</w:t>
            </w:r>
            <w:r w:rsidRPr="00295838">
              <w:rPr>
                <w:color w:val="000000"/>
              </w:rPr>
              <w:br/>
            </w:r>
            <w:r w:rsidRPr="00295838">
              <w:rPr>
                <w:rStyle w:val="fontstyle01"/>
                <w:rFonts w:ascii="Arial" w:hAnsi="Arial"/>
              </w:rPr>
              <w:t>the play park. This was not</w:t>
            </w:r>
            <w:r w:rsidRPr="00295838">
              <w:rPr>
                <w:color w:val="000000"/>
              </w:rPr>
              <w:br/>
            </w:r>
            <w:r w:rsidRPr="00295838">
              <w:rPr>
                <w:rStyle w:val="fontstyle01"/>
                <w:rFonts w:ascii="Arial" w:hAnsi="Arial"/>
              </w:rPr>
              <w:t>a project with a</w:t>
            </w:r>
            <w:r>
              <w:rPr>
                <w:rStyle w:val="fontstyle01"/>
                <w:rFonts w:ascii="Arial" w:hAnsi="Arial"/>
              </w:rPr>
              <w:t>n</w:t>
            </w:r>
            <w:r w:rsidRPr="00295838">
              <w:rPr>
                <w:rStyle w:val="fontstyle01"/>
                <w:rFonts w:ascii="Arial" w:hAnsi="Arial"/>
              </w:rPr>
              <w:t xml:space="preserve"> IBP</w:t>
            </w:r>
            <w:r w:rsidRPr="00295838">
              <w:rPr>
                <w:color w:val="000000"/>
              </w:rPr>
              <w:br/>
            </w:r>
            <w:r w:rsidRPr="00295838">
              <w:rPr>
                <w:rStyle w:val="fontstyle01"/>
                <w:rFonts w:ascii="Arial" w:hAnsi="Arial"/>
              </w:rPr>
              <w:t>reference.</w:t>
            </w:r>
          </w:p>
        </w:tc>
        <w:tc>
          <w:tcPr>
            <w:tcW w:w="991" w:type="dxa"/>
            <w:vAlign w:val="center"/>
          </w:tcPr>
          <w:p w:rsidR="00295838" w:rsidRPr="00295838" w:rsidRDefault="00295838">
            <w:r w:rsidRPr="00295838">
              <w:rPr>
                <w:rStyle w:val="fontstyle01"/>
                <w:rFonts w:ascii="Arial" w:hAnsi="Arial"/>
              </w:rPr>
              <w:lastRenderedPageBreak/>
              <w:t xml:space="preserve">£6,671.20 </w:t>
            </w:r>
          </w:p>
        </w:tc>
        <w:tc>
          <w:tcPr>
            <w:tcW w:w="1500" w:type="dxa"/>
            <w:vAlign w:val="center"/>
          </w:tcPr>
          <w:p w:rsidR="00295838" w:rsidRPr="00295838" w:rsidRDefault="00295838">
            <w:r w:rsidRPr="00295838">
              <w:rPr>
                <w:rStyle w:val="fontstyle01"/>
                <w:rFonts w:ascii="Arial" w:hAnsi="Arial"/>
              </w:rPr>
              <w:t xml:space="preserve">£4,875.00 </w:t>
            </w:r>
          </w:p>
        </w:tc>
        <w:tc>
          <w:tcPr>
            <w:tcW w:w="1826" w:type="dxa"/>
            <w:vAlign w:val="center"/>
          </w:tcPr>
          <w:p w:rsidR="00295838" w:rsidRPr="00295838" w:rsidRDefault="00295838">
            <w:r w:rsidRPr="00295838">
              <w:rPr>
                <w:rStyle w:val="fontstyle01"/>
                <w:rFonts w:ascii="Arial" w:hAnsi="Arial"/>
              </w:rPr>
              <w:t>Parish</w:t>
            </w:r>
            <w:r w:rsidRPr="00295838">
              <w:rPr>
                <w:color w:val="000000"/>
              </w:rPr>
              <w:br/>
            </w:r>
            <w:r w:rsidRPr="00295838">
              <w:rPr>
                <w:rStyle w:val="fontstyle01"/>
                <w:rFonts w:ascii="Arial" w:hAnsi="Arial"/>
              </w:rPr>
              <w:t>Council’s</w:t>
            </w:r>
            <w:r w:rsidRPr="00295838">
              <w:rPr>
                <w:color w:val="000000"/>
              </w:rPr>
              <w:br/>
            </w:r>
            <w:r w:rsidRPr="00295838">
              <w:rPr>
                <w:rStyle w:val="fontstyle01"/>
                <w:rFonts w:ascii="Arial" w:hAnsi="Arial"/>
              </w:rPr>
              <w:t>reserves</w:t>
            </w:r>
          </w:p>
        </w:tc>
        <w:tc>
          <w:tcPr>
            <w:tcW w:w="1443" w:type="dxa"/>
            <w:vAlign w:val="center"/>
          </w:tcPr>
          <w:p w:rsidR="00295838" w:rsidRPr="00295838" w:rsidRDefault="00295838">
            <w:r w:rsidRPr="00295838">
              <w:rPr>
                <w:rStyle w:val="fontstyle01"/>
                <w:rFonts w:ascii="Arial" w:hAnsi="Arial"/>
              </w:rPr>
              <w:t>£1,796.20</w:t>
            </w:r>
          </w:p>
        </w:tc>
      </w:tr>
      <w:tr w:rsidR="005E36A8" w:rsidRPr="006B7C0E" w:rsidTr="00295838">
        <w:trPr>
          <w:trHeight w:val="454"/>
        </w:trPr>
        <w:tc>
          <w:tcPr>
            <w:tcW w:w="960" w:type="dxa"/>
          </w:tcPr>
          <w:p w:rsidR="00D4540C" w:rsidRPr="006B7C0E" w:rsidRDefault="00D4540C">
            <w:r w:rsidRPr="006B7C0E">
              <w:lastRenderedPageBreak/>
              <w:t>2.</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r w:rsidR="005E36A8" w:rsidRPr="006B7C0E" w:rsidTr="00295838">
        <w:trPr>
          <w:trHeight w:val="454"/>
        </w:trPr>
        <w:tc>
          <w:tcPr>
            <w:tcW w:w="960" w:type="dxa"/>
          </w:tcPr>
          <w:p w:rsidR="00D4540C" w:rsidRPr="006B7C0E" w:rsidRDefault="00D4540C">
            <w:r w:rsidRPr="006B7C0E">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95838"/>
    <w:rsid w:val="002A7452"/>
    <w:rsid w:val="002C492F"/>
    <w:rsid w:val="002D3AA0"/>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295838"/>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295838"/>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393">
      <w:bodyDiv w:val="1"/>
      <w:marLeft w:val="0"/>
      <w:marRight w:val="0"/>
      <w:marTop w:val="0"/>
      <w:marBottom w:val="0"/>
      <w:divBdr>
        <w:top w:val="none" w:sz="0" w:space="0" w:color="auto"/>
        <w:left w:val="none" w:sz="0" w:space="0" w:color="auto"/>
        <w:bottom w:val="none" w:sz="0" w:space="0" w:color="auto"/>
        <w:right w:val="none" w:sz="0" w:space="0" w:color="auto"/>
      </w:divBdr>
    </w:div>
    <w:div w:id="856699598">
      <w:bodyDiv w:val="1"/>
      <w:marLeft w:val="0"/>
      <w:marRight w:val="0"/>
      <w:marTop w:val="0"/>
      <w:marBottom w:val="0"/>
      <w:divBdr>
        <w:top w:val="none" w:sz="0" w:space="0" w:color="auto"/>
        <w:left w:val="none" w:sz="0" w:space="0" w:color="auto"/>
        <w:bottom w:val="none" w:sz="0" w:space="0" w:color="auto"/>
        <w:right w:val="none" w:sz="0" w:space="0" w:color="auto"/>
      </w:divBdr>
    </w:div>
    <w:div w:id="1341615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69</cp:revision>
  <dcterms:created xsi:type="dcterms:W3CDTF">2020-08-28T14:04:00Z</dcterms:created>
  <dcterms:modified xsi:type="dcterms:W3CDTF">2020-12-15T07:31:00Z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